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A1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DFT Study on the Mechanism of Manganese(II)-Catalyzed Destruction of Oxalic Acid in Nitric Acid Systems</w:t>
      </w:r>
    </w:p>
    <w:p w14:paraId="2441AF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Lei</w:t>
      </w:r>
      <w:r>
        <w:rPr>
          <w:rFonts w:ascii="Times New Roman" w:hAnsi="Times New Roman" w:cs="Times New Roman"/>
          <w:sz w:val="18"/>
          <w:szCs w:val="18"/>
        </w:rPr>
        <w:t xml:space="preserve"> Li, Xiaoteng Zhang, Zixuan Liu, Siwen Yuan, Xuefeng Hou, Yantao Hu, Sifan Li, Ran Jia, Jian Wang, Jing Ma</w:t>
      </w:r>
    </w:p>
    <w:p w14:paraId="223D0F18"/>
    <w:p w14:paraId="3319B9DB"/>
    <w:p w14:paraId="73B09021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Supporting </w:t>
      </w:r>
      <w:r>
        <w:rPr>
          <w:rFonts w:hint="eastAsia" w:ascii="Times New Roman" w:hAnsi="Times New Roman" w:cs="Times New Roman"/>
          <w:sz w:val="52"/>
          <w:szCs w:val="52"/>
        </w:rPr>
        <w:t>I</w:t>
      </w:r>
      <w:r>
        <w:rPr>
          <w:rFonts w:ascii="Times New Roman" w:hAnsi="Times New Roman" w:cs="Times New Roman"/>
          <w:sz w:val="52"/>
          <w:szCs w:val="52"/>
        </w:rPr>
        <w:t>nformation</w:t>
      </w:r>
    </w:p>
    <w:p w14:paraId="337F3708">
      <w:pPr>
        <w:jc w:val="center"/>
      </w:pPr>
      <w:r>
        <w:rPr>
          <w:rFonts w:hint="eastAsia"/>
        </w:rPr>
        <w:drawing>
          <wp:inline distT="0" distB="0" distL="114300" distR="114300">
            <wp:extent cx="5175250" cy="5655310"/>
            <wp:effectExtent l="0" t="0" r="6350" b="1397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1B483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>Fig.</w:t>
      </w:r>
      <w:r>
        <w:rPr>
          <w:rFonts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 xml:space="preserve">S1 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Three conformations for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–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, left column, initial geometries; right column, optimized geometries. Energy in Hartree.</w:t>
      </w:r>
    </w:p>
    <w:p w14:paraId="083E7522">
      <w:pPr>
        <w:jc w:val="center"/>
      </w:pPr>
    </w:p>
    <w:p w14:paraId="39F0E317">
      <w:pPr>
        <w:widowControl/>
        <w:spacing w:line="440" w:lineRule="exact"/>
        <w:ind w:firstLine="440" w:firstLineChars="200"/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</w:pP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Considering key factors like ligand spatial arrangement and steric effects, we proposed three potential conformations (A, B, and C) for the key intermediate</w:t>
      </w:r>
      <w:bookmarkStart w:id="0" w:name="_GoBack"/>
      <w:bookmarkEnd w:id="0"/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, 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–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. Following structural optimization (Fig. S1), a comparison of their relative energies revealed conformation A to be the most stable (lowest energy). Consequently, all subsequent simulations were performed using this most stable conformation.</w:t>
      </w:r>
    </w:p>
    <w:p w14:paraId="24692FB2">
      <w:pPr>
        <w:widowControl/>
        <w:spacing w:line="440" w:lineRule="exact"/>
        <w:rPr>
          <w:rFonts w:ascii="Times New Roman" w:hAnsi="Times New Roman" w:eastAsia="NimbusRomNo9L-Regu" w:cs="Times New Roman"/>
          <w:color w:val="000000"/>
          <w:kern w:val="0"/>
          <w:sz w:val="28"/>
          <w:szCs w:val="28"/>
          <w:lang w:bidi="ar"/>
        </w:rPr>
      </w:pPr>
    </w:p>
    <w:p w14:paraId="389CD991">
      <w:pPr>
        <w:widowControl/>
        <w:jc w:val="center"/>
        <w:rPr>
          <w:rFonts w:ascii="Times New Roman" w:hAnsi="Times New Roman" w:eastAsia="NimbusRomNo9L-Regu" w:cs="Times New Roman"/>
          <w:color w:val="000000"/>
          <w:kern w:val="0"/>
          <w:sz w:val="24"/>
          <w:lang w:bidi="ar"/>
        </w:rPr>
      </w:pPr>
      <w:r>
        <w:drawing>
          <wp:inline distT="0" distB="0" distL="114300" distR="114300">
            <wp:extent cx="3926205" cy="1948180"/>
            <wp:effectExtent l="0" t="0" r="5715" b="254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5C03C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>Fig.</w:t>
      </w:r>
      <w:r>
        <w:rPr>
          <w:rFonts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>S2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L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eft column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is the optimized 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conformation for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+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and the right 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column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is the optimized 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conformation for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–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. 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Energy in Hartree.</w:t>
      </w:r>
    </w:p>
    <w:p w14:paraId="55C2DCDC">
      <w:pPr>
        <w:rPr>
          <w:sz w:val="22"/>
          <w:szCs w:val="22"/>
        </w:rPr>
      </w:pPr>
    </w:p>
    <w:p w14:paraId="3F6C95AC">
      <w:pPr>
        <w:widowControl/>
        <w:spacing w:after="156" w:afterLines="50"/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NimbusRomNo9L-Regu" w:cs="Times New Roman"/>
          <w:b/>
          <w:bCs/>
          <w:color w:val="000000"/>
          <w:kern w:val="0"/>
          <w:sz w:val="22"/>
          <w:szCs w:val="22"/>
          <w:lang w:bidi="ar"/>
        </w:rPr>
        <w:t>Table S1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The coordination energy of trivalent manganese hexa-coordinated oxalate (with 1 and 2 oxalate groups) complexes.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3594"/>
      </w:tblGrid>
      <w:tr w14:paraId="3C61ED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12" w:space="0"/>
              <w:bottom w:val="single" w:color="auto" w:sz="6" w:space="0"/>
            </w:tcBorders>
          </w:tcPr>
          <w:p w14:paraId="51FBC6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Coordination Equation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</w:t>
            </w:r>
          </w:p>
        </w:tc>
        <w:tc>
          <w:tcPr>
            <w:tcW w:w="3594" w:type="dxa"/>
            <w:tcBorders>
              <w:top w:val="single" w:color="auto" w:sz="12" w:space="0"/>
              <w:bottom w:val="single" w:color="auto" w:sz="6" w:space="0"/>
            </w:tcBorders>
          </w:tcPr>
          <w:p w14:paraId="26BE33D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Coordination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Equation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/</w:t>
            </w:r>
            <w:r>
              <w:rPr>
                <w:rFonts w:hint="eastAsia" w:ascii="Times New Roman" w:hAnsi="Times New Roman" w:cs="Times New Roman"/>
                <w:szCs w:val="21"/>
              </w:rPr>
              <w:t>(kcal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/</w:t>
            </w:r>
            <w:r>
              <w:rPr>
                <w:rFonts w:hint="eastAsia" w:ascii="Times New Roman" w:hAnsi="Times New Roman" w:cs="Times New Roman"/>
                <w:szCs w:val="21"/>
              </w:rPr>
              <w:t>mol)</w:t>
            </w:r>
          </w:p>
        </w:tc>
      </w:tr>
      <w:tr w14:paraId="372F6F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6" w:space="0"/>
            </w:tcBorders>
          </w:tcPr>
          <w:p w14:paraId="39A44EA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[Mn(H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O)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</w:rPr>
              <w:t>]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3+</w:t>
            </w:r>
            <w:r>
              <w:rPr>
                <w:rFonts w:hint="eastAsia" w:ascii="Times New Roman" w:hAnsi="Times New Roman" w:cs="Times New Roman"/>
                <w:szCs w:val="21"/>
              </w:rPr>
              <w:t>+C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2-</w:t>
            </w:r>
            <w:r>
              <w:rPr>
                <w:rFonts w:hint="eastAsia" w:ascii="宋体" w:hAnsi="宋体" w:eastAsia="宋体" w:cs="Times New Roman"/>
                <w:szCs w:val="21"/>
              </w:rPr>
              <w:t>→</w:t>
            </w:r>
            <w:r>
              <w:rPr>
                <w:rFonts w:hint="eastAsia" w:ascii="Times New Roman" w:hAnsi="Times New Roman" w:cs="Times New Roman"/>
                <w:szCs w:val="21"/>
              </w:rPr>
              <w:t>[Mn(H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O)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(C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)]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+</w:t>
            </w:r>
            <w:r>
              <w:rPr>
                <w:rFonts w:hint="eastAsia" w:ascii="Times New Roman" w:hAnsi="Times New Roman" w:cs="Times New Roman"/>
                <w:szCs w:val="21"/>
              </w:rPr>
              <w:t>+2H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</w:p>
        </w:tc>
        <w:tc>
          <w:tcPr>
            <w:tcW w:w="3594" w:type="dxa"/>
            <w:tcBorders>
              <w:top w:val="single" w:color="auto" w:sz="6" w:space="0"/>
            </w:tcBorders>
          </w:tcPr>
          <w:p w14:paraId="06F5FABA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-15.21</w:t>
            </w:r>
          </w:p>
        </w:tc>
      </w:tr>
      <w:tr w14:paraId="700599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0529908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[Mn(H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O)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3+</w:t>
            </w:r>
            <w:r>
              <w:rPr>
                <w:rFonts w:hint="eastAsia" w:ascii="Times New Roman" w:hAnsi="Times New Roman" w:cs="Times New Roman"/>
                <w:szCs w:val="21"/>
              </w:rPr>
              <w:t>+2C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2-</w:t>
            </w:r>
            <w:r>
              <w:rPr>
                <w:rFonts w:hint="eastAsia" w:ascii="Times New Roman" w:hAnsi="Times New Roman" w:cs="Times New Roman"/>
                <w:szCs w:val="21"/>
              </w:rPr>
              <w:t>→</w:t>
            </w:r>
            <w:r>
              <w:rPr>
                <w:rFonts w:ascii="Times New Roman" w:hAnsi="Times New Roman" w:cs="Times New Roman"/>
                <w:szCs w:val="21"/>
              </w:rPr>
              <w:t>[Mn(H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O)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(C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</w:rPr>
              <w:t>+4H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</w:p>
        </w:tc>
        <w:tc>
          <w:tcPr>
            <w:tcW w:w="3594" w:type="dxa"/>
          </w:tcPr>
          <w:p w14:paraId="7E97F935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-145.96</w:t>
            </w:r>
          </w:p>
        </w:tc>
      </w:tr>
    </w:tbl>
    <w:p w14:paraId="5B01FE10">
      <w:pPr>
        <w:widowControl/>
        <w:rPr>
          <w:rFonts w:ascii="Times New Roman" w:hAnsi="Times New Roman" w:eastAsia="NimbusRomNo9L-Regu" w:cs="Times New Roman"/>
          <w:color w:val="000000"/>
          <w:kern w:val="0"/>
          <w:sz w:val="24"/>
          <w:lang w:bidi="ar"/>
        </w:rPr>
      </w:pPr>
    </w:p>
    <w:p w14:paraId="59B02745">
      <w:pPr>
        <w:widowControl/>
        <w:spacing w:line="440" w:lineRule="exact"/>
        <w:ind w:firstLine="440" w:firstLineChars="200"/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</w:pP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Computational results indicate that the bis(oxalate) complex,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–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, is more stable than its mono(oxalate) counterpart,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(C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4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+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. As seen in Fig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.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S2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, the former exhibits lower energy, greater structural stability, and reduced steric hindrance. This is consistent with coordination energy calculations for oxalate binding to the [Mn(H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O)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bscript"/>
          <w:lang w:bidi="ar"/>
        </w:rPr>
        <w:t>6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>]</w:t>
      </w:r>
      <w:r>
        <w:rPr>
          <w:rFonts w:hint="eastAsia" w:ascii="Times New Roman" w:hAnsi="Times New Roman" w:eastAsia="NimbusRomNo9L-Regu" w:cs="Times New Roman"/>
          <w:color w:val="000000"/>
          <w:kern w:val="0"/>
          <w:sz w:val="22"/>
          <w:szCs w:val="22"/>
          <w:vertAlign w:val="superscript"/>
          <w:lang w:bidi="ar"/>
        </w:rPr>
        <w:t>3+</w:t>
      </w:r>
      <w:r>
        <w:rPr>
          <w:rFonts w:ascii="Times New Roman" w:hAnsi="Times New Roman" w:eastAsia="NimbusRomNo9L-Regu" w:cs="Times New Roman"/>
          <w:color w:val="000000"/>
          <w:kern w:val="0"/>
          <w:sz w:val="22"/>
          <w:szCs w:val="22"/>
          <w:lang w:bidi="ar"/>
        </w:rPr>
        <w:t xml:space="preserve"> cation, which confirm the thermodynamic advantage of the bis(oxalate) species (Table S1). Complexes with three or more oxalate ligands were excluded from consideration due to steric limitations.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NimbusRomNo9L-Regu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-1954467759"/>
      <w:docPartObj>
        <w:docPartGallery w:val="AutoText"/>
      </w:docPartObj>
    </w:sdtPr>
    <w:sdtEndPr>
      <w:rPr>
        <w:rStyle w:val="7"/>
      </w:rPr>
    </w:sdtEndPr>
    <w:sdtContent>
      <w:p w14:paraId="19CDB2FC">
        <w:pPr>
          <w:pStyle w:val="2"/>
          <w:framePr w:wrap="auto" w:vAnchor="text" w:hAnchor="margin" w:xAlign="right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t>1</w:t>
        </w:r>
        <w:r>
          <w:rPr>
            <w:rStyle w:val="7"/>
          </w:rPr>
          <w:fldChar w:fldCharType="end"/>
        </w:r>
      </w:p>
    </w:sdtContent>
  </w:sdt>
  <w:p w14:paraId="70F67DE0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-1854328340"/>
      <w:docPartObj>
        <w:docPartGallery w:val="AutoText"/>
      </w:docPartObj>
    </w:sdtPr>
    <w:sdtEndPr>
      <w:rPr>
        <w:rStyle w:val="7"/>
      </w:rPr>
    </w:sdtEndPr>
    <w:sdtContent>
      <w:p w14:paraId="48CFA59C">
        <w:pPr>
          <w:pStyle w:val="2"/>
          <w:framePr w:wrap="auto" w:vAnchor="text" w:hAnchor="margin" w:xAlign="right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fldChar w:fldCharType="end"/>
        </w:r>
      </w:p>
    </w:sdtContent>
  </w:sdt>
  <w:p w14:paraId="37E65EB8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1E24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5AD8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63CC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808A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53F51"/>
    <w:rsid w:val="0001635C"/>
    <w:rsid w:val="001D2B4D"/>
    <w:rsid w:val="00380532"/>
    <w:rsid w:val="00476B9F"/>
    <w:rsid w:val="00575814"/>
    <w:rsid w:val="00E0339F"/>
    <w:rsid w:val="00E35743"/>
    <w:rsid w:val="00FC4BCA"/>
    <w:rsid w:val="0BC820E2"/>
    <w:rsid w:val="1A037B71"/>
    <w:rsid w:val="1C7D3C0B"/>
    <w:rsid w:val="1F6E3CDF"/>
    <w:rsid w:val="3DE74F30"/>
    <w:rsid w:val="488F069E"/>
    <w:rsid w:val="4AEF3676"/>
    <w:rsid w:val="50935021"/>
    <w:rsid w:val="7577036C"/>
    <w:rsid w:val="75E43528"/>
    <w:rsid w:val="7725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paragraph" w:customStyle="1" w:styleId="8">
    <w:name w:val="p1"/>
    <w:basedOn w:val="1"/>
    <w:uiPriority w:val="0"/>
    <w:pPr>
      <w:widowControl/>
      <w:jc w:val="left"/>
    </w:pPr>
    <w:rPr>
      <w:rFonts w:ascii="Helvetica" w:hAnsi="Helvetica" w:eastAsia="宋体" w:cs="宋体"/>
      <w:color w:val="000000"/>
      <w:kern w:val="0"/>
      <w:sz w:val="37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1569</Characters>
  <Lines>12</Lines>
  <Paragraphs>3</Paragraphs>
  <TotalTime>29</TotalTime>
  <ScaleCrop>false</ScaleCrop>
  <LinksUpToDate>false</LinksUpToDate>
  <CharactersWithSpaces>1790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2025-12-08T11:27:00Z</dcterms:created>
  <dc:creator>zn</dc:creator>
  <cp:lastModifiedBy>小胖琪</cp:lastModifiedBy>
  <dcterms:modified xsi:type="dcterms:W3CDTF">2025-12-09T03:05:43Z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845BB3797E154D9BB0223CB6C97F542F_13</vt:lpwstr>
  </property>
  <property fmtid="{D5CDD505-2E9C-101B-9397-08002B2CF9AE}" pid="4" name="KSOTemplateDocerSaveRecord">
    <vt:lpwstr>eyJoZGlkIjoiY2NkMzhlZDkzNGE5Y2ZhYmFiNjJmZDgwZWViNWM5NmIiLCJ1c2VySWQiOiI2NTU0NDI4MTgifQ==</vt:lpwstr>
  </property>
</Properties>
</file>