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5B064" w14:textId="434C7169" w:rsidR="00C66E72" w:rsidRPr="00C66E72" w:rsidRDefault="00C66E72" w:rsidP="00F4271B">
      <w:pPr>
        <w:spacing w:line="360" w:lineRule="auto"/>
        <w:rPr>
          <w:rFonts w:ascii="Times New Roman" w:hAnsi="Times New Roman" w:cs="Times New Roman"/>
          <w:b/>
          <w:bCs/>
          <w:color w:val="000000" w:themeColor="text1"/>
          <w:szCs w:val="21"/>
        </w:rPr>
      </w:pPr>
      <w:r w:rsidRPr="00C66E72">
        <w:rPr>
          <w:rFonts w:ascii="Times New Roman" w:hAnsi="Times New Roman" w:cs="Times New Roman"/>
          <w:b/>
          <w:bCs/>
          <w:color w:val="000000" w:themeColor="text1"/>
          <w:szCs w:val="21"/>
        </w:rPr>
        <w:t>Performance Comparison of Negative Sample Sampling Strategies</w:t>
      </w:r>
    </w:p>
    <w:p w14:paraId="3375761E" w14:textId="59027595" w:rsidR="00402A4A" w:rsidRPr="009925A4" w:rsidRDefault="00F4271B" w:rsidP="00F4271B">
      <w:pPr>
        <w:spacing w:line="360" w:lineRule="auto"/>
        <w:rPr>
          <w:rFonts w:ascii="Times New Roman" w:hAnsi="Times New Roman" w:cs="Times New Roman"/>
          <w:color w:val="000000" w:themeColor="text1"/>
        </w:rPr>
      </w:pPr>
      <w:r w:rsidRPr="009925A4">
        <w:rPr>
          <w:rFonts w:ascii="Times New Roman" w:hAnsi="Times New Roman" w:cs="Times New Roman" w:hint="eastAsia"/>
          <w:color w:val="000000" w:themeColor="text1"/>
        </w:rPr>
        <w:t>We evaluated</w:t>
      </w:r>
      <w:r w:rsidR="00402A4A" w:rsidRPr="009925A4">
        <w:rPr>
          <w:rFonts w:ascii="Times New Roman" w:hAnsi="Times New Roman" w:cs="Times New Roman" w:hint="eastAsia"/>
          <w:color w:val="000000" w:themeColor="text1"/>
        </w:rPr>
        <w:t xml:space="preserve"> and compared the performance of four negative sampling strategies on three datasets based on a unified five-fold cross-validation framework.</w:t>
      </w:r>
    </w:p>
    <w:p w14:paraId="3C4136D0" w14:textId="77777777" w:rsidR="00402A4A" w:rsidRPr="009925A4" w:rsidRDefault="00402A4A" w:rsidP="00402A4A">
      <w:pPr>
        <w:pStyle w:val="a9"/>
        <w:numPr>
          <w:ilvl w:val="0"/>
          <w:numId w:val="1"/>
        </w:numPr>
        <w:spacing w:line="360" w:lineRule="auto"/>
        <w:ind w:left="862" w:hanging="442"/>
        <w:rPr>
          <w:rFonts w:ascii="Times New Roman" w:hAnsi="Times New Roman" w:cs="Times New Roman"/>
          <w:color w:val="000000" w:themeColor="text1"/>
          <w:szCs w:val="21"/>
        </w:rPr>
      </w:pPr>
      <w:r w:rsidRPr="009925A4">
        <w:rPr>
          <w:rFonts w:ascii="Times New Roman" w:hAnsi="Times New Roman" w:cs="Times New Roman" w:hint="eastAsia"/>
          <w:color w:val="000000" w:themeColor="text1"/>
          <w:szCs w:val="21"/>
        </w:rPr>
        <w:t>Random uniform sampling (RUS): The method involves sampling from all unknown associations with equal probability.</w:t>
      </w:r>
    </w:p>
    <w:p w14:paraId="2CE0A234" w14:textId="7D62E9B5" w:rsidR="00402A4A" w:rsidRPr="009925A4" w:rsidRDefault="00402A4A" w:rsidP="00402A4A">
      <w:pPr>
        <w:pStyle w:val="a9"/>
        <w:numPr>
          <w:ilvl w:val="0"/>
          <w:numId w:val="1"/>
        </w:numPr>
        <w:spacing w:line="360" w:lineRule="auto"/>
        <w:ind w:left="862" w:hanging="442"/>
        <w:rPr>
          <w:rFonts w:ascii="Times New Roman" w:hAnsi="Times New Roman" w:cs="Times New Roman"/>
          <w:color w:val="000000" w:themeColor="text1"/>
          <w:szCs w:val="21"/>
        </w:rPr>
      </w:pPr>
      <w:r w:rsidRPr="009925A4">
        <w:rPr>
          <w:rFonts w:ascii="Times New Roman" w:hAnsi="Times New Roman" w:cs="Times New Roman"/>
          <w:color w:val="000000" w:themeColor="text1"/>
          <w:szCs w:val="21"/>
        </w:rPr>
        <w:t>STEAL​: STEAL employs a prototype-based pseudo-labeling strategy for negative sampling: positive instances are first clustered via</w:t>
      </w:r>
      <w:r w:rsidRPr="009925A4">
        <w:rPr>
          <w:rFonts w:ascii="Times New Roman" w:hAnsi="Times New Roman" w:cs="Times New Roman" w:hint="eastAsia"/>
          <w:color w:val="000000" w:themeColor="text1"/>
          <w:szCs w:val="21"/>
        </w:rPr>
        <w:t xml:space="preserve"> k-</w:t>
      </w:r>
      <w:r w:rsidRPr="009925A4">
        <w:rPr>
          <w:rFonts w:ascii="Times New Roman" w:hAnsi="Times New Roman" w:cs="Times New Roman"/>
          <w:color w:val="000000" w:themeColor="text1"/>
          <w:szCs w:val="21"/>
        </w:rPr>
        <w:t>means</w:t>
      </w:r>
      <w:r w:rsidRPr="009925A4">
        <w:rPr>
          <w:rFonts w:ascii="Times New Roman" w:hAnsi="Times New Roman" w:cs="Times New Roman" w:hint="eastAsia"/>
          <w:color w:val="000000" w:themeColor="text1"/>
          <w:szCs w:val="21"/>
        </w:rPr>
        <w:t xml:space="preserve"> </w:t>
      </w:r>
      <w:r w:rsidRPr="009925A4">
        <w:rPr>
          <w:rFonts w:ascii="Times New Roman" w:hAnsi="Times New Roman" w:cs="Times New Roman"/>
          <w:color w:val="000000" w:themeColor="text1"/>
          <w:szCs w:val="21"/>
        </w:rPr>
        <w:t xml:space="preserve">to derive representative prototypes, after which unlabeled instances are </w:t>
      </w:r>
      <w:proofErr w:type="gramStart"/>
      <w:r w:rsidRPr="009925A4">
        <w:rPr>
          <w:rFonts w:ascii="Times New Roman" w:hAnsi="Times New Roman" w:cs="Times New Roman"/>
          <w:color w:val="000000" w:themeColor="text1"/>
          <w:szCs w:val="21"/>
        </w:rPr>
        <w:t>assigned</w:t>
      </w:r>
      <w:proofErr w:type="gramEnd"/>
      <w:r w:rsidRPr="009925A4">
        <w:rPr>
          <w:rFonts w:ascii="Times New Roman" w:hAnsi="Times New Roman" w:cs="Times New Roman"/>
          <w:color w:val="000000" w:themeColor="text1"/>
          <w:szCs w:val="21"/>
        </w:rPr>
        <w:t xml:space="preserve"> pseudo-labels based on their similarity to these prototypes, rather than being directly designated as negatives </w:t>
      </w:r>
      <w:sdt>
        <w:sdtPr>
          <w:rPr>
            <w:rFonts w:ascii="Times New Roman" w:hAnsi="Times New Roman" w:cs="Times New Roman"/>
            <w:color w:val="000000"/>
            <w:szCs w:val="21"/>
          </w:rPr>
          <w:tag w:val="MENDELEY_CITATION_v3_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"/>
          <w:id w:val="-1665159159"/>
          <w:placeholder>
            <w:docPart w:val="DefaultPlaceholder_-1854013440"/>
          </w:placeholder>
        </w:sdtPr>
        <w:sdtContent>
          <w:r w:rsidR="005C6E8D" w:rsidRPr="005C6E8D">
            <w:rPr>
              <w:rFonts w:ascii="Times New Roman" w:hAnsi="Times New Roman" w:cs="Times New Roman"/>
              <w:color w:val="000000"/>
              <w:szCs w:val="21"/>
            </w:rPr>
            <w:t>[1]</w:t>
          </w:r>
        </w:sdtContent>
      </w:sdt>
      <w:r w:rsidRPr="009925A4">
        <w:rPr>
          <w:rFonts w:ascii="Times New Roman" w:hAnsi="Times New Roman" w:cs="Times New Roman"/>
          <w:color w:val="000000" w:themeColor="text1"/>
          <w:szCs w:val="21"/>
        </w:rPr>
        <w:t>;</w:t>
      </w:r>
    </w:p>
    <w:p w14:paraId="40BB7A29" w14:textId="31BB94B0" w:rsidR="00402A4A" w:rsidRPr="009925A4" w:rsidRDefault="00402A4A" w:rsidP="00402A4A">
      <w:pPr>
        <w:pStyle w:val="a9"/>
        <w:widowControl/>
        <w:numPr>
          <w:ilvl w:val="0"/>
          <w:numId w:val="1"/>
        </w:numPr>
        <w:spacing w:line="360" w:lineRule="auto"/>
        <w:jc w:val="left"/>
        <w:rPr>
          <w:rFonts w:ascii="Times New Roman" w:eastAsia="宋体" w:hAnsi="Times New Roman" w:cs="Times New Roman"/>
          <w:color w:val="000000" w:themeColor="text1"/>
          <w:kern w:val="0"/>
          <w:szCs w:val="21"/>
        </w:rPr>
      </w:pPr>
      <w:r w:rsidRPr="009925A4">
        <w:rPr>
          <w:rFonts w:ascii="Times New Roman" w:eastAsia="宋体" w:hAnsi="Times New Roman" w:cs="Times New Roman"/>
          <w:color w:val="000000" w:themeColor="text1"/>
          <w:kern w:val="0"/>
          <w:szCs w:val="21"/>
        </w:rPr>
        <w:t xml:space="preserve">Paz-Ruza et al. adopt a Jaccard KNN-based reliable negative selection strategy: for each unlabeled instance, the proportion of unlabeled neighbors within its </w:t>
      </w:r>
      <w:r w:rsidRPr="009925A4">
        <w:rPr>
          <w:rFonts w:ascii="Times New Roman" w:eastAsia="宋体" w:hAnsi="Times New Roman" w:cs="Times New Roman" w:hint="eastAsia"/>
          <w:color w:val="000000" w:themeColor="text1"/>
          <w:kern w:val="0"/>
          <w:szCs w:val="21"/>
        </w:rPr>
        <w:t>k-</w:t>
      </w:r>
      <w:r w:rsidRPr="009925A4">
        <w:rPr>
          <w:rFonts w:ascii="Times New Roman" w:eastAsia="宋体" w:hAnsi="Times New Roman" w:cs="Times New Roman"/>
          <w:color w:val="000000" w:themeColor="text1"/>
          <w:kern w:val="0"/>
          <w:szCs w:val="21"/>
        </w:rPr>
        <w:t>top-nearest neighbors (quantified via Jaccard similarity) is computed, and instances exceeding a preset threshold are selected as reliable negatives</w:t>
      </w:r>
      <w:r w:rsidRPr="009925A4">
        <w:rPr>
          <w:rFonts w:ascii="Times New Roman" w:hAnsi="Times New Roman" w:cs="Times New Roman"/>
          <w:color w:val="000000" w:themeColor="text1"/>
          <w:szCs w:val="21"/>
        </w:rPr>
        <w:t xml:space="preserve"> </w:t>
      </w:r>
      <w:sdt>
        <w:sdtPr>
          <w:rPr>
            <w:rFonts w:ascii="Times New Roman" w:hAnsi="Times New Roman" w:cs="Times New Roman"/>
            <w:color w:val="000000"/>
            <w:szCs w:val="21"/>
          </w:rPr>
          <w:tag w:val="MENDELEY_CITATION_v3_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"/>
          <w:id w:val="1753778627"/>
          <w:placeholder>
            <w:docPart w:val="DefaultPlaceholder_-1854013440"/>
          </w:placeholder>
        </w:sdtPr>
        <w:sdtContent>
          <w:r w:rsidR="005C6E8D" w:rsidRPr="005C6E8D">
            <w:rPr>
              <w:rFonts w:ascii="Times New Roman" w:hAnsi="Times New Roman" w:cs="Times New Roman"/>
              <w:color w:val="000000"/>
              <w:szCs w:val="21"/>
            </w:rPr>
            <w:t>[2]</w:t>
          </w:r>
        </w:sdtContent>
      </w:sdt>
      <w:r w:rsidRPr="009925A4">
        <w:rPr>
          <w:rFonts w:ascii="Times New Roman" w:hAnsi="Times New Roman" w:cs="Times New Roman"/>
          <w:color w:val="000000" w:themeColor="text1"/>
          <w:szCs w:val="21"/>
        </w:rPr>
        <w:t>;</w:t>
      </w:r>
    </w:p>
    <w:p w14:paraId="734A457E" w14:textId="2A168BE3" w:rsidR="00402A4A" w:rsidRPr="009925A4" w:rsidRDefault="00402A4A" w:rsidP="00402A4A">
      <w:pPr>
        <w:pStyle w:val="a9"/>
        <w:numPr>
          <w:ilvl w:val="0"/>
          <w:numId w:val="1"/>
        </w:numPr>
        <w:spacing w:line="360" w:lineRule="auto"/>
        <w:ind w:left="862" w:hanging="442"/>
        <w:rPr>
          <w:rFonts w:ascii="Times New Roman" w:hAnsi="Times New Roman" w:cs="Times New Roman"/>
          <w:color w:val="000000" w:themeColor="text1"/>
          <w:szCs w:val="21"/>
        </w:rPr>
      </w:pPr>
      <w:r w:rsidRPr="009925A4">
        <w:rPr>
          <w:rFonts w:ascii="Times New Roman" w:hAnsi="Times New Roman" w:cs="Times New Roman"/>
          <w:color w:val="000000" w:themeColor="text1"/>
          <w:szCs w:val="21"/>
        </w:rPr>
        <w:t xml:space="preserve">PUCL: PUCL utilizes a distance-thresholding reliable negative selection strategy: for each unlabeled instance, the average </w:t>
      </w:r>
      <w:r w:rsidRPr="009925A4">
        <w:rPr>
          <w:rFonts w:ascii="Times New Roman" w:hAnsi="Times New Roman" w:cs="Times New Roman" w:hint="eastAsia"/>
          <w:color w:val="000000" w:themeColor="text1"/>
          <w:szCs w:val="21"/>
        </w:rPr>
        <w:t>K</w:t>
      </w:r>
      <w:r w:rsidRPr="009925A4">
        <w:rPr>
          <w:rFonts w:ascii="Times New Roman" w:hAnsi="Times New Roman" w:cs="Times New Roman"/>
          <w:color w:val="000000" w:themeColor="text1"/>
          <w:szCs w:val="21"/>
        </w:rPr>
        <w:t xml:space="preserve">NN distance to the positive instance set is calculated, and instances with distances surpassing a preset threshold are isolated as reliable negatives </w:t>
      </w:r>
      <w:sdt>
        <w:sdtPr>
          <w:rPr>
            <w:rFonts w:ascii="Times New Roman" w:hAnsi="Times New Roman" w:cs="Times New Roman"/>
            <w:color w:val="000000"/>
            <w:szCs w:val="21"/>
          </w:rPr>
          <w:tag w:val="MENDELEY_CITATION_v3_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"/>
          <w:id w:val="-1732763241"/>
          <w:placeholder>
            <w:docPart w:val="DefaultPlaceholder_-1854013440"/>
          </w:placeholder>
        </w:sdtPr>
        <w:sdtContent>
          <w:r w:rsidR="005C6E8D" w:rsidRPr="005C6E8D">
            <w:rPr>
              <w:rFonts w:ascii="Times New Roman" w:hAnsi="Times New Roman" w:cs="Times New Roman"/>
              <w:color w:val="000000"/>
              <w:szCs w:val="21"/>
            </w:rPr>
            <w:t>[3]</w:t>
          </w:r>
        </w:sdtContent>
      </w:sdt>
      <w:r w:rsidRPr="009925A4">
        <w:rPr>
          <w:rFonts w:ascii="Times New Roman" w:hAnsi="Times New Roman" w:cs="Times New Roman"/>
          <w:color w:val="000000" w:themeColor="text1"/>
          <w:szCs w:val="21"/>
        </w:rPr>
        <w:t>.</w:t>
      </w:r>
    </w:p>
    <w:p w14:paraId="0358E15F" w14:textId="77777777" w:rsidR="00402A4A" w:rsidRPr="009925A4" w:rsidRDefault="00402A4A" w:rsidP="00D42FD9">
      <w:pPr>
        <w:spacing w:line="360" w:lineRule="auto"/>
        <w:jc w:val="center"/>
        <w:rPr>
          <w:rFonts w:ascii="Times" w:eastAsia="宋体" w:hAnsi="Times"/>
          <w:color w:val="000000" w:themeColor="text1"/>
        </w:rPr>
      </w:pPr>
      <w:r w:rsidRPr="009925A4">
        <w:rPr>
          <w:noProof/>
          <w:color w:val="000000" w:themeColor="text1"/>
        </w:rPr>
        <w:drawing>
          <wp:inline distT="0" distB="0" distL="0" distR="0" wp14:anchorId="5C4F8F16" wp14:editId="7323C8F1">
            <wp:extent cx="3667125" cy="1760714"/>
            <wp:effectExtent l="0" t="0" r="0" b="0"/>
            <wp:docPr id="84899387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993878" name=""/>
                    <pic:cNvPicPr/>
                  </pic:nvPicPr>
                  <pic:blipFill>
                    <a:blip r:embed="rId8">
                      <a:extLst>
                        <a:ext uri="{96DAC541-7B7A-43D3-8B79-37D633B846F1}">
                          <asvg:svgBlip xmlns:asvg="http://schemas.microsoft.com/office/drawing/2016/SVG/main" r:embed="rId9"/>
                        </a:ext>
                      </a:extLst>
                    </a:blip>
                    <a:stretch>
                      <a:fillRect/>
                    </a:stretch>
                  </pic:blipFill>
                  <pic:spPr>
                    <a:xfrm>
                      <a:off x="0" y="0"/>
                      <a:ext cx="3669146" cy="1761684"/>
                    </a:xfrm>
                    <a:prstGeom prst="rect">
                      <a:avLst/>
                    </a:prstGeom>
                  </pic:spPr>
                </pic:pic>
              </a:graphicData>
            </a:graphic>
          </wp:inline>
        </w:drawing>
      </w:r>
    </w:p>
    <w:p w14:paraId="03CAB0E3" w14:textId="77777777" w:rsidR="00402A4A" w:rsidRPr="009925A4" w:rsidRDefault="00402A4A" w:rsidP="00402A4A">
      <w:pPr>
        <w:spacing w:line="360" w:lineRule="auto"/>
        <w:rPr>
          <w:rFonts w:ascii="Times New Roman" w:hAnsi="Times New Roman" w:cs="Times New Roman"/>
          <w:color w:val="000000" w:themeColor="text1"/>
          <w:sz w:val="18"/>
          <w:szCs w:val="18"/>
        </w:rPr>
      </w:pPr>
      <w:r w:rsidRPr="009925A4">
        <w:rPr>
          <w:rFonts w:ascii="Times" w:eastAsia="宋体" w:hAnsi="Times" w:hint="eastAsia"/>
          <w:b/>
          <w:bCs/>
          <w:color w:val="000000" w:themeColor="text1"/>
          <w:sz w:val="18"/>
          <w:szCs w:val="18"/>
        </w:rPr>
        <w:t xml:space="preserve">Figure 1 </w:t>
      </w:r>
      <w:r w:rsidRPr="009925A4">
        <w:rPr>
          <w:rFonts w:ascii="Times New Roman" w:hAnsi="Times New Roman" w:cs="Times New Roman" w:hint="eastAsia"/>
          <w:color w:val="000000" w:themeColor="text1"/>
          <w:sz w:val="18"/>
          <w:szCs w:val="18"/>
        </w:rPr>
        <w:t>The performance of NISINTR under different negative sample sampling strategies.</w:t>
      </w:r>
    </w:p>
    <w:p w14:paraId="59BDAAD5" w14:textId="77777777" w:rsidR="00402A4A" w:rsidRPr="009925A4" w:rsidRDefault="00402A4A" w:rsidP="00402A4A">
      <w:pPr>
        <w:spacing w:line="360" w:lineRule="auto"/>
        <w:ind w:firstLine="420"/>
        <w:rPr>
          <w:rFonts w:ascii="Times New Roman" w:hAnsi="Times New Roman" w:cs="Times New Roman"/>
          <w:color w:val="000000" w:themeColor="text1"/>
        </w:rPr>
      </w:pPr>
      <w:r w:rsidRPr="009925A4">
        <w:rPr>
          <w:rFonts w:ascii="Times New Roman" w:hAnsi="Times New Roman" w:cs="Times New Roman" w:hint="eastAsia"/>
          <w:color w:val="000000" w:themeColor="text1"/>
        </w:rPr>
        <w:t xml:space="preserve">The RUS strategy achieved the highest AUC and AUPR values across all three Tasks. Particularly in the AUC metric, which is more sensitive to the ratio of positive to negative samples and false negatives, RUS was consistently leading. This indicates that, under the current data scale and task setting, unbiased sampling that makes as few assumptions as possible about unknown associations is the strategy for obtaining reliable and robust model performance. Its excellent AUPR value also indirectly suggests that, in the current 1:1 balanced experimental setting, potential false </w:t>
      </w:r>
      <w:r w:rsidRPr="009925A4">
        <w:rPr>
          <w:rFonts w:ascii="Times New Roman" w:hAnsi="Times New Roman" w:cs="Times New Roman" w:hint="eastAsia"/>
          <w:color w:val="000000" w:themeColor="text1"/>
        </w:rPr>
        <w:lastRenderedPageBreak/>
        <w:t>negative label noise has not significantly disrupted model learning.</w:t>
      </w:r>
    </w:p>
    <w:p w14:paraId="77A8BC58" w14:textId="77777777" w:rsidR="001D25C1" w:rsidRDefault="001D25C1">
      <w:pPr>
        <w:rPr>
          <w:rFonts w:hint="eastAsia"/>
          <w:color w:val="000000" w:themeColor="text1"/>
        </w:rPr>
      </w:pPr>
    </w:p>
    <w:p w14:paraId="52434F17" w14:textId="77777777" w:rsidR="005C6E8D" w:rsidRDefault="005C6E8D">
      <w:pPr>
        <w:rPr>
          <w:rFonts w:hint="eastAsia"/>
          <w:color w:val="000000" w:themeColor="text1"/>
        </w:rPr>
      </w:pPr>
    </w:p>
    <w:p w14:paraId="03978709" w14:textId="446127D4" w:rsidR="005C6E8D" w:rsidRDefault="005C6E8D">
      <w:pPr>
        <w:rPr>
          <w:rFonts w:ascii="Times New Roman" w:hAnsi="Times New Roman" w:cs="Times New Roman"/>
          <w:b/>
          <w:bCs/>
          <w:color w:val="000000" w:themeColor="text1"/>
          <w:sz w:val="28"/>
          <w:szCs w:val="28"/>
        </w:rPr>
      </w:pPr>
      <w:proofErr w:type="spellStart"/>
      <w:r w:rsidRPr="005C6E8D">
        <w:rPr>
          <w:rFonts w:ascii="Times New Roman" w:hAnsi="Times New Roman" w:cs="Times New Roman"/>
          <w:b/>
          <w:bCs/>
          <w:color w:val="000000" w:themeColor="text1"/>
          <w:sz w:val="28"/>
          <w:szCs w:val="28"/>
        </w:rPr>
        <w:t>Renference</w:t>
      </w:r>
      <w:proofErr w:type="spellEnd"/>
    </w:p>
    <w:sdt>
      <w:sdtPr>
        <w:rPr>
          <w:rFonts w:ascii="Times New Roman" w:hAnsi="Times New Roman" w:cs="Times New Roman"/>
          <w:b/>
          <w:bCs/>
          <w:color w:val="000000"/>
          <w:sz w:val="28"/>
          <w:szCs w:val="28"/>
        </w:rPr>
        <w:tag w:val="MENDELEY_BIBLIOGRAPHY"/>
        <w:id w:val="-1690212785"/>
        <w:placeholder>
          <w:docPart w:val="DefaultPlaceholder_-1854013440"/>
        </w:placeholder>
      </w:sdtPr>
      <w:sdtContent>
        <w:p w14:paraId="3CF5561B" w14:textId="77777777" w:rsidR="006443A1" w:rsidRPr="006443A1" w:rsidRDefault="006443A1">
          <w:pPr>
            <w:widowControl/>
            <w:autoSpaceDE w:val="0"/>
            <w:autoSpaceDN w:val="0"/>
            <w:ind w:hanging="640"/>
            <w:divId w:val="1659963940"/>
            <w:rPr>
              <w:rFonts w:ascii="Times New Roman" w:hAnsi="Times New Roman" w:cs="Times New Roman"/>
              <w:bCs/>
              <w:color w:val="000000"/>
              <w:kern w:val="0"/>
              <w:szCs w:val="21"/>
            </w:rPr>
          </w:pPr>
          <w:r w:rsidRPr="006443A1">
            <w:rPr>
              <w:rFonts w:ascii="Times New Roman" w:hAnsi="Times New Roman" w:cs="Times New Roman"/>
              <w:bCs/>
              <w:color w:val="000000"/>
              <w:szCs w:val="21"/>
            </w:rPr>
            <w:t>[1]</w:t>
          </w:r>
          <w:r w:rsidRPr="006443A1">
            <w:rPr>
              <w:rFonts w:ascii="Times New Roman" w:hAnsi="Times New Roman" w:cs="Times New Roman"/>
              <w:bCs/>
              <w:color w:val="000000"/>
              <w:szCs w:val="21"/>
            </w:rPr>
            <w:tab/>
            <w:t xml:space="preserve">P. Mignone, G. Pio, and M. Ceci, “Distributed Heterogeneous Transfer Learning,” </w:t>
          </w:r>
          <w:r w:rsidRPr="006443A1">
            <w:rPr>
              <w:rFonts w:ascii="Times New Roman" w:hAnsi="Times New Roman" w:cs="Times New Roman"/>
              <w:bCs/>
              <w:i/>
              <w:iCs/>
              <w:color w:val="000000"/>
              <w:szCs w:val="21"/>
            </w:rPr>
            <w:t>Big Data Research</w:t>
          </w:r>
          <w:r w:rsidRPr="006443A1">
            <w:rPr>
              <w:rFonts w:ascii="Times New Roman" w:hAnsi="Times New Roman" w:cs="Times New Roman"/>
              <w:bCs/>
              <w:color w:val="000000"/>
              <w:szCs w:val="21"/>
            </w:rPr>
            <w:t xml:space="preserve">, vol. 37, Aug. 2024, </w:t>
          </w:r>
          <w:proofErr w:type="spellStart"/>
          <w:r w:rsidRPr="006443A1">
            <w:rPr>
              <w:rFonts w:ascii="Times New Roman" w:hAnsi="Times New Roman" w:cs="Times New Roman"/>
              <w:bCs/>
              <w:color w:val="000000"/>
              <w:szCs w:val="21"/>
            </w:rPr>
            <w:t>doi</w:t>
          </w:r>
          <w:proofErr w:type="spellEnd"/>
          <w:r w:rsidRPr="006443A1">
            <w:rPr>
              <w:rFonts w:ascii="Times New Roman" w:hAnsi="Times New Roman" w:cs="Times New Roman"/>
              <w:bCs/>
              <w:color w:val="000000"/>
              <w:szCs w:val="21"/>
            </w:rPr>
            <w:t>: 10.1016/j.bdr.2024.100456.</w:t>
          </w:r>
        </w:p>
        <w:p w14:paraId="2AF52A18" w14:textId="77777777" w:rsidR="006443A1" w:rsidRPr="006443A1" w:rsidRDefault="006443A1">
          <w:pPr>
            <w:autoSpaceDE w:val="0"/>
            <w:autoSpaceDN w:val="0"/>
            <w:ind w:hanging="640"/>
            <w:divId w:val="1680892877"/>
            <w:rPr>
              <w:rFonts w:ascii="Times New Roman" w:hAnsi="Times New Roman" w:cs="Times New Roman"/>
              <w:bCs/>
              <w:color w:val="000000"/>
              <w:szCs w:val="21"/>
            </w:rPr>
          </w:pPr>
          <w:r w:rsidRPr="006443A1">
            <w:rPr>
              <w:rFonts w:ascii="Times New Roman" w:hAnsi="Times New Roman" w:cs="Times New Roman"/>
              <w:bCs/>
              <w:color w:val="000000"/>
              <w:szCs w:val="21"/>
            </w:rPr>
            <w:t>[2]</w:t>
          </w:r>
          <w:r w:rsidRPr="006443A1">
            <w:rPr>
              <w:rFonts w:ascii="Times New Roman" w:hAnsi="Times New Roman" w:cs="Times New Roman"/>
              <w:bCs/>
              <w:color w:val="000000"/>
              <w:szCs w:val="21"/>
            </w:rPr>
            <w:tab/>
            <w:t>J. Paz-Ruza, A. A. Freitas, A. Alonso-Betanzos, and B. Guijarro-</w:t>
          </w:r>
          <w:proofErr w:type="spellStart"/>
          <w:r w:rsidRPr="006443A1">
            <w:rPr>
              <w:rFonts w:ascii="Times New Roman" w:hAnsi="Times New Roman" w:cs="Times New Roman"/>
              <w:bCs/>
              <w:color w:val="000000"/>
              <w:szCs w:val="21"/>
            </w:rPr>
            <w:t>Berdiñas</w:t>
          </w:r>
          <w:proofErr w:type="spellEnd"/>
          <w:r w:rsidRPr="006443A1">
            <w:rPr>
              <w:rFonts w:ascii="Times New Roman" w:hAnsi="Times New Roman" w:cs="Times New Roman"/>
              <w:bCs/>
              <w:color w:val="000000"/>
              <w:szCs w:val="21"/>
            </w:rPr>
            <w:t>, “Positive-</w:t>
          </w:r>
          <w:proofErr w:type="spellStart"/>
          <w:r w:rsidRPr="006443A1">
            <w:rPr>
              <w:rFonts w:ascii="Times New Roman" w:hAnsi="Times New Roman" w:cs="Times New Roman"/>
              <w:bCs/>
              <w:color w:val="000000"/>
              <w:szCs w:val="21"/>
            </w:rPr>
            <w:t>Unlabelled</w:t>
          </w:r>
          <w:proofErr w:type="spellEnd"/>
          <w:r w:rsidRPr="006443A1">
            <w:rPr>
              <w:rFonts w:ascii="Times New Roman" w:hAnsi="Times New Roman" w:cs="Times New Roman"/>
              <w:bCs/>
              <w:color w:val="000000"/>
              <w:szCs w:val="21"/>
            </w:rPr>
            <w:t xml:space="preserve"> learning for identifying new candidate Dietary Restriction-related genes among ageing-related genes,” </w:t>
          </w:r>
          <w:proofErr w:type="spellStart"/>
          <w:r w:rsidRPr="006443A1">
            <w:rPr>
              <w:rFonts w:ascii="Times New Roman" w:hAnsi="Times New Roman" w:cs="Times New Roman"/>
              <w:bCs/>
              <w:i/>
              <w:iCs/>
              <w:color w:val="000000"/>
              <w:szCs w:val="21"/>
            </w:rPr>
            <w:t>Comput</w:t>
          </w:r>
          <w:proofErr w:type="spellEnd"/>
          <w:r w:rsidRPr="006443A1">
            <w:rPr>
              <w:rFonts w:ascii="Times New Roman" w:hAnsi="Times New Roman" w:cs="Times New Roman"/>
              <w:bCs/>
              <w:i/>
              <w:iCs/>
              <w:color w:val="000000"/>
              <w:szCs w:val="21"/>
            </w:rPr>
            <w:t>. Biol. Med.</w:t>
          </w:r>
          <w:r w:rsidRPr="006443A1">
            <w:rPr>
              <w:rFonts w:ascii="Times New Roman" w:hAnsi="Times New Roman" w:cs="Times New Roman"/>
              <w:bCs/>
              <w:color w:val="000000"/>
              <w:szCs w:val="21"/>
            </w:rPr>
            <w:t xml:space="preserve">, vol. 180, Sep. 2024, </w:t>
          </w:r>
          <w:proofErr w:type="spellStart"/>
          <w:r w:rsidRPr="006443A1">
            <w:rPr>
              <w:rFonts w:ascii="Times New Roman" w:hAnsi="Times New Roman" w:cs="Times New Roman"/>
              <w:bCs/>
              <w:color w:val="000000"/>
              <w:szCs w:val="21"/>
            </w:rPr>
            <w:t>doi</w:t>
          </w:r>
          <w:proofErr w:type="spellEnd"/>
          <w:r w:rsidRPr="006443A1">
            <w:rPr>
              <w:rFonts w:ascii="Times New Roman" w:hAnsi="Times New Roman" w:cs="Times New Roman"/>
              <w:bCs/>
              <w:color w:val="000000"/>
              <w:szCs w:val="21"/>
            </w:rPr>
            <w:t>: 10.1016/j.compbiomed.2024.108999.</w:t>
          </w:r>
        </w:p>
        <w:p w14:paraId="1A5C9DDB" w14:textId="77777777" w:rsidR="006443A1" w:rsidRPr="006443A1" w:rsidRDefault="006443A1">
          <w:pPr>
            <w:autoSpaceDE w:val="0"/>
            <w:autoSpaceDN w:val="0"/>
            <w:ind w:hanging="640"/>
            <w:divId w:val="1431703299"/>
            <w:rPr>
              <w:rFonts w:ascii="Times New Roman" w:hAnsi="Times New Roman" w:cs="Times New Roman"/>
              <w:bCs/>
              <w:color w:val="000000"/>
              <w:szCs w:val="21"/>
            </w:rPr>
          </w:pPr>
          <w:r w:rsidRPr="006443A1">
            <w:rPr>
              <w:rFonts w:ascii="Times New Roman" w:hAnsi="Times New Roman" w:cs="Times New Roman"/>
              <w:bCs/>
              <w:color w:val="000000"/>
              <w:szCs w:val="21"/>
            </w:rPr>
            <w:t>[3]</w:t>
          </w:r>
          <w:r w:rsidRPr="006443A1">
            <w:rPr>
              <w:rFonts w:ascii="Times New Roman" w:hAnsi="Times New Roman" w:cs="Times New Roman"/>
              <w:bCs/>
              <w:color w:val="000000"/>
              <w:szCs w:val="21"/>
            </w:rPr>
            <w:tab/>
            <w:t xml:space="preserve">B. Peng and A. Billard, “Positive-Unlabeled Constraint Learning for Inferring Nonlinear Continuous Constraints Functions </w:t>
          </w:r>
          <w:proofErr w:type="gramStart"/>
          <w:r w:rsidRPr="006443A1">
            <w:rPr>
              <w:rFonts w:ascii="Times New Roman" w:hAnsi="Times New Roman" w:cs="Times New Roman"/>
              <w:bCs/>
              <w:color w:val="000000"/>
              <w:szCs w:val="21"/>
            </w:rPr>
            <w:t>From</w:t>
          </w:r>
          <w:proofErr w:type="gramEnd"/>
          <w:r w:rsidRPr="006443A1">
            <w:rPr>
              <w:rFonts w:ascii="Times New Roman" w:hAnsi="Times New Roman" w:cs="Times New Roman"/>
              <w:bCs/>
              <w:color w:val="000000"/>
              <w:szCs w:val="21"/>
            </w:rPr>
            <w:t xml:space="preserve"> Expert Demonstrations,” </w:t>
          </w:r>
          <w:r w:rsidRPr="006443A1">
            <w:rPr>
              <w:rFonts w:ascii="Times New Roman" w:hAnsi="Times New Roman" w:cs="Times New Roman"/>
              <w:bCs/>
              <w:i/>
              <w:iCs/>
              <w:color w:val="000000"/>
              <w:szCs w:val="21"/>
            </w:rPr>
            <w:t>IEEE Robot. Autom. Lett.</w:t>
          </w:r>
          <w:r w:rsidRPr="006443A1">
            <w:rPr>
              <w:rFonts w:ascii="Times New Roman" w:hAnsi="Times New Roman" w:cs="Times New Roman"/>
              <w:bCs/>
              <w:color w:val="000000"/>
              <w:szCs w:val="21"/>
            </w:rPr>
            <w:t xml:space="preserve">, vol. 10, no. 2, pp. 1593–1600, 2025, </w:t>
          </w:r>
          <w:proofErr w:type="spellStart"/>
          <w:r w:rsidRPr="006443A1">
            <w:rPr>
              <w:rFonts w:ascii="Times New Roman" w:hAnsi="Times New Roman" w:cs="Times New Roman"/>
              <w:bCs/>
              <w:color w:val="000000"/>
              <w:szCs w:val="21"/>
            </w:rPr>
            <w:t>doi</w:t>
          </w:r>
          <w:proofErr w:type="spellEnd"/>
          <w:r w:rsidRPr="006443A1">
            <w:rPr>
              <w:rFonts w:ascii="Times New Roman" w:hAnsi="Times New Roman" w:cs="Times New Roman"/>
              <w:bCs/>
              <w:color w:val="000000"/>
              <w:szCs w:val="21"/>
            </w:rPr>
            <w:t>: 10.1109/LRA.2024.3522756.</w:t>
          </w:r>
        </w:p>
        <w:p w14:paraId="1E5FB578" w14:textId="6E20AACE" w:rsidR="005C6E8D" w:rsidRPr="005C6E8D" w:rsidRDefault="006443A1">
          <w:pPr>
            <w:rPr>
              <w:rFonts w:ascii="Times New Roman" w:hAnsi="Times New Roman" w:cs="Times New Roman"/>
              <w:b/>
              <w:bCs/>
              <w:color w:val="000000" w:themeColor="text1"/>
              <w:sz w:val="28"/>
              <w:szCs w:val="28"/>
            </w:rPr>
          </w:pPr>
          <w:r w:rsidRPr="006443A1">
            <w:rPr>
              <w:rFonts w:ascii="Times New Roman" w:hAnsi="Times New Roman" w:cs="Times New Roman"/>
              <w:b/>
              <w:color w:val="000000"/>
              <w:sz w:val="28"/>
            </w:rPr>
            <w:t> </w:t>
          </w:r>
        </w:p>
      </w:sdtContent>
    </w:sdt>
    <w:sectPr w:rsidR="005C6E8D" w:rsidRPr="005C6E8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519D0" w14:textId="77777777" w:rsidR="00282048" w:rsidRDefault="00282048" w:rsidP="00402A4A">
      <w:pPr>
        <w:rPr>
          <w:rFonts w:hint="eastAsia"/>
        </w:rPr>
      </w:pPr>
      <w:r>
        <w:separator/>
      </w:r>
    </w:p>
  </w:endnote>
  <w:endnote w:type="continuationSeparator" w:id="0">
    <w:p w14:paraId="6503CF0D" w14:textId="77777777" w:rsidR="00282048" w:rsidRDefault="00282048" w:rsidP="00402A4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32861" w14:textId="77777777" w:rsidR="00282048" w:rsidRDefault="00282048" w:rsidP="00402A4A">
      <w:pPr>
        <w:rPr>
          <w:rFonts w:hint="eastAsia"/>
        </w:rPr>
      </w:pPr>
      <w:r>
        <w:separator/>
      </w:r>
    </w:p>
  </w:footnote>
  <w:footnote w:type="continuationSeparator" w:id="0">
    <w:p w14:paraId="009C9469" w14:textId="77777777" w:rsidR="00282048" w:rsidRDefault="00282048" w:rsidP="00402A4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876CF"/>
    <w:multiLevelType w:val="hybridMultilevel"/>
    <w:tmpl w:val="8E40A492"/>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num w:numId="1" w16cid:durableId="1894388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E6E"/>
    <w:rsid w:val="000731F3"/>
    <w:rsid w:val="000969B5"/>
    <w:rsid w:val="000C5EFA"/>
    <w:rsid w:val="00192D06"/>
    <w:rsid w:val="001D25C1"/>
    <w:rsid w:val="00251C41"/>
    <w:rsid w:val="00282048"/>
    <w:rsid w:val="00402A4A"/>
    <w:rsid w:val="004E1E6E"/>
    <w:rsid w:val="00582CD4"/>
    <w:rsid w:val="005C6E8D"/>
    <w:rsid w:val="006443A1"/>
    <w:rsid w:val="006F36A6"/>
    <w:rsid w:val="009925A4"/>
    <w:rsid w:val="00B623EB"/>
    <w:rsid w:val="00C66E72"/>
    <w:rsid w:val="00D42FD9"/>
    <w:rsid w:val="00F06282"/>
    <w:rsid w:val="00F21A2E"/>
    <w:rsid w:val="00F4271B"/>
    <w:rsid w:val="00F454D3"/>
    <w:rsid w:val="00F72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D998E"/>
  <w15:chartTrackingRefBased/>
  <w15:docId w15:val="{B268114C-B62A-4116-9FD5-5D9CEE45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2A4A"/>
    <w:pPr>
      <w:widowControl w:val="0"/>
      <w:jc w:val="both"/>
    </w:pPr>
  </w:style>
  <w:style w:type="paragraph" w:styleId="1">
    <w:name w:val="heading 1"/>
    <w:basedOn w:val="a"/>
    <w:next w:val="a"/>
    <w:link w:val="10"/>
    <w:uiPriority w:val="9"/>
    <w:qFormat/>
    <w:rsid w:val="004E1E6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E1E6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E1E6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E1E6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E1E6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E1E6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1E6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1E6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E1E6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E1E6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E1E6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E1E6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1E6E"/>
    <w:rPr>
      <w:rFonts w:cstheme="majorBidi"/>
      <w:color w:val="0F4761" w:themeColor="accent1" w:themeShade="BF"/>
      <w:sz w:val="28"/>
      <w:szCs w:val="28"/>
    </w:rPr>
  </w:style>
  <w:style w:type="character" w:customStyle="1" w:styleId="50">
    <w:name w:val="标题 5 字符"/>
    <w:basedOn w:val="a0"/>
    <w:link w:val="5"/>
    <w:uiPriority w:val="9"/>
    <w:semiHidden/>
    <w:rsid w:val="004E1E6E"/>
    <w:rPr>
      <w:rFonts w:cstheme="majorBidi"/>
      <w:color w:val="0F4761" w:themeColor="accent1" w:themeShade="BF"/>
      <w:sz w:val="24"/>
      <w:szCs w:val="24"/>
    </w:rPr>
  </w:style>
  <w:style w:type="character" w:customStyle="1" w:styleId="60">
    <w:name w:val="标题 6 字符"/>
    <w:basedOn w:val="a0"/>
    <w:link w:val="6"/>
    <w:uiPriority w:val="9"/>
    <w:semiHidden/>
    <w:rsid w:val="004E1E6E"/>
    <w:rPr>
      <w:rFonts w:cstheme="majorBidi"/>
      <w:b/>
      <w:bCs/>
      <w:color w:val="0F4761" w:themeColor="accent1" w:themeShade="BF"/>
    </w:rPr>
  </w:style>
  <w:style w:type="character" w:customStyle="1" w:styleId="70">
    <w:name w:val="标题 7 字符"/>
    <w:basedOn w:val="a0"/>
    <w:link w:val="7"/>
    <w:uiPriority w:val="9"/>
    <w:semiHidden/>
    <w:rsid w:val="004E1E6E"/>
    <w:rPr>
      <w:rFonts w:cstheme="majorBidi"/>
      <w:b/>
      <w:bCs/>
      <w:color w:val="595959" w:themeColor="text1" w:themeTint="A6"/>
    </w:rPr>
  </w:style>
  <w:style w:type="character" w:customStyle="1" w:styleId="80">
    <w:name w:val="标题 8 字符"/>
    <w:basedOn w:val="a0"/>
    <w:link w:val="8"/>
    <w:uiPriority w:val="9"/>
    <w:semiHidden/>
    <w:rsid w:val="004E1E6E"/>
    <w:rPr>
      <w:rFonts w:cstheme="majorBidi"/>
      <w:color w:val="595959" w:themeColor="text1" w:themeTint="A6"/>
    </w:rPr>
  </w:style>
  <w:style w:type="character" w:customStyle="1" w:styleId="90">
    <w:name w:val="标题 9 字符"/>
    <w:basedOn w:val="a0"/>
    <w:link w:val="9"/>
    <w:uiPriority w:val="9"/>
    <w:semiHidden/>
    <w:rsid w:val="004E1E6E"/>
    <w:rPr>
      <w:rFonts w:eastAsiaTheme="majorEastAsia" w:cstheme="majorBidi"/>
      <w:color w:val="595959" w:themeColor="text1" w:themeTint="A6"/>
    </w:rPr>
  </w:style>
  <w:style w:type="paragraph" w:styleId="a3">
    <w:name w:val="Title"/>
    <w:basedOn w:val="a"/>
    <w:next w:val="a"/>
    <w:link w:val="a4"/>
    <w:uiPriority w:val="10"/>
    <w:qFormat/>
    <w:rsid w:val="004E1E6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E1E6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1E6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1E6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1E6E"/>
    <w:pPr>
      <w:spacing w:before="160" w:after="160"/>
      <w:jc w:val="center"/>
    </w:pPr>
    <w:rPr>
      <w:i/>
      <w:iCs/>
      <w:color w:val="404040" w:themeColor="text1" w:themeTint="BF"/>
    </w:rPr>
  </w:style>
  <w:style w:type="character" w:customStyle="1" w:styleId="a8">
    <w:name w:val="引用 字符"/>
    <w:basedOn w:val="a0"/>
    <w:link w:val="a7"/>
    <w:uiPriority w:val="29"/>
    <w:rsid w:val="004E1E6E"/>
    <w:rPr>
      <w:i/>
      <w:iCs/>
      <w:color w:val="404040" w:themeColor="text1" w:themeTint="BF"/>
    </w:rPr>
  </w:style>
  <w:style w:type="paragraph" w:styleId="a9">
    <w:name w:val="List Paragraph"/>
    <w:basedOn w:val="a"/>
    <w:uiPriority w:val="34"/>
    <w:qFormat/>
    <w:rsid w:val="004E1E6E"/>
    <w:pPr>
      <w:ind w:left="720"/>
      <w:contextualSpacing/>
    </w:pPr>
  </w:style>
  <w:style w:type="character" w:styleId="aa">
    <w:name w:val="Intense Emphasis"/>
    <w:basedOn w:val="a0"/>
    <w:uiPriority w:val="21"/>
    <w:qFormat/>
    <w:rsid w:val="004E1E6E"/>
    <w:rPr>
      <w:i/>
      <w:iCs/>
      <w:color w:val="0F4761" w:themeColor="accent1" w:themeShade="BF"/>
    </w:rPr>
  </w:style>
  <w:style w:type="paragraph" w:styleId="ab">
    <w:name w:val="Intense Quote"/>
    <w:basedOn w:val="a"/>
    <w:next w:val="a"/>
    <w:link w:val="ac"/>
    <w:uiPriority w:val="30"/>
    <w:qFormat/>
    <w:rsid w:val="004E1E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1E6E"/>
    <w:rPr>
      <w:i/>
      <w:iCs/>
      <w:color w:val="0F4761" w:themeColor="accent1" w:themeShade="BF"/>
    </w:rPr>
  </w:style>
  <w:style w:type="character" w:styleId="ad">
    <w:name w:val="Intense Reference"/>
    <w:basedOn w:val="a0"/>
    <w:uiPriority w:val="32"/>
    <w:qFormat/>
    <w:rsid w:val="004E1E6E"/>
    <w:rPr>
      <w:b/>
      <w:bCs/>
      <w:smallCaps/>
      <w:color w:val="0F4761" w:themeColor="accent1" w:themeShade="BF"/>
      <w:spacing w:val="5"/>
    </w:rPr>
  </w:style>
  <w:style w:type="paragraph" w:styleId="ae">
    <w:name w:val="header"/>
    <w:basedOn w:val="a"/>
    <w:link w:val="af"/>
    <w:uiPriority w:val="99"/>
    <w:unhideWhenUsed/>
    <w:rsid w:val="00402A4A"/>
    <w:pPr>
      <w:tabs>
        <w:tab w:val="center" w:pos="4153"/>
        <w:tab w:val="right" w:pos="8306"/>
      </w:tabs>
      <w:snapToGrid w:val="0"/>
      <w:jc w:val="center"/>
    </w:pPr>
    <w:rPr>
      <w:sz w:val="18"/>
      <w:szCs w:val="18"/>
    </w:rPr>
  </w:style>
  <w:style w:type="character" w:customStyle="1" w:styleId="af">
    <w:name w:val="页眉 字符"/>
    <w:basedOn w:val="a0"/>
    <w:link w:val="ae"/>
    <w:uiPriority w:val="99"/>
    <w:rsid w:val="00402A4A"/>
    <w:rPr>
      <w:sz w:val="18"/>
      <w:szCs w:val="18"/>
    </w:rPr>
  </w:style>
  <w:style w:type="paragraph" w:styleId="af0">
    <w:name w:val="footer"/>
    <w:basedOn w:val="a"/>
    <w:link w:val="af1"/>
    <w:uiPriority w:val="99"/>
    <w:unhideWhenUsed/>
    <w:rsid w:val="00402A4A"/>
    <w:pPr>
      <w:tabs>
        <w:tab w:val="center" w:pos="4153"/>
        <w:tab w:val="right" w:pos="8306"/>
      </w:tabs>
      <w:snapToGrid w:val="0"/>
      <w:jc w:val="left"/>
    </w:pPr>
    <w:rPr>
      <w:sz w:val="18"/>
      <w:szCs w:val="18"/>
    </w:rPr>
  </w:style>
  <w:style w:type="character" w:customStyle="1" w:styleId="af1">
    <w:name w:val="页脚 字符"/>
    <w:basedOn w:val="a0"/>
    <w:link w:val="af0"/>
    <w:uiPriority w:val="99"/>
    <w:rsid w:val="00402A4A"/>
    <w:rPr>
      <w:sz w:val="18"/>
      <w:szCs w:val="18"/>
    </w:rPr>
  </w:style>
  <w:style w:type="character" w:styleId="af2">
    <w:name w:val="Placeholder Text"/>
    <w:basedOn w:val="a0"/>
    <w:uiPriority w:val="99"/>
    <w:semiHidden/>
    <w:rsid w:val="005C6E8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703299">
      <w:marLeft w:val="640"/>
      <w:marRight w:val="0"/>
      <w:marTop w:val="0"/>
      <w:marBottom w:val="0"/>
      <w:divBdr>
        <w:top w:val="none" w:sz="0" w:space="0" w:color="auto"/>
        <w:left w:val="none" w:sz="0" w:space="0" w:color="auto"/>
        <w:bottom w:val="none" w:sz="0" w:space="0" w:color="auto"/>
        <w:right w:val="none" w:sz="0" w:space="0" w:color="auto"/>
      </w:divBdr>
    </w:div>
    <w:div w:id="1659963940">
      <w:marLeft w:val="640"/>
      <w:marRight w:val="0"/>
      <w:marTop w:val="0"/>
      <w:marBottom w:val="0"/>
      <w:divBdr>
        <w:top w:val="none" w:sz="0" w:space="0" w:color="auto"/>
        <w:left w:val="none" w:sz="0" w:space="0" w:color="auto"/>
        <w:bottom w:val="none" w:sz="0" w:space="0" w:color="auto"/>
        <w:right w:val="none" w:sz="0" w:space="0" w:color="auto"/>
      </w:divBdr>
    </w:div>
    <w:div w:id="1680892877">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常规"/>
          <w:gallery w:val="placeholder"/>
        </w:category>
        <w:types>
          <w:type w:val="bbPlcHdr"/>
        </w:types>
        <w:behaviors>
          <w:behavior w:val="content"/>
        </w:behaviors>
        <w:guid w:val="{B800911B-9689-46C2-BCA6-28B0368A3718}"/>
      </w:docPartPr>
      <w:docPartBody>
        <w:p w:rsidR="0023417C" w:rsidRDefault="00721692">
          <w:pPr>
            <w:rPr>
              <w:rFonts w:hint="eastAsia"/>
            </w:rPr>
          </w:pPr>
          <w:r w:rsidRPr="00FD01EE">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692"/>
    <w:rsid w:val="00192D06"/>
    <w:rsid w:val="0023417C"/>
    <w:rsid w:val="003502D3"/>
    <w:rsid w:val="00582CD4"/>
    <w:rsid w:val="0069165A"/>
    <w:rsid w:val="00721692"/>
    <w:rsid w:val="00E5422A"/>
    <w:rsid w:val="00F72D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2169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4D55E3E-208C-49E7-8171-313EAE3340EF}">
  <we:reference id="wa104382081" version="1.55.1.0" store="zh-CN" storeType="OMEX"/>
  <we:alternateReferences>
    <we:reference id="WA104382081" version="1.55.1.0" store="" storeType="OMEX"/>
  </we:alternateReferences>
  <we:properties>
    <we:property name="MENDELEY_BIBLIOGRAPHY_IS_DIRTY" value="true"/>
    <we:property name="MENDELEY_BIBLIOGRAPHY_LAST_MODIFIED" value="1782822805338"/>
    <we:property name="MENDELEY_CITATIONS" value="[{&quot;citationID&quot;:&quot;MENDELEY_CITATION_7ee77f74-a443-4653-9b45-5cb10f1c9192&quot;,&quot;properties&quot;:{&quot;noteIndex&quot;:0},&quot;isEdited&quot;:false,&quot;manualOverride&quot;:{&quot;isManuallyOverridden&quot;:false,&quot;citeprocText&quot;:&quot;[1]&quot;,&quot;manualOverrideText&quot;:&quot;&quot;},&quot;citationTag&quot;:&quot;MENDELEY_CITATION_v3_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&quot;,&quot;citationItems&quot;:[{&quot;id&quot;:&quot;f34dd5d0-db66-3e0c-b160-4c2d58762af8&quot;,&quot;itemData&quot;:{&quot;type&quot;:&quot;article-journal&quot;,&quot;id&quot;:&quot;f34dd5d0-db66-3e0c-b160-4c2d58762af8&quot;,&quot;title&quot;:&quot;Distributed Heterogeneous Transfer Learning&quot;,&quot;author&quot;:[{&quot;family&quot;:&quot;Mignone&quot;,&quot;given&quot;:&quot;Paolo&quot;,&quot;parse-names&quot;:false,&quot;dropping-particle&quot;:&quot;&quot;,&quot;non-dropping-particle&quot;:&quot;&quot;},{&quot;family&quot;:&quot;Pio&quot;,&quot;given&quot;:&quot;Gianvito&quot;,&quot;parse-names&quot;:false,&quot;dropping-particle&quot;:&quot;&quot;,&quot;non-dropping-particle&quot;:&quot;&quot;},{&quot;family&quot;:&quot;Ceci&quot;,&quot;given&quot;:&quot;Michelangelo&quot;,&quot;parse-names&quot;:false,&quot;dropping-particle&quot;:&quot;&quot;,&quot;non-dropping-particle&quot;:&quot;&quot;}],&quot;container-title&quot;:&quot;Big Data Research&quot;,&quot;DOI&quot;:&quot;10.1016/j.bdr.2024.100456&quot;,&quot;ISSN&quot;:&quot;22145796&quot;,&quot;issued&quot;:{&quot;date-parts&quot;:[[2024,8,28]]},&quot;abstract&quot;:&quot;Transfer learning has proved to be effective for building predictive models even in complex conditions with a low amount of available labeled data, by constructing a predictive model for a target domain also using the knowledge coming from a separate domain, called source domain. However, several existing transfer learning methods assume identical feature spaces between the source and the target domains. This assumption limits the possible real-world applications of such methods, since two separate, although related, domains could be described by totally different feature spaces. Heterogeneous transfer learning methods aim to overcome this limitation, but they usually i) make other assumptions on the features, such as requiring the same number of features, ii) are not generally able to distribute the workload over multiple computational nodes, iii) cannot work in the Positive-Unlabeled (PU) learning setting, which we also considered in this study, or iv) their applicability is limited to specific application domains, i.e., they are not general-purpose methods. In this manuscript, we present a novel distributed heterogeneous transfer learning method, implemented in Apache Spark, that overcomes all the above-mentioned limitations. Specifically, it is able to work also in the PU learning setting by resorting to a clustering-based approach, and can align totally heterogeneous feature spaces, without exploiting peculiarities of specific application domains. Moreover, our distributed approach allows us to process large source and target datasets. Our experimental evaluation was performed in three different application domains that can benefit from transfer learning approaches, namely the reconstruction of the human gene regulatory network, the prediction of cerebral stroke in hospital patients, and the prediction of customer energy consumption in power grids. The results show that the proposed approach is able to outperform 4 state-of-the-art heterogeneous transfer learning approaches and 3 baselines, and exhibits ideal performances in terms of scalability.&quot;,&quot;publisher&quot;:&quot;Elsevier Inc.&quot;,&quot;volume&quot;:&quot;37&quot;,&quot;container-title-short&quot;:&quot;&quot;},&quot;isTemporary&quot;:false}]},{&quot;citationID&quot;:&quot;MENDELEY_CITATION_d3e104bb-a343-4097-a08b-0bff2822e62c&quot;,&quot;properties&quot;:{&quot;noteIndex&quot;:0},&quot;isEdited&quot;:false,&quot;manualOverride&quot;:{&quot;isManuallyOverridden&quot;:false,&quot;citeprocText&quot;:&quot;[2]&quot;,&quot;manualOverrideText&quot;:&quot;&quot;},&quot;citationTag&quot;:&quot;MENDELEY_CITATION_v3_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&quot;,&quot;citationItems&quot;:[{&quot;id&quot;:&quot;28c34799-ed3d-37e5-a30f-bec8ec6931ea&quot;,&quot;itemData&quot;:{&quot;type&quot;:&quot;article-journal&quot;,&quot;id&quot;:&quot;28c34799-ed3d-37e5-a30f-bec8ec6931ea&quot;,&quot;title&quot;:&quot;Positive-Unlabelled learning for identifying new candidate Dietary Restriction-related genes among ageing-related genes&quot;,&quot;author&quot;:[{&quot;family&quot;:&quot;Paz-Ruza&quot;,&quot;given&quot;:&quot;Jorge&quot;,&quot;parse-names&quot;:false,&quot;dropping-particle&quot;:&quot;&quot;,&quot;non-dropping-particle&quot;:&quot;&quot;},{&quot;family&quot;:&quot;Freitas&quot;,&quot;given&quot;:&quot;Alex A.&quot;,&quot;parse-names&quot;:false,&quot;dropping-particle&quot;:&quot;&quot;,&quot;non-dropping-particle&quot;:&quot;&quot;},{&quot;family&quot;:&quot;Alonso-Betanzos&quot;,&quot;given&quot;:&quot;Amparo&quot;,&quot;parse-names&quot;:false,&quot;dropping-particle&quot;:&quot;&quot;,&quot;non-dropping-particle&quot;:&quot;&quot;},{&quot;family&quot;:&quot;Guijarro-Berdiñas&quot;,&quot;given&quot;:&quot;Bertha&quot;,&quot;parse-names&quot;:false,&quot;dropping-particle&quot;:&quot;&quot;,&quot;non-dropping-particle&quot;:&quot;&quot;}],&quot;container-title&quot;:&quot;Computers in Biology and Medicine&quot;,&quot;container-title-short&quot;:&quot;Comput. Biol. Med.&quot;,&quot;DOI&quot;:&quot;10.1016/j.compbiomed.2024.108999&quot;,&quot;ISSN&quot;:&quot;18790534&quot;,&quot;PMID&quot;:&quot;39137672&quot;,&quot;issued&quot;:{&quot;date-parts&quot;:[[2024,9,1]]},&quot;abstract&quot;:&quot;Dietary Restriction (DR) is one of the most popular anti-ageing interventions; recently, Machine Learning (ML) has been explored to identify potential DR-related genes among ageing-related genes, aiming to minimize costly wet lab experiments needed to expand our knowledge on DR. However, to train a model from positive (DR-related) and negative (non-DR-related) examples, the existing ML approach naively labels genes without known DR relation as negative examples, assuming that lack of DR-related annotation for a gene represents evidence of absence of DR-relatedness, rather than absence of evidence. This hinders the reliability of the negative examples (non-DR-related genes) and the method's ability to identify novel DR-related genes. This work introduces a novel gene prioritization method based on the two-step Positive-Unlabelled (PU) Learning paradigm: using a similarity-based, KNN-inspired approach, our method first selects reliable negative examples among the genes without known DR associations. Then, these reliable negatives and all known positives are used to train a classifier that effectively differentiates DR-related and non-DR-related genes, which is finally employed to generate a more reliable ranking of promising genes for novel DR-relatedness. Our method significantly outperforms (p&lt;0.05) the existing state-of-the-art approach in three predictive accuracy metrics with up to ∼40% lower computational cost in the best case, and we identify 4 new promising DR-related genes (PRKAB1, PRKAB2, IRS2, PRKAG1), all with evidence from the existing literature supporting their potential DR-related role.&quot;,&quot;publisher&quot;:&quot;Elsevier Ltd&quot;,&quot;volume&quot;:&quot;180&quot;},&quot;isTemporary&quot;:false}]},{&quot;citationID&quot;:&quot;MENDELEY_CITATION_62e815e4-92af-4c4d-b35f-3dc7ab914a79&quot;,&quot;properties&quot;:{&quot;noteIndex&quot;:0},&quot;isEdited&quot;:false,&quot;manualOverride&quot;:{&quot;isManuallyOverridden&quot;:false,&quot;citeprocText&quot;:&quot;[3]&quot;,&quot;manualOverrideText&quot;:&quot;&quot;},&quot;citationTag&quot;:&quot;MENDELEY_CITATION_v3_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&quot;,&quot;citationItems&quot;:[{&quot;id&quot;:&quot;77f0bae2-9ff4-31b3-a738-dd8d54707c08&quot;,&quot;itemData&quot;:{&quot;type&quot;:&quot;article-journal&quot;,&quot;id&quot;:&quot;77f0bae2-9ff4-31b3-a738-dd8d54707c08&quot;,&quot;title&quot;:&quot;Positive-Unlabeled Constraint Learning for Inferring Nonlinear Continuous Constraints Functions From Expert Demonstrations&quot;,&quot;author&quot;:[{&quot;family&quot;:&quot;Peng&quot;,&quot;given&quot;:&quot;Baiyu&quot;,&quot;parse-names&quot;:false,&quot;dropping-particle&quot;:&quot;&quot;,&quot;non-dropping-particle&quot;:&quot;&quot;},{&quot;family&quot;:&quot;Billard&quot;,&quot;given&quot;:&quot;Aude&quot;,&quot;parse-names&quot;:false,&quot;dropping-particle&quot;:&quot;&quot;,&quot;non-dropping-particle&quot;:&quot;&quot;}],&quot;container-title&quot;:&quot;IEEE Robotics and Automation Letters&quot;,&quot;container-title-short&quot;:&quot;IEEE Robot. Autom. Lett.&quot;,&quot;DOI&quot;:&quot;10.1109/LRA.2024.3522756&quot;,&quot;ISSN&quot;:&quot;23773766&quot;,&quot;issued&quot;:{&quot;date-parts&quot;:[[2025]]},&quot;page&quot;:&quot;1593-1600&quot;,&quot;abstract&quot;:&quot;Planning for diverse real-world robotic tasks necessitates to know and write all constraints. However, instances exist where these constraints are either unknown or challenging to specify accurately. A possible solution is to infer the unknown constraints from expert demonstration. This letter presents a novel two-step Positive-Unlabeled Constraint Learning (PUCL) algorithm to infer a continuous constraint function from demonstrations, without requiring prior knowledge of the true constraint parameterization or environmental model as existing works. We treat all data in demonstrations as positive (feasible) data, and learn a control policy to generate potentially infeasible trajectories, which serve as unlabeled data. The proposed two-step learning framework first identifies reliable infeasible data using a distance metric, and secondly learns a binary feasibility classifier (i.e., constraint function) from the feasible demonstrations and reliable infeasible data. The proposed method is flexible to learn complex-shaped constraint boundary and will not mistakenly classify demonstrations as infeasible as previous methods. The effectiveness of the proposed method is verified in four constrained environments, using a networked policy or a dynamical system policy. It successfully infers the continuous nonlinear constraints and outperforms other baseline methods in terms of constraint accuracy and policy safety.&quot;,&quot;publisher&quot;:&quot;Institute of Electrical and Electronics Engineers Inc.&quot;,&quot;issue&quot;:&quot;2&quot;,&quot;volume&quot;:&quot;10&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C537B-B01B-4EA3-AB31-7A4669F09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367</Words>
  <Characters>2341</Characters>
  <Application>Microsoft Office Word</Application>
  <DocSecurity>0</DocSecurity>
  <Lines>40</Lines>
  <Paragraphs>14</Paragraphs>
  <ScaleCrop>false</ScaleCrop>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yongbin zeng</dc:creator>
  <cp:keywords/>
  <dc:description/>
  <cp:lastModifiedBy>yongbin zeng</cp:lastModifiedBy>
  <cp:revision>12</cp:revision>
  <dcterms:created xsi:type="dcterms:W3CDTF">2026-06-30T11:44:00Z</dcterms:created>
  <dcterms:modified xsi:type="dcterms:W3CDTF">2026-07-04T08:56:00Z</dcterms:modified>
</cp:coreProperties>
</file>