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6FB7F">
      <w:pPr>
        <w:spacing w:line="210" w:lineRule="exact"/>
        <w:rPr>
          <w:b/>
          <w:bCs/>
          <w:sz w:val="24"/>
          <w:szCs w:val="24"/>
        </w:rPr>
        <w:sectPr>
          <w:pgSz w:w="15648" w:h="11906"/>
          <w:pgMar w:top="400" w:right="308" w:bottom="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5040"/>
          </w:cols>
        </w:sect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American Geriatrics Society 2023 updated AGS Beers Criteria® for potentially inappropriate medication use in older adults</w:t>
      </w:r>
    </w:p>
    <w:tbl>
      <w:tblPr>
        <w:tblStyle w:val="8"/>
        <w:tblpPr w:leftFromText="180" w:rightFromText="180" w:vertAnchor="page" w:horzAnchor="page" w:tblpX="944" w:tblpY="802"/>
        <w:tblOverlap w:val="never"/>
        <w:tblW w:w="1366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3"/>
        <w:gridCol w:w="4159"/>
        <w:gridCol w:w="3100"/>
        <w:gridCol w:w="1700"/>
        <w:gridCol w:w="1687"/>
      </w:tblGrid>
      <w:tr w14:paraId="55F94FC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669" w:type="dxa"/>
            <w:gridSpan w:val="5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27BED846">
            <w:pPr>
              <w:pStyle w:val="2"/>
              <w:spacing w:line="240" w:lineRule="auto"/>
              <w:ind w:left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pacing w:val="4"/>
                <w:position w:val="1"/>
                <w:sz w:val="20"/>
                <w:szCs w:val="20"/>
              </w:rPr>
              <w:t>TABLE</w:t>
            </w:r>
            <w:r>
              <w:rPr>
                <w:color w:val="auto"/>
                <w:spacing w:val="31"/>
                <w:position w:val="1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color w:val="auto"/>
                <w:spacing w:val="31"/>
                <w:position w:val="1"/>
                <w:sz w:val="20"/>
                <w:szCs w:val="20"/>
                <w:lang w:val="en-US" w:eastAsia="zh-CN"/>
              </w:rPr>
              <w:t>1</w:t>
            </w:r>
            <w:r>
              <w:rPr>
                <w:color w:val="auto"/>
                <w:spacing w:val="4"/>
                <w:position w:val="1"/>
                <w:sz w:val="20"/>
                <w:szCs w:val="20"/>
              </w:rPr>
              <w:t xml:space="preserve">     2023 American Geriatrics Society Beers Criteria</w:t>
            </w:r>
            <w:r>
              <w:rPr>
                <w:rFonts w:ascii="Arial" w:hAnsi="Arial" w:eastAsia="Arial" w:cs="Arial"/>
                <w:color w:val="auto"/>
                <w:spacing w:val="4"/>
                <w:position w:val="8"/>
                <w:sz w:val="20"/>
                <w:szCs w:val="20"/>
              </w:rPr>
              <w:t>®</w:t>
            </w:r>
            <w:r>
              <w:rPr>
                <w:rFonts w:ascii="Arial" w:hAnsi="Arial" w:eastAsia="Arial" w:cs="Arial"/>
                <w:color w:val="auto"/>
                <w:spacing w:val="16"/>
                <w:w w:val="101"/>
                <w:position w:val="8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4"/>
                <w:position w:val="1"/>
                <w:sz w:val="20"/>
                <w:szCs w:val="20"/>
              </w:rPr>
              <w:t>for potentially inappr</w:t>
            </w:r>
            <w:r>
              <w:rPr>
                <w:color w:val="auto"/>
                <w:spacing w:val="3"/>
                <w:position w:val="1"/>
                <w:sz w:val="20"/>
                <w:szCs w:val="20"/>
              </w:rPr>
              <w:t>opriate</w:t>
            </w:r>
            <w:r>
              <w:rPr>
                <w:color w:val="auto"/>
                <w:spacing w:val="7"/>
                <w:position w:val="1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position w:val="1"/>
                <w:sz w:val="20"/>
                <w:szCs w:val="20"/>
              </w:rPr>
              <w:t>medication</w:t>
            </w:r>
            <w:r>
              <w:rPr>
                <w:color w:val="auto"/>
                <w:spacing w:val="6"/>
                <w:position w:val="1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position w:val="1"/>
                <w:sz w:val="20"/>
                <w:szCs w:val="20"/>
              </w:rPr>
              <w:t>use</w:t>
            </w:r>
            <w:r>
              <w:rPr>
                <w:color w:val="auto"/>
                <w:spacing w:val="7"/>
                <w:position w:val="1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position w:val="1"/>
                <w:sz w:val="20"/>
                <w:szCs w:val="20"/>
              </w:rPr>
              <w:t>in</w:t>
            </w:r>
            <w:r>
              <w:rPr>
                <w:color w:val="auto"/>
                <w:spacing w:val="8"/>
                <w:position w:val="1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position w:val="1"/>
                <w:sz w:val="20"/>
                <w:szCs w:val="20"/>
              </w:rPr>
              <w:t>older</w:t>
            </w:r>
            <w:r>
              <w:rPr>
                <w:color w:val="auto"/>
                <w:spacing w:val="8"/>
                <w:position w:val="1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position w:val="1"/>
                <w:sz w:val="20"/>
                <w:szCs w:val="20"/>
              </w:rPr>
              <w:t>adults.</w:t>
            </w:r>
          </w:p>
          <w:p w14:paraId="050E5C67">
            <w:pPr>
              <w:pStyle w:val="9"/>
              <w:spacing w:line="240" w:lineRule="auto"/>
              <w:ind w:left="0"/>
              <w:jc w:val="left"/>
              <w:rPr>
                <w:rFonts w:hint="default" w:ascii="Times New Roman" w:hAnsi="Times New Roman" w:cs="Times New Roman"/>
                <w:color w:val="auto"/>
                <w:spacing w:val="15"/>
                <w:sz w:val="20"/>
                <w:szCs w:val="20"/>
              </w:rPr>
            </w:pPr>
          </w:p>
        </w:tc>
      </w:tr>
      <w:tr w14:paraId="16CAEF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3023" w:type="dxa"/>
            <w:tcBorders>
              <w:top w:val="single" w:color="auto" w:sz="12" w:space="0"/>
            </w:tcBorders>
            <w:shd w:val="clear" w:color="auto" w:fill="E6E7E9"/>
            <w:vAlign w:val="top"/>
          </w:tcPr>
          <w:p w14:paraId="3323A1F8">
            <w:pPr>
              <w:pStyle w:val="9"/>
              <w:spacing w:before="96" w:line="212" w:lineRule="auto"/>
              <w:ind w:left="146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5"/>
                <w:sz w:val="17"/>
                <w:szCs w:val="17"/>
              </w:rPr>
              <w:t>Organ system, therapeutic</w:t>
            </w:r>
          </w:p>
        </w:tc>
        <w:tc>
          <w:tcPr>
            <w:tcW w:w="4159" w:type="dxa"/>
            <w:tcBorders>
              <w:top w:val="single" w:color="auto" w:sz="12" w:space="0"/>
            </w:tcBorders>
            <w:shd w:val="clear" w:color="auto" w:fill="E6E7E9"/>
            <w:vAlign w:val="top"/>
          </w:tcPr>
          <w:p w14:paraId="50767635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</w:p>
        </w:tc>
        <w:tc>
          <w:tcPr>
            <w:tcW w:w="3100" w:type="dxa"/>
            <w:tcBorders>
              <w:top w:val="single" w:color="auto" w:sz="12" w:space="0"/>
            </w:tcBorders>
            <w:shd w:val="clear" w:color="auto" w:fill="E6E7E9"/>
            <w:vAlign w:val="top"/>
          </w:tcPr>
          <w:p w14:paraId="0A7B107F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single" w:color="auto" w:sz="12" w:space="0"/>
            </w:tcBorders>
            <w:shd w:val="clear" w:color="auto" w:fill="E6E7E9"/>
            <w:vAlign w:val="top"/>
          </w:tcPr>
          <w:p w14:paraId="5B313266">
            <w:pPr>
              <w:pStyle w:val="9"/>
              <w:spacing w:before="95" w:line="207" w:lineRule="auto"/>
              <w:ind w:left="8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2"/>
                <w:sz w:val="17"/>
                <w:szCs w:val="17"/>
              </w:rPr>
              <w:t>Quality of</w:t>
            </w:r>
          </w:p>
        </w:tc>
        <w:tc>
          <w:tcPr>
            <w:tcW w:w="1687" w:type="dxa"/>
            <w:tcBorders>
              <w:top w:val="single" w:color="auto" w:sz="12" w:space="0"/>
            </w:tcBorders>
            <w:shd w:val="clear" w:color="auto" w:fill="E6E7E9"/>
            <w:vAlign w:val="top"/>
          </w:tcPr>
          <w:p w14:paraId="05C90F2D">
            <w:pPr>
              <w:pStyle w:val="9"/>
              <w:spacing w:before="94" w:line="213" w:lineRule="auto"/>
              <w:ind w:left="5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5"/>
                <w:sz w:val="17"/>
                <w:szCs w:val="17"/>
              </w:rPr>
              <w:t>Strength of</w:t>
            </w:r>
          </w:p>
        </w:tc>
      </w:tr>
      <w:tr w14:paraId="7FC494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3023" w:type="dxa"/>
            <w:tcBorders>
              <w:bottom w:val="single" w:color="auto" w:sz="8" w:space="0"/>
            </w:tcBorders>
            <w:shd w:val="clear" w:color="auto" w:fill="E6E7E9"/>
            <w:vAlign w:val="top"/>
          </w:tcPr>
          <w:p w14:paraId="107D556A">
            <w:pPr>
              <w:pStyle w:val="9"/>
              <w:spacing w:before="13" w:line="234" w:lineRule="auto"/>
              <w:ind w:left="144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sz w:val="17"/>
                <w:szCs w:val="17"/>
              </w:rPr>
              <w:t>category, drug(s)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4159" w:type="dxa"/>
            <w:tcBorders>
              <w:bottom w:val="single" w:color="auto" w:sz="8" w:space="0"/>
            </w:tcBorders>
            <w:shd w:val="clear" w:color="auto" w:fill="E6E7E9"/>
            <w:vAlign w:val="top"/>
          </w:tcPr>
          <w:p w14:paraId="2C0E41CF">
            <w:pPr>
              <w:pStyle w:val="9"/>
              <w:spacing w:before="43" w:line="203" w:lineRule="auto"/>
              <w:ind w:left="250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3100" w:type="dxa"/>
            <w:tcBorders>
              <w:bottom w:val="single" w:color="auto" w:sz="8" w:space="0"/>
            </w:tcBorders>
            <w:shd w:val="clear" w:color="auto" w:fill="E6E7E9"/>
            <w:vAlign w:val="top"/>
          </w:tcPr>
          <w:p w14:paraId="220EC83E">
            <w:pPr>
              <w:pStyle w:val="9"/>
              <w:spacing w:before="43" w:line="203" w:lineRule="auto"/>
              <w:ind w:left="6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8"/>
                <w:sz w:val="17"/>
                <w:szCs w:val="17"/>
              </w:rPr>
              <w:t>Recommendation</w:t>
            </w:r>
          </w:p>
        </w:tc>
        <w:tc>
          <w:tcPr>
            <w:tcW w:w="1700" w:type="dxa"/>
            <w:tcBorders>
              <w:bottom w:val="single" w:color="auto" w:sz="8" w:space="0"/>
            </w:tcBorders>
            <w:shd w:val="clear" w:color="auto" w:fill="E6E7E9"/>
            <w:vAlign w:val="top"/>
          </w:tcPr>
          <w:p w14:paraId="1A75A395">
            <w:pPr>
              <w:pStyle w:val="9"/>
              <w:spacing w:line="194" w:lineRule="exact"/>
              <w:ind w:left="6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-1"/>
                <w:sz w:val="17"/>
                <w:szCs w:val="17"/>
              </w:rPr>
              <w:t>evidence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5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5"/>
                <w:sz w:val="17"/>
                <w:szCs w:val="17"/>
              </w:rPr>
              <w:fldChar w:fldCharType="end"/>
            </w:r>
          </w:p>
        </w:tc>
        <w:tc>
          <w:tcPr>
            <w:tcW w:w="1687" w:type="dxa"/>
            <w:tcBorders>
              <w:bottom w:val="single" w:color="auto" w:sz="8" w:space="0"/>
            </w:tcBorders>
            <w:shd w:val="clear" w:color="auto" w:fill="E6E7E9"/>
            <w:vAlign w:val="top"/>
          </w:tcPr>
          <w:p w14:paraId="29C09639">
            <w:pPr>
              <w:pStyle w:val="9"/>
              <w:spacing w:line="194" w:lineRule="exact"/>
              <w:ind w:left="3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19"/>
                <w:position w:val="-1"/>
                <w:sz w:val="17"/>
                <w:szCs w:val="17"/>
              </w:rPr>
              <w:t>recommendation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19"/>
                <w:position w:val="5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19"/>
                <w:position w:val="5"/>
                <w:sz w:val="17"/>
                <w:szCs w:val="17"/>
              </w:rPr>
              <w:fldChar w:fldCharType="end"/>
            </w:r>
          </w:p>
        </w:tc>
      </w:tr>
      <w:tr w14:paraId="63F7AA8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3023" w:type="dxa"/>
            <w:tcBorders>
              <w:top w:val="single" w:color="auto" w:sz="8" w:space="0"/>
            </w:tcBorders>
            <w:vAlign w:val="top"/>
          </w:tcPr>
          <w:p w14:paraId="185F8DD6">
            <w:pPr>
              <w:pStyle w:val="9"/>
              <w:spacing w:before="82" w:line="203" w:lineRule="auto"/>
              <w:ind w:left="13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Antihistamines</w:t>
            </w:r>
          </w:p>
        </w:tc>
        <w:tc>
          <w:tcPr>
            <w:tcW w:w="4159" w:type="dxa"/>
            <w:tcBorders>
              <w:top w:val="single" w:color="auto" w:sz="8" w:space="0"/>
            </w:tcBorders>
            <w:vAlign w:val="top"/>
          </w:tcPr>
          <w:p w14:paraId="7E7F64D1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3100" w:type="dxa"/>
            <w:tcBorders>
              <w:top w:val="single" w:color="auto" w:sz="8" w:space="0"/>
            </w:tcBorders>
            <w:vAlign w:val="top"/>
          </w:tcPr>
          <w:p w14:paraId="303E4571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single" w:color="auto" w:sz="8" w:space="0"/>
            </w:tcBorders>
            <w:vAlign w:val="top"/>
          </w:tcPr>
          <w:p w14:paraId="168ABEB5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tcBorders>
              <w:top w:val="single" w:color="auto" w:sz="8" w:space="0"/>
            </w:tcBorders>
            <w:vAlign w:val="top"/>
          </w:tcPr>
          <w:p w14:paraId="5FE5C911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668236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023" w:type="dxa"/>
            <w:vAlign w:val="top"/>
          </w:tcPr>
          <w:p w14:paraId="651A4524">
            <w:pPr>
              <w:pStyle w:val="9"/>
              <w:spacing w:before="52" w:line="180" w:lineRule="exact"/>
              <w:ind w:left="145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position w:val="2"/>
                <w:sz w:val="17"/>
                <w:szCs w:val="17"/>
              </w:rPr>
              <w:t>First-generation antihist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position w:val="2"/>
                <w:sz w:val="17"/>
                <w:szCs w:val="17"/>
              </w:rPr>
              <w:t>amines</w:t>
            </w:r>
          </w:p>
        </w:tc>
        <w:tc>
          <w:tcPr>
            <w:tcW w:w="4159" w:type="dxa"/>
            <w:vAlign w:val="top"/>
          </w:tcPr>
          <w:p w14:paraId="6DEDE58B">
            <w:pPr>
              <w:pStyle w:val="9"/>
              <w:spacing w:line="240" w:lineRule="auto"/>
              <w:ind w:left="0" w:firstLine="180" w:firstLineChars="10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Highly anticholinergic; clearance reduced w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sz w:val="17"/>
                <w:szCs w:val="17"/>
              </w:rPr>
              <w:t>ith</w:t>
            </w:r>
          </w:p>
        </w:tc>
        <w:tc>
          <w:tcPr>
            <w:tcW w:w="3100" w:type="dxa"/>
            <w:vAlign w:val="top"/>
          </w:tcPr>
          <w:p w14:paraId="60C015B9">
            <w:pPr>
              <w:pStyle w:val="9"/>
              <w:spacing w:before="82" w:line="201" w:lineRule="auto"/>
              <w:ind w:left="1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4"/>
                <w:sz w:val="17"/>
                <w:szCs w:val="17"/>
              </w:rPr>
              <w:t>Avoid</w:t>
            </w:r>
          </w:p>
        </w:tc>
        <w:tc>
          <w:tcPr>
            <w:tcW w:w="1700" w:type="dxa"/>
            <w:vAlign w:val="top"/>
          </w:tcPr>
          <w:p w14:paraId="16E11032">
            <w:pPr>
              <w:pStyle w:val="9"/>
              <w:spacing w:before="82" w:line="201" w:lineRule="auto"/>
              <w:ind w:left="5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687" w:type="dxa"/>
            <w:vAlign w:val="top"/>
          </w:tcPr>
          <w:p w14:paraId="3AE598FB">
            <w:pPr>
              <w:pStyle w:val="9"/>
              <w:spacing w:before="88" w:line="201" w:lineRule="auto"/>
              <w:ind w:left="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Strong</w:t>
            </w:r>
          </w:p>
        </w:tc>
      </w:tr>
      <w:tr w14:paraId="1E7B3AA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3023" w:type="dxa"/>
            <w:vAlign w:val="top"/>
          </w:tcPr>
          <w:p w14:paraId="74F89C63">
            <w:pPr>
              <w:pStyle w:val="9"/>
              <w:spacing w:before="30" w:line="206" w:lineRule="auto"/>
              <w:ind w:left="305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9"/>
                <w:sz w:val="17"/>
                <w:szCs w:val="17"/>
              </w:rPr>
              <w:t>Brompheniramine</w:t>
            </w:r>
          </w:p>
        </w:tc>
        <w:tc>
          <w:tcPr>
            <w:tcW w:w="4159" w:type="dxa"/>
            <w:vAlign w:val="top"/>
          </w:tcPr>
          <w:p w14:paraId="01EEA446">
            <w:pPr>
              <w:pStyle w:val="9"/>
              <w:spacing w:line="179" w:lineRule="exact"/>
              <w:ind w:left="40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>advanced age, and tolerance develops when used</w:t>
            </w:r>
          </w:p>
        </w:tc>
        <w:tc>
          <w:tcPr>
            <w:tcW w:w="3100" w:type="dxa"/>
            <w:vAlign w:val="top"/>
          </w:tcPr>
          <w:p w14:paraId="38A39B73">
            <w:pPr>
              <w:spacing w:line="199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1134400A">
            <w:pPr>
              <w:spacing w:line="199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058E2769">
            <w:pPr>
              <w:spacing w:line="199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60EA1D3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3023" w:type="dxa"/>
            <w:vAlign w:val="top"/>
          </w:tcPr>
          <w:p w14:paraId="3573005D">
            <w:pPr>
              <w:pStyle w:val="9"/>
              <w:spacing w:before="31" w:line="206" w:lineRule="auto"/>
              <w:ind w:left="307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9"/>
                <w:sz w:val="17"/>
                <w:szCs w:val="17"/>
              </w:rPr>
              <w:t>Chlorpheniramine</w:t>
            </w:r>
          </w:p>
        </w:tc>
        <w:tc>
          <w:tcPr>
            <w:tcW w:w="4159" w:type="dxa"/>
            <w:vAlign w:val="top"/>
          </w:tcPr>
          <w:p w14:paraId="490600D6">
            <w:pPr>
              <w:pStyle w:val="9"/>
              <w:spacing w:line="180" w:lineRule="exact"/>
              <w:ind w:left="40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>as hypnotic; risk of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position w:val="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>confusion, dry mouth,</w:t>
            </w:r>
          </w:p>
        </w:tc>
        <w:tc>
          <w:tcPr>
            <w:tcW w:w="3100" w:type="dxa"/>
            <w:vAlign w:val="top"/>
          </w:tcPr>
          <w:p w14:paraId="0F83A25D">
            <w:pPr>
              <w:spacing w:line="199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63C27061">
            <w:pPr>
              <w:spacing w:line="199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03808CDC">
            <w:pPr>
              <w:spacing w:line="199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538CA5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023" w:type="dxa"/>
            <w:vAlign w:val="top"/>
          </w:tcPr>
          <w:p w14:paraId="39AFBD3D">
            <w:pPr>
              <w:pStyle w:val="9"/>
              <w:spacing w:before="32" w:line="206" w:lineRule="auto"/>
              <w:ind w:left="307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Cyproheptadine</w:t>
            </w:r>
          </w:p>
        </w:tc>
        <w:tc>
          <w:tcPr>
            <w:tcW w:w="4159" w:type="dxa"/>
            <w:vAlign w:val="top"/>
          </w:tcPr>
          <w:p w14:paraId="346E0C4D">
            <w:pPr>
              <w:pStyle w:val="9"/>
              <w:spacing w:before="1" w:line="180" w:lineRule="exact"/>
              <w:ind w:left="399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 xml:space="preserve">constipation, and other anticholinergic 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position w:val="2"/>
                <w:sz w:val="17"/>
                <w:szCs w:val="17"/>
              </w:rPr>
              <w:t>effects or</w:t>
            </w:r>
          </w:p>
        </w:tc>
        <w:tc>
          <w:tcPr>
            <w:tcW w:w="3100" w:type="dxa"/>
            <w:vAlign w:val="top"/>
          </w:tcPr>
          <w:p w14:paraId="2A251F2A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2228B342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4D947BA1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3D107D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3023" w:type="dxa"/>
            <w:vAlign w:val="top"/>
          </w:tcPr>
          <w:p w14:paraId="0C4C3ECB">
            <w:pPr>
              <w:pStyle w:val="9"/>
              <w:spacing w:before="30" w:line="206" w:lineRule="auto"/>
              <w:ind w:left="304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9"/>
                <w:sz w:val="17"/>
                <w:szCs w:val="17"/>
              </w:rPr>
              <w:t>Dimenhydrinate</w:t>
            </w:r>
          </w:p>
        </w:tc>
        <w:tc>
          <w:tcPr>
            <w:tcW w:w="4159" w:type="dxa"/>
            <w:vAlign w:val="top"/>
          </w:tcPr>
          <w:p w14:paraId="49602BC1">
            <w:pPr>
              <w:pStyle w:val="9"/>
              <w:spacing w:line="180" w:lineRule="exact"/>
              <w:ind w:left="40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4"/>
                <w:position w:val="2"/>
                <w:sz w:val="17"/>
                <w:szCs w:val="17"/>
              </w:rPr>
              <w:t>toxicity. Cumulative exposure to anticholinergic</w:t>
            </w:r>
          </w:p>
        </w:tc>
        <w:tc>
          <w:tcPr>
            <w:tcW w:w="3100" w:type="dxa"/>
            <w:vAlign w:val="top"/>
          </w:tcPr>
          <w:p w14:paraId="1EEE7F84">
            <w:pPr>
              <w:spacing w:line="197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7809B5D5">
            <w:pPr>
              <w:spacing w:line="197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223163F5">
            <w:pPr>
              <w:spacing w:line="197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1468349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</w:trPr>
        <w:tc>
          <w:tcPr>
            <w:tcW w:w="3023" w:type="dxa"/>
            <w:vAlign w:val="top"/>
          </w:tcPr>
          <w:p w14:paraId="52A45E95">
            <w:pPr>
              <w:pStyle w:val="9"/>
              <w:spacing w:before="29" w:line="212" w:lineRule="auto"/>
              <w:ind w:left="304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Diphenhydramine (oral)</w:t>
            </w:r>
          </w:p>
        </w:tc>
        <w:tc>
          <w:tcPr>
            <w:tcW w:w="4159" w:type="dxa"/>
            <w:vAlign w:val="top"/>
          </w:tcPr>
          <w:p w14:paraId="165BC745">
            <w:pPr>
              <w:pStyle w:val="9"/>
              <w:spacing w:before="3" w:line="180" w:lineRule="exact"/>
              <w:ind w:left="399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>drugs is associated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position w:val="2"/>
                <w:sz w:val="17"/>
                <w:szCs w:val="17"/>
              </w:rPr>
              <w:t xml:space="preserve"> with an increased risk of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position w:val="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position w:val="2"/>
                <w:sz w:val="17"/>
                <w:szCs w:val="17"/>
              </w:rPr>
              <w:t>falls,</w:t>
            </w:r>
          </w:p>
        </w:tc>
        <w:tc>
          <w:tcPr>
            <w:tcW w:w="3100" w:type="dxa"/>
            <w:vAlign w:val="top"/>
          </w:tcPr>
          <w:p w14:paraId="40280172">
            <w:pPr>
              <w:spacing w:line="202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1300C48C">
            <w:pPr>
              <w:spacing w:line="202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4001BFB3">
            <w:pPr>
              <w:spacing w:line="202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78DDFE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023" w:type="dxa"/>
            <w:vAlign w:val="top"/>
          </w:tcPr>
          <w:p w14:paraId="18D1F66F">
            <w:pPr>
              <w:pStyle w:val="9"/>
              <w:spacing w:before="31" w:line="206" w:lineRule="auto"/>
              <w:ind w:left="304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Doxylamine</w:t>
            </w:r>
          </w:p>
        </w:tc>
        <w:tc>
          <w:tcPr>
            <w:tcW w:w="4159" w:type="dxa"/>
            <w:vAlign w:val="top"/>
          </w:tcPr>
          <w:p w14:paraId="6E66AAC7">
            <w:pPr>
              <w:pStyle w:val="9"/>
              <w:spacing w:line="180" w:lineRule="exact"/>
              <w:ind w:left="399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position w:val="2"/>
                <w:sz w:val="17"/>
                <w:szCs w:val="17"/>
              </w:rPr>
              <w:t xml:space="preserve">delirium, and dementia, even in 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>younger adults.</w:t>
            </w:r>
          </w:p>
        </w:tc>
        <w:tc>
          <w:tcPr>
            <w:tcW w:w="3100" w:type="dxa"/>
            <w:vAlign w:val="top"/>
          </w:tcPr>
          <w:p w14:paraId="0248E97E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20BB84C7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5809D794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670A35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023" w:type="dxa"/>
            <w:vAlign w:val="top"/>
          </w:tcPr>
          <w:p w14:paraId="48ECC70A">
            <w:pPr>
              <w:pStyle w:val="9"/>
              <w:spacing w:before="31" w:line="206" w:lineRule="auto"/>
              <w:ind w:left="305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Hydroxyzine</w:t>
            </w:r>
          </w:p>
        </w:tc>
        <w:tc>
          <w:tcPr>
            <w:tcW w:w="4159" w:type="dxa"/>
            <w:vAlign w:val="top"/>
          </w:tcPr>
          <w:p w14:paraId="39EFFE71">
            <w:pPr>
              <w:pStyle w:val="9"/>
              <w:spacing w:before="31" w:line="209" w:lineRule="auto"/>
              <w:ind w:left="402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Consider total antic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holinergic burden during</w:t>
            </w:r>
          </w:p>
        </w:tc>
        <w:tc>
          <w:tcPr>
            <w:tcW w:w="3100" w:type="dxa"/>
            <w:vAlign w:val="top"/>
          </w:tcPr>
          <w:p w14:paraId="6795B6EE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2D691610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4A4A3E7A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436E0A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023" w:type="dxa"/>
            <w:vAlign w:val="top"/>
          </w:tcPr>
          <w:p w14:paraId="499EEB7D">
            <w:pPr>
              <w:pStyle w:val="9"/>
              <w:spacing w:before="31" w:line="201" w:lineRule="auto"/>
              <w:ind w:left="303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Meclizine</w:t>
            </w:r>
          </w:p>
        </w:tc>
        <w:tc>
          <w:tcPr>
            <w:tcW w:w="4159" w:type="dxa"/>
            <w:vAlign w:val="top"/>
          </w:tcPr>
          <w:p w14:paraId="29C19FEA">
            <w:pPr>
              <w:pStyle w:val="9"/>
              <w:spacing w:line="180" w:lineRule="exact"/>
              <w:ind w:left="399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>regular medication reviews and be cautious in</w:t>
            </w:r>
          </w:p>
        </w:tc>
        <w:tc>
          <w:tcPr>
            <w:tcW w:w="3100" w:type="dxa"/>
            <w:vAlign w:val="top"/>
          </w:tcPr>
          <w:p w14:paraId="490957A1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647104AC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17FCC716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29754B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3023" w:type="dxa"/>
            <w:vAlign w:val="top"/>
          </w:tcPr>
          <w:p w14:paraId="6CE31FC4">
            <w:pPr>
              <w:pStyle w:val="9"/>
              <w:spacing w:before="31" w:line="201" w:lineRule="auto"/>
              <w:ind w:left="30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Promethazine</w:t>
            </w:r>
          </w:p>
        </w:tc>
        <w:tc>
          <w:tcPr>
            <w:tcW w:w="4159" w:type="dxa"/>
            <w:vAlign w:val="top"/>
          </w:tcPr>
          <w:p w14:paraId="572D6B1F">
            <w:pPr>
              <w:pStyle w:val="9"/>
              <w:spacing w:before="1" w:line="180" w:lineRule="exact"/>
              <w:ind w:left="37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6"/>
                <w:position w:val="2"/>
                <w:sz w:val="17"/>
                <w:szCs w:val="17"/>
              </w:rPr>
              <w:t>“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position w:val="2"/>
                <w:sz w:val="17"/>
                <w:szCs w:val="17"/>
              </w:rPr>
              <w:t>young-old</w:t>
            </w:r>
            <w:r>
              <w:rPr>
                <w:rFonts w:hint="default" w:ascii="Times New Roman" w:hAnsi="Times New Roman" w:eastAsia="Arial" w:cs="Times New Roman"/>
                <w:color w:val="auto"/>
                <w:spacing w:val="6"/>
                <w:position w:val="2"/>
                <w:sz w:val="17"/>
                <w:szCs w:val="17"/>
              </w:rPr>
              <w:t xml:space="preserve">”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position w:val="2"/>
                <w:sz w:val="17"/>
                <w:szCs w:val="17"/>
              </w:rPr>
              <w:t xml:space="preserve">as well as </w:t>
            </w:r>
            <w:r>
              <w:rPr>
                <w:rFonts w:hint="default" w:ascii="Times New Roman" w:hAnsi="Times New Roman" w:eastAsia="Arial" w:cs="Times New Roman"/>
                <w:color w:val="auto"/>
                <w:spacing w:val="6"/>
                <w:position w:val="2"/>
                <w:sz w:val="17"/>
                <w:szCs w:val="17"/>
              </w:rPr>
              <w:t>“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>old-old</w:t>
            </w:r>
            <w:r>
              <w:rPr>
                <w:rFonts w:hint="default" w:ascii="Times New Roman" w:hAnsi="Times New Roman" w:eastAsia="Arial" w:cs="Times New Roman"/>
                <w:color w:val="auto"/>
                <w:spacing w:val="5"/>
                <w:position w:val="2"/>
                <w:sz w:val="17"/>
                <w:szCs w:val="17"/>
              </w:rPr>
              <w:t xml:space="preserve">” 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>adults.</w:t>
            </w:r>
          </w:p>
        </w:tc>
        <w:tc>
          <w:tcPr>
            <w:tcW w:w="3100" w:type="dxa"/>
            <w:vAlign w:val="top"/>
          </w:tcPr>
          <w:p w14:paraId="6A37B684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138BC35C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2C9027DA">
            <w:pPr>
              <w:spacing w:line="200" w:lineRule="exact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59EDDC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3023" w:type="dxa"/>
            <w:vAlign w:val="top"/>
          </w:tcPr>
          <w:p w14:paraId="342B97FB">
            <w:pPr>
              <w:pStyle w:val="9"/>
              <w:spacing w:before="31" w:line="206" w:lineRule="auto"/>
              <w:ind w:left="301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Triprolidine</w:t>
            </w:r>
          </w:p>
        </w:tc>
        <w:tc>
          <w:tcPr>
            <w:tcW w:w="4159" w:type="dxa"/>
            <w:vAlign w:val="top"/>
          </w:tcPr>
          <w:p w14:paraId="1FC4AC93">
            <w:pPr>
              <w:pStyle w:val="9"/>
              <w:spacing w:before="30" w:line="208" w:lineRule="auto"/>
              <w:ind w:left="247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 xml:space="preserve">Use of diphenhydramine in situations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such as</w:t>
            </w:r>
          </w:p>
          <w:p w14:paraId="545789EF">
            <w:pPr>
              <w:pStyle w:val="9"/>
              <w:spacing w:before="31" w:line="271" w:lineRule="auto"/>
              <w:ind w:left="395" w:right="395" w:firstLine="4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acute treatment of severe allergic react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ions may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be appropriate.</w:t>
            </w:r>
          </w:p>
        </w:tc>
        <w:tc>
          <w:tcPr>
            <w:tcW w:w="3100" w:type="dxa"/>
            <w:vAlign w:val="top"/>
          </w:tcPr>
          <w:p w14:paraId="5901C122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665513AE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13ED2661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2CD87D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3669" w:type="dxa"/>
            <w:gridSpan w:val="5"/>
            <w:tcBorders>
              <w:bottom w:val="nil"/>
            </w:tcBorders>
            <w:shd w:val="clear" w:color="auto" w:fill="E6E7E9"/>
            <w:vAlign w:val="top"/>
          </w:tcPr>
          <w:p w14:paraId="6A2E45AB">
            <w:pPr>
              <w:pStyle w:val="9"/>
              <w:spacing w:before="52" w:line="178" w:lineRule="exact"/>
              <w:ind w:left="13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9"/>
                <w:sz w:val="17"/>
                <w:szCs w:val="17"/>
              </w:rPr>
              <w:t>Anti-infective</w:t>
            </w:r>
          </w:p>
        </w:tc>
      </w:tr>
      <w:tr w14:paraId="0AF3490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3023" w:type="dxa"/>
            <w:tcBorders>
              <w:top w:val="nil"/>
            </w:tcBorders>
            <w:shd w:val="clear" w:color="auto" w:fill="E6E7E9"/>
            <w:vAlign w:val="top"/>
          </w:tcPr>
          <w:p w14:paraId="28E0EB71">
            <w:pPr>
              <w:pStyle w:val="9"/>
              <w:spacing w:before="81" w:line="203" w:lineRule="auto"/>
              <w:ind w:left="144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Nitrofurantoin</w:t>
            </w:r>
          </w:p>
        </w:tc>
        <w:tc>
          <w:tcPr>
            <w:tcW w:w="4159" w:type="dxa"/>
            <w:tcBorders>
              <w:top w:val="nil"/>
            </w:tcBorders>
            <w:shd w:val="clear" w:color="auto" w:fill="E6E7E9"/>
            <w:vAlign w:val="top"/>
          </w:tcPr>
          <w:p w14:paraId="1458780A">
            <w:pPr>
              <w:pStyle w:val="9"/>
              <w:spacing w:before="80" w:line="265" w:lineRule="auto"/>
              <w:ind w:left="397" w:right="661" w:hanging="14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Potential for pulmonary toxicity, hepatoxicity,</w:t>
            </w:r>
            <w:r>
              <w:rPr>
                <w:rFonts w:hint="default" w:ascii="Times New Roman" w:hAnsi="Times New Roman" w:cs="Times New Roman"/>
                <w:color w:val="auto"/>
                <w:spacing w:val="12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 xml:space="preserve">and peripheral neuropathy,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especially with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long-term use; safer alternatives available.</w:t>
            </w:r>
          </w:p>
        </w:tc>
        <w:tc>
          <w:tcPr>
            <w:tcW w:w="3100" w:type="dxa"/>
            <w:tcBorders>
              <w:top w:val="nil"/>
            </w:tcBorders>
            <w:shd w:val="clear" w:color="auto" w:fill="E6E7E9"/>
            <w:vAlign w:val="top"/>
          </w:tcPr>
          <w:p w14:paraId="60F23082">
            <w:pPr>
              <w:pStyle w:val="9"/>
              <w:spacing w:before="81" w:line="252" w:lineRule="auto"/>
              <w:ind w:left="155" w:right="555" w:hanging="154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Avoid in individuals with CrCl</w:t>
            </w:r>
            <w:r>
              <w:rPr>
                <w:rFonts w:hint="default" w:ascii="Times New Roman" w:hAnsi="Times New Roman" w:cs="Times New Roman"/>
                <w:color w:val="auto"/>
                <w:spacing w:val="2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&lt;30</w:t>
            </w:r>
            <w:r>
              <w:rPr>
                <w:rFonts w:hint="default" w:ascii="Times New Roman" w:hAnsi="Times New Roman" w:cs="Times New Roman"/>
                <w:color w:val="auto"/>
                <w:spacing w:val="11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mL/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min or for long-term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suppression.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E6E7E9"/>
            <w:vAlign w:val="top"/>
          </w:tcPr>
          <w:p w14:paraId="1C90D144">
            <w:pPr>
              <w:pStyle w:val="9"/>
              <w:spacing w:before="90" w:line="191" w:lineRule="auto"/>
              <w:ind w:left="7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Low</w:t>
            </w:r>
          </w:p>
        </w:tc>
        <w:tc>
          <w:tcPr>
            <w:tcW w:w="1687" w:type="dxa"/>
            <w:tcBorders>
              <w:top w:val="nil"/>
            </w:tcBorders>
            <w:shd w:val="clear" w:color="auto" w:fill="E6E7E9"/>
            <w:vAlign w:val="top"/>
          </w:tcPr>
          <w:p w14:paraId="06EB10B1">
            <w:pPr>
              <w:pStyle w:val="9"/>
              <w:spacing w:before="88" w:line="201" w:lineRule="auto"/>
              <w:ind w:left="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Strong</w:t>
            </w:r>
          </w:p>
        </w:tc>
      </w:tr>
      <w:tr w14:paraId="53D6E8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182" w:type="dxa"/>
            <w:gridSpan w:val="2"/>
            <w:vAlign w:val="top"/>
          </w:tcPr>
          <w:p w14:paraId="64FAF66C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Cardiovascular and</w:t>
            </w:r>
            <w:r>
              <w:rPr>
                <w:rFonts w:hint="eastAsia" w:eastAsia="宋体" w:cs="Times New Roman"/>
                <w:b/>
                <w:bCs/>
                <w:color w:val="auto"/>
                <w:spacing w:val="14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antithrombotics</w:t>
            </w:r>
          </w:p>
        </w:tc>
        <w:tc>
          <w:tcPr>
            <w:tcW w:w="3100" w:type="dxa"/>
            <w:vAlign w:val="top"/>
          </w:tcPr>
          <w:p w14:paraId="28C724D7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700" w:type="dxa"/>
            <w:vAlign w:val="top"/>
          </w:tcPr>
          <w:p w14:paraId="3C0F9E73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vAlign w:val="top"/>
          </w:tcPr>
          <w:p w14:paraId="69993496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6CBD13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3023" w:type="dxa"/>
            <w:vAlign w:val="top"/>
          </w:tcPr>
          <w:p w14:paraId="2AADFFC5">
            <w:pPr>
              <w:pStyle w:val="9"/>
              <w:spacing w:before="82" w:line="208" w:lineRule="auto"/>
              <w:ind w:left="139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Aspirin for pri</w:t>
            </w:r>
            <w:r>
              <w:rPr>
                <w:rFonts w:hint="eastAsia" w:eastAsia="宋体" w:cs="Times New Roman"/>
                <w:color w:val="auto"/>
                <w:spacing w:val="7"/>
                <w:sz w:val="17"/>
                <w:szCs w:val="17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ary prevention of</w:t>
            </w:r>
          </w:p>
        </w:tc>
        <w:tc>
          <w:tcPr>
            <w:tcW w:w="4159" w:type="dxa"/>
            <w:vAlign w:val="top"/>
          </w:tcPr>
          <w:p w14:paraId="49E0A807">
            <w:pPr>
              <w:pStyle w:val="9"/>
              <w:spacing w:before="82" w:line="210" w:lineRule="auto"/>
              <w:ind w:left="251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Risk of major bleedin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g from aspirin increases</w:t>
            </w:r>
          </w:p>
        </w:tc>
        <w:tc>
          <w:tcPr>
            <w:tcW w:w="3100" w:type="dxa"/>
            <w:vAlign w:val="top"/>
          </w:tcPr>
          <w:p w14:paraId="28319E3F">
            <w:pPr>
              <w:pStyle w:val="9"/>
              <w:spacing w:before="82" w:line="210" w:lineRule="auto"/>
              <w:ind w:left="1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Avoid initiating aspirin for pr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imary</w:t>
            </w:r>
          </w:p>
        </w:tc>
        <w:tc>
          <w:tcPr>
            <w:tcW w:w="1700" w:type="dxa"/>
            <w:vAlign w:val="top"/>
          </w:tcPr>
          <w:p w14:paraId="39F8ED77">
            <w:pPr>
              <w:pStyle w:val="9"/>
              <w:spacing w:before="83" w:line="209" w:lineRule="auto"/>
              <w:ind w:left="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High</w:t>
            </w:r>
          </w:p>
        </w:tc>
        <w:tc>
          <w:tcPr>
            <w:tcW w:w="1687" w:type="dxa"/>
            <w:vAlign w:val="top"/>
          </w:tcPr>
          <w:p w14:paraId="401E9F3F">
            <w:pPr>
              <w:pStyle w:val="9"/>
              <w:spacing w:before="89" w:line="201" w:lineRule="auto"/>
              <w:ind w:left="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Strong</w:t>
            </w:r>
          </w:p>
        </w:tc>
      </w:tr>
      <w:tr w14:paraId="5C71BB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</w:trPr>
        <w:tc>
          <w:tcPr>
            <w:tcW w:w="3023" w:type="dxa"/>
            <w:tcBorders>
              <w:bottom w:val="nil"/>
            </w:tcBorders>
            <w:vAlign w:val="top"/>
          </w:tcPr>
          <w:p w14:paraId="0EE54F3D">
            <w:pPr>
              <w:pStyle w:val="9"/>
              <w:spacing w:before="1" w:line="180" w:lineRule="exact"/>
              <w:ind w:left="295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cardiovascular disease</w:t>
            </w:r>
          </w:p>
        </w:tc>
        <w:tc>
          <w:tcPr>
            <w:tcW w:w="4159" w:type="dxa"/>
            <w:tcBorders>
              <w:bottom w:val="nil"/>
            </w:tcBorders>
            <w:vAlign w:val="top"/>
          </w:tcPr>
          <w:p w14:paraId="705C76E0">
            <w:pPr>
              <w:pStyle w:val="9"/>
              <w:spacing w:before="1" w:line="271" w:lineRule="auto"/>
              <w:ind w:left="399" w:right="415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markedly in older age. Studies</w:t>
            </w:r>
            <w:r>
              <w:rPr>
                <w:rFonts w:hint="default" w:ascii="Times New Roman" w:hAnsi="Times New Roman" w:cs="Times New Roman"/>
                <w:color w:val="auto"/>
                <w:spacing w:val="12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suggest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a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lack</w:t>
            </w:r>
            <w:r>
              <w:rPr>
                <w:rFonts w:hint="default" w:ascii="Times New Roman" w:hAnsi="Times New Roman" w:cs="Times New Roman"/>
                <w:color w:val="auto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of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net benefit and potential for net harm when</w:t>
            </w:r>
            <w:r>
              <w:rPr>
                <w:rFonts w:hint="eastAsia" w:eastAsia="宋体" w:cs="Times New Roman"/>
                <w:color w:val="auto"/>
                <w:spacing w:val="8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initiated for primary prevention in older adults.</w:t>
            </w:r>
            <w:r>
              <w:rPr>
                <w:rFonts w:hint="default" w:ascii="Times New Roman" w:hAnsi="Times New Roman" w:cs="Times New Roman"/>
                <w:color w:val="auto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There is less evidenc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e about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stopping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aspirin</w:t>
            </w:r>
            <w:r>
              <w:rPr>
                <w:rFonts w:hint="eastAsia" w:eastAsia="宋体" w:cs="Times New Roman"/>
                <w:color w:val="auto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among long-term users, a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lthough similar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principles for initiat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ion may apply.</w:t>
            </w:r>
          </w:p>
          <w:p w14:paraId="5D4800AC">
            <w:pPr>
              <w:pStyle w:val="9"/>
              <w:spacing w:line="240" w:lineRule="auto"/>
              <w:ind w:left="350" w:leftChars="80" w:right="0" w:hanging="182" w:hangingChars="10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pacing w:val="6"/>
                <w:sz w:val="17"/>
                <w:szCs w:val="17"/>
              </w:rPr>
              <w:t xml:space="preserve">Note: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Aspirin is genera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lly indicated for secondary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prevention in older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 xml:space="preserve"> adults with established</w:t>
            </w:r>
          </w:p>
          <w:p w14:paraId="2BA30E56">
            <w:pPr>
              <w:pStyle w:val="9"/>
              <w:spacing w:before="29" w:line="180" w:lineRule="exact"/>
              <w:ind w:left="399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cardiovascular disease.</w:t>
            </w:r>
          </w:p>
        </w:tc>
        <w:tc>
          <w:tcPr>
            <w:tcW w:w="3100" w:type="dxa"/>
            <w:tcBorders>
              <w:bottom w:val="nil"/>
            </w:tcBorders>
            <w:vAlign w:val="top"/>
          </w:tcPr>
          <w:p w14:paraId="3282D818">
            <w:pPr>
              <w:pStyle w:val="9"/>
              <w:spacing w:before="1" w:line="180" w:lineRule="exact"/>
              <w:ind w:left="154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position w:val="2"/>
                <w:sz w:val="17"/>
                <w:szCs w:val="17"/>
              </w:rPr>
              <w:t>prevention of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position w:val="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position w:val="2"/>
                <w:sz w:val="17"/>
                <w:szCs w:val="17"/>
              </w:rPr>
              <w:t>cardiovascu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position w:val="2"/>
                <w:sz w:val="17"/>
                <w:szCs w:val="17"/>
              </w:rPr>
              <w:t>lar disease.</w:t>
            </w:r>
          </w:p>
          <w:p w14:paraId="79D4459C">
            <w:pPr>
              <w:pStyle w:val="9"/>
              <w:spacing w:line="240" w:lineRule="auto"/>
              <w:ind w:left="184" w:right="0" w:hanging="184" w:hangingChars="10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Consider deprescribing aspirin in ol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der</w:t>
            </w:r>
            <w:r>
              <w:rPr>
                <w:rFonts w:hint="eastAsia" w:eastAsia="宋体" w:cs="Times New Roman"/>
                <w:color w:val="auto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adults already taking it for primary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prevention.</w:t>
            </w:r>
          </w:p>
        </w:tc>
        <w:tc>
          <w:tcPr>
            <w:tcW w:w="1700" w:type="dxa"/>
            <w:tcBorders>
              <w:bottom w:val="nil"/>
            </w:tcBorders>
            <w:vAlign w:val="top"/>
          </w:tcPr>
          <w:p w14:paraId="1F327BA1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  <w:tc>
          <w:tcPr>
            <w:tcW w:w="1687" w:type="dxa"/>
            <w:tcBorders>
              <w:bottom w:val="nil"/>
            </w:tcBorders>
            <w:vAlign w:val="top"/>
          </w:tcPr>
          <w:p w14:paraId="3D1C361A">
            <w:pP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</w:p>
        </w:tc>
      </w:tr>
      <w:tr w14:paraId="01020C0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0" w:hRule="atLeast"/>
        </w:trPr>
        <w:tc>
          <w:tcPr>
            <w:tcW w:w="3023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3912C2CE">
            <w:pPr>
              <w:pStyle w:val="9"/>
              <w:spacing w:before="80" w:line="203" w:lineRule="auto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Warfarin for the treatment</w:t>
            </w:r>
            <w:r>
              <w:rPr>
                <w:rFonts w:hint="default" w:ascii="Times New Roman" w:hAnsi="Times New Roman" w:cs="Times New Roman"/>
                <w:color w:val="auto"/>
                <w:spacing w:val="12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of</w:t>
            </w:r>
          </w:p>
          <w:p w14:paraId="6C297F7B">
            <w:pPr>
              <w:pStyle w:val="9"/>
              <w:spacing w:line="240" w:lineRule="auto"/>
              <w:ind w:left="168" w:leftChars="80" w:right="0" w:firstLine="0" w:firstLineChars="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nonvalvularatrial fibrillation or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17"/>
                <w:szCs w:val="17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venous</w:t>
            </w:r>
            <w:r>
              <w:rPr>
                <w:rFonts w:hint="eastAsia" w:eastAsia="宋体" w:cs="Times New Roman"/>
                <w:color w:val="auto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thromboembolism (VTE)</w:t>
            </w:r>
          </w:p>
        </w:tc>
        <w:tc>
          <w:tcPr>
            <w:tcW w:w="4159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25FDF13D">
            <w:pPr>
              <w:pStyle w:val="9"/>
              <w:spacing w:before="81" w:line="210" w:lineRule="auto"/>
              <w:ind w:left="252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Compared with DOACs, warfar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in has higher</w:t>
            </w:r>
          </w:p>
          <w:p w14:paraId="09348182">
            <w:pPr>
              <w:pStyle w:val="9"/>
              <w:spacing w:before="29" w:line="180" w:lineRule="exact"/>
              <w:ind w:left="398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position w:val="2"/>
                <w:sz w:val="17"/>
                <w:szCs w:val="17"/>
              </w:rPr>
              <w:t>risks of major bleeding (particularly</w:t>
            </w:r>
          </w:p>
          <w:p w14:paraId="0CC4DE95">
            <w:pPr>
              <w:pStyle w:val="9"/>
              <w:spacing w:before="29" w:line="180" w:lineRule="exact"/>
              <w:ind w:left="399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position w:val="2"/>
                <w:sz w:val="17"/>
                <w:szCs w:val="17"/>
              </w:rPr>
              <w:t>intracranial bleeding) and similar or lower</w:t>
            </w:r>
          </w:p>
          <w:p w14:paraId="322E2561">
            <w:pPr>
              <w:pStyle w:val="9"/>
              <w:spacing w:before="29" w:line="287" w:lineRule="auto"/>
              <w:ind w:left="397" w:right="415" w:firstLine="1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effectiveness for the treatment of</w:t>
            </w:r>
            <w:r>
              <w:rPr>
                <w:rFonts w:hint="eastAsia" w:eastAsia="宋体" w:cs="Times New Roman"/>
                <w:color w:val="auto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nonvalvul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ar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atrial fibrillation and VTE. DOA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Cs are thus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the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 xml:space="preserve">preferred choice for anticoagulation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for most</w:t>
            </w:r>
            <w:r>
              <w:rPr>
                <w:rFonts w:hint="eastAsia" w:eastAsia="宋体" w:cs="Times New Roman"/>
                <w:color w:val="auto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position w:val="2"/>
                <w:sz w:val="17"/>
                <w:szCs w:val="17"/>
              </w:rPr>
              <w:t>people with these conditions.</w:t>
            </w:r>
          </w:p>
        </w:tc>
        <w:tc>
          <w:tcPr>
            <w:tcW w:w="3100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0DA14472">
            <w:pPr>
              <w:pStyle w:val="9"/>
              <w:spacing w:before="81" w:line="262" w:lineRule="auto"/>
              <w:ind w:left="153" w:right="524" w:hanging="152"/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Avoid starting warfarin as initial therapy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for the treatment of</w:t>
            </w:r>
            <w:r>
              <w:rPr>
                <w:rFonts w:hint="eastAsia" w:eastAsia="宋体" w:cs="Times New Roman"/>
                <w:color w:val="auto"/>
                <w:spacing w:val="8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8"/>
                <w:sz w:val="17"/>
                <w:szCs w:val="17"/>
              </w:rPr>
              <w:t>nonvalv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ular</w:t>
            </w:r>
            <w:r>
              <w:rPr>
                <w:rFonts w:hint="default" w:ascii="Times New Roman" w:hAnsi="Times New Roman" w:cs="Times New Roman"/>
                <w:color w:val="auto"/>
                <w:spacing w:val="1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atrial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fibrillation or VTE unless alternative</w:t>
            </w:r>
            <w:r>
              <w:rPr>
                <w:rFonts w:hint="eastAsia" w:eastAsia="宋体" w:cs="Times New Roman"/>
                <w:color w:val="auto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position w:val="2"/>
                <w:sz w:val="17"/>
                <w:szCs w:val="17"/>
              </w:rPr>
              <w:t>options (i.e.,DOACs)</w:t>
            </w:r>
            <w:r>
              <w:rPr>
                <w:rFonts w:hint="eastAsia" w:eastAsia="宋体" w:cs="Times New Roman"/>
                <w:color w:val="auto"/>
                <w:spacing w:val="5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pacing w:val="7"/>
                <w:sz w:val="17"/>
                <w:szCs w:val="17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re</w:t>
            </w:r>
            <w:r>
              <w:rPr>
                <w:rFonts w:hint="eastAsia" w:eastAsia="宋体" w:cs="Times New Roman"/>
                <w:color w:val="auto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contraindicated or there are substantial barriers to their use.</w:t>
            </w:r>
          </w:p>
          <w:p w14:paraId="0CCD8F9F">
            <w:pPr>
              <w:pStyle w:val="9"/>
              <w:spacing w:before="100" w:line="208" w:lineRule="auto"/>
              <w:ind w:left="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For older adults who have been usi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ng</w:t>
            </w:r>
          </w:p>
          <w:p w14:paraId="65FA6D9A">
            <w:pPr>
              <w:pStyle w:val="9"/>
              <w:spacing w:line="240" w:lineRule="auto"/>
              <w:ind w:left="168" w:leftChars="80" w:right="0" w:firstLine="0" w:firstLineChars="0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warfarin long-term, it maybe reasonab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le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to continue this medication, particul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arly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among those with well-controlled INRs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sz w:val="17"/>
                <w:szCs w:val="17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pacing w:val="13"/>
                <w:sz w:val="17"/>
                <w:szCs w:val="17"/>
              </w:rPr>
              <w:t xml:space="preserve">(i.e., &gt;70% 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>time</w:t>
            </w:r>
            <w:r>
              <w:rPr>
                <w:rFonts w:hint="default" w:ascii="Times New Roman" w:hAnsi="Times New Roman" w:cs="Times New Roman"/>
                <w:color w:val="auto"/>
                <w:spacing w:val="13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>in</w:t>
            </w:r>
            <w:r>
              <w:rPr>
                <w:rFonts w:hint="default" w:ascii="Times New Roman" w:hAnsi="Times New Roman" w:cs="Times New Roman"/>
                <w:color w:val="auto"/>
                <w:spacing w:val="13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>the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>therapeutic</w:t>
            </w:r>
            <w:r>
              <w:rPr>
                <w:rFonts w:hint="default" w:ascii="Times New Roman" w:hAnsi="Times New Roman" w:cs="Times New Roman"/>
                <w:color w:val="auto"/>
                <w:spacing w:val="13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>range</w:t>
            </w:r>
            <w:r>
              <w:rPr>
                <w:rFonts w:hint="default" w:ascii="Times New Roman" w:hAnsi="Times New Roman" w:cs="Times New Roman"/>
                <w:color w:val="auto"/>
                <w:spacing w:val="13"/>
                <w:sz w:val="17"/>
                <w:szCs w:val="17"/>
              </w:rPr>
              <w:t>)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t xml:space="preserve"> </w:t>
            </w:r>
            <w:r>
              <w:rPr>
                <w:rFonts w:hint="eastAsia" w:eastAsia="宋体" w:cs="Times New Roman"/>
                <w:color w:val="auto"/>
                <w:sz w:val="17"/>
                <w:szCs w:val="17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sz w:val="17"/>
                <w:szCs w:val="17"/>
              </w:rPr>
              <w:t>and no adverse</w:t>
            </w:r>
            <w:r>
              <w:rPr>
                <w:rFonts w:hint="default" w:ascii="Times New Roman" w:hAnsi="Times New Roman" w:cs="Times New Roman"/>
                <w:color w:val="auto"/>
                <w:spacing w:val="14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sz w:val="17"/>
                <w:szCs w:val="17"/>
              </w:rPr>
              <w:t>effects.</w:t>
            </w:r>
          </w:p>
        </w:tc>
        <w:tc>
          <w:tcPr>
            <w:tcW w:w="1700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1246A82A">
            <w:pPr>
              <w:pStyle w:val="9"/>
              <w:spacing w:before="82" w:line="209" w:lineRule="auto"/>
              <w:ind w:left="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sz w:val="17"/>
                <w:szCs w:val="17"/>
              </w:rPr>
              <w:t>High</w:t>
            </w:r>
          </w:p>
        </w:tc>
        <w:tc>
          <w:tcPr>
            <w:tcW w:w="1687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47C64935">
            <w:pPr>
              <w:pStyle w:val="9"/>
              <w:spacing w:before="88" w:line="201" w:lineRule="auto"/>
              <w:ind w:left="6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Strong</w:t>
            </w:r>
          </w:p>
        </w:tc>
      </w:tr>
    </w:tbl>
    <w:p w14:paraId="7A412D04">
      <w:pPr>
        <w:pStyle w:val="2"/>
        <w:spacing w:line="223" w:lineRule="exact"/>
        <w:ind w:firstLine="712" w:firstLineChars="400"/>
        <w:rPr>
          <w:color w:val="636366"/>
          <w:spacing w:val="4"/>
          <w:position w:val="1"/>
          <w:sz w:val="17"/>
          <w:szCs w:val="17"/>
        </w:rPr>
      </w:pPr>
    </w:p>
    <w:p w14:paraId="55F2FEAD">
      <w:pPr>
        <w:spacing w:line="100" w:lineRule="exact"/>
      </w:pPr>
    </w:p>
    <w:p w14:paraId="1E38920D">
      <w:pPr>
        <w:spacing w:line="31" w:lineRule="exact"/>
        <w:rPr>
          <w:rFonts w:ascii="Arial"/>
          <w:sz w:val="2"/>
        </w:rPr>
      </w:pPr>
    </w:p>
    <w:p w14:paraId="7A3B27DF">
      <w:pPr>
        <w:spacing w:line="14" w:lineRule="auto"/>
        <w:rPr>
          <w:rFonts w:hint="default" w:eastAsia="宋体"/>
          <w:lang w:val="en-US" w:eastAsia="zh-CN"/>
        </w:rPr>
        <w:sectPr>
          <w:type w:val="continuous"/>
          <w:pgSz w:w="15648" w:h="11906"/>
          <w:pgMar w:top="400" w:right="308" w:bottom="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14319" w:space="0"/>
            <w:col w:w="720"/>
          </w:cols>
        </w:sectPr>
      </w:pPr>
      <w:r>
        <w:rPr>
          <w:rFonts w:hint="eastAsia" w:eastAsia="宋体"/>
          <w:lang w:val="en-US" w:eastAsia="zh-CN"/>
        </w:rPr>
        <w:t xml:space="preserve">  </w:t>
      </w:r>
    </w:p>
    <w:p w14:paraId="2D2D68E3">
      <w:pPr>
        <w:pStyle w:val="2"/>
        <w:spacing w:before="49" w:line="191" w:lineRule="auto"/>
        <w:ind w:firstLine="752" w:firstLineChars="400"/>
        <w:rPr>
          <w:sz w:val="17"/>
          <w:szCs w:val="17"/>
        </w:rPr>
      </w:pPr>
      <w:r>
        <w:rPr>
          <w:color w:val="636366"/>
          <w:spacing w:val="9"/>
          <w:sz w:val="17"/>
          <w:szCs w:val="17"/>
        </w:rPr>
        <w:t>TABLE</w:t>
      </w:r>
      <w:r>
        <w:rPr>
          <w:color w:val="636366"/>
          <w:spacing w:val="36"/>
          <w:sz w:val="17"/>
          <w:szCs w:val="17"/>
        </w:rPr>
        <w:t xml:space="preserve"> </w:t>
      </w:r>
      <w:r>
        <w:rPr>
          <w:rFonts w:hint="eastAsia" w:eastAsia="宋体"/>
          <w:color w:val="636366"/>
          <w:spacing w:val="36"/>
          <w:sz w:val="17"/>
          <w:szCs w:val="17"/>
          <w:lang w:val="en-US" w:eastAsia="zh-CN"/>
        </w:rPr>
        <w:t>1</w:t>
      </w:r>
      <w:r>
        <w:rPr>
          <w:color w:val="636366"/>
          <w:spacing w:val="3"/>
          <w:sz w:val="17"/>
          <w:szCs w:val="17"/>
        </w:rPr>
        <w:t xml:space="preserve">     </w:t>
      </w:r>
      <w:r>
        <w:rPr>
          <w:spacing w:val="9"/>
          <w:sz w:val="17"/>
          <w:szCs w:val="17"/>
        </w:rPr>
        <w:t>(Continued)</w:t>
      </w:r>
    </w:p>
    <w:p w14:paraId="32A9CF0A">
      <w:pPr>
        <w:spacing w:line="108" w:lineRule="exact"/>
      </w:pPr>
    </w:p>
    <w:tbl>
      <w:tblPr>
        <w:tblStyle w:val="8"/>
        <w:tblW w:w="13670" w:type="dxa"/>
        <w:tblInd w:w="65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3"/>
        <w:gridCol w:w="358"/>
        <w:gridCol w:w="4222"/>
        <w:gridCol w:w="3300"/>
        <w:gridCol w:w="865"/>
        <w:gridCol w:w="2242"/>
      </w:tblGrid>
      <w:tr w14:paraId="19D677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683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12C79C5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5"/>
                <w:sz w:val="17"/>
                <w:szCs w:val="17"/>
              </w:rPr>
              <w:t>Organ system, therapeutic</w:t>
            </w:r>
            <w:r>
              <w:rPr>
                <w:b/>
                <w:bCs/>
                <w:color w:val="auto"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t>category, drug(s)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t>a</w:t>
            </w:r>
            <w:r>
              <w:rPr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4580" w:type="dxa"/>
            <w:gridSpan w:val="2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6E20AC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color w:val="auto"/>
                <w:sz w:val="17"/>
                <w:szCs w:val="17"/>
              </w:rPr>
            </w:pPr>
          </w:p>
          <w:p w14:paraId="3A31126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3" w:line="240" w:lineRule="auto"/>
              <w:ind w:left="59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330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7064CC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color w:val="auto"/>
                <w:sz w:val="17"/>
                <w:szCs w:val="17"/>
              </w:rPr>
            </w:pPr>
          </w:p>
          <w:p w14:paraId="7A5231F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3" w:line="240" w:lineRule="auto"/>
              <w:ind w:left="5"/>
              <w:jc w:val="left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8"/>
                <w:sz w:val="17"/>
                <w:szCs w:val="17"/>
              </w:rPr>
              <w:t>Recommendation</w:t>
            </w:r>
          </w:p>
        </w:tc>
        <w:tc>
          <w:tcPr>
            <w:tcW w:w="865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30F36A5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2"/>
                <w:sz w:val="17"/>
                <w:szCs w:val="17"/>
              </w:rPr>
              <w:t>Quality of</w:t>
            </w:r>
            <w:r>
              <w:rPr>
                <w:b/>
                <w:bCs/>
                <w:color w:val="auto"/>
                <w:spacing w:val="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auto"/>
                <w:spacing w:val="14"/>
                <w:sz w:val="17"/>
                <w:szCs w:val="17"/>
              </w:rPr>
              <w:t>evidence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2242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340881E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firstLine="412" w:firstLineChars="20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7"/>
                <w:w w:val="113"/>
                <w:sz w:val="17"/>
                <w:szCs w:val="17"/>
              </w:rPr>
              <w:t>Strength of</w:t>
            </w:r>
          </w:p>
          <w:p w14:paraId="6BFA27A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8" w:firstLineChars="20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5"/>
                <w:w w:val="120"/>
                <w:sz w:val="17"/>
                <w:szCs w:val="17"/>
              </w:rPr>
              <w:t>recommendation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fldChar w:fldCharType="end"/>
            </w:r>
          </w:p>
        </w:tc>
      </w:tr>
      <w:tr w14:paraId="6C7DAF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3670" w:type="dxa"/>
            <w:gridSpan w:val="6"/>
            <w:tcBorders>
              <w:top w:val="single" w:color="auto" w:sz="8" w:space="0"/>
            </w:tcBorders>
            <w:shd w:val="clear" w:color="auto" w:fill="E6E7E9"/>
            <w:vAlign w:val="top"/>
          </w:tcPr>
          <w:p w14:paraId="370BC52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7" w:line="240" w:lineRule="auto"/>
              <w:ind w:left="7169" w:right="3906" w:hanging="149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See also criteria on</w:t>
            </w:r>
            <w:r>
              <w:rPr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rivaroxaban</w:t>
            </w:r>
            <w:r>
              <w:rPr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and dabigatran and footnote</w:t>
            </w:r>
            <w:r>
              <w:rPr>
                <w:spacing w:val="5"/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regarding choice among</w:t>
            </w:r>
            <w:r>
              <w:rPr>
                <w:spacing w:val="28"/>
                <w:w w:val="10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DOACs.</w:t>
            </w:r>
          </w:p>
        </w:tc>
      </w:tr>
      <w:tr w14:paraId="55ECD89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3041" w:type="dxa"/>
            <w:gridSpan w:val="2"/>
            <w:vAlign w:val="top"/>
          </w:tcPr>
          <w:p w14:paraId="250E328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1" w:line="240" w:lineRule="auto"/>
              <w:ind w:left="294" w:right="237" w:hanging="147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Rivaroxaban for long-term treatment of</w:t>
            </w:r>
            <w:r>
              <w:rPr>
                <w:spacing w:val="14"/>
                <w:w w:val="102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nonvalvularatrial fibrillation or</w:t>
            </w:r>
            <w:r>
              <w:rPr>
                <w:rFonts w:hint="eastAsia" w:eastAsia="宋体"/>
                <w:spacing w:val="8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venous thromboembol</w:t>
            </w:r>
            <w:r>
              <w:rPr>
                <w:spacing w:val="7"/>
                <w:sz w:val="17"/>
                <w:szCs w:val="17"/>
              </w:rPr>
              <w:t>ism (VTE)</w:t>
            </w:r>
          </w:p>
        </w:tc>
        <w:tc>
          <w:tcPr>
            <w:tcW w:w="4222" w:type="dxa"/>
            <w:vAlign w:val="top"/>
          </w:tcPr>
          <w:p w14:paraId="189BA47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0" w:line="240" w:lineRule="auto"/>
              <w:ind w:left="0" w:right="499" w:hanging="184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At doses used for long-term treatment</w:t>
            </w:r>
            <w:r>
              <w:rPr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of</w:t>
            </w:r>
            <w:r>
              <w:rPr>
                <w:spacing w:val="-10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VT</w:t>
            </w:r>
            <w:r>
              <w:rPr>
                <w:spacing w:val="6"/>
                <w:sz w:val="17"/>
                <w:szCs w:val="17"/>
              </w:rPr>
              <w:t>E</w:t>
            </w:r>
            <w:r>
              <w:rPr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or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nonvalvularatrial fibrillation, rivaroxa</w:t>
            </w:r>
            <w:r>
              <w:rPr>
                <w:spacing w:val="7"/>
                <w:sz w:val="17"/>
                <w:szCs w:val="17"/>
              </w:rPr>
              <w:t>ban</w:t>
            </w:r>
            <w:r>
              <w:rPr>
                <w:rFonts w:hint="eastAsia" w:eastAsia="宋体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appears to have a higher risk</w:t>
            </w:r>
            <w:r>
              <w:rPr>
                <w:spacing w:val="16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of</w:t>
            </w:r>
            <w:r>
              <w:rPr>
                <w:spacing w:val="-4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major bleeding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and GI bleeding in older adult</w:t>
            </w:r>
            <w:r>
              <w:rPr>
                <w:spacing w:val="7"/>
                <w:sz w:val="17"/>
                <w:szCs w:val="17"/>
              </w:rPr>
              <w:t>s</w:t>
            </w:r>
            <w:r>
              <w:rPr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than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other</w:t>
            </w:r>
            <w:r>
              <w:rPr>
                <w:rFonts w:hint="eastAsia" w:eastAsia="宋体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D</w:t>
            </w:r>
            <w:r>
              <w:rPr>
                <w:spacing w:val="7"/>
                <w:sz w:val="17"/>
                <w:szCs w:val="17"/>
              </w:rPr>
              <w:t>OACs,</w:t>
            </w:r>
            <w:r>
              <w:rPr>
                <w:rFonts w:hint="eastAsia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particularly apixaban</w:t>
            </w:r>
            <w:r>
              <w:rPr>
                <w:spacing w:val="6"/>
                <w:sz w:val="17"/>
                <w:szCs w:val="17"/>
              </w:rPr>
              <w:t>.</w:t>
            </w:r>
            <w:r>
              <w:rPr>
                <w:color w:val="auto"/>
                <w:sz w:val="17"/>
                <w:szCs w:val="17"/>
              </w:rPr>
              <w:fldChar w:fldCharType="begin"/>
            </w:r>
            <w:r>
              <w:rPr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color w:val="auto"/>
                <w:sz w:val="17"/>
                <w:szCs w:val="17"/>
              </w:rPr>
              <w:fldChar w:fldCharType="separate"/>
            </w:r>
            <w:r>
              <w:rPr>
                <w:color w:val="auto"/>
                <w:spacing w:val="6"/>
                <w:position w:val="6"/>
                <w:sz w:val="17"/>
                <w:szCs w:val="17"/>
              </w:rPr>
              <w:t>c</w:t>
            </w:r>
            <w:r>
              <w:rPr>
                <w:color w:val="auto"/>
                <w:spacing w:val="6"/>
                <w:position w:val="6"/>
                <w:sz w:val="17"/>
                <w:szCs w:val="17"/>
              </w:rPr>
              <w:fldChar w:fldCharType="end"/>
            </w:r>
          </w:p>
          <w:p w14:paraId="78A50C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240" w:lineRule="auto"/>
              <w:ind w:left="184" w:hanging="184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Rivaroxaban may be reasonable in s</w:t>
            </w:r>
            <w:r>
              <w:rPr>
                <w:spacing w:val="6"/>
                <w:sz w:val="17"/>
                <w:szCs w:val="17"/>
              </w:rPr>
              <w:t>pecial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situations, for example when once</w:t>
            </w:r>
            <w:r>
              <w:rPr>
                <w:spacing w:val="6"/>
                <w:sz w:val="17"/>
                <w:szCs w:val="17"/>
              </w:rPr>
              <w:t>-daily dosing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is necessary to facilitate</w:t>
            </w:r>
            <w:r>
              <w:rPr>
                <w:rFonts w:hint="eastAsia" w:eastAsia="宋体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medicatio</w:t>
            </w:r>
            <w:r>
              <w:rPr>
                <w:spacing w:val="6"/>
                <w:sz w:val="17"/>
                <w:szCs w:val="17"/>
              </w:rPr>
              <w:t>n adherence.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All DOACs confer a lower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risk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of</w:t>
            </w:r>
            <w:r>
              <w:rPr>
                <w:spacing w:val="-4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intracranial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hemorrhage than warfari</w:t>
            </w:r>
            <w:r>
              <w:rPr>
                <w:spacing w:val="8"/>
                <w:sz w:val="17"/>
                <w:szCs w:val="17"/>
              </w:rPr>
              <w:t>n.</w:t>
            </w:r>
            <w:r>
              <w:rPr>
                <w:color w:val="auto"/>
                <w:sz w:val="17"/>
                <w:szCs w:val="17"/>
              </w:rPr>
              <w:fldChar w:fldCharType="begin"/>
            </w:r>
            <w:r>
              <w:rPr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color w:val="auto"/>
                <w:sz w:val="17"/>
                <w:szCs w:val="17"/>
              </w:rPr>
              <w:fldChar w:fldCharType="separate"/>
            </w:r>
            <w:r>
              <w:rPr>
                <w:color w:val="auto"/>
                <w:spacing w:val="8"/>
                <w:position w:val="6"/>
                <w:sz w:val="17"/>
                <w:szCs w:val="17"/>
              </w:rPr>
              <w:t>c</w:t>
            </w:r>
            <w:r>
              <w:rPr>
                <w:color w:val="auto"/>
                <w:spacing w:val="8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3300" w:type="dxa"/>
            <w:vAlign w:val="top"/>
          </w:tcPr>
          <w:p w14:paraId="1BF8164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Avoid for long-term treatment of at</w:t>
            </w:r>
            <w:r>
              <w:rPr>
                <w:spacing w:val="6"/>
                <w:sz w:val="17"/>
                <w:szCs w:val="17"/>
              </w:rPr>
              <w:t>rial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fibrillation or VTE in favor</w:t>
            </w:r>
            <w:r>
              <w:rPr>
                <w:spacing w:val="18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of safer</w:t>
            </w:r>
            <w:r>
              <w:rPr>
                <w:rFonts w:hint="eastAsia" w:eastAsia="宋体"/>
                <w:spacing w:val="5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position w:val="2"/>
                <w:sz w:val="17"/>
                <w:szCs w:val="17"/>
              </w:rPr>
              <w:t>anticoagulant alternatives.</w:t>
            </w:r>
          </w:p>
          <w:p w14:paraId="156DF96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55" w:right="449" w:hanging="150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See also criteria on warfarin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and</w:t>
            </w:r>
          </w:p>
          <w:p w14:paraId="2B6535E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449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dabigatran and footno</w:t>
            </w:r>
            <w:r>
              <w:rPr>
                <w:spacing w:val="6"/>
                <w:sz w:val="17"/>
                <w:szCs w:val="17"/>
              </w:rPr>
              <w:t>te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regarding the choice between warfarin</w:t>
            </w:r>
            <w:r>
              <w:rPr>
                <w:spacing w:val="18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and DOACs and</w:t>
            </w:r>
            <w:r>
              <w:rPr>
                <w:spacing w:val="16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among</w:t>
            </w:r>
            <w:r>
              <w:rPr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DOACs.</w:t>
            </w:r>
          </w:p>
        </w:tc>
        <w:tc>
          <w:tcPr>
            <w:tcW w:w="865" w:type="dxa"/>
            <w:vAlign w:val="top"/>
          </w:tcPr>
          <w:p w14:paraId="1966CCC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2242" w:type="dxa"/>
            <w:vAlign w:val="top"/>
          </w:tcPr>
          <w:p w14:paraId="40E154F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4AD4419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3041" w:type="dxa"/>
            <w:gridSpan w:val="2"/>
            <w:shd w:val="clear" w:color="auto" w:fill="E6E7E9"/>
            <w:vAlign w:val="top"/>
          </w:tcPr>
          <w:p w14:paraId="2BD7D0B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 xml:space="preserve">Dipyridamole, oral </w:t>
            </w:r>
            <w:r>
              <w:rPr>
                <w:spacing w:val="6"/>
                <w:sz w:val="17"/>
                <w:szCs w:val="17"/>
              </w:rPr>
              <w:t>short-acting (does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not apply to extend</w:t>
            </w:r>
            <w:r>
              <w:rPr>
                <w:rFonts w:hint="eastAsia" w:eastAsia="宋体"/>
                <w:spacing w:val="7"/>
                <w:sz w:val="17"/>
                <w:szCs w:val="17"/>
                <w:lang w:val="en-US" w:eastAsia="zh-CN"/>
              </w:rPr>
              <w:t>e</w:t>
            </w:r>
            <w:r>
              <w:rPr>
                <w:spacing w:val="6"/>
                <w:sz w:val="17"/>
                <w:szCs w:val="17"/>
              </w:rPr>
              <w:t>d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release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8"/>
                <w:position w:val="2"/>
                <w:sz w:val="17"/>
                <w:szCs w:val="17"/>
              </w:rPr>
              <w:t>combination with aspi</w:t>
            </w:r>
            <w:r>
              <w:rPr>
                <w:spacing w:val="7"/>
                <w:position w:val="2"/>
                <w:sz w:val="17"/>
                <w:szCs w:val="17"/>
              </w:rPr>
              <w:t>rin)</w:t>
            </w:r>
          </w:p>
        </w:tc>
        <w:tc>
          <w:tcPr>
            <w:tcW w:w="4222" w:type="dxa"/>
            <w:shd w:val="clear" w:color="auto" w:fill="E6E7E9"/>
            <w:vAlign w:val="top"/>
          </w:tcPr>
          <w:p w14:paraId="16C3C2F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1" w:line="240" w:lineRule="auto"/>
              <w:ind w:left="231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position w:val="2"/>
                <w:sz w:val="17"/>
                <w:szCs w:val="17"/>
              </w:rPr>
              <w:t>May cause orthostatic hypotension; more effective</w:t>
            </w:r>
          </w:p>
          <w:p w14:paraId="360461B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36" w:leftChars="160" w:right="0" w:firstLine="0" w:firstLineChars="0"/>
              <w:textAlignment w:val="baseline"/>
              <w:rPr>
                <w:spacing w:val="10"/>
                <w:sz w:val="17"/>
                <w:szCs w:val="17"/>
              </w:rPr>
            </w:pPr>
            <w:r>
              <w:rPr>
                <w:sz w:val="17"/>
                <w:szCs w:val="17"/>
              </w:rPr>
              <w:t>alternatives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available</w:t>
            </w:r>
            <w:r>
              <w:rPr>
                <w:spacing w:val="10"/>
                <w:sz w:val="17"/>
                <w:szCs w:val="17"/>
              </w:rPr>
              <w:t xml:space="preserve">; </w:t>
            </w:r>
            <w:r>
              <w:rPr>
                <w:sz w:val="17"/>
                <w:szCs w:val="17"/>
              </w:rPr>
              <w:t>IV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form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acceptable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for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use</w:t>
            </w:r>
            <w:r>
              <w:rPr>
                <w:spacing w:val="10"/>
                <w:sz w:val="17"/>
                <w:szCs w:val="17"/>
              </w:rPr>
              <w:t xml:space="preserve"> </w:t>
            </w:r>
          </w:p>
          <w:p w14:paraId="7912187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36" w:leftChars="160" w:right="0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cardiac stress testing.</w:t>
            </w:r>
          </w:p>
        </w:tc>
        <w:tc>
          <w:tcPr>
            <w:tcW w:w="3300" w:type="dxa"/>
            <w:shd w:val="clear" w:color="auto" w:fill="E6E7E9"/>
            <w:vAlign w:val="top"/>
          </w:tcPr>
          <w:p w14:paraId="1CB4884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Avoid</w:t>
            </w:r>
          </w:p>
        </w:tc>
        <w:tc>
          <w:tcPr>
            <w:tcW w:w="865" w:type="dxa"/>
            <w:shd w:val="clear" w:color="auto" w:fill="E6E7E9"/>
            <w:vAlign w:val="top"/>
          </w:tcPr>
          <w:p w14:paraId="7A91791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2242" w:type="dxa"/>
            <w:shd w:val="clear" w:color="auto" w:fill="E6E7E9"/>
            <w:vAlign w:val="top"/>
          </w:tcPr>
          <w:p w14:paraId="0B133B0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34A7C1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3041" w:type="dxa"/>
            <w:gridSpan w:val="2"/>
            <w:vAlign w:val="top"/>
          </w:tcPr>
          <w:p w14:paraId="3EFFBF7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Non-selective periphe</w:t>
            </w:r>
            <w:r>
              <w:rPr>
                <w:spacing w:val="6"/>
                <w:sz w:val="17"/>
                <w:szCs w:val="17"/>
              </w:rPr>
              <w:t>ral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alpha-1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blockers for the treatment</w:t>
            </w:r>
            <w:r>
              <w:rPr>
                <w:spacing w:val="24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of</w:t>
            </w:r>
          </w:p>
          <w:p w14:paraId="202DB40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6" w:firstLineChars="100"/>
              <w:textAlignment w:val="baseline"/>
              <w:rPr>
                <w:spacing w:val="4"/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hypertension</w:t>
            </w:r>
            <w:r>
              <w:rPr>
                <w:spacing w:val="4"/>
                <w:sz w:val="17"/>
                <w:szCs w:val="17"/>
              </w:rPr>
              <w:t xml:space="preserve"> </w:t>
            </w:r>
          </w:p>
          <w:p w14:paraId="4626DAF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firstLine="180" w:firstLineChars="10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Doxazosin</w:t>
            </w:r>
          </w:p>
          <w:p w14:paraId="5E57A3C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40" w:lineRule="auto"/>
              <w:ind w:left="168" w:leftChars="80" w:right="2086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Prazosin</w:t>
            </w:r>
            <w:r>
              <w:rPr>
                <w:spacing w:val="1"/>
                <w:sz w:val="17"/>
                <w:szCs w:val="17"/>
              </w:rPr>
              <w:t xml:space="preserve">   </w:t>
            </w:r>
            <w:r>
              <w:rPr>
                <w:spacing w:val="6"/>
                <w:sz w:val="17"/>
                <w:szCs w:val="17"/>
              </w:rPr>
              <w:t>Terazosin</w:t>
            </w:r>
          </w:p>
        </w:tc>
        <w:tc>
          <w:tcPr>
            <w:tcW w:w="4222" w:type="dxa"/>
            <w:vAlign w:val="top"/>
          </w:tcPr>
          <w:p w14:paraId="741D702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ind w:left="186" w:hanging="186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High risk of</w:t>
            </w:r>
            <w:r>
              <w:rPr>
                <w:spacing w:val="-3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orthostatic h</w:t>
            </w:r>
            <w:r>
              <w:rPr>
                <w:spacing w:val="7"/>
                <w:sz w:val="17"/>
                <w:szCs w:val="17"/>
              </w:rPr>
              <w:t>ypotension and</w:t>
            </w:r>
            <w:r>
              <w:rPr>
                <w:rFonts w:hint="eastAsia" w:eastAsia="宋体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associated harms, especially</w:t>
            </w:r>
            <w:r>
              <w:rPr>
                <w:spacing w:val="6"/>
                <w:sz w:val="17"/>
                <w:szCs w:val="17"/>
              </w:rPr>
              <w:t xml:space="preserve"> in older adults;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not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recommended as routine treatment for</w:t>
            </w:r>
            <w:r>
              <w:rPr>
                <w:rFonts w:hint="eastAsia" w:eastAsia="宋体"/>
                <w:spacing w:val="8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hypertension; altern</w:t>
            </w:r>
            <w:r>
              <w:rPr>
                <w:spacing w:val="7"/>
                <w:sz w:val="17"/>
                <w:szCs w:val="17"/>
              </w:rPr>
              <w:t>ative agents have superior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risk/benefit profile.</w:t>
            </w:r>
          </w:p>
        </w:tc>
        <w:tc>
          <w:tcPr>
            <w:tcW w:w="3300" w:type="dxa"/>
            <w:vAlign w:val="top"/>
          </w:tcPr>
          <w:p w14:paraId="2A946EF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Avoid use as an</w:t>
            </w:r>
            <w:r>
              <w:rPr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antihypertensi</w:t>
            </w:r>
            <w:r>
              <w:rPr>
                <w:spacing w:val="6"/>
                <w:sz w:val="17"/>
                <w:szCs w:val="17"/>
              </w:rPr>
              <w:t>ve.</w:t>
            </w:r>
          </w:p>
        </w:tc>
        <w:tc>
          <w:tcPr>
            <w:tcW w:w="865" w:type="dxa"/>
            <w:vAlign w:val="top"/>
          </w:tcPr>
          <w:p w14:paraId="1ED98F5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2242" w:type="dxa"/>
            <w:vAlign w:val="top"/>
          </w:tcPr>
          <w:p w14:paraId="17D786F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05DB850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3041" w:type="dxa"/>
            <w:gridSpan w:val="2"/>
            <w:shd w:val="clear" w:color="auto" w:fill="E6E7E9"/>
            <w:vAlign w:val="top"/>
          </w:tcPr>
          <w:p w14:paraId="6A79292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spacing w:val="7"/>
                <w:position w:val="2"/>
                <w:sz w:val="17"/>
                <w:szCs w:val="17"/>
              </w:rPr>
            </w:pPr>
            <w:r>
              <w:rPr>
                <w:spacing w:val="8"/>
                <w:position w:val="2"/>
                <w:sz w:val="17"/>
                <w:szCs w:val="17"/>
              </w:rPr>
              <w:t>Central alpha-agonists fo</w:t>
            </w:r>
            <w:r>
              <w:rPr>
                <w:spacing w:val="7"/>
                <w:position w:val="2"/>
                <w:sz w:val="17"/>
                <w:szCs w:val="17"/>
              </w:rPr>
              <w:t>r the treatment</w:t>
            </w:r>
          </w:p>
          <w:p w14:paraId="16973A3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186" w:firstLineChars="100"/>
              <w:textAlignment w:val="baseline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of</w:t>
            </w:r>
            <w:r>
              <w:rPr>
                <w:spacing w:val="-5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hypertension</w:t>
            </w:r>
            <w:r>
              <w:rPr>
                <w:sz w:val="17"/>
                <w:szCs w:val="17"/>
              </w:rPr>
              <w:t xml:space="preserve"> </w:t>
            </w:r>
          </w:p>
          <w:p w14:paraId="42DE00A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184" w:firstLine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Clonidine</w:t>
            </w:r>
          </w:p>
          <w:p w14:paraId="6B62C04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84" w:firstLine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Guanfacine</w:t>
            </w:r>
          </w:p>
        </w:tc>
        <w:tc>
          <w:tcPr>
            <w:tcW w:w="4222" w:type="dxa"/>
            <w:shd w:val="clear" w:color="auto" w:fill="E6E7E9"/>
            <w:vAlign w:val="top"/>
          </w:tcPr>
          <w:p w14:paraId="63239DE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 xml:space="preserve">High risk of adverse </w:t>
            </w:r>
            <w:r>
              <w:rPr>
                <w:spacing w:val="5"/>
                <w:sz w:val="17"/>
                <w:szCs w:val="17"/>
              </w:rPr>
              <w:t>CNS effects;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may cause</w:t>
            </w:r>
          </w:p>
          <w:p w14:paraId="57CA31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577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bradycardia and orthostatic hypoten</w:t>
            </w:r>
            <w:r>
              <w:rPr>
                <w:spacing w:val="7"/>
                <w:sz w:val="17"/>
                <w:szCs w:val="17"/>
              </w:rPr>
              <w:t>sion; not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recommended as routine treatment for</w:t>
            </w:r>
            <w:r>
              <w:rPr>
                <w:rFonts w:hint="eastAsia" w:eastAsia="宋体"/>
                <w:spacing w:val="8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position w:val="2"/>
                <w:sz w:val="17"/>
                <w:szCs w:val="17"/>
              </w:rPr>
              <w:t>hypertension.</w:t>
            </w:r>
          </w:p>
        </w:tc>
        <w:tc>
          <w:tcPr>
            <w:tcW w:w="3300" w:type="dxa"/>
            <w:shd w:val="clear" w:color="auto" w:fill="E6E7E9"/>
            <w:vAlign w:val="top"/>
          </w:tcPr>
          <w:p w14:paraId="0105BD9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1" w:line="240" w:lineRule="auto"/>
              <w:ind w:left="153" w:right="479" w:hanging="153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Avoid clonidine as first-</w:t>
            </w:r>
            <w:r>
              <w:rPr>
                <w:spacing w:val="6"/>
                <w:sz w:val="17"/>
                <w:szCs w:val="17"/>
              </w:rPr>
              <w:t>line treatment for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hypertension.</w:t>
            </w:r>
          </w:p>
          <w:p w14:paraId="1C1DDF7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56" w:right="466" w:hanging="156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Avoid other central alpha-agonists for the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treatment of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hypertension.</w:t>
            </w:r>
          </w:p>
        </w:tc>
        <w:tc>
          <w:tcPr>
            <w:tcW w:w="865" w:type="dxa"/>
            <w:shd w:val="clear" w:color="auto" w:fill="E6E7E9"/>
            <w:vAlign w:val="top"/>
          </w:tcPr>
          <w:p w14:paraId="2339EC9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240" w:lineRule="auto"/>
              <w:ind w:left="6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Low</w:t>
            </w:r>
          </w:p>
        </w:tc>
        <w:tc>
          <w:tcPr>
            <w:tcW w:w="2242" w:type="dxa"/>
            <w:shd w:val="clear" w:color="auto" w:fill="E6E7E9"/>
            <w:vAlign w:val="top"/>
          </w:tcPr>
          <w:p w14:paraId="5EE2835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118A60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041" w:type="dxa"/>
            <w:gridSpan w:val="2"/>
            <w:vAlign w:val="top"/>
          </w:tcPr>
          <w:p w14:paraId="7064A08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ind w:left="145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Nifedipine, immediate rele</w:t>
            </w:r>
            <w:r>
              <w:rPr>
                <w:spacing w:val="6"/>
                <w:sz w:val="17"/>
                <w:szCs w:val="17"/>
              </w:rPr>
              <w:t>ase</w:t>
            </w:r>
          </w:p>
        </w:tc>
        <w:tc>
          <w:tcPr>
            <w:tcW w:w="4222" w:type="dxa"/>
            <w:vAlign w:val="top"/>
          </w:tcPr>
          <w:p w14:paraId="628A76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ind w:left="184" w:right="646" w:hanging="184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Potential for hypotension; risk of</w:t>
            </w:r>
            <w:r>
              <w:rPr>
                <w:spacing w:val="-5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pre</w:t>
            </w:r>
            <w:r>
              <w:rPr>
                <w:spacing w:val="6"/>
                <w:sz w:val="17"/>
                <w:szCs w:val="17"/>
              </w:rPr>
              <w:t>cipitating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myocardial ischemia.</w:t>
            </w:r>
          </w:p>
        </w:tc>
        <w:tc>
          <w:tcPr>
            <w:tcW w:w="3300" w:type="dxa"/>
            <w:vAlign w:val="top"/>
          </w:tcPr>
          <w:p w14:paraId="0855441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Avoid</w:t>
            </w:r>
          </w:p>
        </w:tc>
        <w:tc>
          <w:tcPr>
            <w:tcW w:w="865" w:type="dxa"/>
            <w:vAlign w:val="top"/>
          </w:tcPr>
          <w:p w14:paraId="3A4433C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High</w:t>
            </w:r>
          </w:p>
        </w:tc>
        <w:tc>
          <w:tcPr>
            <w:tcW w:w="2242" w:type="dxa"/>
            <w:vAlign w:val="top"/>
          </w:tcPr>
          <w:p w14:paraId="5AFACD8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3E2743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3041" w:type="dxa"/>
            <w:gridSpan w:val="2"/>
            <w:shd w:val="clear" w:color="auto" w:fill="E6E7E9"/>
            <w:vAlign w:val="top"/>
          </w:tcPr>
          <w:p w14:paraId="0A7F0E6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141"/>
              <w:textAlignment w:val="baseline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Amiodarone</w:t>
            </w:r>
          </w:p>
        </w:tc>
        <w:tc>
          <w:tcPr>
            <w:tcW w:w="4222" w:type="dxa"/>
            <w:shd w:val="clear" w:color="auto" w:fill="E6E7E9"/>
            <w:vAlign w:val="top"/>
          </w:tcPr>
          <w:p w14:paraId="0DA6DB6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Effective for maintaining sinus rhythm b</w:t>
            </w:r>
            <w:r>
              <w:rPr>
                <w:spacing w:val="4"/>
                <w:sz w:val="17"/>
                <w:szCs w:val="17"/>
              </w:rPr>
              <w:t>ut has</w:t>
            </w:r>
          </w:p>
          <w:p w14:paraId="7FE3D66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240" w:lineRule="auto"/>
              <w:ind w:left="168" w:leftChars="80" w:right="406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greater toxicities than other antiarrhythmics used</w:t>
            </w:r>
            <w:r>
              <w:rPr>
                <w:rFonts w:hint="eastAsia" w:eastAsia="宋体"/>
                <w:spacing w:val="5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in atrial fibrillation; may</w:t>
            </w:r>
            <w:r>
              <w:rPr>
                <w:spacing w:val="4"/>
                <w:sz w:val="17"/>
                <w:szCs w:val="17"/>
              </w:rPr>
              <w:t>be reasonable first-line</w:t>
            </w:r>
            <w:r>
              <w:rPr>
                <w:sz w:val="17"/>
                <w:szCs w:val="17"/>
              </w:rPr>
              <w:t xml:space="preserve">    </w:t>
            </w:r>
            <w:r>
              <w:rPr>
                <w:spacing w:val="6"/>
                <w:sz w:val="17"/>
                <w:szCs w:val="17"/>
              </w:rPr>
              <w:t>therapy in patients with conco</w:t>
            </w:r>
            <w:r>
              <w:rPr>
                <w:spacing w:val="5"/>
                <w:sz w:val="17"/>
                <w:szCs w:val="17"/>
              </w:rPr>
              <w:t>mitant heart</w:t>
            </w:r>
            <w:r>
              <w:rPr>
                <w:rFonts w:hint="eastAsia" w:eastAsia="宋体"/>
                <w:spacing w:val="5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failure or substantial lef</w:t>
            </w:r>
            <w:r>
              <w:rPr>
                <w:spacing w:val="4"/>
                <w:sz w:val="17"/>
                <w:szCs w:val="17"/>
              </w:rPr>
              <w:t>t ventricular hypertrophy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if</w:t>
            </w:r>
            <w:r>
              <w:rPr>
                <w:rFonts w:hint="eastAsia" w:eastAsia="宋体"/>
                <w:spacing w:val="5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rhythm control is preferr</w:t>
            </w:r>
            <w:r>
              <w:rPr>
                <w:spacing w:val="4"/>
                <w:sz w:val="17"/>
                <w:szCs w:val="17"/>
              </w:rPr>
              <w:t>ed over rate control.</w:t>
            </w:r>
          </w:p>
        </w:tc>
        <w:tc>
          <w:tcPr>
            <w:tcW w:w="3300" w:type="dxa"/>
            <w:shd w:val="clear" w:color="auto" w:fill="E6E7E9"/>
            <w:vAlign w:val="top"/>
          </w:tcPr>
          <w:p w14:paraId="3644F2E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2"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position w:val="2"/>
                <w:sz w:val="17"/>
                <w:szCs w:val="17"/>
              </w:rPr>
              <w:t>Avoid as first-line therapy for</w:t>
            </w:r>
            <w:r>
              <w:rPr>
                <w:spacing w:val="9"/>
                <w:w w:val="102"/>
                <w:position w:val="2"/>
                <w:sz w:val="17"/>
                <w:szCs w:val="17"/>
              </w:rPr>
              <w:t xml:space="preserve"> </w:t>
            </w:r>
            <w:r>
              <w:rPr>
                <w:spacing w:val="6"/>
                <w:position w:val="2"/>
                <w:sz w:val="17"/>
                <w:szCs w:val="17"/>
              </w:rPr>
              <w:t>atrial</w:t>
            </w:r>
          </w:p>
          <w:p w14:paraId="5596B04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" w:line="240" w:lineRule="auto"/>
              <w:ind w:left="153" w:right="509"/>
              <w:textAlignment w:val="baseline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fibrillation unless t</w:t>
            </w:r>
            <w:r>
              <w:rPr>
                <w:spacing w:val="7"/>
                <w:sz w:val="17"/>
                <w:szCs w:val="17"/>
              </w:rPr>
              <w:t>he patient has heart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failure or substantial left v</w:t>
            </w:r>
            <w:r>
              <w:rPr>
                <w:spacing w:val="6"/>
                <w:sz w:val="17"/>
                <w:szCs w:val="17"/>
              </w:rPr>
              <w:t>entricular</w:t>
            </w:r>
          </w:p>
          <w:p w14:paraId="566D277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4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hypertrophy.</w:t>
            </w:r>
          </w:p>
        </w:tc>
        <w:tc>
          <w:tcPr>
            <w:tcW w:w="865" w:type="dxa"/>
            <w:shd w:val="clear" w:color="auto" w:fill="E6E7E9"/>
            <w:vAlign w:val="top"/>
          </w:tcPr>
          <w:p w14:paraId="5B3C4C8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High</w:t>
            </w:r>
          </w:p>
        </w:tc>
        <w:tc>
          <w:tcPr>
            <w:tcW w:w="2242" w:type="dxa"/>
            <w:shd w:val="clear" w:color="auto" w:fill="E6E7E9"/>
            <w:vAlign w:val="top"/>
          </w:tcPr>
          <w:p w14:paraId="48DA065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2977B2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041" w:type="dxa"/>
            <w:gridSpan w:val="2"/>
            <w:tcBorders>
              <w:bottom w:val="single" w:color="auto" w:sz="12" w:space="0"/>
            </w:tcBorders>
            <w:vAlign w:val="top"/>
          </w:tcPr>
          <w:p w14:paraId="17E98AA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146"/>
              <w:textAlignment w:val="baseline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Dronedarone</w:t>
            </w:r>
          </w:p>
        </w:tc>
        <w:tc>
          <w:tcPr>
            <w:tcW w:w="4222" w:type="dxa"/>
            <w:tcBorders>
              <w:bottom w:val="single" w:color="auto" w:sz="12" w:space="0"/>
            </w:tcBorders>
            <w:vAlign w:val="top"/>
          </w:tcPr>
          <w:p w14:paraId="0C4D949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Worse outcomes in people who have permanent</w:t>
            </w:r>
          </w:p>
          <w:p w14:paraId="68083E5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atrial fibrillation or severe or recently decompensated heart failure. In some</w:t>
            </w:r>
            <w:r>
              <w:rPr>
                <w:rFonts w:hint="eastAsia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circumstances, worse outcomes have also been reported in people with HFrEF (e.g., left</w:t>
            </w:r>
            <w:r>
              <w:rPr>
                <w:rFonts w:hint="eastAsia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ventricular ejection fraction ≤35%) who have milder symptoms (NYHA class I or II).</w:t>
            </w:r>
          </w:p>
          <w:p w14:paraId="7722778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225"/>
              <w:textAlignment w:val="baseline"/>
              <w:rPr>
                <w:spacing w:val="6"/>
                <w:sz w:val="17"/>
                <w:szCs w:val="17"/>
              </w:rPr>
            </w:pPr>
          </w:p>
        </w:tc>
        <w:tc>
          <w:tcPr>
            <w:tcW w:w="3300" w:type="dxa"/>
            <w:tcBorders>
              <w:bottom w:val="single" w:color="auto" w:sz="12" w:space="0"/>
            </w:tcBorders>
            <w:vAlign w:val="top"/>
          </w:tcPr>
          <w:p w14:paraId="3AAE299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spacing w:val="5"/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Avoid in individuals with permanent atrial</w:t>
            </w:r>
          </w:p>
          <w:p w14:paraId="460C79B3">
            <w:pPr>
              <w:spacing w:line="14" w:lineRule="auto"/>
              <w:rPr>
                <w:rFonts w:ascii="Arial"/>
                <w:sz w:val="17"/>
                <w:szCs w:val="17"/>
              </w:rPr>
            </w:pPr>
            <w:r>
              <w:rPr>
                <w:rFonts w:ascii="Arial" w:hAnsi="Arial" w:eastAsia="Arial" w:cs="Arial"/>
                <w:sz w:val="17"/>
                <w:szCs w:val="17"/>
              </w:rPr>
              <w:br w:type="column"/>
            </w:r>
          </w:p>
          <w:p w14:paraId="2FB7DB99">
            <w:pPr>
              <w:pStyle w:val="2"/>
              <w:spacing w:before="27" w:line="180" w:lineRule="exact"/>
              <w:ind w:left="168" w:leftChars="80" w:firstLine="0" w:firstLineChars="0"/>
              <w:rPr>
                <w:spacing w:val="5"/>
                <w:sz w:val="17"/>
                <w:szCs w:val="17"/>
              </w:rPr>
            </w:pPr>
            <w:r>
              <w:rPr>
                <w:spacing w:val="3"/>
                <w:position w:val="2"/>
                <w:sz w:val="17"/>
                <w:szCs w:val="17"/>
              </w:rPr>
              <w:t>fibrillation or severe or recently</w:t>
            </w:r>
            <w:r>
              <w:rPr>
                <w:rFonts w:hint="eastAsia" w:eastAsia="宋体"/>
                <w:spacing w:val="3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decompensated heart failure. Us</w:t>
            </w:r>
            <w:r>
              <w:rPr>
                <w:spacing w:val="4"/>
                <w:sz w:val="17"/>
                <w:szCs w:val="17"/>
              </w:rPr>
              <w:t>e caution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inpatients with HFrEF wi</w:t>
            </w:r>
            <w:r>
              <w:rPr>
                <w:spacing w:val="5"/>
                <w:sz w:val="17"/>
                <w:szCs w:val="17"/>
              </w:rPr>
              <w:t>th less severe</w:t>
            </w:r>
            <w:r>
              <w:rPr>
                <w:sz w:val="17"/>
                <w:szCs w:val="17"/>
              </w:rPr>
              <w:t xml:space="preserve">    </w:t>
            </w:r>
            <w:r>
              <w:rPr>
                <w:spacing w:val="3"/>
                <w:sz w:val="17"/>
                <w:szCs w:val="17"/>
              </w:rPr>
              <w:t>symptoms (NYHA class I</w:t>
            </w:r>
            <w:r>
              <w:rPr>
                <w:spacing w:val="12"/>
                <w:w w:val="101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or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II).</w:t>
            </w:r>
          </w:p>
        </w:tc>
        <w:tc>
          <w:tcPr>
            <w:tcW w:w="865" w:type="dxa"/>
            <w:tcBorders>
              <w:bottom w:val="single" w:color="auto" w:sz="12" w:space="0"/>
            </w:tcBorders>
            <w:vAlign w:val="top"/>
          </w:tcPr>
          <w:p w14:paraId="61BD37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High</w:t>
            </w:r>
          </w:p>
        </w:tc>
        <w:tc>
          <w:tcPr>
            <w:tcW w:w="2242" w:type="dxa"/>
            <w:tcBorders>
              <w:bottom w:val="single" w:color="auto" w:sz="12" w:space="0"/>
            </w:tcBorders>
            <w:vAlign w:val="top"/>
          </w:tcPr>
          <w:p w14:paraId="0C36197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</w:tbl>
    <w:p w14:paraId="5FFCE8E8">
      <w:pPr>
        <w:spacing w:line="14" w:lineRule="auto"/>
        <w:rPr>
          <w:rFonts w:ascii="Arial"/>
          <w:sz w:val="17"/>
          <w:szCs w:val="17"/>
        </w:rPr>
      </w:pPr>
    </w:p>
    <w:p w14:paraId="54A994B2">
      <w:pPr>
        <w:spacing w:line="14" w:lineRule="auto"/>
        <w:rPr>
          <w:rFonts w:ascii="Arial" w:hAnsi="Arial" w:eastAsia="Arial" w:cs="Arial"/>
          <w:sz w:val="17"/>
          <w:szCs w:val="17"/>
        </w:rPr>
        <w:sectPr>
          <w:footerReference r:id="rId5" w:type="default"/>
          <w:pgSz w:w="15648" w:h="11906"/>
          <w:pgMar w:top="400" w:right="351" w:bottom="1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996"/>
          </w:cols>
        </w:sectPr>
      </w:pPr>
    </w:p>
    <w:p w14:paraId="19C6E754">
      <w:pPr>
        <w:pStyle w:val="2"/>
        <w:spacing w:before="166" w:line="191" w:lineRule="auto"/>
        <w:ind w:firstLine="13376" w:firstLineChars="7600"/>
        <w:rPr>
          <w:sz w:val="17"/>
          <w:szCs w:val="17"/>
        </w:rPr>
      </w:pPr>
      <w:r>
        <w:rPr>
          <w:spacing w:val="3"/>
          <w:sz w:val="17"/>
          <w:szCs w:val="17"/>
        </w:rPr>
        <w:t>(Continues)</w:t>
      </w:r>
    </w:p>
    <w:p w14:paraId="42803DE2">
      <w:pPr>
        <w:spacing w:line="199" w:lineRule="auto"/>
        <w:rPr>
          <w:sz w:val="10"/>
          <w:szCs w:val="10"/>
        </w:rPr>
        <w:sectPr>
          <w:type w:val="continuous"/>
          <w:pgSz w:w="15648" w:h="11906"/>
          <w:pgMar w:top="400" w:right="351" w:bottom="1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996"/>
          </w:cols>
        </w:sectPr>
      </w:pPr>
    </w:p>
    <w:p w14:paraId="1B1477CF">
      <w:pPr>
        <w:spacing w:line="473" w:lineRule="auto"/>
        <w:rPr>
          <w:rFonts w:ascii="Arial"/>
          <w:sz w:val="21"/>
        </w:rPr>
      </w:pPr>
    </w:p>
    <w:p w14:paraId="73657F54">
      <w:pPr>
        <w:pStyle w:val="2"/>
        <w:spacing w:before="49" w:line="191" w:lineRule="auto"/>
        <w:ind w:left="650"/>
        <w:rPr>
          <w:color w:val="636366"/>
          <w:spacing w:val="9"/>
          <w:sz w:val="17"/>
          <w:szCs w:val="17"/>
        </w:rPr>
      </w:pPr>
    </w:p>
    <w:p w14:paraId="5266C499">
      <w:pPr>
        <w:pStyle w:val="2"/>
        <w:spacing w:before="49" w:line="191" w:lineRule="auto"/>
        <w:ind w:left="650"/>
        <w:rPr>
          <w:color w:val="636366"/>
          <w:spacing w:val="9"/>
          <w:sz w:val="17"/>
          <w:szCs w:val="17"/>
        </w:rPr>
      </w:pPr>
    </w:p>
    <w:p w14:paraId="762C1F83">
      <w:pPr>
        <w:pStyle w:val="2"/>
        <w:spacing w:before="49" w:line="191" w:lineRule="auto"/>
        <w:ind w:left="650"/>
        <w:rPr>
          <w:color w:val="636366"/>
          <w:spacing w:val="9"/>
          <w:sz w:val="17"/>
          <w:szCs w:val="17"/>
        </w:rPr>
      </w:pPr>
    </w:p>
    <w:p w14:paraId="53AF4CE7">
      <w:pPr>
        <w:pStyle w:val="2"/>
        <w:spacing w:before="49" w:line="191" w:lineRule="auto"/>
        <w:ind w:left="650"/>
        <w:rPr>
          <w:color w:val="636366"/>
          <w:spacing w:val="9"/>
          <w:sz w:val="17"/>
          <w:szCs w:val="17"/>
        </w:rPr>
      </w:pPr>
    </w:p>
    <w:p w14:paraId="48C465A7">
      <w:pPr>
        <w:pStyle w:val="2"/>
        <w:spacing w:before="49" w:line="191" w:lineRule="auto"/>
        <w:ind w:left="650"/>
        <w:rPr>
          <w:color w:val="636366"/>
          <w:spacing w:val="9"/>
          <w:sz w:val="17"/>
          <w:szCs w:val="17"/>
        </w:rPr>
      </w:pPr>
    </w:p>
    <w:p w14:paraId="7537FF46">
      <w:pPr>
        <w:pStyle w:val="2"/>
        <w:spacing w:before="49" w:line="191" w:lineRule="auto"/>
        <w:ind w:left="650"/>
        <w:rPr>
          <w:color w:val="636366"/>
          <w:spacing w:val="9"/>
          <w:sz w:val="17"/>
          <w:szCs w:val="17"/>
        </w:rPr>
      </w:pPr>
    </w:p>
    <w:p w14:paraId="7B56FB5F">
      <w:pPr>
        <w:pStyle w:val="2"/>
        <w:spacing w:before="49" w:line="191" w:lineRule="auto"/>
        <w:ind w:left="650"/>
        <w:rPr>
          <w:color w:val="636366"/>
          <w:spacing w:val="9"/>
          <w:sz w:val="17"/>
          <w:szCs w:val="17"/>
        </w:rPr>
      </w:pPr>
    </w:p>
    <w:p w14:paraId="132ACB0B">
      <w:pPr>
        <w:pStyle w:val="2"/>
        <w:spacing w:line="240" w:lineRule="auto"/>
        <w:ind w:firstLine="0"/>
      </w:pPr>
    </w:p>
    <w:p w14:paraId="0CA272D6">
      <w:pPr>
        <w:pStyle w:val="2"/>
        <w:spacing w:before="27" w:line="292" w:lineRule="auto"/>
        <w:ind w:left="4" w:right="4552"/>
        <w:rPr>
          <w:sz w:val="15"/>
          <w:szCs w:val="15"/>
        </w:rPr>
      </w:pPr>
      <w:r>
        <w:rPr>
          <w:spacing w:val="13"/>
          <w:w w:val="101"/>
          <w:sz w:val="15"/>
          <w:szCs w:val="15"/>
        </w:rPr>
        <w:t xml:space="preserve"> </w:t>
      </w:r>
    </w:p>
    <w:p w14:paraId="3885B480">
      <w:pPr>
        <w:spacing w:line="292" w:lineRule="auto"/>
        <w:rPr>
          <w:sz w:val="15"/>
          <w:szCs w:val="15"/>
        </w:rPr>
        <w:sectPr>
          <w:type w:val="continuous"/>
          <w:pgSz w:w="15648" w:h="11906"/>
          <w:pgMar w:top="400" w:right="351" w:bottom="40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3">
            <w:col w:w="3971" w:space="100"/>
            <w:col w:w="3645" w:space="100"/>
            <w:col w:w="7181"/>
          </w:cols>
        </w:sectPr>
      </w:pPr>
    </w:p>
    <w:p w14:paraId="4C3E94F2">
      <w:pPr>
        <w:pStyle w:val="2"/>
        <w:spacing w:before="49" w:line="191" w:lineRule="auto"/>
        <w:ind w:left="650"/>
        <w:rPr>
          <w:rFonts w:hint="default" w:ascii="Arial" w:eastAsia="宋体"/>
          <w:sz w:val="21"/>
          <w:lang w:val="en-US" w:eastAsia="zh-CN"/>
        </w:rPr>
      </w:pPr>
      <w:r>
        <w:rPr>
          <w:color w:val="636366"/>
          <w:spacing w:val="9"/>
          <w:sz w:val="17"/>
          <w:szCs w:val="17"/>
        </w:rPr>
        <w:t>TABLE</w:t>
      </w:r>
      <w:r>
        <w:rPr>
          <w:color w:val="636366"/>
          <w:spacing w:val="36"/>
          <w:sz w:val="17"/>
          <w:szCs w:val="17"/>
        </w:rPr>
        <w:t xml:space="preserve"> </w:t>
      </w:r>
      <w:r>
        <w:rPr>
          <w:rFonts w:hint="eastAsia" w:eastAsia="宋体"/>
          <w:color w:val="636366"/>
          <w:spacing w:val="36"/>
          <w:sz w:val="17"/>
          <w:szCs w:val="17"/>
          <w:lang w:val="en-US" w:eastAsia="zh-CN"/>
        </w:rPr>
        <w:t>1</w:t>
      </w:r>
      <w:r>
        <w:rPr>
          <w:color w:val="636366"/>
          <w:spacing w:val="3"/>
          <w:sz w:val="17"/>
          <w:szCs w:val="17"/>
        </w:rPr>
        <w:t xml:space="preserve">     </w:t>
      </w:r>
      <w:r>
        <w:rPr>
          <w:spacing w:val="9"/>
          <w:sz w:val="17"/>
          <w:szCs w:val="17"/>
        </w:rPr>
        <w:t>(Continued)</w:t>
      </w:r>
    </w:p>
    <w:tbl>
      <w:tblPr>
        <w:tblStyle w:val="8"/>
        <w:tblW w:w="13670" w:type="dxa"/>
        <w:tblInd w:w="65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3"/>
        <w:gridCol w:w="358"/>
        <w:gridCol w:w="4222"/>
        <w:gridCol w:w="3300"/>
        <w:gridCol w:w="1360"/>
        <w:gridCol w:w="1747"/>
      </w:tblGrid>
      <w:tr w14:paraId="71D63B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683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5F56762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5"/>
                <w:sz w:val="17"/>
                <w:szCs w:val="17"/>
              </w:rPr>
              <w:t>Organ system, therapeutic</w:t>
            </w:r>
            <w:r>
              <w:rPr>
                <w:b/>
                <w:bCs/>
                <w:color w:val="auto"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t>category, drug(s)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t>a</w:t>
            </w:r>
            <w:r>
              <w:rPr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4580" w:type="dxa"/>
            <w:gridSpan w:val="2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064D2D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color w:val="auto"/>
                <w:sz w:val="17"/>
                <w:szCs w:val="17"/>
              </w:rPr>
            </w:pPr>
          </w:p>
          <w:p w14:paraId="3DA137C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3" w:line="240" w:lineRule="auto"/>
              <w:ind w:left="59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330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02333A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color w:val="auto"/>
                <w:sz w:val="17"/>
                <w:szCs w:val="17"/>
              </w:rPr>
            </w:pPr>
          </w:p>
          <w:p w14:paraId="07AE7A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3" w:line="240" w:lineRule="auto"/>
              <w:ind w:left="5"/>
              <w:jc w:val="left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8"/>
                <w:sz w:val="17"/>
                <w:szCs w:val="17"/>
              </w:rPr>
              <w:t>Recommendation</w:t>
            </w:r>
          </w:p>
        </w:tc>
        <w:tc>
          <w:tcPr>
            <w:tcW w:w="136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38C678D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2"/>
                <w:sz w:val="17"/>
                <w:szCs w:val="17"/>
              </w:rPr>
              <w:t>Quality of</w:t>
            </w:r>
            <w:r>
              <w:rPr>
                <w:b/>
                <w:bCs/>
                <w:color w:val="auto"/>
                <w:spacing w:val="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auto"/>
                <w:spacing w:val="14"/>
                <w:sz w:val="17"/>
                <w:szCs w:val="17"/>
              </w:rPr>
              <w:t>evidence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1747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668FB87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firstLine="412" w:firstLineChars="20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7"/>
                <w:w w:val="113"/>
                <w:sz w:val="17"/>
                <w:szCs w:val="17"/>
              </w:rPr>
              <w:t>Strength of</w:t>
            </w:r>
          </w:p>
          <w:p w14:paraId="4DCF01C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5"/>
                <w:w w:val="120"/>
                <w:sz w:val="17"/>
                <w:szCs w:val="17"/>
              </w:rPr>
              <w:t>recommendation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fldChar w:fldCharType="end"/>
            </w:r>
          </w:p>
        </w:tc>
      </w:tr>
      <w:tr w14:paraId="3D0381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3041" w:type="dxa"/>
            <w:gridSpan w:val="2"/>
            <w:tcBorders>
              <w:top w:val="single" w:color="auto" w:sz="8" w:space="0"/>
            </w:tcBorders>
            <w:shd w:val="clear" w:color="auto" w:fill="E6E7E9"/>
            <w:vAlign w:val="top"/>
          </w:tcPr>
          <w:p w14:paraId="04C660E7">
            <w:pPr>
              <w:spacing w:line="240" w:lineRule="auto"/>
              <w:ind w:left="0" w:right="0" w:firstLine="0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 xml:space="preserve">Digoxin for first-line treatment of atrial </w:t>
            </w:r>
            <w:r>
              <w:rPr>
                <w:rFonts w:ascii="Times New Roman" w:hAnsi="Times New Roman" w:eastAsia="Times New Roman" w:cs="Times New Roman"/>
                <w:spacing w:val="7"/>
                <w:sz w:val="17"/>
                <w:szCs w:val="17"/>
              </w:rPr>
              <w:t>fibrillation or heart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 xml:space="preserve"> failure</w:t>
            </w:r>
          </w:p>
          <w:p w14:paraId="662B494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textAlignment w:val="baseline"/>
              <w:rPr>
                <w:sz w:val="17"/>
                <w:szCs w:val="17"/>
              </w:rPr>
            </w:pPr>
          </w:p>
        </w:tc>
        <w:tc>
          <w:tcPr>
            <w:tcW w:w="4222" w:type="dxa"/>
            <w:tcBorders>
              <w:top w:val="single" w:color="auto" w:sz="8" w:space="0"/>
            </w:tcBorders>
            <w:shd w:val="clear" w:color="auto" w:fill="E6E7E9"/>
            <w:vAlign w:val="top"/>
          </w:tcPr>
          <w:p w14:paraId="3F2645FF">
            <w:pPr>
              <w:spacing w:before="147" w:line="240" w:lineRule="auto"/>
              <w:ind w:left="168" w:right="143" w:hanging="149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17"/>
                <w:szCs w:val="17"/>
              </w:rPr>
              <w:t>Use in atrial fibrillation: sho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uld not be</w:t>
            </w:r>
            <w:r>
              <w:rPr>
                <w:rFonts w:ascii="Times New Roman" w:hAnsi="Times New Roman" w:eastAsia="Times New Roman" w:cs="Times New Roma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used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as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a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17"/>
                <w:szCs w:val="17"/>
              </w:rPr>
              <w:t>first-line agent because there are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safer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and</w:t>
            </w:r>
          </w:p>
          <w:p w14:paraId="05483CAD">
            <w:pPr>
              <w:spacing w:before="6" w:line="240" w:lineRule="auto"/>
              <w:ind w:left="171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more effective alternatives for rate</w:t>
            </w:r>
            <w:r>
              <w:rPr>
                <w:rFonts w:ascii="Times New Roman" w:hAnsi="Times New Roman" w:eastAsia="Times New Roman" w:cs="Times New Roman"/>
                <w:spacing w:val="12"/>
                <w:w w:val="102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control.</w:t>
            </w:r>
          </w:p>
          <w:p w14:paraId="3B9A3A12">
            <w:pPr>
              <w:spacing w:before="59" w:line="240" w:lineRule="auto"/>
              <w:ind w:left="171" w:right="20" w:hanging="151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Use in heart failure: evidence for benef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its and harms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-8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digoxin is conflicting and of</w:t>
            </w:r>
            <w:r>
              <w:rPr>
                <w:rFonts w:ascii="Times New Roman" w:hAnsi="Times New Roman" w:eastAsia="Times New Roman" w:cs="Times New Roman"/>
                <w:spacing w:val="-8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 xml:space="preserve">lower quality; </w:t>
            </w:r>
            <w:r>
              <w:rPr>
                <w:rFonts w:ascii="Times New Roman" w:hAnsi="Times New Roman" w:eastAsia="Times New Roman" w:cs="Times New Roman"/>
                <w:spacing w:val="2"/>
                <w:sz w:val="17"/>
                <w:szCs w:val="17"/>
              </w:rPr>
              <w:t>most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(but not all) evidence concerns use in HFr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EF.</w:t>
            </w:r>
          </w:p>
          <w:p w14:paraId="4DB96469">
            <w:pPr>
              <w:spacing w:line="240" w:lineRule="auto"/>
              <w:ind w:left="176" w:right="0" w:hanging="176" w:hangingChars="100"/>
              <w:rPr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There is strong evidence for other agents as firs</w:t>
            </w:r>
            <w:r>
              <w:rPr>
                <w:rFonts w:ascii="Times New Roman" w:hAnsi="Times New Roman" w:eastAsia="Times New Roman" w:cs="Times New Roman"/>
                <w:spacing w:val="2"/>
                <w:sz w:val="17"/>
                <w:szCs w:val="17"/>
              </w:rPr>
              <w:t>t-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line therapy to reduce hospitalizations and</w:t>
            </w:r>
            <w:r>
              <w:rPr>
                <w:rFonts w:hint="eastAsia" w:ascii="Times New Roman" w:hAnsi="Times New Roman" w:eastAsia="宋体" w:cs="Times New Roman"/>
                <w:spacing w:val="4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mortality in adults with HFrEF. In heart failure,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 xml:space="preserve">higher dosages are not associated with 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additional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benefits and may increase the risk of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toxicity. Use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7"/>
                <w:szCs w:val="17"/>
              </w:rPr>
              <w:t>caution in</w:t>
            </w:r>
            <w:r>
              <w:rPr>
                <w:rFonts w:hint="eastAsia" w:ascii="Times New Roman" w:hAnsi="Times New Roman" w:eastAsia="宋体" w:cs="Times New Roman"/>
                <w:spacing w:val="5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7"/>
                <w:szCs w:val="17"/>
              </w:rPr>
              <w:t>discontinui</w:t>
            </w: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ng digoxin among current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4"/>
                <w:sz w:val="17"/>
                <w:szCs w:val="17"/>
              </w:rPr>
              <w:t>users with HFrEF, given l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imited evidence</w:t>
            </w:r>
            <w:r>
              <w:rPr>
                <w:rFonts w:hint="eastAsia" w:ascii="Times New Roman" w:hAnsi="Times New Roman" w:eastAsia="宋体" w:cs="Times New Roman"/>
                <w:spacing w:val="3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7"/>
                <w:szCs w:val="17"/>
              </w:rPr>
              <w:t>suggesting worse clinical out</w:t>
            </w:r>
            <w:r>
              <w:rPr>
                <w:rFonts w:ascii="Times New Roman" w:hAnsi="Times New Roman" w:eastAsia="Times New Roman" w:cs="Times New Roman"/>
                <w:spacing w:val="2"/>
                <w:sz w:val="17"/>
                <w:szCs w:val="17"/>
              </w:rPr>
              <w:t xml:space="preserve">comes </w:t>
            </w:r>
          </w:p>
        </w:tc>
        <w:tc>
          <w:tcPr>
            <w:tcW w:w="3300" w:type="dxa"/>
            <w:tcBorders>
              <w:top w:val="single" w:color="auto" w:sz="8" w:space="0"/>
            </w:tcBorders>
            <w:shd w:val="clear" w:color="auto" w:fill="E6E7E9"/>
            <w:vAlign w:val="top"/>
          </w:tcPr>
          <w:p w14:paraId="27433B26">
            <w:pPr>
              <w:spacing w:before="119" w:line="240" w:lineRule="auto"/>
              <w:ind w:left="176" w:right="41" w:hanging="15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Avoid this rate control agent</w:t>
            </w:r>
            <w:r>
              <w:rPr>
                <w:rFonts w:ascii="Times New Roman" w:hAnsi="Times New Roman" w:eastAsia="Times New Roman" w:cs="Times New Roman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as first-line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therapy for atrial fibrillation.</w:t>
            </w:r>
          </w:p>
          <w:p w14:paraId="60C705C8">
            <w:pPr>
              <w:spacing w:before="30" w:line="240" w:lineRule="auto"/>
              <w:ind w:left="20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17"/>
                <w:szCs w:val="17"/>
              </w:rPr>
              <w:t>Avoid as first-line therapy for heart</w:t>
            </w:r>
          </w:p>
          <w:p w14:paraId="5ADD50C4">
            <w:pPr>
              <w:spacing w:before="30" w:line="240" w:lineRule="auto"/>
              <w:ind w:left="167" w:right="20" w:firstLine="5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17"/>
                <w:szCs w:val="17"/>
              </w:rPr>
              <w:t>failure. See rationale fo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r caution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about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7"/>
                <w:szCs w:val="17"/>
              </w:rPr>
              <w:t>withdrawal in long-term users with</w:t>
            </w:r>
          </w:p>
          <w:p w14:paraId="6DDE0ED4">
            <w:pPr>
              <w:spacing w:before="68" w:line="240" w:lineRule="auto"/>
              <w:ind w:left="176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17"/>
                <w:szCs w:val="17"/>
              </w:rPr>
              <w:t>HFrEF.</w:t>
            </w:r>
          </w:p>
          <w:p w14:paraId="34093426">
            <w:pPr>
              <w:spacing w:before="35" w:line="240" w:lineRule="auto"/>
              <w:ind w:left="24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17"/>
                <w:szCs w:val="17"/>
              </w:rPr>
              <w:t>If</w:t>
            </w:r>
            <w:r>
              <w:rPr>
                <w:rFonts w:ascii="Times New Roman" w:hAnsi="Times New Roman" w:eastAsia="Times New Roman" w:cs="Times New Roman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17"/>
                <w:szCs w:val="17"/>
              </w:rPr>
              <w:t>used for atrial fibrilla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tion or heart</w:t>
            </w:r>
          </w:p>
          <w:p w14:paraId="45B3EB76">
            <w:pPr>
              <w:spacing w:before="60" w:line="240" w:lineRule="auto"/>
              <w:ind w:left="17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failure, avoid dosages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&gt;0.125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mg/day.</w:t>
            </w:r>
          </w:p>
          <w:p w14:paraId="2B1C7AB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sz w:val="17"/>
                <w:szCs w:val="17"/>
              </w:rPr>
            </w:pPr>
          </w:p>
        </w:tc>
        <w:tc>
          <w:tcPr>
            <w:tcW w:w="1360" w:type="dxa"/>
            <w:tcBorders>
              <w:top w:val="single" w:color="auto" w:sz="8" w:space="0"/>
            </w:tcBorders>
            <w:shd w:val="clear" w:color="auto" w:fill="E6E7E9"/>
            <w:vAlign w:val="top"/>
          </w:tcPr>
          <w:p w14:paraId="72A4548C">
            <w:pPr>
              <w:spacing w:before="111" w:line="240" w:lineRule="auto"/>
              <w:ind w:left="20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7"/>
                <w:szCs w:val="17"/>
              </w:rPr>
              <w:t>Atrial fibrillation;</w:t>
            </w:r>
          </w:p>
          <w:p w14:paraId="29AFF769">
            <w:pPr>
              <w:spacing w:before="36" w:line="240" w:lineRule="auto"/>
              <w:ind w:left="173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7"/>
                <w:szCs w:val="17"/>
              </w:rPr>
              <w:t>heart failure: low</w:t>
            </w:r>
          </w:p>
          <w:p w14:paraId="229C9F7D">
            <w:pPr>
              <w:spacing w:before="61" w:line="240" w:lineRule="auto"/>
              <w:ind w:left="175" w:right="20" w:hanging="150"/>
              <w:rPr>
                <w:rFonts w:ascii="Times New Roman" w:hAnsi="Times New Roman" w:eastAsia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Dosage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  <w:sz w:val="17"/>
                <w:szCs w:val="17"/>
              </w:rPr>
              <w:t>&gt; 0.125</w:t>
            </w:r>
            <w:r>
              <w:rPr>
                <w:rFonts w:ascii="Times New Roman" w:hAnsi="Times New Roman" w:eastAsia="Times New Roman" w:cs="Times New Roman"/>
                <w:spacing w:val="11"/>
                <w:w w:val="102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>mg</w:t>
            </w:r>
            <w:r>
              <w:rPr>
                <w:rFonts w:ascii="Times New Roman" w:hAnsi="Times New Roman" w:eastAsia="Times New Roman" w:cs="Times New Roman"/>
                <w:spacing w:val="12"/>
                <w:sz w:val="17"/>
                <w:szCs w:val="17"/>
              </w:rPr>
              <w:t>/</w:t>
            </w:r>
            <w:r>
              <w:rPr>
                <w:rFonts w:ascii="Times New Roman" w:hAnsi="Times New Roman" w:eastAsia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17"/>
                <w:szCs w:val="17"/>
              </w:rPr>
              <w:t>day: moderate</w:t>
            </w:r>
          </w:p>
          <w:p w14:paraId="62AA905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sz w:val="17"/>
                <w:szCs w:val="17"/>
              </w:rPr>
            </w:pPr>
          </w:p>
        </w:tc>
        <w:tc>
          <w:tcPr>
            <w:tcW w:w="1747" w:type="dxa"/>
            <w:tcBorders>
              <w:top w:val="single" w:color="auto" w:sz="8" w:space="0"/>
            </w:tcBorders>
            <w:shd w:val="clear" w:color="auto" w:fill="E6E7E9"/>
            <w:vAlign w:val="top"/>
          </w:tcPr>
          <w:p w14:paraId="3EB82FA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513CA0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263" w:type="dxa"/>
            <w:gridSpan w:val="3"/>
            <w:vAlign w:val="top"/>
          </w:tcPr>
          <w:p w14:paraId="1E5038F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40" w:lineRule="auto"/>
              <w:ind w:right="2086"/>
              <w:textAlignment w:val="baseline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Central</w:t>
            </w:r>
            <w:r>
              <w:rPr>
                <w:rFonts w:hint="eastAsia" w:eastAsia="宋体"/>
                <w:b/>
                <w:bCs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nervous system</w:t>
            </w:r>
          </w:p>
        </w:tc>
        <w:tc>
          <w:tcPr>
            <w:tcW w:w="3300" w:type="dxa"/>
            <w:vAlign w:val="top"/>
          </w:tcPr>
          <w:p w14:paraId="435D66F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sz w:val="17"/>
                <w:szCs w:val="17"/>
              </w:rPr>
            </w:pPr>
          </w:p>
        </w:tc>
        <w:tc>
          <w:tcPr>
            <w:tcW w:w="1360" w:type="dxa"/>
            <w:vAlign w:val="top"/>
          </w:tcPr>
          <w:p w14:paraId="6ACEE5A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sz w:val="17"/>
                <w:szCs w:val="17"/>
              </w:rPr>
            </w:pPr>
          </w:p>
        </w:tc>
        <w:tc>
          <w:tcPr>
            <w:tcW w:w="1747" w:type="dxa"/>
            <w:vAlign w:val="top"/>
          </w:tcPr>
          <w:p w14:paraId="4CE5CF4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</w:p>
        </w:tc>
      </w:tr>
      <w:tr w14:paraId="349EA5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3041" w:type="dxa"/>
            <w:gridSpan w:val="2"/>
            <w:shd w:val="clear" w:color="auto" w:fill="auto"/>
            <w:vAlign w:val="top"/>
          </w:tcPr>
          <w:p w14:paraId="691C0CFA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Antidepressants with strong</w:t>
            </w:r>
          </w:p>
          <w:p w14:paraId="706DEEAF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anticholinergic activity, alone or in</w:t>
            </w:r>
          </w:p>
          <w:p w14:paraId="62856EC1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 xml:space="preserve">combination   </w:t>
            </w:r>
          </w:p>
          <w:p w14:paraId="66D10441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 xml:space="preserve">Amitriptyline </w:t>
            </w:r>
          </w:p>
          <w:p w14:paraId="270F95A5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Amoxapine</w:t>
            </w:r>
          </w:p>
          <w:p w14:paraId="7361118A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 xml:space="preserve">Clomipramine </w:t>
            </w:r>
          </w:p>
          <w:p w14:paraId="38BF7882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Desipramine</w:t>
            </w:r>
          </w:p>
          <w:p w14:paraId="129F0ED6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Doxepin &gt;6 mg/day</w:t>
            </w:r>
          </w:p>
          <w:p w14:paraId="1BA6D069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 xml:space="preserve">Imipramine   </w:t>
            </w:r>
          </w:p>
          <w:p w14:paraId="0E4386F9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Nortriptyline Paroxetine</w:t>
            </w:r>
          </w:p>
          <w:p w14:paraId="62B65154">
            <w:pPr>
              <w:pStyle w:val="2"/>
              <w:spacing w:line="240" w:lineRule="auto"/>
              <w:ind w:left="0"/>
              <w:rPr>
                <w:spacing w:val="7"/>
                <w:sz w:val="17"/>
                <w:szCs w:val="17"/>
              </w:rPr>
            </w:pPr>
          </w:p>
          <w:p w14:paraId="391C90A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70" w:firstLineChars="100"/>
              <w:textAlignment w:val="baseline"/>
              <w:rPr>
                <w:sz w:val="17"/>
                <w:szCs w:val="17"/>
              </w:rPr>
            </w:pPr>
          </w:p>
        </w:tc>
        <w:tc>
          <w:tcPr>
            <w:tcW w:w="4222" w:type="dxa"/>
            <w:shd w:val="clear" w:color="auto" w:fill="auto"/>
            <w:vAlign w:val="top"/>
          </w:tcPr>
          <w:p w14:paraId="1DA0E556">
            <w:pPr>
              <w:pStyle w:val="2"/>
              <w:spacing w:before="20" w:line="240" w:lineRule="auto"/>
              <w:ind w:left="2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 xml:space="preserve">Highly anticholinergic, sedating, and </w:t>
            </w:r>
            <w:r>
              <w:rPr>
                <w:spacing w:val="6"/>
                <w:sz w:val="17"/>
                <w:szCs w:val="17"/>
              </w:rPr>
              <w:t>cause</w:t>
            </w:r>
          </w:p>
          <w:p w14:paraId="74F2BE2C">
            <w:pPr>
              <w:pStyle w:val="2"/>
              <w:spacing w:before="29" w:line="240" w:lineRule="auto"/>
              <w:ind w:left="169"/>
              <w:rPr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orthostatic hypotension; the</w:t>
            </w:r>
            <w:r>
              <w:rPr>
                <w:spacing w:val="6"/>
                <w:position w:val="2"/>
                <w:sz w:val="17"/>
                <w:szCs w:val="17"/>
              </w:rPr>
              <w:t xml:space="preserve"> safety profile of</w:t>
            </w:r>
          </w:p>
          <w:p w14:paraId="7A768154">
            <w:pPr>
              <w:pStyle w:val="2"/>
              <w:spacing w:before="29" w:line="240" w:lineRule="auto"/>
              <w:ind w:left="169" w:right="20" w:hanging="1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low-dose doxepin (</w:t>
            </w:r>
            <w:r>
              <w:rPr>
                <w:rFonts w:ascii="Arial" w:hAnsi="Arial" w:eastAsia="Arial" w:cs="Arial"/>
                <w:spacing w:val="7"/>
                <w:sz w:val="17"/>
                <w:szCs w:val="17"/>
              </w:rPr>
              <w:t>≤</w:t>
            </w:r>
            <w:r>
              <w:rPr>
                <w:spacing w:val="7"/>
                <w:sz w:val="17"/>
                <w:szCs w:val="17"/>
              </w:rPr>
              <w:t>6 mg/day) is</w:t>
            </w:r>
            <w:r>
              <w:rPr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comparable</w:t>
            </w:r>
            <w:r>
              <w:rPr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to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that of placebo.</w:t>
            </w:r>
          </w:p>
          <w:p w14:paraId="7568574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577" w:firstLine="0" w:firstLineChars="0"/>
              <w:textAlignment w:val="baseline"/>
              <w:rPr>
                <w:sz w:val="17"/>
                <w:szCs w:val="17"/>
              </w:rPr>
            </w:pPr>
          </w:p>
        </w:tc>
        <w:tc>
          <w:tcPr>
            <w:tcW w:w="3300" w:type="dxa"/>
            <w:shd w:val="clear" w:color="auto" w:fill="auto"/>
            <w:vAlign w:val="top"/>
          </w:tcPr>
          <w:p w14:paraId="279ECF0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240" w:lineRule="auto"/>
              <w:ind w:left="156" w:right="466" w:hanging="156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Avoid</w:t>
            </w:r>
          </w:p>
        </w:tc>
        <w:tc>
          <w:tcPr>
            <w:tcW w:w="1360" w:type="dxa"/>
            <w:shd w:val="clear" w:color="auto" w:fill="auto"/>
            <w:vAlign w:val="top"/>
          </w:tcPr>
          <w:p w14:paraId="0A4AD3F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240" w:lineRule="auto"/>
              <w:ind w:left="6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High</w:t>
            </w:r>
          </w:p>
        </w:tc>
        <w:tc>
          <w:tcPr>
            <w:tcW w:w="1747" w:type="dxa"/>
            <w:shd w:val="clear" w:color="auto" w:fill="auto"/>
            <w:vAlign w:val="top"/>
          </w:tcPr>
          <w:p w14:paraId="49A13E2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4EABE5A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3041" w:type="dxa"/>
            <w:gridSpan w:val="2"/>
            <w:shd w:val="clear" w:color="auto" w:fill="E6E7E9"/>
            <w:vAlign w:val="top"/>
          </w:tcPr>
          <w:p w14:paraId="72DFE1A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141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 w:eastAsia="zh-CN"/>
              </w:rPr>
              <w:t xml:space="preserve">Antiparkinsonian agents with strong </w:t>
            </w:r>
          </w:p>
          <w:p w14:paraId="022CFE2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141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 xml:space="preserve">anticholinergic activity </w:t>
            </w:r>
          </w:p>
          <w:p w14:paraId="7B3D887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141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 xml:space="preserve">Benztropine (oral) </w:t>
            </w:r>
          </w:p>
          <w:p w14:paraId="65D411A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141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>Trihexyphenidyl</w:t>
            </w:r>
          </w:p>
          <w:p w14:paraId="6AE03ED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141"/>
              <w:textAlignment w:val="baseline"/>
              <w:rPr>
                <w:sz w:val="17"/>
                <w:szCs w:val="17"/>
              </w:rPr>
            </w:pPr>
          </w:p>
        </w:tc>
        <w:tc>
          <w:tcPr>
            <w:tcW w:w="4222" w:type="dxa"/>
            <w:shd w:val="clear" w:color="auto" w:fill="E6E7E9"/>
            <w:vAlign w:val="top"/>
          </w:tcPr>
          <w:p w14:paraId="4175EDD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240" w:lineRule="auto"/>
              <w:ind w:left="168" w:leftChars="80" w:right="406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 w:eastAsia="zh-CN"/>
              </w:rPr>
              <w:t xml:space="preserve">Not recommended for prevention or treatment of </w:t>
            </w:r>
          </w:p>
          <w:p w14:paraId="0985DE0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240" w:lineRule="auto"/>
              <w:ind w:left="336" w:leftChars="160" w:right="406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 xml:space="preserve">extrapyramidal symptoms due to antipsychotics; more effective agents available </w:t>
            </w:r>
          </w:p>
          <w:p w14:paraId="44164FE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240" w:lineRule="auto"/>
              <w:ind w:left="168" w:leftChars="80" w:right="406" w:firstLine="170" w:firstLineChars="100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>for the treatment of Parkinson disease.</w:t>
            </w:r>
          </w:p>
          <w:p w14:paraId="26C0404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240" w:lineRule="auto"/>
              <w:ind w:left="168" w:leftChars="80" w:right="406" w:firstLine="0" w:firstLineChars="0"/>
              <w:textAlignment w:val="baseline"/>
              <w:rPr>
                <w:sz w:val="17"/>
                <w:szCs w:val="17"/>
              </w:rPr>
            </w:pPr>
          </w:p>
        </w:tc>
        <w:tc>
          <w:tcPr>
            <w:tcW w:w="3300" w:type="dxa"/>
            <w:shd w:val="clear" w:color="auto" w:fill="E6E7E9"/>
            <w:vAlign w:val="top"/>
          </w:tcPr>
          <w:p w14:paraId="0FEF0EB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4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position w:val="2"/>
                <w:sz w:val="17"/>
                <w:szCs w:val="17"/>
              </w:rPr>
              <w:t xml:space="preserve">Avoid </w:t>
            </w:r>
          </w:p>
        </w:tc>
        <w:tc>
          <w:tcPr>
            <w:tcW w:w="1360" w:type="dxa"/>
            <w:shd w:val="clear" w:color="auto" w:fill="E6E7E9"/>
            <w:vAlign w:val="top"/>
          </w:tcPr>
          <w:p w14:paraId="7715FDC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5"/>
              <w:textAlignment w:val="baseline"/>
              <w:rPr>
                <w:rFonts w:hint="eastAsia" w:eastAsia="宋体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1747" w:type="dxa"/>
            <w:shd w:val="clear" w:color="auto" w:fill="E6E7E9"/>
            <w:vAlign w:val="top"/>
          </w:tcPr>
          <w:p w14:paraId="684226B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2C6274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3041" w:type="dxa"/>
            <w:gridSpan w:val="2"/>
            <w:tcBorders>
              <w:bottom w:val="single" w:color="auto" w:sz="12" w:space="0"/>
            </w:tcBorders>
            <w:vAlign w:val="top"/>
          </w:tcPr>
          <w:p w14:paraId="7EC7284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146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 w:eastAsia="zh-CN"/>
              </w:rPr>
              <w:t xml:space="preserve">Antipsychotics, first- (typical) and </w:t>
            </w:r>
          </w:p>
          <w:p w14:paraId="41E9D05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146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 xml:space="preserve">second- (atypical) generation </w:t>
            </w:r>
          </w:p>
          <w:p w14:paraId="4218522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146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 xml:space="preserve">Aripiprazole </w:t>
            </w:r>
          </w:p>
          <w:p w14:paraId="143AB27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146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 xml:space="preserve">Haloperidol </w:t>
            </w:r>
          </w:p>
          <w:p w14:paraId="2C831A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146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 xml:space="preserve">Olanzapine </w:t>
            </w:r>
          </w:p>
          <w:p w14:paraId="4E4662C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146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 xml:space="preserve">Quetiapine </w:t>
            </w:r>
          </w:p>
          <w:p w14:paraId="4E2BE39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146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 xml:space="preserve">Risperidone </w:t>
            </w:r>
          </w:p>
          <w:p w14:paraId="264C43A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146"/>
              <w:textAlignment w:val="baseline"/>
              <w:rPr>
                <w:sz w:val="17"/>
                <w:szCs w:val="17"/>
              </w:rPr>
            </w:pPr>
            <w:r>
              <w:rPr>
                <w:rFonts w:hint="default"/>
                <w:sz w:val="17"/>
                <w:szCs w:val="17"/>
                <w:lang w:val="en-US" w:eastAsia="zh-CN"/>
              </w:rPr>
              <w:t>Others</w:t>
            </w:r>
            <w:r>
              <w:rPr>
                <w:rFonts w:hint="default"/>
                <w:sz w:val="17"/>
                <w:szCs w:val="17"/>
                <w:vertAlign w:val="superscript"/>
                <w:lang w:val="en-US" w:eastAsia="zh-CN"/>
              </w:rPr>
              <w:t>d</w:t>
            </w:r>
          </w:p>
        </w:tc>
        <w:tc>
          <w:tcPr>
            <w:tcW w:w="4222" w:type="dxa"/>
            <w:tcBorders>
              <w:bottom w:val="single" w:color="auto" w:sz="12" w:space="0"/>
            </w:tcBorders>
            <w:vAlign w:val="top"/>
          </w:tcPr>
          <w:p w14:paraId="2204DAD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07" w:leftChars="107" w:hanging="182" w:hangingChars="100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  <w:lang w:val="en-US" w:eastAsia="zh-CN"/>
              </w:rPr>
              <w:t xml:space="preserve">Increased risk of stroke and greater rate of </w:t>
            </w:r>
            <w:r>
              <w:rPr>
                <w:rFonts w:hint="default"/>
                <w:spacing w:val="6"/>
                <w:sz w:val="17"/>
                <w:szCs w:val="17"/>
                <w:lang w:val="en-US" w:eastAsia="zh-CN"/>
              </w:rPr>
              <w:t>cognitive decline and mortality in persons with dementia. Additional evidence suggests an association of increased risk between antipsychotic medication and mortality independent of dementia.</w:t>
            </w:r>
          </w:p>
          <w:p w14:paraId="7C300D4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225"/>
              <w:textAlignment w:val="baseline"/>
              <w:rPr>
                <w:spacing w:val="6"/>
                <w:sz w:val="17"/>
                <w:szCs w:val="17"/>
              </w:rPr>
            </w:pPr>
          </w:p>
        </w:tc>
        <w:tc>
          <w:tcPr>
            <w:tcW w:w="3300" w:type="dxa"/>
            <w:tcBorders>
              <w:bottom w:val="single" w:color="auto" w:sz="12" w:space="0"/>
            </w:tcBorders>
            <w:vAlign w:val="top"/>
          </w:tcPr>
          <w:p w14:paraId="2E7C374D">
            <w:pPr>
              <w:pStyle w:val="2"/>
              <w:spacing w:before="27" w:line="240" w:lineRule="auto"/>
              <w:ind w:left="168" w:leftChars="80" w:firstLine="0" w:firstLineChars="0"/>
              <w:rPr>
                <w:spacing w:val="5"/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  <w:lang w:val="en-US" w:eastAsia="zh-CN"/>
              </w:rPr>
              <w:t xml:space="preserve">Avoid, except in FDA-approved </w:t>
            </w:r>
          </w:p>
          <w:p w14:paraId="1861E488">
            <w:pPr>
              <w:pStyle w:val="2"/>
              <w:spacing w:before="27" w:line="240" w:lineRule="auto"/>
              <w:ind w:left="168" w:leftChars="80" w:firstLine="180" w:firstLineChars="100"/>
              <w:rPr>
                <w:spacing w:val="5"/>
                <w:sz w:val="17"/>
                <w:szCs w:val="17"/>
              </w:rPr>
            </w:pPr>
            <w:r>
              <w:rPr>
                <w:rFonts w:hint="default"/>
                <w:spacing w:val="5"/>
                <w:sz w:val="17"/>
                <w:szCs w:val="17"/>
                <w:lang w:val="en-US" w:eastAsia="zh-CN"/>
              </w:rPr>
              <w:t xml:space="preserve">indications such as schizophrenia, </w:t>
            </w:r>
          </w:p>
          <w:p w14:paraId="3C628945">
            <w:pPr>
              <w:pStyle w:val="2"/>
              <w:spacing w:before="27" w:line="240" w:lineRule="auto"/>
              <w:ind w:left="168" w:leftChars="80" w:firstLine="180" w:firstLineChars="100"/>
              <w:rPr>
                <w:spacing w:val="5"/>
                <w:sz w:val="17"/>
                <w:szCs w:val="17"/>
              </w:rPr>
            </w:pPr>
            <w:r>
              <w:rPr>
                <w:rFonts w:hint="default"/>
                <w:spacing w:val="5"/>
                <w:sz w:val="17"/>
                <w:szCs w:val="17"/>
                <w:lang w:val="en-US" w:eastAsia="zh-CN"/>
              </w:rPr>
              <w:t xml:space="preserve">bipolar disorder, Parkinson disease </w:t>
            </w:r>
          </w:p>
          <w:p w14:paraId="7909DDF5">
            <w:pPr>
              <w:pStyle w:val="2"/>
              <w:spacing w:before="27" w:line="240" w:lineRule="auto"/>
              <w:ind w:left="336" w:leftChars="160" w:firstLine="0" w:firstLineChars="0"/>
              <w:rPr>
                <w:spacing w:val="5"/>
                <w:sz w:val="17"/>
                <w:szCs w:val="17"/>
              </w:rPr>
            </w:pPr>
            <w:r>
              <w:rPr>
                <w:rFonts w:hint="default"/>
                <w:spacing w:val="5"/>
                <w:sz w:val="17"/>
                <w:szCs w:val="17"/>
                <w:lang w:val="en-US" w:eastAsia="zh-CN"/>
              </w:rPr>
              <w:t>psychosis, adjunctive treatment of major depressive disorder, or for short-term use as an antiemetic.</w:t>
            </w:r>
          </w:p>
          <w:p w14:paraId="507A625F">
            <w:pPr>
              <w:pStyle w:val="2"/>
              <w:spacing w:before="27" w:line="240" w:lineRule="auto"/>
              <w:ind w:left="168" w:leftChars="80" w:firstLine="0" w:firstLineChars="0"/>
              <w:rPr>
                <w:spacing w:val="5"/>
                <w:sz w:val="17"/>
                <w:szCs w:val="17"/>
              </w:rPr>
            </w:pPr>
          </w:p>
        </w:tc>
        <w:tc>
          <w:tcPr>
            <w:tcW w:w="1360" w:type="dxa"/>
            <w:tcBorders>
              <w:bottom w:val="single" w:color="auto" w:sz="12" w:space="0"/>
            </w:tcBorders>
            <w:vAlign w:val="top"/>
          </w:tcPr>
          <w:p w14:paraId="785E412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5"/>
              <w:textAlignment w:val="baseline"/>
              <w:rPr>
                <w:rFonts w:hint="eastAsia" w:eastAsia="宋体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1747" w:type="dxa"/>
            <w:tcBorders>
              <w:bottom w:val="single" w:color="auto" w:sz="12" w:space="0"/>
            </w:tcBorders>
            <w:vAlign w:val="top"/>
          </w:tcPr>
          <w:p w14:paraId="6CA78EF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</w:tbl>
    <w:p w14:paraId="70414704">
      <w:pPr>
        <w:spacing w:line="240" w:lineRule="auto"/>
        <w:rPr>
          <w:rFonts w:hint="eastAsia" w:eastAsia="宋体"/>
          <w:sz w:val="17"/>
          <w:szCs w:val="17"/>
          <w:lang w:val="en-US" w:eastAsia="zh-CN"/>
        </w:rPr>
      </w:pPr>
      <w:r>
        <w:rPr>
          <w:rFonts w:hint="eastAsia" w:eastAsia="宋体"/>
          <w:sz w:val="17"/>
          <w:szCs w:val="17"/>
          <w:lang w:val="en-US" w:eastAsia="zh-CN"/>
        </w:rPr>
        <w:t xml:space="preserve">                                                                                              </w:t>
      </w:r>
    </w:p>
    <w:p w14:paraId="1E3ECC11">
      <w:pPr>
        <w:pStyle w:val="2"/>
        <w:spacing w:before="166" w:line="191" w:lineRule="auto"/>
        <w:rPr>
          <w:sz w:val="17"/>
          <w:szCs w:val="17"/>
        </w:rPr>
      </w:pPr>
      <w:r>
        <w:rPr>
          <w:rFonts w:hint="eastAsia" w:eastAsia="宋体"/>
          <w:sz w:val="17"/>
          <w:szCs w:val="17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pacing w:val="3"/>
          <w:sz w:val="17"/>
          <w:szCs w:val="17"/>
        </w:rPr>
        <w:t>(Continues)</w:t>
      </w:r>
    </w:p>
    <w:p w14:paraId="5F8D08E9">
      <w:pPr>
        <w:spacing w:line="240" w:lineRule="auto"/>
        <w:rPr>
          <w:rFonts w:hint="default" w:eastAsia="宋体"/>
          <w:sz w:val="17"/>
          <w:szCs w:val="17"/>
          <w:lang w:val="en-US" w:eastAsia="zh-CN"/>
        </w:rPr>
      </w:pPr>
    </w:p>
    <w:p w14:paraId="49701E65">
      <w:pPr>
        <w:pStyle w:val="2"/>
        <w:spacing w:before="48" w:line="191" w:lineRule="auto"/>
        <w:rPr>
          <w:color w:val="636366"/>
          <w:spacing w:val="9"/>
          <w:sz w:val="17"/>
          <w:szCs w:val="17"/>
        </w:rPr>
      </w:pPr>
    </w:p>
    <w:p w14:paraId="4CFC1FFE">
      <w:pPr>
        <w:pStyle w:val="2"/>
        <w:spacing w:before="48" w:line="191" w:lineRule="auto"/>
        <w:rPr>
          <w:color w:val="636366"/>
          <w:spacing w:val="9"/>
          <w:sz w:val="17"/>
          <w:szCs w:val="17"/>
        </w:rPr>
      </w:pPr>
    </w:p>
    <w:p w14:paraId="7F81948D">
      <w:pPr>
        <w:pStyle w:val="2"/>
        <w:spacing w:before="48" w:line="191" w:lineRule="auto"/>
        <w:rPr>
          <w:color w:val="636366"/>
          <w:spacing w:val="9"/>
          <w:sz w:val="17"/>
          <w:szCs w:val="17"/>
        </w:rPr>
      </w:pPr>
    </w:p>
    <w:tbl>
      <w:tblPr>
        <w:tblStyle w:val="8"/>
        <w:tblW w:w="13670" w:type="dxa"/>
        <w:tblInd w:w="65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0"/>
      </w:tblGrid>
      <w:tr w14:paraId="65DDD1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3670" w:type="dxa"/>
            <w:vAlign w:val="top"/>
          </w:tcPr>
          <w:p w14:paraId="552134D0">
            <w:pPr>
              <w:pStyle w:val="9"/>
              <w:spacing w:before="116" w:line="178" w:lineRule="auto"/>
              <w:jc w:val="right"/>
              <w:rPr>
                <w:spacing w:val="3"/>
                <w:sz w:val="17"/>
                <w:szCs w:val="17"/>
              </w:rPr>
            </w:pPr>
          </w:p>
        </w:tc>
      </w:tr>
    </w:tbl>
    <w:p w14:paraId="646FDEB4">
      <w:pPr>
        <w:pStyle w:val="2"/>
        <w:spacing w:before="48" w:line="191" w:lineRule="auto"/>
        <w:ind w:firstLine="752" w:firstLineChars="400"/>
        <w:rPr>
          <w:rFonts w:hint="eastAsia" w:eastAsia="宋体"/>
          <w:lang w:val="en-US" w:eastAsia="zh-CN"/>
        </w:rPr>
      </w:pPr>
      <w:r>
        <w:rPr>
          <w:color w:val="636366"/>
          <w:spacing w:val="9"/>
          <w:sz w:val="17"/>
          <w:szCs w:val="17"/>
        </w:rPr>
        <w:t>TABLE</w:t>
      </w:r>
      <w:r>
        <w:rPr>
          <w:color w:val="636366"/>
          <w:spacing w:val="36"/>
          <w:sz w:val="17"/>
          <w:szCs w:val="17"/>
        </w:rPr>
        <w:t xml:space="preserve"> </w:t>
      </w:r>
      <w:r>
        <w:rPr>
          <w:rFonts w:hint="eastAsia" w:eastAsia="宋体"/>
          <w:color w:val="636366"/>
          <w:spacing w:val="9"/>
          <w:sz w:val="17"/>
          <w:szCs w:val="17"/>
          <w:lang w:val="en-US" w:eastAsia="zh-CN"/>
        </w:rPr>
        <w:t>1</w:t>
      </w:r>
      <w:r>
        <w:rPr>
          <w:color w:val="636366"/>
          <w:spacing w:val="3"/>
          <w:sz w:val="17"/>
          <w:szCs w:val="17"/>
        </w:rPr>
        <w:t xml:space="preserve">     </w:t>
      </w:r>
      <w:r>
        <w:rPr>
          <w:spacing w:val="9"/>
          <w:sz w:val="17"/>
          <w:szCs w:val="17"/>
        </w:rPr>
        <w:t>(Continued)</w:t>
      </w:r>
    </w:p>
    <w:p w14:paraId="27AF351A">
      <w:pPr>
        <w:tabs>
          <w:tab w:val="left" w:pos="1371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</w:t>
      </w:r>
    </w:p>
    <w:tbl>
      <w:tblPr>
        <w:tblStyle w:val="8"/>
        <w:tblW w:w="13670" w:type="dxa"/>
        <w:tblInd w:w="65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3"/>
        <w:gridCol w:w="4580"/>
        <w:gridCol w:w="3300"/>
        <w:gridCol w:w="865"/>
        <w:gridCol w:w="2242"/>
      </w:tblGrid>
      <w:tr w14:paraId="3B25C3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683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0285571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5"/>
                <w:sz w:val="17"/>
                <w:szCs w:val="17"/>
              </w:rPr>
              <w:t>Organ system, therapeutic</w:t>
            </w:r>
            <w:r>
              <w:rPr>
                <w:b/>
                <w:bCs/>
                <w:color w:val="auto"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t>category, drug(s)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t>a</w:t>
            </w:r>
            <w:r>
              <w:rPr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458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6C2D37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color w:val="auto"/>
                <w:sz w:val="17"/>
                <w:szCs w:val="17"/>
              </w:rPr>
            </w:pPr>
          </w:p>
          <w:p w14:paraId="1D399DA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3" w:line="240" w:lineRule="auto"/>
              <w:ind w:left="59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330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5B07E7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color w:val="auto"/>
                <w:sz w:val="17"/>
                <w:szCs w:val="17"/>
              </w:rPr>
            </w:pPr>
          </w:p>
          <w:p w14:paraId="0CA4D94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3" w:line="240" w:lineRule="auto"/>
              <w:ind w:left="5"/>
              <w:jc w:val="left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8"/>
                <w:sz w:val="17"/>
                <w:szCs w:val="17"/>
              </w:rPr>
              <w:t>Recommendation</w:t>
            </w:r>
          </w:p>
        </w:tc>
        <w:tc>
          <w:tcPr>
            <w:tcW w:w="865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10F0FC4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2"/>
                <w:sz w:val="17"/>
                <w:szCs w:val="17"/>
              </w:rPr>
              <w:t>Quality of</w:t>
            </w:r>
            <w:r>
              <w:rPr>
                <w:b/>
                <w:bCs/>
                <w:color w:val="auto"/>
                <w:spacing w:val="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auto"/>
                <w:spacing w:val="14"/>
                <w:sz w:val="17"/>
                <w:szCs w:val="17"/>
              </w:rPr>
              <w:t>evidence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2242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2BA9261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firstLine="412" w:firstLineChars="20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7"/>
                <w:w w:val="113"/>
                <w:sz w:val="17"/>
                <w:szCs w:val="17"/>
              </w:rPr>
              <w:t>Strength of</w:t>
            </w:r>
          </w:p>
          <w:p w14:paraId="72991E8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8" w:firstLineChars="20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5"/>
                <w:w w:val="120"/>
                <w:sz w:val="17"/>
                <w:szCs w:val="17"/>
              </w:rPr>
              <w:t>recommendation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fldChar w:fldCharType="end"/>
            </w:r>
          </w:p>
        </w:tc>
      </w:tr>
      <w:tr w14:paraId="463511F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2683" w:type="dxa"/>
            <w:tcBorders>
              <w:top w:val="single" w:color="auto" w:sz="8" w:space="0"/>
            </w:tcBorders>
            <w:vAlign w:val="top"/>
          </w:tcPr>
          <w:p w14:paraId="474D0AA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3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0" w:type="dxa"/>
            <w:tcBorders>
              <w:top w:val="single" w:color="auto" w:sz="8" w:space="0"/>
            </w:tcBorders>
            <w:vAlign w:val="top"/>
          </w:tcPr>
          <w:p w14:paraId="0D7973E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Avoid antipsychotics for behavioral problems of </w:t>
            </w:r>
          </w:p>
          <w:p w14:paraId="0F4BCF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>dementia or delirium unless documented</w:t>
            </w:r>
          </w:p>
          <w:p w14:paraId="3A2637A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>nonpharmacologic options (e.g., behavioral</w:t>
            </w:r>
          </w:p>
          <w:p w14:paraId="3B90FE3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interventions) have failed and/or the patient is </w:t>
            </w:r>
          </w:p>
          <w:p w14:paraId="6FB6E72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threatening substantial harm to self or others.   </w:t>
            </w:r>
          </w:p>
          <w:p w14:paraId="6A53ECB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>If used, periodic deprescribing attempts should be</w:t>
            </w:r>
          </w:p>
          <w:p w14:paraId="308BCDC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considered to assess ongoing need and/or the lowest </w:t>
            </w:r>
          </w:p>
          <w:p w14:paraId="0B083F0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>effective dose.</w:t>
            </w:r>
          </w:p>
        </w:tc>
        <w:tc>
          <w:tcPr>
            <w:tcW w:w="3300" w:type="dxa"/>
            <w:tcBorders>
              <w:top w:val="single" w:color="auto" w:sz="8" w:space="0"/>
            </w:tcBorders>
            <w:vAlign w:val="top"/>
          </w:tcPr>
          <w:p w14:paraId="1B16A1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right="449" w:right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65" w:type="dxa"/>
            <w:tcBorders>
              <w:top w:val="single" w:color="auto" w:sz="8" w:space="0"/>
            </w:tcBorders>
            <w:vAlign w:val="top"/>
          </w:tcPr>
          <w:p w14:paraId="721C3B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 w:left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42" w:type="dxa"/>
            <w:tcBorders>
              <w:top w:val="single" w:color="auto" w:sz="8" w:space="0"/>
            </w:tcBorders>
            <w:vAlign w:val="top"/>
          </w:tcPr>
          <w:p w14:paraId="21E57A6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firstLine="510" w:firstLineChars="30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</w:tr>
      <w:tr w14:paraId="039EE9B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683" w:type="dxa"/>
            <w:shd w:val="clear" w:color="auto" w:fill="E6E7E9"/>
            <w:vAlign w:val="top"/>
          </w:tcPr>
          <w:p w14:paraId="1F2C603F">
            <w:pPr>
              <w:pStyle w:val="9"/>
              <w:spacing w:before="81" w:line="240" w:lineRule="auto"/>
              <w:ind w:left="14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Barbiturates</w:t>
            </w:r>
          </w:p>
          <w:p w14:paraId="06127F0B">
            <w:pPr>
              <w:pStyle w:val="9"/>
              <w:spacing w:line="240" w:lineRule="auto"/>
              <w:ind w:left="0" w:firstLine="364" w:firstLineChars="200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Butalbital</w:t>
            </w:r>
          </w:p>
          <w:p w14:paraId="486BFD55">
            <w:pPr>
              <w:pStyle w:val="9"/>
              <w:spacing w:line="240" w:lineRule="auto"/>
              <w:ind w:left="0" w:right="0" w:firstLine="372" w:firstLineChars="20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Phenobarbital</w:t>
            </w:r>
            <w:r>
              <w:rPr>
                <w:sz w:val="17"/>
                <w:szCs w:val="17"/>
              </w:rPr>
              <w:t xml:space="preserve"> </w:t>
            </w:r>
          </w:p>
          <w:p w14:paraId="6BE4338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9" w:leftChars="90" w:right="0" w:firstLine="186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Primidone</w:t>
            </w:r>
          </w:p>
        </w:tc>
        <w:tc>
          <w:tcPr>
            <w:tcW w:w="4580" w:type="dxa"/>
            <w:shd w:val="clear" w:color="auto" w:fill="E6E7E9"/>
            <w:vAlign w:val="top"/>
          </w:tcPr>
          <w:p w14:paraId="7545D7E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High rate of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physical dependence,</w:t>
            </w:r>
            <w:r>
              <w:rPr>
                <w:rFonts w:hint="eastAsia" w:eastAsia="宋体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tolerance</w:t>
            </w:r>
            <w:r>
              <w:rPr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to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sleep benefits, greater risk of overdose at l</w:t>
            </w:r>
            <w:r>
              <w:rPr>
                <w:spacing w:val="5"/>
                <w:sz w:val="17"/>
                <w:szCs w:val="17"/>
              </w:rPr>
              <w:t>ow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dosages.</w:t>
            </w:r>
          </w:p>
        </w:tc>
        <w:tc>
          <w:tcPr>
            <w:tcW w:w="3300" w:type="dxa"/>
            <w:shd w:val="clear" w:color="auto" w:fill="E6E7E9"/>
            <w:vAlign w:val="top"/>
          </w:tcPr>
          <w:p w14:paraId="1FD81CD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865" w:type="dxa"/>
            <w:shd w:val="clear" w:color="auto" w:fill="E6E7E9"/>
            <w:vAlign w:val="top"/>
          </w:tcPr>
          <w:p w14:paraId="2DD4330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High</w:t>
            </w:r>
          </w:p>
        </w:tc>
        <w:tc>
          <w:tcPr>
            <w:tcW w:w="2242" w:type="dxa"/>
            <w:shd w:val="clear" w:color="auto" w:fill="E6E7E9"/>
            <w:vAlign w:val="top"/>
          </w:tcPr>
          <w:p w14:paraId="3ED09CD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6C3BAB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683" w:type="dxa"/>
            <w:vAlign w:val="top"/>
          </w:tcPr>
          <w:p w14:paraId="0B5DC318">
            <w:pPr>
              <w:pStyle w:val="9"/>
              <w:spacing w:line="240" w:lineRule="auto"/>
              <w:ind w:left="0" w:right="0" w:firstLine="0"/>
              <w:rPr>
                <w:spacing w:val="9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Benzodiazepines</w:t>
            </w:r>
            <w:r>
              <w:rPr>
                <w:spacing w:val="9"/>
                <w:sz w:val="17"/>
                <w:szCs w:val="17"/>
              </w:rPr>
              <w:t xml:space="preserve"> </w:t>
            </w:r>
          </w:p>
          <w:p w14:paraId="63D675FA">
            <w:pPr>
              <w:pStyle w:val="9"/>
              <w:spacing w:line="240" w:lineRule="auto"/>
              <w:ind w:right="0" w:firstLine="184" w:firstLineChars="10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Alprazolam</w:t>
            </w:r>
          </w:p>
          <w:p w14:paraId="2C1E2732">
            <w:pPr>
              <w:pStyle w:val="9"/>
              <w:spacing w:line="240" w:lineRule="auto"/>
              <w:ind w:firstLine="184" w:firstLineChars="10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Chlordiazepoxide (alon</w:t>
            </w:r>
            <w:r>
              <w:rPr>
                <w:spacing w:val="6"/>
                <w:sz w:val="17"/>
                <w:szCs w:val="17"/>
              </w:rPr>
              <w:t>e or in</w:t>
            </w:r>
          </w:p>
          <w:p w14:paraId="0496C6E7">
            <w:pPr>
              <w:pStyle w:val="9"/>
              <w:spacing w:before="32" w:line="240" w:lineRule="auto"/>
              <w:ind w:left="295" w:right="47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combination with amitriptyli</w:t>
            </w:r>
            <w:r>
              <w:rPr>
                <w:spacing w:val="7"/>
                <w:sz w:val="17"/>
                <w:szCs w:val="17"/>
              </w:rPr>
              <w:t>ne or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clidinium)</w:t>
            </w:r>
          </w:p>
          <w:p w14:paraId="5F3C5829">
            <w:pPr>
              <w:pStyle w:val="9"/>
              <w:spacing w:line="240" w:lineRule="auto"/>
              <w:ind w:left="0" w:firstLine="184" w:firstLineChars="10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Clobazam</w:t>
            </w:r>
          </w:p>
          <w:p w14:paraId="3961AD88">
            <w:pPr>
              <w:pStyle w:val="9"/>
              <w:spacing w:line="240" w:lineRule="auto"/>
              <w:ind w:left="0" w:right="0" w:firstLine="186" w:firstLineChars="100"/>
              <w:rPr>
                <w:spacing w:val="2"/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Clonazepam</w:t>
            </w:r>
            <w:r>
              <w:rPr>
                <w:spacing w:val="2"/>
                <w:sz w:val="17"/>
                <w:szCs w:val="17"/>
              </w:rPr>
              <w:t xml:space="preserve"> </w:t>
            </w:r>
          </w:p>
          <w:p w14:paraId="7E424D16">
            <w:pPr>
              <w:pStyle w:val="9"/>
              <w:spacing w:line="240" w:lineRule="auto"/>
              <w:ind w:left="0" w:right="0" w:firstLine="182" w:firstLineChars="100"/>
              <w:rPr>
                <w:spacing w:val="4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Clorazepate</w:t>
            </w:r>
            <w:r>
              <w:rPr>
                <w:spacing w:val="4"/>
                <w:sz w:val="17"/>
                <w:szCs w:val="17"/>
              </w:rPr>
              <w:t xml:space="preserve">  </w:t>
            </w:r>
          </w:p>
          <w:p w14:paraId="0B2836F0">
            <w:pPr>
              <w:pStyle w:val="9"/>
              <w:spacing w:line="240" w:lineRule="auto"/>
              <w:ind w:left="0" w:right="0" w:firstLine="186" w:firstLineChars="10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Diazepam</w:t>
            </w:r>
          </w:p>
          <w:p w14:paraId="43FA436C">
            <w:pPr>
              <w:pStyle w:val="9"/>
              <w:spacing w:line="240" w:lineRule="auto"/>
              <w:ind w:left="0" w:right="0" w:firstLine="184" w:firstLineChars="10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Estazolam</w:t>
            </w:r>
          </w:p>
          <w:p w14:paraId="23FFD781">
            <w:pPr>
              <w:pStyle w:val="9"/>
              <w:spacing w:line="240" w:lineRule="auto"/>
              <w:ind w:left="0" w:right="0" w:firstLine="184" w:firstLineChars="100"/>
              <w:rPr>
                <w:spacing w:val="2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Lorazepam</w:t>
            </w:r>
            <w:r>
              <w:rPr>
                <w:spacing w:val="2"/>
                <w:sz w:val="17"/>
                <w:szCs w:val="17"/>
              </w:rPr>
              <w:t xml:space="preserve">   </w:t>
            </w:r>
          </w:p>
          <w:p w14:paraId="58C61D24">
            <w:pPr>
              <w:pStyle w:val="9"/>
              <w:spacing w:line="240" w:lineRule="auto"/>
              <w:ind w:left="0" w:right="0" w:firstLine="184" w:firstLineChars="100"/>
              <w:rPr>
                <w:spacing w:val="2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Midazolam</w:t>
            </w:r>
            <w:r>
              <w:rPr>
                <w:spacing w:val="2"/>
                <w:sz w:val="17"/>
                <w:szCs w:val="17"/>
              </w:rPr>
              <w:t xml:space="preserve">   </w:t>
            </w:r>
          </w:p>
          <w:p w14:paraId="20756785">
            <w:pPr>
              <w:pStyle w:val="9"/>
              <w:spacing w:line="240" w:lineRule="auto"/>
              <w:ind w:left="0" w:right="0" w:firstLine="186" w:firstLineChars="10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Oxazepam</w:t>
            </w:r>
            <w:r>
              <w:rPr>
                <w:sz w:val="17"/>
                <w:szCs w:val="17"/>
              </w:rPr>
              <w:t xml:space="preserve">    </w:t>
            </w:r>
          </w:p>
          <w:p w14:paraId="3EB0CB9E">
            <w:pPr>
              <w:pStyle w:val="9"/>
              <w:spacing w:line="240" w:lineRule="auto"/>
              <w:ind w:left="0" w:right="0" w:firstLine="188" w:firstLineChars="100"/>
              <w:rPr>
                <w:spacing w:val="9"/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Temazepam</w:t>
            </w:r>
          </w:p>
          <w:p w14:paraId="6723A1B2">
            <w:pPr>
              <w:pStyle w:val="9"/>
              <w:spacing w:line="240" w:lineRule="auto"/>
              <w:ind w:left="0" w:right="0" w:firstLine="184" w:firstLineChars="100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Triazolam</w:t>
            </w:r>
          </w:p>
        </w:tc>
        <w:tc>
          <w:tcPr>
            <w:tcW w:w="4580" w:type="dxa"/>
            <w:vAlign w:val="top"/>
          </w:tcPr>
          <w:p w14:paraId="20753959">
            <w:pPr>
              <w:pStyle w:val="9"/>
              <w:spacing w:line="240" w:lineRule="auto"/>
              <w:ind w:left="184" w:right="0" w:hanging="184" w:hangingChars="10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The use of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benzodiazepines ex</w:t>
            </w:r>
            <w:r>
              <w:rPr>
                <w:spacing w:val="6"/>
                <w:sz w:val="17"/>
                <w:szCs w:val="17"/>
              </w:rPr>
              <w:t>poses users to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risks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of abuse, misuse, and</w:t>
            </w:r>
            <w:r>
              <w:rPr>
                <w:rFonts w:hint="eastAsia" w:eastAsia="宋体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addiction.Concomitant</w:t>
            </w:r>
            <w:r>
              <w:rPr>
                <w:spacing w:val="4"/>
                <w:sz w:val="17"/>
                <w:szCs w:val="17"/>
              </w:rPr>
              <w:t xml:space="preserve">    </w:t>
            </w:r>
            <w:r>
              <w:rPr>
                <w:spacing w:val="7"/>
                <w:sz w:val="17"/>
                <w:szCs w:val="17"/>
              </w:rPr>
              <w:t>use of opioids may result in profound sedati</w:t>
            </w:r>
            <w:r>
              <w:rPr>
                <w:spacing w:val="6"/>
                <w:sz w:val="17"/>
                <w:szCs w:val="17"/>
              </w:rPr>
              <w:t>on,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respiratory depression, coma, and death.</w:t>
            </w:r>
          </w:p>
          <w:p w14:paraId="05D2DBD5">
            <w:pPr>
              <w:pStyle w:val="9"/>
              <w:spacing w:before="130" w:line="240" w:lineRule="auto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Older adults have i</w:t>
            </w:r>
            <w:r>
              <w:rPr>
                <w:spacing w:val="6"/>
                <w:sz w:val="17"/>
                <w:szCs w:val="17"/>
              </w:rPr>
              <w:t>ncreased sensitivity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to</w:t>
            </w:r>
          </w:p>
          <w:p w14:paraId="114A8C85">
            <w:pPr>
              <w:pStyle w:val="9"/>
              <w:spacing w:line="240" w:lineRule="auto"/>
              <w:ind w:left="168" w:leftChars="80" w:right="0" w:firstLine="0" w:firstLineChars="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benzodiazepines and decreased m</w:t>
            </w:r>
            <w:r>
              <w:rPr>
                <w:spacing w:val="7"/>
                <w:sz w:val="17"/>
                <w:szCs w:val="17"/>
              </w:rPr>
              <w:t>etabolism of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long-acting agents; the continued use</w:t>
            </w:r>
            <w:r>
              <w:rPr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of</w:t>
            </w:r>
          </w:p>
          <w:p w14:paraId="15318F35">
            <w:pPr>
              <w:pStyle w:val="9"/>
              <w:spacing w:line="240" w:lineRule="auto"/>
              <w:ind w:left="0" w:right="0" w:firstLine="184" w:firstLineChars="100"/>
              <w:rPr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benzodiazepines may lead t</w:t>
            </w:r>
            <w:r>
              <w:rPr>
                <w:spacing w:val="6"/>
                <w:position w:val="2"/>
                <w:sz w:val="17"/>
                <w:szCs w:val="17"/>
              </w:rPr>
              <w:t>o clinically</w:t>
            </w:r>
          </w:p>
          <w:p w14:paraId="28E7DDD0">
            <w:pPr>
              <w:pStyle w:val="9"/>
              <w:spacing w:line="240" w:lineRule="auto"/>
              <w:ind w:left="168" w:leftChars="80" w:right="0" w:firstLine="0" w:firstLineChars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significant physical dependen</w:t>
            </w:r>
            <w:r>
              <w:rPr>
                <w:spacing w:val="6"/>
                <w:sz w:val="17"/>
                <w:szCs w:val="17"/>
              </w:rPr>
              <w:t>ce. In general, all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benzodiazepines increase the risk of</w:t>
            </w:r>
            <w:r>
              <w:rPr>
                <w:spacing w:val="-4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cog</w:t>
            </w:r>
            <w:r>
              <w:rPr>
                <w:spacing w:val="6"/>
                <w:sz w:val="17"/>
                <w:szCs w:val="17"/>
              </w:rPr>
              <w:t>nitive</w:t>
            </w:r>
            <w:r>
              <w:rPr>
                <w:sz w:val="17"/>
                <w:szCs w:val="17"/>
              </w:rPr>
              <w:t xml:space="preserve">   </w:t>
            </w:r>
            <w:r>
              <w:rPr>
                <w:spacing w:val="7"/>
                <w:sz w:val="17"/>
                <w:szCs w:val="17"/>
              </w:rPr>
              <w:t>impairment, delirium, falls, fractures, and</w:t>
            </w:r>
          </w:p>
          <w:p w14:paraId="59A70155">
            <w:pPr>
              <w:pStyle w:val="9"/>
              <w:spacing w:line="240" w:lineRule="auto"/>
              <w:ind w:left="168" w:leftChars="80" w:right="0" w:firstLine="0" w:firstLineChars="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motor vehicle crashes in old</w:t>
            </w:r>
            <w:r>
              <w:rPr>
                <w:spacing w:val="6"/>
                <w:sz w:val="17"/>
                <w:szCs w:val="17"/>
              </w:rPr>
              <w:t>er</w:t>
            </w:r>
            <w:r>
              <w:rPr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adults.</w:t>
            </w:r>
          </w:p>
          <w:p w14:paraId="2CFF3414">
            <w:pPr>
              <w:pStyle w:val="9"/>
              <w:spacing w:line="240" w:lineRule="auto"/>
              <w:ind w:left="186" w:right="0" w:hanging="186" w:hangingChars="10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Maybe appropriate for seizure d</w:t>
            </w:r>
            <w:r>
              <w:rPr>
                <w:spacing w:val="7"/>
                <w:sz w:val="17"/>
                <w:szCs w:val="17"/>
              </w:rPr>
              <w:t>isorders, rapid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eye movement sleep behavior disorde</w:t>
            </w:r>
            <w:r>
              <w:rPr>
                <w:spacing w:val="6"/>
                <w:sz w:val="17"/>
                <w:szCs w:val="17"/>
              </w:rPr>
              <w:t>r,</w:t>
            </w:r>
          </w:p>
          <w:p w14:paraId="6E97EF54">
            <w:pPr>
              <w:pStyle w:val="9"/>
              <w:spacing w:line="240" w:lineRule="auto"/>
              <w:ind w:left="0" w:right="0" w:firstLine="186" w:firstLineChars="100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spacing w:val="8"/>
                <w:position w:val="2"/>
                <w:sz w:val="17"/>
                <w:szCs w:val="17"/>
              </w:rPr>
              <w:t>benzodiazepine withdrawal, ethanol</w:t>
            </w:r>
            <w:r>
              <w:rPr>
                <w:rFonts w:hint="eastAsia" w:eastAsia="宋体"/>
                <w:spacing w:val="8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napToGrid w:val="0"/>
                <w:color w:val="000000"/>
                <w:spacing w:val="8"/>
                <w:kern w:val="0"/>
                <w:sz w:val="17"/>
                <w:szCs w:val="17"/>
                <w:lang w:val="en-US" w:eastAsia="en-US" w:bidi="ar-SA"/>
              </w:rPr>
              <w:t>withdrawal, severe generalized anxiety disorder, and periprocedural anesthesia.</w:t>
            </w:r>
          </w:p>
        </w:tc>
        <w:tc>
          <w:tcPr>
            <w:tcW w:w="3300" w:type="dxa"/>
            <w:vAlign w:val="top"/>
          </w:tcPr>
          <w:p w14:paraId="2ACEB24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865" w:type="dxa"/>
            <w:vAlign w:val="top"/>
          </w:tcPr>
          <w:p w14:paraId="51DF236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2242" w:type="dxa"/>
            <w:vAlign w:val="top"/>
          </w:tcPr>
          <w:p w14:paraId="13C9C0A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538B60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2683" w:type="dxa"/>
            <w:shd w:val="clear" w:color="auto" w:fill="E6E7E9"/>
            <w:vAlign w:val="top"/>
          </w:tcPr>
          <w:p w14:paraId="725FF8C1">
            <w:pPr>
              <w:pStyle w:val="9"/>
              <w:spacing w:line="240" w:lineRule="auto"/>
              <w:ind w:left="0" w:right="0" w:firstLine="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Nonbenzodiazepine benzodiazepine</w:t>
            </w:r>
          </w:p>
          <w:p w14:paraId="3D5E2F35">
            <w:pPr>
              <w:pStyle w:val="9"/>
              <w:spacing w:line="240" w:lineRule="auto"/>
              <w:ind w:left="0" w:right="0" w:firstLine="184" w:firstLineChars="100"/>
              <w:rPr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receptor agonist hypnotics (</w:t>
            </w:r>
            <w:r>
              <w:rPr>
                <w:rFonts w:ascii="Arial" w:hAnsi="Arial" w:eastAsia="Arial" w:cs="Arial"/>
                <w:spacing w:val="7"/>
                <w:position w:val="2"/>
                <w:sz w:val="17"/>
                <w:szCs w:val="17"/>
              </w:rPr>
              <w:t>“</w:t>
            </w:r>
            <w:r>
              <w:rPr>
                <w:spacing w:val="7"/>
                <w:position w:val="2"/>
                <w:sz w:val="17"/>
                <w:szCs w:val="17"/>
              </w:rPr>
              <w:t>Z-drugs</w:t>
            </w:r>
            <w:r>
              <w:rPr>
                <w:rFonts w:ascii="Arial" w:hAnsi="Arial" w:eastAsia="Arial" w:cs="Arial"/>
                <w:spacing w:val="7"/>
                <w:position w:val="2"/>
                <w:sz w:val="17"/>
                <w:szCs w:val="17"/>
              </w:rPr>
              <w:t>”</w:t>
            </w:r>
            <w:r>
              <w:rPr>
                <w:spacing w:val="7"/>
                <w:position w:val="2"/>
                <w:sz w:val="17"/>
                <w:szCs w:val="17"/>
              </w:rPr>
              <w:t>)</w:t>
            </w:r>
          </w:p>
          <w:p w14:paraId="0863C7CC">
            <w:pPr>
              <w:pStyle w:val="9"/>
              <w:spacing w:line="240" w:lineRule="auto"/>
              <w:ind w:left="0" w:right="0" w:firstLine="180" w:firstLineChars="100"/>
              <w:rPr>
                <w:spacing w:val="9"/>
                <w:w w:val="102"/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Eszopiclone</w:t>
            </w:r>
            <w:r>
              <w:rPr>
                <w:spacing w:val="9"/>
                <w:w w:val="102"/>
                <w:sz w:val="17"/>
                <w:szCs w:val="17"/>
              </w:rPr>
              <w:t xml:space="preserve"> </w:t>
            </w:r>
          </w:p>
          <w:p w14:paraId="2D8EBA8F">
            <w:pPr>
              <w:pStyle w:val="9"/>
              <w:spacing w:line="240" w:lineRule="auto"/>
              <w:ind w:left="0" w:right="0" w:firstLine="182" w:firstLineChars="100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Zaleplon</w:t>
            </w:r>
          </w:p>
          <w:p w14:paraId="03EB16D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82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Zolpidem</w:t>
            </w:r>
          </w:p>
        </w:tc>
        <w:tc>
          <w:tcPr>
            <w:tcW w:w="4580" w:type="dxa"/>
            <w:shd w:val="clear" w:color="auto" w:fill="E6E7E9"/>
            <w:vAlign w:val="top"/>
          </w:tcPr>
          <w:p w14:paraId="0AE0F339">
            <w:pPr>
              <w:pStyle w:val="9"/>
              <w:spacing w:line="240" w:lineRule="auto"/>
              <w:ind w:left="0" w:right="0" w:firstLine="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Nonbenzodiazepine benzodiazepine</w:t>
            </w:r>
            <w:r>
              <w:rPr>
                <w:spacing w:val="7"/>
                <w:sz w:val="17"/>
                <w:szCs w:val="17"/>
              </w:rPr>
              <w:t xml:space="preserve"> receptor</w:t>
            </w:r>
          </w:p>
          <w:p w14:paraId="4A851D5A">
            <w:pPr>
              <w:pStyle w:val="9"/>
              <w:spacing w:line="240" w:lineRule="auto"/>
              <w:ind w:left="168" w:leftChars="80" w:right="0" w:firstLine="0" w:firstLineChars="0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agonist hypnotics (</w:t>
            </w:r>
            <w:r>
              <w:rPr>
                <w:rFonts w:ascii="Arial" w:hAnsi="Arial" w:eastAsia="Arial" w:cs="Arial"/>
                <w:spacing w:val="7"/>
                <w:sz w:val="17"/>
                <w:szCs w:val="17"/>
              </w:rPr>
              <w:t>“</w:t>
            </w:r>
            <w:r>
              <w:rPr>
                <w:spacing w:val="7"/>
                <w:sz w:val="17"/>
                <w:szCs w:val="17"/>
              </w:rPr>
              <w:t>Z-drugs</w:t>
            </w:r>
            <w:r>
              <w:rPr>
                <w:rFonts w:ascii="Arial" w:hAnsi="Arial" w:eastAsia="Arial" w:cs="Arial"/>
                <w:spacing w:val="7"/>
                <w:sz w:val="17"/>
                <w:szCs w:val="17"/>
              </w:rPr>
              <w:t>”</w:t>
            </w:r>
            <w:r>
              <w:rPr>
                <w:spacing w:val="7"/>
                <w:sz w:val="17"/>
                <w:szCs w:val="17"/>
              </w:rPr>
              <w:t>) have adverse</w:t>
            </w:r>
            <w:r>
              <w:rPr>
                <w:sz w:val="17"/>
                <w:szCs w:val="17"/>
              </w:rPr>
              <w:t xml:space="preserve">    </w:t>
            </w:r>
            <w:r>
              <w:rPr>
                <w:spacing w:val="7"/>
                <w:sz w:val="17"/>
                <w:szCs w:val="17"/>
              </w:rPr>
              <w:t>events similar to those</w:t>
            </w:r>
            <w:r>
              <w:rPr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of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benzodiazepines in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older adults (e.g., delirium, fal</w:t>
            </w:r>
            <w:r>
              <w:rPr>
                <w:spacing w:val="5"/>
                <w:sz w:val="17"/>
                <w:szCs w:val="17"/>
              </w:rPr>
              <w:t>ls,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fractures,</w:t>
            </w:r>
            <w:r>
              <w:rPr>
                <w:rFonts w:hint="eastAsia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increased emergency room visits/hospitalizations, motor vehicle crashes);</w:t>
            </w:r>
          </w:p>
          <w:p w14:paraId="43A3DB71">
            <w:pPr>
              <w:pStyle w:val="9"/>
              <w:spacing w:line="240" w:lineRule="auto"/>
              <w:ind w:left="168" w:leftChars="80" w:right="0" w:firstLine="0" w:firstLineChars="0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minimal improvement in sleep latency and duration.</w:t>
            </w:r>
          </w:p>
        </w:tc>
        <w:tc>
          <w:tcPr>
            <w:tcW w:w="3300" w:type="dxa"/>
            <w:shd w:val="clear" w:color="auto" w:fill="E6E7E9"/>
            <w:vAlign w:val="top"/>
          </w:tcPr>
          <w:p w14:paraId="11978FA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6" w:right="466" w:hanging="156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865" w:type="dxa"/>
            <w:shd w:val="clear" w:color="auto" w:fill="E6E7E9"/>
            <w:vAlign w:val="top"/>
          </w:tcPr>
          <w:p w14:paraId="78AD07E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2242" w:type="dxa"/>
            <w:shd w:val="clear" w:color="auto" w:fill="E6E7E9"/>
            <w:vAlign w:val="top"/>
          </w:tcPr>
          <w:p w14:paraId="6FA335A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592F02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683" w:type="dxa"/>
            <w:tcBorders/>
            <w:vAlign w:val="top"/>
          </w:tcPr>
          <w:p w14:paraId="2BFB141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Meprobamate</w:t>
            </w:r>
          </w:p>
        </w:tc>
        <w:tc>
          <w:tcPr>
            <w:tcW w:w="4580" w:type="dxa"/>
            <w:tcBorders/>
            <w:vAlign w:val="top"/>
          </w:tcPr>
          <w:p w14:paraId="07DFC2F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High rate of</w:t>
            </w:r>
            <w:r>
              <w:rPr>
                <w:spacing w:val="-5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physical dependence; v</w:t>
            </w:r>
            <w:r>
              <w:rPr>
                <w:spacing w:val="6"/>
                <w:sz w:val="17"/>
                <w:szCs w:val="17"/>
              </w:rPr>
              <w:t>ery sedating.</w:t>
            </w:r>
          </w:p>
        </w:tc>
        <w:tc>
          <w:tcPr>
            <w:tcW w:w="3300" w:type="dxa"/>
            <w:tcBorders/>
            <w:vAlign w:val="top"/>
          </w:tcPr>
          <w:p w14:paraId="1B03638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865" w:type="dxa"/>
            <w:tcBorders/>
            <w:vAlign w:val="top"/>
          </w:tcPr>
          <w:p w14:paraId="25F125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2242" w:type="dxa"/>
            <w:tcBorders/>
            <w:vAlign w:val="top"/>
          </w:tcPr>
          <w:p w14:paraId="33B6893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510FAF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83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09EA051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ind w:left="184" w:hanging="184" w:hangingChars="100"/>
              <w:textAlignment w:val="baseline"/>
              <w:rPr>
                <w:spacing w:val="8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Ergoloid mesylates (dehydro</w:t>
            </w:r>
            <w:r>
              <w:rPr>
                <w:spacing w:val="6"/>
                <w:sz w:val="17"/>
                <w:szCs w:val="17"/>
              </w:rPr>
              <w:t>genated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ergot alkaloids)</w:t>
            </w:r>
          </w:p>
        </w:tc>
        <w:tc>
          <w:tcPr>
            <w:tcW w:w="4580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DB5762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ind w:left="184" w:right="646" w:hanging="176" w:hangingChars="100"/>
              <w:textAlignment w:val="baseline"/>
              <w:rPr>
                <w:spacing w:val="7"/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Lack of efficacy.</w:t>
            </w:r>
          </w:p>
        </w:tc>
        <w:tc>
          <w:tcPr>
            <w:tcW w:w="3300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3F1CE9C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textAlignment w:val="baseline"/>
              <w:rPr>
                <w:rFonts w:hint="default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865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1FB29C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rFonts w:hint="default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High</w:t>
            </w:r>
          </w:p>
        </w:tc>
        <w:tc>
          <w:tcPr>
            <w:tcW w:w="2242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50B907B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</w:tbl>
    <w:p w14:paraId="5B0F897E">
      <w:pPr>
        <w:pStyle w:val="2"/>
        <w:spacing w:before="166" w:line="191" w:lineRule="auto"/>
        <w:ind w:firstLine="13376" w:firstLineChars="7600"/>
        <w:rPr>
          <w:sz w:val="17"/>
          <w:szCs w:val="17"/>
        </w:rPr>
      </w:pPr>
      <w:r>
        <w:rPr>
          <w:spacing w:val="3"/>
          <w:sz w:val="17"/>
          <w:szCs w:val="17"/>
        </w:rPr>
        <w:t>(Continues)</w:t>
      </w:r>
    </w:p>
    <w:p w14:paraId="772E3062">
      <w:pPr>
        <w:pStyle w:val="2"/>
        <w:spacing w:before="48" w:line="191" w:lineRule="auto"/>
        <w:rPr>
          <w:color w:val="636366"/>
          <w:spacing w:val="9"/>
          <w:sz w:val="17"/>
          <w:szCs w:val="17"/>
        </w:rPr>
      </w:pPr>
    </w:p>
    <w:p w14:paraId="6A04CB96">
      <w:pPr>
        <w:pStyle w:val="2"/>
        <w:spacing w:before="48" w:line="191" w:lineRule="auto"/>
        <w:ind w:left="655"/>
        <w:rPr>
          <w:color w:val="636366"/>
          <w:spacing w:val="9"/>
          <w:sz w:val="17"/>
          <w:szCs w:val="17"/>
        </w:rPr>
      </w:pPr>
    </w:p>
    <w:p w14:paraId="1CD0219D">
      <w:pPr>
        <w:pStyle w:val="2"/>
        <w:spacing w:before="48" w:line="191" w:lineRule="auto"/>
        <w:ind w:left="655"/>
        <w:rPr>
          <w:color w:val="636366"/>
          <w:spacing w:val="9"/>
          <w:sz w:val="17"/>
          <w:szCs w:val="17"/>
        </w:rPr>
      </w:pPr>
    </w:p>
    <w:p w14:paraId="7173697C">
      <w:pPr>
        <w:pStyle w:val="2"/>
        <w:spacing w:before="48" w:line="191" w:lineRule="auto"/>
        <w:ind w:left="655"/>
        <w:rPr>
          <w:color w:val="636366"/>
          <w:spacing w:val="9"/>
          <w:sz w:val="17"/>
          <w:szCs w:val="17"/>
        </w:rPr>
      </w:pPr>
    </w:p>
    <w:p w14:paraId="17CB833B">
      <w:pPr>
        <w:pStyle w:val="2"/>
        <w:spacing w:before="48" w:line="191" w:lineRule="auto"/>
        <w:ind w:left="655"/>
        <w:rPr>
          <w:color w:val="636366"/>
          <w:spacing w:val="9"/>
          <w:sz w:val="17"/>
          <w:szCs w:val="17"/>
        </w:rPr>
      </w:pPr>
    </w:p>
    <w:p w14:paraId="10430D7D">
      <w:pPr>
        <w:pStyle w:val="2"/>
        <w:spacing w:before="48" w:line="191" w:lineRule="auto"/>
        <w:ind w:left="655"/>
        <w:rPr>
          <w:color w:val="636366"/>
          <w:spacing w:val="9"/>
          <w:sz w:val="17"/>
          <w:szCs w:val="17"/>
        </w:rPr>
      </w:pPr>
    </w:p>
    <w:p w14:paraId="79F8B5A1">
      <w:pPr>
        <w:pStyle w:val="2"/>
        <w:spacing w:before="48" w:line="191" w:lineRule="auto"/>
        <w:rPr>
          <w:color w:val="636366"/>
          <w:spacing w:val="9"/>
          <w:sz w:val="17"/>
          <w:szCs w:val="17"/>
        </w:rPr>
      </w:pPr>
    </w:p>
    <w:p w14:paraId="676E15BC">
      <w:pPr>
        <w:pStyle w:val="2"/>
        <w:spacing w:before="48" w:line="191" w:lineRule="auto"/>
        <w:rPr>
          <w:color w:val="636366"/>
          <w:spacing w:val="9"/>
          <w:sz w:val="17"/>
          <w:szCs w:val="17"/>
        </w:rPr>
      </w:pPr>
    </w:p>
    <w:p w14:paraId="3628C749">
      <w:pPr>
        <w:pStyle w:val="2"/>
        <w:spacing w:before="48" w:line="191" w:lineRule="auto"/>
        <w:rPr>
          <w:color w:val="636366"/>
          <w:spacing w:val="9"/>
          <w:sz w:val="17"/>
          <w:szCs w:val="17"/>
        </w:rPr>
      </w:pPr>
    </w:p>
    <w:p w14:paraId="75BC83B3">
      <w:pPr>
        <w:pStyle w:val="2"/>
        <w:spacing w:before="48" w:line="191" w:lineRule="auto"/>
        <w:ind w:left="655"/>
        <w:rPr>
          <w:rFonts w:hint="eastAsia" w:eastAsia="宋体"/>
          <w:lang w:val="en-US" w:eastAsia="zh-CN"/>
        </w:rPr>
      </w:pPr>
      <w:r>
        <w:rPr>
          <w:color w:val="636366"/>
          <w:spacing w:val="9"/>
          <w:sz w:val="17"/>
          <w:szCs w:val="17"/>
        </w:rPr>
        <w:t>TABLE</w:t>
      </w:r>
      <w:r>
        <w:rPr>
          <w:color w:val="636366"/>
          <w:spacing w:val="36"/>
          <w:sz w:val="17"/>
          <w:szCs w:val="17"/>
        </w:rPr>
        <w:t xml:space="preserve"> </w:t>
      </w:r>
      <w:r>
        <w:rPr>
          <w:rFonts w:hint="eastAsia" w:eastAsia="宋体"/>
          <w:color w:val="636366"/>
          <w:spacing w:val="9"/>
          <w:sz w:val="17"/>
          <w:szCs w:val="17"/>
          <w:lang w:val="en-US" w:eastAsia="zh-CN"/>
        </w:rPr>
        <w:t>1</w:t>
      </w:r>
      <w:r>
        <w:rPr>
          <w:color w:val="636366"/>
          <w:spacing w:val="3"/>
          <w:sz w:val="17"/>
          <w:szCs w:val="17"/>
        </w:rPr>
        <w:t xml:space="preserve">     </w:t>
      </w:r>
      <w:r>
        <w:rPr>
          <w:spacing w:val="9"/>
          <w:sz w:val="17"/>
          <w:szCs w:val="17"/>
        </w:rPr>
        <w:t>(Continued)</w:t>
      </w:r>
    </w:p>
    <w:p w14:paraId="71688E44">
      <w:pPr>
        <w:tabs>
          <w:tab w:val="left" w:pos="1371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</w:t>
      </w:r>
    </w:p>
    <w:tbl>
      <w:tblPr>
        <w:tblStyle w:val="8"/>
        <w:tblW w:w="13670" w:type="dxa"/>
        <w:tblInd w:w="65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3"/>
        <w:gridCol w:w="4580"/>
        <w:gridCol w:w="3235"/>
        <w:gridCol w:w="1015"/>
        <w:gridCol w:w="2157"/>
      </w:tblGrid>
      <w:tr w14:paraId="7AECFD5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683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292F53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5"/>
                <w:sz w:val="17"/>
                <w:szCs w:val="17"/>
              </w:rPr>
              <w:t>Organ system, therapeutic</w:t>
            </w:r>
            <w:r>
              <w:rPr>
                <w:b/>
                <w:bCs/>
                <w:color w:val="auto"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t>category, drug(s)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t>a</w:t>
            </w:r>
            <w:r>
              <w:rPr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458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1A1712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b/>
                <w:bCs/>
                <w:color w:val="auto"/>
                <w:sz w:val="17"/>
                <w:szCs w:val="17"/>
              </w:rPr>
            </w:pPr>
          </w:p>
          <w:p w14:paraId="5F1820A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3" w:line="240" w:lineRule="auto"/>
              <w:ind w:left="59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3235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631F7A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color w:val="auto"/>
                <w:sz w:val="17"/>
                <w:szCs w:val="17"/>
              </w:rPr>
            </w:pPr>
          </w:p>
          <w:p w14:paraId="361713E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3" w:line="240" w:lineRule="auto"/>
              <w:ind w:left="5"/>
              <w:jc w:val="left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8"/>
                <w:sz w:val="17"/>
                <w:szCs w:val="17"/>
              </w:rPr>
              <w:t>Recommendation</w:t>
            </w:r>
          </w:p>
        </w:tc>
        <w:tc>
          <w:tcPr>
            <w:tcW w:w="1015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2D63B5B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2"/>
                <w:sz w:val="17"/>
                <w:szCs w:val="17"/>
              </w:rPr>
              <w:t>Quality of</w:t>
            </w:r>
            <w:r>
              <w:rPr>
                <w:b/>
                <w:bCs/>
                <w:color w:val="auto"/>
                <w:spacing w:val="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auto"/>
                <w:spacing w:val="14"/>
                <w:sz w:val="17"/>
                <w:szCs w:val="17"/>
              </w:rPr>
              <w:t>evidence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2157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52585E3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5" w:line="240" w:lineRule="auto"/>
              <w:ind w:firstLine="412" w:firstLineChars="20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7"/>
                <w:w w:val="113"/>
                <w:sz w:val="17"/>
                <w:szCs w:val="17"/>
              </w:rPr>
              <w:t>Strength of</w:t>
            </w:r>
          </w:p>
          <w:p w14:paraId="793BFBF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8" w:firstLineChars="200"/>
              <w:textAlignment w:val="baseline"/>
              <w:rPr>
                <w:b/>
                <w:bCs/>
                <w:color w:val="auto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5"/>
                <w:w w:val="120"/>
                <w:sz w:val="17"/>
                <w:szCs w:val="17"/>
              </w:rPr>
              <w:t>recommendation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fldChar w:fldCharType="end"/>
            </w:r>
          </w:p>
        </w:tc>
      </w:tr>
      <w:tr w14:paraId="3F76FED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683" w:type="dxa"/>
            <w:tcBorders>
              <w:top w:val="single" w:color="auto" w:sz="8" w:space="0"/>
            </w:tcBorders>
            <w:vAlign w:val="top"/>
          </w:tcPr>
          <w:p w14:paraId="751FE1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4" w:right="237" w:hanging="14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 w:eastAsia="zh-CN"/>
              </w:rPr>
              <w:t>Endocrine</w:t>
            </w:r>
          </w:p>
        </w:tc>
        <w:tc>
          <w:tcPr>
            <w:tcW w:w="4580" w:type="dxa"/>
            <w:tcBorders>
              <w:top w:val="single" w:color="auto" w:sz="8" w:space="0"/>
            </w:tcBorders>
            <w:vAlign w:val="top"/>
          </w:tcPr>
          <w:p w14:paraId="16F6FBC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240" w:lineRule="auto"/>
              <w:ind w:left="184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5" w:type="dxa"/>
            <w:tcBorders>
              <w:top w:val="single" w:color="auto" w:sz="8" w:space="0"/>
            </w:tcBorders>
            <w:vAlign w:val="top"/>
          </w:tcPr>
          <w:p w14:paraId="2854EB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449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15" w:type="dxa"/>
            <w:tcBorders>
              <w:top w:val="single" w:color="auto" w:sz="8" w:space="0"/>
            </w:tcBorders>
            <w:vAlign w:val="top"/>
          </w:tcPr>
          <w:p w14:paraId="25CC888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57" w:type="dxa"/>
            <w:tcBorders>
              <w:top w:val="single" w:color="auto" w:sz="8" w:space="0"/>
            </w:tcBorders>
            <w:vAlign w:val="top"/>
          </w:tcPr>
          <w:p w14:paraId="6F1B8DB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</w:tr>
      <w:tr w14:paraId="3508E4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2683" w:type="dxa"/>
            <w:vAlign w:val="top"/>
          </w:tcPr>
          <w:p w14:paraId="5AA51F7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5" w:right="238" w:hanging="14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Androgens </w:t>
            </w:r>
          </w:p>
          <w:p w14:paraId="6A34FFA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5" w:right="238" w:hanging="14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Methyltestosterone </w:t>
            </w:r>
          </w:p>
          <w:p w14:paraId="173C5C8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3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Testosterone</w:t>
            </w:r>
          </w:p>
        </w:tc>
        <w:tc>
          <w:tcPr>
            <w:tcW w:w="4580" w:type="dxa"/>
            <w:vAlign w:val="top"/>
          </w:tcPr>
          <w:p w14:paraId="356B47A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Potential for cardiac problems; potential risks in </w:t>
            </w:r>
          </w:p>
          <w:p w14:paraId="3562D68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men with prostate cancer.</w:t>
            </w:r>
          </w:p>
        </w:tc>
        <w:tc>
          <w:tcPr>
            <w:tcW w:w="3235" w:type="dxa"/>
            <w:vAlign w:val="top"/>
          </w:tcPr>
          <w:p w14:paraId="0E13DE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right="449" w:right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Avoid unless indicated for confirmed </w:t>
            </w:r>
          </w:p>
        </w:tc>
        <w:tc>
          <w:tcPr>
            <w:tcW w:w="1015" w:type="dxa"/>
            <w:vAlign w:val="top"/>
          </w:tcPr>
          <w:p w14:paraId="148768D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 w:left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Moderate </w:t>
            </w:r>
          </w:p>
        </w:tc>
        <w:tc>
          <w:tcPr>
            <w:tcW w:w="2157" w:type="dxa"/>
            <w:vAlign w:val="top"/>
          </w:tcPr>
          <w:p w14:paraId="453256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firstLine="510" w:firstLineChars="30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Weak </w:t>
            </w:r>
          </w:p>
        </w:tc>
      </w:tr>
      <w:tr w14:paraId="41F1CF9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683" w:type="dxa"/>
            <w:shd w:val="clear" w:color="auto" w:fill="E6E7E9"/>
            <w:vAlign w:val="top"/>
          </w:tcPr>
          <w:p w14:paraId="637D93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Estrogens with or without progestins </w:t>
            </w:r>
          </w:p>
          <w:p w14:paraId="2414FC1E">
            <w:pPr>
              <w:keepNext w:val="0"/>
              <w:keepLines w:val="0"/>
              <w:widowControl/>
              <w:suppressLineNumbers w:val="0"/>
              <w:spacing w:line="240" w:lineRule="auto"/>
              <w:ind w:left="168" w:leftChars="80" w:firstLine="0" w:firstLineChars="0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(includes natural and synthetic estrogen preparations)</w:t>
            </w:r>
          </w:p>
          <w:p w14:paraId="764C57B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0" w:type="dxa"/>
            <w:shd w:val="clear" w:color="auto" w:fill="E6E7E9"/>
            <w:vAlign w:val="top"/>
          </w:tcPr>
          <w:p w14:paraId="1465B39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Evidence of carcinogenic potential (breast and endometrium); </w:t>
            </w:r>
          </w:p>
          <w:p w14:paraId="58E676E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lack of cardioprotective effect and cognitive protection in older women. </w:t>
            </w:r>
          </w:p>
          <w:p w14:paraId="30643F7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For women who start HRT at age 60 and older, the risks of HRT are greater than the benefits, as HRT is linked to a higher risk</w:t>
            </w:r>
          </w:p>
          <w:p w14:paraId="7878C8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 of heart </w:t>
            </w:r>
            <w:r>
              <w:rPr>
                <w:rFonts w:hint="eastAsia" w:cs="Times New Roman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disease, stroke, blood clots, and dementia. </w:t>
            </w:r>
          </w:p>
          <w:p w14:paraId="1D4C5B5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Evidence indicates that vaginal estrogens for the treatment of vaginal dryness are safe and effective; women with a history of breast cancer who do not respond to nonhormonal therapies are advised to discuss the risks and benefits of </w:t>
            </w:r>
          </w:p>
          <w:p w14:paraId="58CB955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low-dose vaginal estrogen (e.g., dosages of estradiol &lt;25 mcg twice weekly) with their healthcare provider.</w:t>
            </w:r>
          </w:p>
          <w:p w14:paraId="71B4279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36" w:leftChars="16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5" w:type="dxa"/>
            <w:shd w:val="clear" w:color="auto" w:fill="E6E7E9"/>
            <w:vAlign w:val="top"/>
          </w:tcPr>
          <w:p w14:paraId="0268573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Do not initiate systemic estrogen (e.g., oral </w:t>
            </w:r>
          </w:p>
          <w:p w14:paraId="3212DCE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tablets or transdermal patches). Consider deprescribing among older women already using this medication. </w:t>
            </w:r>
          </w:p>
          <w:p w14:paraId="232D8E8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Vaginal cream or vaginal tablets: acceptable </w:t>
            </w:r>
          </w:p>
          <w:p w14:paraId="7B38088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to use low-dose intravaginal </w:t>
            </w:r>
          </w:p>
          <w:p w14:paraId="400B66A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estrogen for the management of</w:t>
            </w:r>
            <w:r>
              <w:rPr>
                <w:rFonts w:hint="eastAsia" w:cs="Times New Roman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dyspareunia, recurrent lower urinary </w:t>
            </w:r>
          </w:p>
          <w:p w14:paraId="289792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tract infections, and other vaginal</w:t>
            </w:r>
          </w:p>
          <w:p w14:paraId="4DA99A4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symptoms.</w:t>
            </w:r>
          </w:p>
          <w:p w14:paraId="33EA889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15" w:type="dxa"/>
            <w:shd w:val="clear" w:color="auto" w:fill="E6E7E9"/>
            <w:vAlign w:val="top"/>
          </w:tcPr>
          <w:p w14:paraId="1CA59322">
            <w:pPr>
              <w:keepNext w:val="0"/>
              <w:keepLines w:val="0"/>
              <w:widowControl/>
              <w:suppressLineNumbers w:val="0"/>
              <w:spacing w:line="240" w:lineRule="auto"/>
              <w:ind w:left="170" w:hanging="170" w:hangingChars="100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Oral and</w:t>
            </w:r>
            <w:r>
              <w:rPr>
                <w:rFonts w:hint="eastAsia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patch: high </w:t>
            </w:r>
          </w:p>
          <w:p w14:paraId="481DDF87">
            <w:pPr>
              <w:keepNext w:val="0"/>
              <w:keepLines w:val="0"/>
              <w:widowControl/>
              <w:suppressLineNumbers w:val="0"/>
              <w:spacing w:line="240" w:lineRule="auto"/>
              <w:ind w:left="170" w:hanging="170" w:hangingChars="100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Vaginal cream or vaginal tablets: </w:t>
            </w:r>
          </w:p>
          <w:p w14:paraId="5015B6A9">
            <w:pPr>
              <w:keepNext w:val="0"/>
              <w:keepLines w:val="0"/>
              <w:widowControl/>
              <w:suppressLineNumbers w:val="0"/>
              <w:spacing w:line="240" w:lineRule="auto"/>
              <w:ind w:firstLine="170" w:firstLineChars="100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moderate</w:t>
            </w:r>
          </w:p>
          <w:p w14:paraId="2B7A4CB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57" w:type="dxa"/>
            <w:shd w:val="clear" w:color="auto" w:fill="E6E7E9"/>
            <w:vAlign w:val="top"/>
          </w:tcPr>
          <w:p w14:paraId="32E9103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10" w:firstLineChars="3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Oral and patch: </w:t>
            </w:r>
          </w:p>
          <w:p w14:paraId="5698D5C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80" w:firstLineChars="4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strong </w:t>
            </w:r>
          </w:p>
          <w:p w14:paraId="5239B78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510" w:firstLineChars="3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Topical vaginal </w:t>
            </w:r>
          </w:p>
          <w:p w14:paraId="286DBC1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80" w:firstLineChars="4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cream or tablets: </w:t>
            </w:r>
          </w:p>
          <w:p w14:paraId="174FD4F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80" w:firstLineChars="4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weak</w:t>
            </w:r>
          </w:p>
          <w:p w14:paraId="659687A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</w:tr>
      <w:tr w14:paraId="707376B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683" w:type="dxa"/>
            <w:vAlign w:val="top"/>
          </w:tcPr>
          <w:p w14:paraId="0829E7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Insulin, sliding scale (insulin regimens </w:t>
            </w:r>
          </w:p>
          <w:p w14:paraId="13E778DE">
            <w:pPr>
              <w:keepNext w:val="0"/>
              <w:keepLines w:val="0"/>
              <w:widowControl/>
              <w:suppressLineNumbers w:val="0"/>
              <w:spacing w:line="240" w:lineRule="auto"/>
              <w:ind w:left="168" w:leftChars="80" w:firstLine="0" w:firstLineChars="0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containing only short- or rapid-acting insulin dosed according to current blood glucose levels without </w:t>
            </w:r>
          </w:p>
          <w:p w14:paraId="7950F7D4">
            <w:pPr>
              <w:keepNext w:val="0"/>
              <w:keepLines w:val="0"/>
              <w:widowControl/>
              <w:suppressLineNumbers w:val="0"/>
              <w:spacing w:line="240" w:lineRule="auto"/>
              <w:ind w:left="168" w:leftChars="80" w:firstLine="0" w:firstLineChars="0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concurrent use of basal or long-acting insulin)</w:t>
            </w:r>
          </w:p>
          <w:p w14:paraId="6E0FF11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40" w:lineRule="auto"/>
              <w:ind w:left="168" w:leftChars="80" w:right="2086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0" w:type="dxa"/>
            <w:vAlign w:val="top"/>
          </w:tcPr>
          <w:p w14:paraId="647D4109">
            <w:pPr>
              <w:keepNext w:val="0"/>
              <w:keepLines w:val="0"/>
              <w:widowControl/>
              <w:suppressLineNumbers w:val="0"/>
              <w:spacing w:line="240" w:lineRule="auto"/>
              <w:ind w:left="170" w:hanging="170" w:hangingChars="100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Higher risk of hypoglycemia without improvement in hyperglycemia management regardless of care setting. Avoid insulin regimens that include only short- or rapid-acting</w:t>
            </w:r>
            <w:r>
              <w:rPr>
                <w:rFonts w:hint="eastAsia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insulin dosed according to current blood glucose levels without concurrent use of basal or long-acting insulin. This recommendation does not apply to regimens that contain basal </w:t>
            </w:r>
          </w:p>
          <w:p w14:paraId="4B1FA8A7">
            <w:pPr>
              <w:keepNext w:val="0"/>
              <w:keepLines w:val="0"/>
              <w:widowControl/>
              <w:suppressLineNumbers w:val="0"/>
              <w:spacing w:line="240" w:lineRule="auto"/>
              <w:ind w:firstLine="170" w:firstLineChars="100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insulin or long-acting insulin.</w:t>
            </w:r>
          </w:p>
          <w:p w14:paraId="257ADFD9">
            <w:pPr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5" w:type="dxa"/>
            <w:vAlign w:val="top"/>
          </w:tcPr>
          <w:p w14:paraId="34F5CF4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1015" w:type="dxa"/>
            <w:vAlign w:val="top"/>
          </w:tcPr>
          <w:p w14:paraId="662104F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2157" w:type="dxa"/>
            <w:vAlign w:val="top"/>
          </w:tcPr>
          <w:p w14:paraId="1700708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2AF37B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2683" w:type="dxa"/>
            <w:shd w:val="clear" w:color="auto" w:fill="E6E7E9"/>
            <w:vAlign w:val="top"/>
          </w:tcPr>
          <w:p w14:paraId="0504630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left="338" w:leftChars="8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Sulfonylureas (all, including short- and longer-acting) </w:t>
            </w:r>
          </w:p>
          <w:p w14:paraId="0C82B29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Gliclazide </w:t>
            </w:r>
          </w:p>
          <w:p w14:paraId="4693879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Glimepiride </w:t>
            </w:r>
          </w:p>
          <w:p w14:paraId="7FD5C8A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Glipizide </w:t>
            </w:r>
          </w:p>
          <w:p w14:paraId="26B6C59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Glyburide (Glibenclamide)</w:t>
            </w:r>
          </w:p>
          <w:p w14:paraId="44AEC5E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0" w:type="dxa"/>
            <w:shd w:val="clear" w:color="auto" w:fill="E6E7E9"/>
            <w:vAlign w:val="top"/>
          </w:tcPr>
          <w:p w14:paraId="34673DD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right="57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Sulfonylureas have a higher risk of cardiovascular </w:t>
            </w:r>
          </w:p>
          <w:p w14:paraId="4775A1A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577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events, all-cause mortality, and hypoglycemia </w:t>
            </w:r>
          </w:p>
          <w:p w14:paraId="30BE032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577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than alternative agents. Sulfonylureas may increase the risk of cardiovascular death and ischemic stroke. </w:t>
            </w:r>
          </w:p>
          <w:p w14:paraId="68C8D6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577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</w:p>
          <w:p w14:paraId="04087D3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577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</w:p>
          <w:p w14:paraId="51A3CBF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right="57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Among sulfonylureas, long-acting agents (e.g., </w:t>
            </w:r>
          </w:p>
          <w:p w14:paraId="5518399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577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glyburide, glimepiride) confer a higher risk of </w:t>
            </w:r>
          </w:p>
          <w:p w14:paraId="3D448E5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577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prolonged hypoglycemia than short-acting agents (e.g., glipizide).</w:t>
            </w:r>
          </w:p>
          <w:p w14:paraId="1C6F03C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left="168" w:leftChars="80" w:right="577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5" w:type="dxa"/>
            <w:shd w:val="clear" w:color="auto" w:fill="E6E7E9"/>
            <w:vAlign w:val="top"/>
          </w:tcPr>
          <w:p w14:paraId="2CF788B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6" w:right="466" w:hanging="15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Avoid sulfonylureas as first- or second-line monotherapy or add-on therapy unless there are substantial barriers to the use of safer and more effective agents. </w:t>
            </w:r>
          </w:p>
          <w:p w14:paraId="516A780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46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If a sulfonylurea is used, choose short- </w:t>
            </w:r>
          </w:p>
          <w:p w14:paraId="14E8100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98" w:right="466" w:firstLine="42" w:firstLineChars="25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acting agents (e.g., glipizide) over long-acting agents (e.g., glyburide, </w:t>
            </w:r>
          </w:p>
          <w:p w14:paraId="28C73C7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98" w:right="466" w:firstLine="42" w:firstLineChars="25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glimepiride).</w:t>
            </w:r>
          </w:p>
          <w:p w14:paraId="2E3E2E0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6" w:right="466" w:hanging="15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15" w:type="dxa"/>
            <w:shd w:val="clear" w:color="auto" w:fill="E6E7E9"/>
            <w:vAlign w:val="top"/>
          </w:tcPr>
          <w:p w14:paraId="05A1FB7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Hypoglycemia: High </w:t>
            </w:r>
          </w:p>
          <w:p w14:paraId="3C2F90F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4" w:leftChars="2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CV events and all-cause mortality: </w:t>
            </w:r>
          </w:p>
          <w:p w14:paraId="5EB40E7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Moderate </w:t>
            </w:r>
          </w:p>
          <w:p w14:paraId="6259AA2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4" w:leftChars="2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CV death and</w:t>
            </w:r>
            <w:r>
              <w:rPr>
                <w:rFonts w:hint="eastAsia" w:cs="Times New Roman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ischemic stroke: </w:t>
            </w:r>
          </w:p>
          <w:p w14:paraId="642FDB6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 w:firstLine="340" w:firstLineChars="2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Low</w:t>
            </w:r>
          </w:p>
          <w:p w14:paraId="422B5FC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57" w:type="dxa"/>
            <w:shd w:val="clear" w:color="auto" w:fill="E6E7E9"/>
            <w:vAlign w:val="top"/>
          </w:tcPr>
          <w:p w14:paraId="3F0454D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0F5B70A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683" w:type="dxa"/>
            <w:tcBorders>
              <w:bottom w:val="single" w:color="auto" w:sz="12" w:space="0"/>
            </w:tcBorders>
            <w:vAlign w:val="top"/>
          </w:tcPr>
          <w:p w14:paraId="6A058C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Desiccated thyroid</w:t>
            </w:r>
          </w:p>
          <w:p w14:paraId="5CF87F9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ind w:left="145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0" w:type="dxa"/>
            <w:tcBorders>
              <w:bottom w:val="single" w:color="auto" w:sz="12" w:space="0"/>
            </w:tcBorders>
            <w:vAlign w:val="top"/>
          </w:tcPr>
          <w:p w14:paraId="7C4020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Concerns about cardiac effects; safer alternatives </w:t>
            </w:r>
          </w:p>
          <w:p w14:paraId="145120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available.</w:t>
            </w:r>
          </w:p>
          <w:p w14:paraId="2A784DB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auto"/>
              <w:ind w:left="184" w:right="646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5" w:type="dxa"/>
            <w:tcBorders>
              <w:bottom w:val="single" w:color="auto" w:sz="12" w:space="0"/>
            </w:tcBorders>
            <w:vAlign w:val="top"/>
          </w:tcPr>
          <w:p w14:paraId="1D3F52B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1015" w:type="dxa"/>
            <w:tcBorders>
              <w:bottom w:val="single" w:color="auto" w:sz="12" w:space="0"/>
            </w:tcBorders>
            <w:vAlign w:val="top"/>
          </w:tcPr>
          <w:p w14:paraId="3C708F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Low</w:t>
            </w:r>
          </w:p>
        </w:tc>
        <w:tc>
          <w:tcPr>
            <w:tcW w:w="2157" w:type="dxa"/>
            <w:tcBorders>
              <w:bottom w:val="single" w:color="auto" w:sz="12" w:space="0"/>
            </w:tcBorders>
            <w:vAlign w:val="top"/>
          </w:tcPr>
          <w:p w14:paraId="6A94B9F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firstLine="540" w:firstLineChars="3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</w:tbl>
    <w:p w14:paraId="53433CD2">
      <w:pPr>
        <w:pStyle w:val="2"/>
        <w:spacing w:before="166" w:line="191" w:lineRule="auto"/>
        <w:ind w:firstLine="13376" w:firstLineChars="7600"/>
        <w:rPr>
          <w:sz w:val="17"/>
          <w:szCs w:val="17"/>
        </w:rPr>
      </w:pPr>
      <w:r>
        <w:rPr>
          <w:spacing w:val="3"/>
          <w:sz w:val="17"/>
          <w:szCs w:val="17"/>
        </w:rPr>
        <w:t>(Continues)</w:t>
      </w:r>
    </w:p>
    <w:p w14:paraId="29D0F0F4">
      <w:pPr>
        <w:spacing w:line="199" w:lineRule="auto"/>
        <w:rPr>
          <w:sz w:val="10"/>
          <w:szCs w:val="10"/>
        </w:rPr>
      </w:pPr>
    </w:p>
    <w:p w14:paraId="66CF34B5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4A5883FD">
      <w:pPr>
        <w:bidi w:val="0"/>
        <w:rPr>
          <w:lang w:val="en-US" w:eastAsia="en-US"/>
        </w:rPr>
      </w:pPr>
    </w:p>
    <w:p w14:paraId="2BA0058C">
      <w:pPr>
        <w:tabs>
          <w:tab w:val="left" w:pos="1186"/>
        </w:tabs>
        <w:bidi w:val="0"/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ab/>
      </w:r>
    </w:p>
    <w:p w14:paraId="50DC4440">
      <w:pPr>
        <w:tabs>
          <w:tab w:val="left" w:pos="1186"/>
        </w:tabs>
        <w:bidi w:val="0"/>
        <w:jc w:val="left"/>
        <w:rPr>
          <w:rFonts w:hint="eastAsia" w:eastAsia="宋体"/>
          <w:lang w:val="en-US" w:eastAsia="zh-CN"/>
        </w:rPr>
      </w:pPr>
    </w:p>
    <w:p w14:paraId="74E202A1">
      <w:pPr>
        <w:tabs>
          <w:tab w:val="left" w:pos="1186"/>
        </w:tabs>
        <w:bidi w:val="0"/>
        <w:jc w:val="left"/>
        <w:rPr>
          <w:rFonts w:hint="eastAsia" w:eastAsia="宋体"/>
          <w:lang w:val="en-US" w:eastAsia="zh-CN"/>
        </w:rPr>
      </w:pPr>
    </w:p>
    <w:p w14:paraId="5F0C34B2">
      <w:pPr>
        <w:tabs>
          <w:tab w:val="left" w:pos="1186"/>
        </w:tabs>
        <w:bidi w:val="0"/>
        <w:jc w:val="left"/>
        <w:rPr>
          <w:rFonts w:hint="eastAsia" w:eastAsia="宋体"/>
          <w:lang w:val="en-US" w:eastAsia="zh-CN"/>
        </w:rPr>
      </w:pPr>
    </w:p>
    <w:p w14:paraId="6385A34B">
      <w:pPr>
        <w:tabs>
          <w:tab w:val="left" w:pos="1186"/>
        </w:tabs>
        <w:bidi w:val="0"/>
        <w:jc w:val="left"/>
        <w:rPr>
          <w:rFonts w:hint="eastAsia" w:eastAsia="宋体"/>
          <w:lang w:val="en-US" w:eastAsia="zh-CN"/>
        </w:rPr>
      </w:pPr>
    </w:p>
    <w:p w14:paraId="47E2D568">
      <w:pPr>
        <w:pStyle w:val="2"/>
        <w:spacing w:before="48" w:line="191" w:lineRule="auto"/>
        <w:ind w:left="655"/>
        <w:rPr>
          <w:spacing w:val="9"/>
          <w:sz w:val="17"/>
          <w:szCs w:val="17"/>
        </w:rPr>
      </w:pPr>
      <w:r>
        <w:rPr>
          <w:rFonts w:hint="eastAsia" w:eastAsia="宋体"/>
          <w:lang w:val="en-US" w:eastAsia="zh-CN"/>
        </w:rPr>
        <w:t xml:space="preserve">      </w:t>
      </w:r>
      <w:r>
        <w:rPr>
          <w:color w:val="636366"/>
          <w:spacing w:val="9"/>
          <w:sz w:val="17"/>
          <w:szCs w:val="17"/>
        </w:rPr>
        <w:t>TABLE</w:t>
      </w:r>
      <w:r>
        <w:rPr>
          <w:color w:val="636366"/>
          <w:spacing w:val="36"/>
          <w:sz w:val="17"/>
          <w:szCs w:val="17"/>
        </w:rPr>
        <w:t xml:space="preserve"> </w:t>
      </w:r>
      <w:r>
        <w:rPr>
          <w:rFonts w:hint="eastAsia" w:eastAsia="宋体"/>
          <w:color w:val="636366"/>
          <w:spacing w:val="9"/>
          <w:sz w:val="17"/>
          <w:szCs w:val="17"/>
          <w:lang w:val="en-US" w:eastAsia="zh-CN"/>
        </w:rPr>
        <w:t>1</w:t>
      </w:r>
      <w:r>
        <w:rPr>
          <w:color w:val="636366"/>
          <w:spacing w:val="3"/>
          <w:sz w:val="17"/>
          <w:szCs w:val="17"/>
        </w:rPr>
        <w:t xml:space="preserve">     </w:t>
      </w:r>
      <w:r>
        <w:rPr>
          <w:spacing w:val="9"/>
          <w:sz w:val="17"/>
          <w:szCs w:val="17"/>
        </w:rPr>
        <w:t>(Continued)</w:t>
      </w:r>
    </w:p>
    <w:tbl>
      <w:tblPr>
        <w:tblStyle w:val="8"/>
        <w:tblpPr w:leftFromText="180" w:rightFromText="180" w:vertAnchor="text" w:horzAnchor="page" w:tblpX="921" w:tblpY="243"/>
        <w:tblOverlap w:val="never"/>
        <w:tblW w:w="1375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0"/>
        <w:gridCol w:w="4842"/>
        <w:gridCol w:w="3095"/>
        <w:gridCol w:w="1477"/>
        <w:gridCol w:w="1704"/>
      </w:tblGrid>
      <w:tr w14:paraId="67A0F22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640" w:type="dxa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016F88F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96" w:hangingChars="100"/>
              <w:jc w:val="left"/>
              <w:textAlignment w:val="baseline"/>
              <w:rPr>
                <w:rFonts w:hint="default"/>
                <w:b/>
                <w:bCs/>
                <w:color w:val="auto"/>
                <w:spacing w:val="13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t xml:space="preserve">Organ system, therapeutic </w:t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t>category, drug(s)</w:t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t>a</w:t>
            </w:r>
            <w:r>
              <w:rPr>
                <w:b/>
                <w:bCs/>
                <w:color w:val="auto"/>
                <w:spacing w:val="13"/>
                <w:sz w:val="17"/>
                <w:szCs w:val="17"/>
              </w:rPr>
              <w:fldChar w:fldCharType="end"/>
            </w:r>
          </w:p>
        </w:tc>
        <w:tc>
          <w:tcPr>
            <w:tcW w:w="4842" w:type="dxa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2D1140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96" w:hangingChars="100"/>
              <w:jc w:val="left"/>
              <w:textAlignment w:val="baseline"/>
              <w:rPr>
                <w:rFonts w:hint="default"/>
                <w:b/>
                <w:bCs/>
                <w:color w:val="auto"/>
                <w:spacing w:val="13"/>
                <w:sz w:val="17"/>
                <w:szCs w:val="17"/>
              </w:rPr>
            </w:pPr>
            <w:r>
              <w:rPr>
                <w:rFonts w:hint="default"/>
                <w:b/>
                <w:bCs/>
                <w:color w:val="auto"/>
                <w:spacing w:val="13"/>
                <w:sz w:val="17"/>
                <w:szCs w:val="17"/>
              </w:rPr>
              <w:t>Rationale</w:t>
            </w:r>
          </w:p>
        </w:tc>
        <w:tc>
          <w:tcPr>
            <w:tcW w:w="3095" w:type="dxa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31AF7C6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96" w:hangingChars="100"/>
              <w:jc w:val="left"/>
              <w:textAlignment w:val="baseline"/>
              <w:rPr>
                <w:rFonts w:hint="default"/>
                <w:b/>
                <w:bCs/>
                <w:color w:val="auto"/>
                <w:spacing w:val="13"/>
                <w:sz w:val="17"/>
                <w:szCs w:val="17"/>
              </w:rPr>
            </w:pPr>
            <w:r>
              <w:rPr>
                <w:rFonts w:hint="default"/>
                <w:b/>
                <w:bCs/>
                <w:color w:val="auto"/>
                <w:spacing w:val="13"/>
                <w:sz w:val="17"/>
                <w:szCs w:val="17"/>
              </w:rPr>
              <w:t>Recommendation</w:t>
            </w:r>
          </w:p>
        </w:tc>
        <w:tc>
          <w:tcPr>
            <w:tcW w:w="1477" w:type="dxa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67FA83A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12"/>
                <w:sz w:val="17"/>
                <w:szCs w:val="17"/>
              </w:rPr>
              <w:t>Quality of</w:t>
            </w:r>
            <w:r>
              <w:rPr>
                <w:b/>
                <w:bCs/>
                <w:color w:val="auto"/>
                <w:spacing w:val="7"/>
                <w:sz w:val="17"/>
                <w:szCs w:val="17"/>
              </w:rPr>
              <w:t xml:space="preserve"> </w:t>
            </w:r>
            <w:r>
              <w:rPr>
                <w:b/>
                <w:bCs/>
                <w:color w:val="auto"/>
                <w:spacing w:val="14"/>
                <w:sz w:val="17"/>
                <w:szCs w:val="17"/>
              </w:rPr>
              <w:t>evidence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1704" w:type="dxa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653B5E5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b/>
                <w:bCs/>
                <w:color w:val="auto"/>
                <w:spacing w:val="7"/>
                <w:w w:val="113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7"/>
                <w:w w:val="113"/>
                <w:sz w:val="17"/>
                <w:szCs w:val="17"/>
              </w:rPr>
              <w:t>Strength of</w:t>
            </w:r>
          </w:p>
          <w:p w14:paraId="2F1B7BA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b/>
                <w:bCs/>
                <w:color w:val="auto"/>
                <w:spacing w:val="5"/>
                <w:w w:val="120"/>
                <w:sz w:val="17"/>
                <w:szCs w:val="17"/>
              </w:rPr>
              <w:t>recommendation</w: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t>b</w:t>
            </w:r>
            <w:r>
              <w:rPr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fldChar w:fldCharType="end"/>
            </w:r>
          </w:p>
        </w:tc>
      </w:tr>
      <w:tr w14:paraId="01C950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</w:trPr>
        <w:tc>
          <w:tcPr>
            <w:tcW w:w="2640" w:type="dxa"/>
            <w:tcBorders>
              <w:top w:val="single" w:color="auto" w:sz="8" w:space="0"/>
            </w:tcBorders>
            <w:vAlign w:val="top"/>
          </w:tcPr>
          <w:p w14:paraId="43DA412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3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Megestrol</w:t>
            </w:r>
          </w:p>
          <w:p w14:paraId="6FA9834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3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42" w:type="dxa"/>
            <w:tcBorders>
              <w:top w:val="single" w:color="auto" w:sz="8" w:space="0"/>
            </w:tcBorders>
            <w:vAlign w:val="top"/>
          </w:tcPr>
          <w:p w14:paraId="7981083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Minimal effect on weight; increases the risk of </w:t>
            </w:r>
          </w:p>
          <w:p w14:paraId="7445CDC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thrombotic events and possibly death in older </w:t>
            </w:r>
          </w:p>
          <w:p w14:paraId="480EABE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>adults.</w:t>
            </w:r>
          </w:p>
        </w:tc>
        <w:tc>
          <w:tcPr>
            <w:tcW w:w="3095" w:type="dxa"/>
            <w:tcBorders>
              <w:top w:val="single" w:color="auto" w:sz="8" w:space="0"/>
            </w:tcBorders>
            <w:vAlign w:val="top"/>
          </w:tcPr>
          <w:p w14:paraId="36E039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right="449" w:right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Avoid </w:t>
            </w:r>
          </w:p>
        </w:tc>
        <w:tc>
          <w:tcPr>
            <w:tcW w:w="1477" w:type="dxa"/>
            <w:tcBorders>
              <w:top w:val="single" w:color="auto" w:sz="8" w:space="0"/>
            </w:tcBorders>
            <w:vAlign w:val="top"/>
          </w:tcPr>
          <w:p w14:paraId="761CC5D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 w:left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Moderate </w:t>
            </w:r>
          </w:p>
        </w:tc>
        <w:tc>
          <w:tcPr>
            <w:tcW w:w="1704" w:type="dxa"/>
            <w:tcBorders>
              <w:top w:val="single" w:color="auto" w:sz="8" w:space="0"/>
            </w:tcBorders>
            <w:vAlign w:val="top"/>
          </w:tcPr>
          <w:p w14:paraId="3686FC1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eastAsia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Strong</w:t>
            </w: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 </w:t>
            </w:r>
          </w:p>
        </w:tc>
      </w:tr>
      <w:tr w14:paraId="3A4D5AC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640" w:type="dxa"/>
            <w:shd w:val="clear" w:color="auto" w:fill="E6E7E9"/>
            <w:vAlign w:val="top"/>
          </w:tcPr>
          <w:p w14:paraId="2124846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Growth hormone</w:t>
            </w:r>
          </w:p>
          <w:p w14:paraId="6F5C05C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42" w:type="dxa"/>
            <w:shd w:val="clear" w:color="auto" w:fill="E6E7E9"/>
            <w:vAlign w:val="top"/>
          </w:tcPr>
          <w:p w14:paraId="6E90944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Impact on body composition is small and associated with edema, arthralgia, carpal tunnel syndrome, gynecomastia, and impaired </w:t>
            </w:r>
          </w:p>
          <w:p w14:paraId="7FA13F4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fasting glucose.</w:t>
            </w:r>
          </w:p>
          <w:p w14:paraId="7E932D5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36" w:leftChars="16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5" w:type="dxa"/>
            <w:shd w:val="clear" w:color="auto" w:fill="E6E7E9"/>
            <w:vAlign w:val="top"/>
          </w:tcPr>
          <w:p w14:paraId="601B878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Avoid, except for patients rigorously </w:t>
            </w:r>
          </w:p>
          <w:p w14:paraId="715E18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diagnosed by evidence-based criteria </w:t>
            </w:r>
          </w:p>
          <w:p w14:paraId="005650A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with growth hormone deficiency due to </w:t>
            </w:r>
          </w:p>
          <w:p w14:paraId="16E9F47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an established etiology.</w:t>
            </w:r>
          </w:p>
        </w:tc>
        <w:tc>
          <w:tcPr>
            <w:tcW w:w="1477" w:type="dxa"/>
            <w:shd w:val="clear" w:color="auto" w:fill="E6E7E9"/>
            <w:vAlign w:val="top"/>
          </w:tcPr>
          <w:p w14:paraId="58C0A4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>High</w:t>
            </w:r>
          </w:p>
          <w:p w14:paraId="731ABCB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4" w:type="dxa"/>
            <w:shd w:val="clear" w:color="auto" w:fill="E6E7E9"/>
            <w:vAlign w:val="top"/>
          </w:tcPr>
          <w:p w14:paraId="09D520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eastAsia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Strong</w:t>
            </w: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 </w:t>
            </w:r>
          </w:p>
          <w:p w14:paraId="25A815D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</w:tr>
      <w:tr w14:paraId="041F8A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2640" w:type="dxa"/>
            <w:shd w:val="clear" w:color="auto" w:fill="auto"/>
            <w:vAlign w:val="top"/>
          </w:tcPr>
          <w:p w14:paraId="092E6C8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 w:eastAsia="zh-CN"/>
              </w:rPr>
              <w:t>Gastrointestinal</w:t>
            </w:r>
          </w:p>
        </w:tc>
        <w:tc>
          <w:tcPr>
            <w:tcW w:w="4842" w:type="dxa"/>
            <w:shd w:val="clear" w:color="auto" w:fill="auto"/>
            <w:vAlign w:val="top"/>
          </w:tcPr>
          <w:p w14:paraId="42B5E4D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36" w:leftChars="16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5" w:type="dxa"/>
            <w:shd w:val="clear" w:color="auto" w:fill="auto"/>
            <w:vAlign w:val="top"/>
          </w:tcPr>
          <w:p w14:paraId="5463073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1477" w:type="dxa"/>
            <w:shd w:val="clear" w:color="auto" w:fill="auto"/>
            <w:vAlign w:val="top"/>
          </w:tcPr>
          <w:p w14:paraId="40A3B94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4" w:type="dxa"/>
            <w:shd w:val="clear" w:color="auto" w:fill="auto"/>
            <w:vAlign w:val="top"/>
          </w:tcPr>
          <w:p w14:paraId="7841001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</w:tr>
      <w:tr w14:paraId="7F7C12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2640" w:type="dxa"/>
            <w:vAlign w:val="top"/>
          </w:tcPr>
          <w:p w14:paraId="5EEF280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Proton-pump inhibitors </w:t>
            </w:r>
          </w:p>
          <w:p w14:paraId="25B8A6D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Dexlansoprazole </w:t>
            </w:r>
          </w:p>
          <w:p w14:paraId="6AF4CC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Esomeprazole </w:t>
            </w:r>
          </w:p>
          <w:p w14:paraId="5C7F9C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Lansoprazole </w:t>
            </w:r>
          </w:p>
          <w:p w14:paraId="7FC27C9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Omeprazole </w:t>
            </w:r>
          </w:p>
          <w:p w14:paraId="70AE0AE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Pantoprazole </w:t>
            </w:r>
          </w:p>
          <w:p w14:paraId="5300171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Rabeprazole</w:t>
            </w:r>
          </w:p>
          <w:p w14:paraId="6595712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8" w:line="240" w:lineRule="auto"/>
              <w:ind w:left="168" w:leftChars="80" w:right="2086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42" w:type="dxa"/>
            <w:vAlign w:val="top"/>
          </w:tcPr>
          <w:p w14:paraId="06CD97ED">
            <w:pPr>
              <w:bidi w:val="0"/>
              <w:spacing w:line="240" w:lineRule="auto"/>
              <w:jc w:val="both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Risk of C. difficile infection, pneumonia, GI </w:t>
            </w:r>
          </w:p>
          <w:p w14:paraId="3041A863">
            <w:pPr>
              <w:bidi w:val="0"/>
              <w:spacing w:line="240" w:lineRule="auto"/>
              <w:ind w:firstLine="170" w:firstLineChars="100"/>
              <w:jc w:val="both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malignancies, bone loss, and fractures.</w:t>
            </w:r>
          </w:p>
          <w:p w14:paraId="76AFFE63">
            <w:pPr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5" w:type="dxa"/>
            <w:vAlign w:val="top"/>
          </w:tcPr>
          <w:p w14:paraId="1A75D20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Avoid scheduled use for &gt;8 weeks unless </w:t>
            </w:r>
          </w:p>
          <w:p w14:paraId="20A6F3B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for high-risk patients (e.g., oral </w:t>
            </w:r>
          </w:p>
          <w:p w14:paraId="0892CFA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corticosteroids or chronic NSAID use), </w:t>
            </w:r>
          </w:p>
          <w:p w14:paraId="18CC397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erosive esophagitis, Barrett's esophagitis, </w:t>
            </w:r>
          </w:p>
          <w:p w14:paraId="48BF47E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pathologic hypersecretory condition, or </w:t>
            </w:r>
          </w:p>
          <w:p w14:paraId="58603B4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demonstrated need for maintenance </w:t>
            </w:r>
          </w:p>
          <w:p w14:paraId="231C2DF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treatment (e.g., because of failure of </w:t>
            </w:r>
          </w:p>
          <w:p w14:paraId="20EE5C8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drug discontinuation trial or H</w:t>
            </w:r>
            <w:r>
              <w:rPr>
                <w:rFonts w:hint="default" w:ascii="Times New Roman" w:hAnsi="Times New Roman" w:eastAsia="宋体" w:cs="Times New Roman"/>
                <w:sz w:val="17"/>
                <w:szCs w:val="17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-receptor antagonists).</w:t>
            </w:r>
          </w:p>
        </w:tc>
        <w:tc>
          <w:tcPr>
            <w:tcW w:w="1477" w:type="dxa"/>
            <w:vAlign w:val="top"/>
          </w:tcPr>
          <w:p w14:paraId="37D2BF4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4" w:leftChars="2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C. difficile, bone</w:t>
            </w:r>
            <w:r>
              <w:rPr>
                <w:rFonts w:hint="eastAsia" w:cs="Times New Roman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loss, and fractures: </w:t>
            </w:r>
          </w:p>
          <w:p w14:paraId="12BCFA6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High </w:t>
            </w:r>
          </w:p>
          <w:p w14:paraId="1BC2055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Pneumonia and GI </w:t>
            </w:r>
          </w:p>
          <w:p w14:paraId="386B59F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malignancies: </w:t>
            </w:r>
          </w:p>
          <w:p w14:paraId="061494E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Moderate</w:t>
            </w:r>
          </w:p>
          <w:p w14:paraId="48A4E6C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2" w:line="240" w:lineRule="auto"/>
              <w:ind w:left="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4" w:type="dxa"/>
            <w:vAlign w:val="top"/>
          </w:tcPr>
          <w:p w14:paraId="5A074B1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03DA68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2640" w:type="dxa"/>
            <w:shd w:val="clear" w:color="auto" w:fill="E6E7E9"/>
            <w:vAlign w:val="top"/>
          </w:tcPr>
          <w:p w14:paraId="1A57E3D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Metoclopramide</w:t>
            </w:r>
          </w:p>
          <w:p w14:paraId="43F7F78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42" w:type="dxa"/>
            <w:shd w:val="clear" w:color="auto" w:fill="E6E7E9"/>
            <w:vAlign w:val="top"/>
          </w:tcPr>
          <w:p w14:paraId="7BC83C4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right="57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Can cause extrapyramidal effects, including tardive</w:t>
            </w:r>
          </w:p>
          <w:p w14:paraId="77F284B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" w:line="240" w:lineRule="auto"/>
              <w:ind w:right="57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dyskinesia; the risk may be greater in frail older adults and with prolonged exposure.</w:t>
            </w:r>
          </w:p>
        </w:tc>
        <w:tc>
          <w:tcPr>
            <w:tcW w:w="3095" w:type="dxa"/>
            <w:shd w:val="clear" w:color="auto" w:fill="E6E7E9"/>
            <w:vAlign w:val="top"/>
          </w:tcPr>
          <w:p w14:paraId="51A066D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right="466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Avoid, unless for gastroparesis with a duration of use not to exceed 12</w:t>
            </w:r>
            <w:r>
              <w:rPr>
                <w:rFonts w:hint="eastAsia" w:cs="Times New Roman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weeks except in rare cases.</w:t>
            </w:r>
          </w:p>
          <w:p w14:paraId="494ECFB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98" w:right="466" w:firstLine="42" w:firstLineChars="25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4CB1343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46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77" w:type="dxa"/>
            <w:shd w:val="clear" w:color="auto" w:fill="E6E7E9"/>
            <w:vAlign w:val="top"/>
          </w:tcPr>
          <w:p w14:paraId="52A76F5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1704" w:type="dxa"/>
            <w:shd w:val="clear" w:color="auto" w:fill="E6E7E9"/>
            <w:vAlign w:val="top"/>
          </w:tcPr>
          <w:p w14:paraId="11E3F36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790EE6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640" w:type="dxa"/>
            <w:tcBorders/>
            <w:vAlign w:val="top"/>
          </w:tcPr>
          <w:p w14:paraId="681508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GI antispasmodics with strong </w:t>
            </w:r>
          </w:p>
          <w:p w14:paraId="4EE947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anticholinergic activity </w:t>
            </w:r>
          </w:p>
          <w:p w14:paraId="7D7D73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Atropine (excludes ophthalmic) </w:t>
            </w:r>
          </w:p>
          <w:p w14:paraId="6C12EEE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Clidinium-chlordiazepoxide </w:t>
            </w:r>
          </w:p>
          <w:p w14:paraId="28EDCB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Dicyclomine </w:t>
            </w:r>
          </w:p>
          <w:p w14:paraId="7DDD25C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Hyoscyamine </w:t>
            </w:r>
          </w:p>
          <w:p w14:paraId="50B980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Scopolamine</w:t>
            </w:r>
          </w:p>
          <w:p w14:paraId="24B0A60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842" w:type="dxa"/>
            <w:tcBorders/>
            <w:vAlign w:val="top"/>
          </w:tcPr>
          <w:p w14:paraId="34ED78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Highly anticholinergic, uncertain effectiveness.</w:t>
            </w:r>
          </w:p>
          <w:p w14:paraId="772D7FE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95" w:type="dxa"/>
            <w:tcBorders/>
            <w:vAlign w:val="top"/>
          </w:tcPr>
          <w:p w14:paraId="6E24620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1477" w:type="dxa"/>
            <w:tcBorders/>
            <w:vAlign w:val="top"/>
          </w:tcPr>
          <w:p w14:paraId="6426877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1704" w:type="dxa"/>
            <w:tcBorders/>
            <w:vAlign w:val="top"/>
          </w:tcPr>
          <w:p w14:paraId="1F31774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63C2643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640" w:type="dxa"/>
            <w:tcBorders/>
            <w:shd w:val="clear" w:color="auto" w:fill="E6E7E9"/>
            <w:vAlign w:val="top"/>
          </w:tcPr>
          <w:p w14:paraId="5FA62A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Mineral oil, given orally</w:t>
            </w:r>
          </w:p>
          <w:p w14:paraId="1F3D167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  <w:tc>
          <w:tcPr>
            <w:tcW w:w="4842" w:type="dxa"/>
            <w:tcBorders/>
            <w:shd w:val="clear" w:color="auto" w:fill="E6E7E9"/>
            <w:vAlign w:val="top"/>
          </w:tcPr>
          <w:p w14:paraId="2AB0DC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Potential for aspiration and adverse effects; safer </w:t>
            </w:r>
          </w:p>
          <w:p w14:paraId="3890A72B">
            <w:pPr>
              <w:keepNext w:val="0"/>
              <w:keepLines w:val="0"/>
              <w:widowControl/>
              <w:suppressLineNumbers w:val="0"/>
              <w:spacing w:line="240" w:lineRule="auto"/>
              <w:ind w:firstLine="170" w:firstLineChars="100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alternatives available.</w:t>
            </w:r>
          </w:p>
        </w:tc>
        <w:tc>
          <w:tcPr>
            <w:tcW w:w="3095" w:type="dxa"/>
            <w:tcBorders/>
            <w:shd w:val="clear" w:color="auto" w:fill="E6E7E9"/>
            <w:vAlign w:val="top"/>
          </w:tcPr>
          <w:p w14:paraId="2D6F5B4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1477" w:type="dxa"/>
            <w:tcBorders/>
            <w:shd w:val="clear" w:color="auto" w:fill="E6E7E9"/>
            <w:vAlign w:val="top"/>
          </w:tcPr>
          <w:p w14:paraId="26C52F1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1704" w:type="dxa"/>
            <w:tcBorders/>
            <w:shd w:val="clear" w:color="auto" w:fill="E6E7E9"/>
            <w:vAlign w:val="top"/>
          </w:tcPr>
          <w:p w14:paraId="4A81A40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textAlignment w:val="baseline"/>
              <w:rPr>
                <w:rFonts w:hint="eastAsia" w:ascii="Times New Roman" w:hAnsi="Times New Roman" w:eastAsia="宋体" w:cs="Times New Roman"/>
                <w:spacing w:val="5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pacing w:val="5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551177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2640" w:type="dxa"/>
            <w:tcBorders/>
            <w:vAlign w:val="top"/>
          </w:tcPr>
          <w:p w14:paraId="1D7DE0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Genitourinary</w:t>
            </w:r>
          </w:p>
        </w:tc>
        <w:tc>
          <w:tcPr>
            <w:tcW w:w="4842" w:type="dxa"/>
            <w:tcBorders/>
            <w:vAlign w:val="top"/>
          </w:tcPr>
          <w:p w14:paraId="4FE6BF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  <w:tc>
          <w:tcPr>
            <w:tcW w:w="3095" w:type="dxa"/>
            <w:tcBorders/>
            <w:vAlign w:val="top"/>
          </w:tcPr>
          <w:p w14:paraId="3553D32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1477" w:type="dxa"/>
            <w:tcBorders/>
            <w:vAlign w:val="top"/>
          </w:tcPr>
          <w:p w14:paraId="0CF73BC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1704" w:type="dxa"/>
            <w:tcBorders/>
            <w:vAlign w:val="top"/>
          </w:tcPr>
          <w:p w14:paraId="3E8E8B2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</w:pPr>
          </w:p>
        </w:tc>
      </w:tr>
      <w:tr w14:paraId="1F83BA7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640" w:type="dxa"/>
            <w:tcBorders/>
            <w:vAlign w:val="top"/>
          </w:tcPr>
          <w:p w14:paraId="73943D4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Desmopressin</w:t>
            </w:r>
          </w:p>
          <w:p w14:paraId="211438B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  <w:tc>
          <w:tcPr>
            <w:tcW w:w="4842" w:type="dxa"/>
            <w:tcBorders/>
            <w:vAlign w:val="top"/>
          </w:tcPr>
          <w:p w14:paraId="3EC0D344">
            <w:pPr>
              <w:keepNext w:val="0"/>
              <w:keepLines w:val="0"/>
              <w:widowControl/>
              <w:suppressLineNumbers w:val="0"/>
              <w:spacing w:line="240" w:lineRule="auto"/>
              <w:ind w:left="170" w:hanging="170" w:hangingChars="100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High risk of hyponatremia; safer alternative treatments for nocturia (including non-pharmacologic).</w:t>
            </w:r>
          </w:p>
        </w:tc>
        <w:tc>
          <w:tcPr>
            <w:tcW w:w="3095" w:type="dxa"/>
            <w:tcBorders/>
            <w:vAlign w:val="top"/>
          </w:tcPr>
          <w:p w14:paraId="1C864A5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Avoid for treatment of nocturia or </w:t>
            </w:r>
          </w:p>
          <w:p w14:paraId="5D52EF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nocturnal polyuria.</w:t>
            </w:r>
          </w:p>
        </w:tc>
        <w:tc>
          <w:tcPr>
            <w:tcW w:w="1477" w:type="dxa"/>
            <w:tcBorders/>
            <w:vAlign w:val="top"/>
          </w:tcPr>
          <w:p w14:paraId="010BF2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1704" w:type="dxa"/>
            <w:tcBorders/>
            <w:vAlign w:val="top"/>
          </w:tcPr>
          <w:p w14:paraId="2F2B3A0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textAlignment w:val="baseline"/>
              <w:rPr>
                <w:rFonts w:hint="eastAsia" w:ascii="Times New Roman" w:hAnsi="Times New Roman" w:eastAsia="宋体" w:cs="Times New Roman"/>
                <w:spacing w:val="5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pacing w:val="5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6BEC57B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640" w:type="dxa"/>
            <w:tcBorders/>
            <w:shd w:val="clear" w:color="auto" w:fill="E6E7E9"/>
            <w:vAlign w:val="top"/>
          </w:tcPr>
          <w:p w14:paraId="4CE1FD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Pain medications</w:t>
            </w:r>
          </w:p>
        </w:tc>
        <w:tc>
          <w:tcPr>
            <w:tcW w:w="4842" w:type="dxa"/>
            <w:tcBorders/>
            <w:shd w:val="clear" w:color="auto" w:fill="E6E7E9"/>
            <w:vAlign w:val="top"/>
          </w:tcPr>
          <w:p w14:paraId="33F230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  <w:tc>
          <w:tcPr>
            <w:tcW w:w="3095" w:type="dxa"/>
            <w:tcBorders/>
            <w:shd w:val="clear" w:color="auto" w:fill="E6E7E9"/>
            <w:vAlign w:val="top"/>
          </w:tcPr>
          <w:p w14:paraId="1A0548C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1477" w:type="dxa"/>
            <w:tcBorders/>
            <w:shd w:val="clear" w:color="auto" w:fill="E6E7E9"/>
            <w:vAlign w:val="top"/>
          </w:tcPr>
          <w:p w14:paraId="5A6054A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1704" w:type="dxa"/>
            <w:tcBorders/>
            <w:shd w:val="clear" w:color="auto" w:fill="E6E7E9"/>
            <w:vAlign w:val="top"/>
          </w:tcPr>
          <w:p w14:paraId="5CAC007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ind w:left="552"/>
              <w:textAlignment w:val="baseline"/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</w:pPr>
          </w:p>
        </w:tc>
      </w:tr>
      <w:tr w14:paraId="597550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640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14111C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Non-COX-2-selective NSAIDs, oral: </w:t>
            </w:r>
          </w:p>
          <w:p w14:paraId="37BFBB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Aspirin &gt;325 mg/day </w:t>
            </w:r>
          </w:p>
          <w:p w14:paraId="37CC1D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Diclofenac </w:t>
            </w:r>
          </w:p>
          <w:p w14:paraId="11EC3E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Diflunisal </w:t>
            </w:r>
          </w:p>
          <w:p w14:paraId="38E2A5C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Etodolac </w:t>
            </w:r>
          </w:p>
          <w:p w14:paraId="56C0DFA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Flurbiprofen</w:t>
            </w:r>
          </w:p>
          <w:p w14:paraId="0778F8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  <w:tc>
          <w:tcPr>
            <w:tcW w:w="4842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302F15A4">
            <w:pPr>
              <w:keepNext w:val="0"/>
              <w:keepLines w:val="0"/>
              <w:widowControl/>
              <w:suppressLineNumbers w:val="0"/>
              <w:spacing w:line="240" w:lineRule="auto"/>
              <w:ind w:left="170" w:hanging="170" w:hangingChars="100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Increased risk of GI bleeding or peptic ulcer disease in high-risk groups, including those &gt;75 years old or taking oral or parenteral </w:t>
            </w:r>
          </w:p>
          <w:p w14:paraId="79FC8310">
            <w:pPr>
              <w:keepNext w:val="0"/>
              <w:keepLines w:val="0"/>
              <w:widowControl/>
              <w:suppressLineNumbers w:val="0"/>
              <w:spacing w:line="240" w:lineRule="auto"/>
              <w:ind w:firstLine="170" w:firstLineChars="100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corticosteroids, anticoagulants, or antiplatelet </w:t>
            </w:r>
          </w:p>
          <w:p w14:paraId="08B0EE55">
            <w:pPr>
              <w:keepNext w:val="0"/>
              <w:keepLines w:val="0"/>
              <w:widowControl/>
              <w:suppressLineNumbers w:val="0"/>
              <w:spacing w:line="240" w:lineRule="auto"/>
              <w:ind w:firstLine="170" w:firstLineChars="100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agents; use of proton-pump inhibitor or </w:t>
            </w:r>
          </w:p>
          <w:p w14:paraId="2AFF5F8A">
            <w:pPr>
              <w:keepNext w:val="0"/>
              <w:keepLines w:val="0"/>
              <w:widowControl/>
              <w:suppressLineNumbers w:val="0"/>
              <w:spacing w:line="240" w:lineRule="auto"/>
              <w:ind w:firstLine="170" w:firstLineChars="100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misoprostol reduces but does not eliminate</w:t>
            </w:r>
          </w:p>
          <w:p w14:paraId="22CAE6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</w:p>
        </w:tc>
        <w:tc>
          <w:tcPr>
            <w:tcW w:w="3095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D63BC0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Avoid chronic use unless other alternatives </w:t>
            </w:r>
          </w:p>
          <w:p w14:paraId="53730D9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are not effective and the patient can take a gastroprotective agent (proton-pump</w:t>
            </w:r>
          </w:p>
          <w:p w14:paraId="31B438E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inhibitor or misoprostol).</w:t>
            </w:r>
          </w:p>
          <w:p w14:paraId="20EF6C9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hanging="170" w:hanging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Avoid short-term scheduled use in</w:t>
            </w: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combination with oral or parenteral</w:t>
            </w:r>
          </w:p>
          <w:p w14:paraId="64D3A46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1477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48F9F9D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3"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1704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51300A9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240" w:lineRule="auto"/>
              <w:textAlignment w:val="baseline"/>
              <w:rPr>
                <w:rFonts w:hint="eastAsia" w:ascii="Times New Roman" w:hAnsi="Times New Roman" w:eastAsia="宋体" w:cs="Times New Roman"/>
                <w:spacing w:val="5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pacing w:val="5"/>
                <w:sz w:val="17"/>
                <w:szCs w:val="17"/>
                <w:lang w:val="en-US" w:eastAsia="zh-CN"/>
              </w:rPr>
              <w:t>Strong</w:t>
            </w:r>
          </w:p>
        </w:tc>
      </w:tr>
    </w:tbl>
    <w:p w14:paraId="6ABDB354">
      <w:pPr>
        <w:pStyle w:val="2"/>
        <w:spacing w:before="48" w:line="191" w:lineRule="auto"/>
        <w:ind w:left="655"/>
        <w:rPr>
          <w:rFonts w:hint="eastAsia"/>
          <w:spacing w:val="9"/>
          <w:sz w:val="17"/>
          <w:szCs w:val="17"/>
          <w:lang w:val="en-US" w:eastAsia="zh-CN"/>
        </w:rPr>
      </w:pPr>
    </w:p>
    <w:p w14:paraId="02ACE5C2">
      <w:pPr>
        <w:tabs>
          <w:tab w:val="left" w:pos="1186"/>
        </w:tabs>
        <w:bidi w:val="0"/>
        <w:jc w:val="left"/>
        <w:rPr>
          <w:rFonts w:hint="default" w:eastAsia="宋体"/>
          <w:lang w:val="en-US" w:eastAsia="zh-CN"/>
        </w:rPr>
      </w:pPr>
    </w:p>
    <w:p w14:paraId="5E9F3133">
      <w:pPr>
        <w:bidi w:val="0"/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11E259F7">
      <w:pPr>
        <w:bidi w:val="0"/>
        <w:rPr>
          <w:rFonts w:hint="default"/>
          <w:lang w:val="en-US" w:eastAsia="zh-CN"/>
        </w:rPr>
      </w:pPr>
    </w:p>
    <w:p w14:paraId="2CC9B6A6">
      <w:pPr>
        <w:bidi w:val="0"/>
        <w:rPr>
          <w:rFonts w:hint="default"/>
          <w:lang w:val="en-US" w:eastAsia="zh-CN"/>
        </w:rPr>
      </w:pPr>
    </w:p>
    <w:p w14:paraId="76AAFB2E">
      <w:pPr>
        <w:bidi w:val="0"/>
        <w:rPr>
          <w:rFonts w:hint="default"/>
          <w:lang w:val="en-US" w:eastAsia="zh-CN"/>
        </w:rPr>
      </w:pPr>
    </w:p>
    <w:p w14:paraId="1D7592F3">
      <w:pPr>
        <w:bidi w:val="0"/>
        <w:rPr>
          <w:rFonts w:hint="default"/>
          <w:lang w:val="en-US" w:eastAsia="zh-CN"/>
        </w:rPr>
      </w:pPr>
    </w:p>
    <w:p w14:paraId="620AA157">
      <w:pPr>
        <w:bidi w:val="0"/>
        <w:rPr>
          <w:rFonts w:hint="default"/>
          <w:lang w:val="en-US" w:eastAsia="zh-CN"/>
        </w:rPr>
      </w:pPr>
    </w:p>
    <w:p w14:paraId="51570D03">
      <w:pPr>
        <w:bidi w:val="0"/>
        <w:rPr>
          <w:rFonts w:hint="default"/>
          <w:lang w:val="en-US" w:eastAsia="zh-CN"/>
        </w:rPr>
      </w:pPr>
    </w:p>
    <w:p w14:paraId="4064F846">
      <w:pPr>
        <w:bidi w:val="0"/>
        <w:rPr>
          <w:rFonts w:hint="default"/>
          <w:lang w:val="en-US" w:eastAsia="zh-CN"/>
        </w:rPr>
      </w:pPr>
    </w:p>
    <w:p w14:paraId="00301D97">
      <w:pPr>
        <w:bidi w:val="0"/>
        <w:rPr>
          <w:rFonts w:hint="default"/>
          <w:lang w:val="en-US" w:eastAsia="zh-CN"/>
        </w:rPr>
      </w:pPr>
    </w:p>
    <w:p w14:paraId="51854207">
      <w:pPr>
        <w:bidi w:val="0"/>
        <w:rPr>
          <w:rFonts w:hint="default"/>
          <w:lang w:val="en-US" w:eastAsia="zh-CN"/>
        </w:rPr>
      </w:pPr>
    </w:p>
    <w:p w14:paraId="66748FB2">
      <w:pPr>
        <w:bidi w:val="0"/>
        <w:rPr>
          <w:rFonts w:hint="default"/>
          <w:lang w:val="en-US" w:eastAsia="zh-CN"/>
        </w:rPr>
      </w:pPr>
    </w:p>
    <w:p w14:paraId="078EC6DC">
      <w:pPr>
        <w:bidi w:val="0"/>
        <w:rPr>
          <w:rFonts w:hint="default"/>
          <w:lang w:val="en-US" w:eastAsia="zh-CN"/>
        </w:rPr>
      </w:pPr>
    </w:p>
    <w:p w14:paraId="5BA67FD2">
      <w:pPr>
        <w:bidi w:val="0"/>
        <w:rPr>
          <w:rFonts w:hint="default"/>
          <w:lang w:val="en-US" w:eastAsia="zh-CN"/>
        </w:rPr>
      </w:pPr>
    </w:p>
    <w:p w14:paraId="0C2B1C56">
      <w:pPr>
        <w:bidi w:val="0"/>
        <w:rPr>
          <w:rFonts w:hint="default"/>
          <w:lang w:val="en-US" w:eastAsia="zh-CN"/>
        </w:rPr>
      </w:pPr>
    </w:p>
    <w:p w14:paraId="186A9D58">
      <w:pPr>
        <w:bidi w:val="0"/>
        <w:rPr>
          <w:rFonts w:hint="default"/>
          <w:lang w:val="en-US" w:eastAsia="zh-CN"/>
        </w:rPr>
      </w:pPr>
    </w:p>
    <w:p w14:paraId="589CCA4E">
      <w:pPr>
        <w:bidi w:val="0"/>
        <w:rPr>
          <w:rFonts w:hint="default"/>
          <w:lang w:val="en-US" w:eastAsia="zh-CN"/>
        </w:rPr>
      </w:pPr>
    </w:p>
    <w:p w14:paraId="1D48ED44">
      <w:pPr>
        <w:bidi w:val="0"/>
        <w:rPr>
          <w:rFonts w:hint="default"/>
          <w:lang w:val="en-US" w:eastAsia="zh-CN"/>
        </w:rPr>
      </w:pPr>
    </w:p>
    <w:p w14:paraId="12734937">
      <w:pPr>
        <w:bidi w:val="0"/>
        <w:rPr>
          <w:rFonts w:hint="default"/>
          <w:lang w:val="en-US" w:eastAsia="zh-CN"/>
        </w:rPr>
      </w:pPr>
    </w:p>
    <w:p w14:paraId="31C87CA1">
      <w:pPr>
        <w:bidi w:val="0"/>
        <w:rPr>
          <w:rFonts w:hint="default"/>
          <w:lang w:val="en-US" w:eastAsia="zh-CN"/>
        </w:rPr>
      </w:pPr>
    </w:p>
    <w:p w14:paraId="06728132">
      <w:pPr>
        <w:bidi w:val="0"/>
        <w:rPr>
          <w:rFonts w:hint="default"/>
          <w:lang w:val="en-US" w:eastAsia="zh-CN"/>
        </w:rPr>
      </w:pPr>
    </w:p>
    <w:p w14:paraId="1DAE64D5">
      <w:pPr>
        <w:bidi w:val="0"/>
        <w:rPr>
          <w:rFonts w:hint="default"/>
          <w:lang w:val="en-US" w:eastAsia="zh-CN"/>
        </w:rPr>
      </w:pPr>
    </w:p>
    <w:p w14:paraId="5CEBAD9E">
      <w:pPr>
        <w:bidi w:val="0"/>
        <w:rPr>
          <w:rFonts w:hint="default"/>
          <w:lang w:val="en-US" w:eastAsia="zh-CN"/>
        </w:rPr>
      </w:pPr>
    </w:p>
    <w:p w14:paraId="091F2D24">
      <w:pPr>
        <w:bidi w:val="0"/>
        <w:rPr>
          <w:rFonts w:hint="default"/>
          <w:lang w:val="en-US" w:eastAsia="zh-CN"/>
        </w:rPr>
      </w:pPr>
    </w:p>
    <w:p w14:paraId="401CB7C9">
      <w:pPr>
        <w:bidi w:val="0"/>
        <w:rPr>
          <w:rFonts w:hint="default"/>
          <w:lang w:val="en-US" w:eastAsia="zh-CN"/>
        </w:rPr>
      </w:pPr>
    </w:p>
    <w:p w14:paraId="1F65F114">
      <w:pPr>
        <w:bidi w:val="0"/>
        <w:rPr>
          <w:rFonts w:hint="default"/>
          <w:lang w:val="en-US" w:eastAsia="zh-CN"/>
        </w:rPr>
      </w:pPr>
    </w:p>
    <w:p w14:paraId="31CBB2F0">
      <w:pPr>
        <w:bidi w:val="0"/>
        <w:rPr>
          <w:rFonts w:hint="default"/>
          <w:lang w:val="en-US" w:eastAsia="zh-CN"/>
        </w:rPr>
      </w:pPr>
    </w:p>
    <w:p w14:paraId="3C59FBB0">
      <w:pPr>
        <w:bidi w:val="0"/>
        <w:rPr>
          <w:rFonts w:hint="default"/>
          <w:lang w:val="en-US" w:eastAsia="zh-CN"/>
        </w:rPr>
      </w:pPr>
    </w:p>
    <w:p w14:paraId="3FF2B940">
      <w:pPr>
        <w:bidi w:val="0"/>
        <w:rPr>
          <w:rFonts w:hint="default"/>
          <w:lang w:val="en-US" w:eastAsia="zh-CN"/>
        </w:rPr>
      </w:pPr>
    </w:p>
    <w:p w14:paraId="50722E7A">
      <w:pPr>
        <w:bidi w:val="0"/>
        <w:rPr>
          <w:rFonts w:hint="default"/>
          <w:lang w:val="en-US" w:eastAsia="zh-CN"/>
        </w:rPr>
      </w:pPr>
    </w:p>
    <w:p w14:paraId="14D02658">
      <w:pPr>
        <w:bidi w:val="0"/>
        <w:rPr>
          <w:rFonts w:hint="default"/>
          <w:lang w:val="en-US" w:eastAsia="zh-CN"/>
        </w:rPr>
      </w:pPr>
    </w:p>
    <w:p w14:paraId="6BB84816">
      <w:pPr>
        <w:bidi w:val="0"/>
        <w:rPr>
          <w:rFonts w:hint="default"/>
          <w:lang w:val="en-US" w:eastAsia="zh-CN"/>
        </w:rPr>
      </w:pPr>
    </w:p>
    <w:p w14:paraId="37D5C2B6">
      <w:pPr>
        <w:bidi w:val="0"/>
        <w:rPr>
          <w:rFonts w:hint="default"/>
          <w:lang w:val="en-US" w:eastAsia="zh-CN"/>
        </w:rPr>
      </w:pPr>
    </w:p>
    <w:p w14:paraId="0863D1C8">
      <w:pPr>
        <w:bidi w:val="0"/>
        <w:rPr>
          <w:rFonts w:hint="default"/>
          <w:lang w:val="en-US" w:eastAsia="zh-CN"/>
        </w:rPr>
      </w:pPr>
    </w:p>
    <w:p w14:paraId="0C786A4D">
      <w:pPr>
        <w:bidi w:val="0"/>
        <w:rPr>
          <w:rFonts w:hint="default"/>
          <w:lang w:val="en-US" w:eastAsia="zh-CN"/>
        </w:rPr>
      </w:pPr>
    </w:p>
    <w:p w14:paraId="0A63CF60">
      <w:pPr>
        <w:bidi w:val="0"/>
        <w:rPr>
          <w:rFonts w:hint="default"/>
          <w:lang w:val="en-US" w:eastAsia="zh-CN"/>
        </w:rPr>
      </w:pPr>
    </w:p>
    <w:p w14:paraId="64A54A33">
      <w:pPr>
        <w:pStyle w:val="2"/>
        <w:spacing w:before="166" w:line="191" w:lineRule="auto"/>
        <w:ind w:firstLine="15200" w:firstLineChars="7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F3ADDA">
      <w:pPr>
        <w:pStyle w:val="2"/>
        <w:spacing w:before="166" w:line="191" w:lineRule="auto"/>
        <w:ind w:firstLine="13376" w:firstLineChars="7600"/>
        <w:rPr>
          <w:sz w:val="17"/>
          <w:szCs w:val="17"/>
        </w:rPr>
      </w:pPr>
      <w:r>
        <w:rPr>
          <w:spacing w:val="3"/>
          <w:sz w:val="17"/>
          <w:szCs w:val="17"/>
        </w:rPr>
        <w:t>(Continues)</w:t>
      </w:r>
    </w:p>
    <w:p w14:paraId="6806D014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</w:t>
      </w:r>
    </w:p>
    <w:p w14:paraId="75409281">
      <w:pPr>
        <w:tabs>
          <w:tab w:val="left" w:pos="13313"/>
        </w:tabs>
        <w:bidi w:val="0"/>
        <w:jc w:val="left"/>
        <w:rPr>
          <w:rFonts w:hint="default"/>
          <w:lang w:val="en-US" w:eastAsia="zh-CN"/>
        </w:rPr>
        <w:sectPr>
          <w:pgSz w:w="15648" w:h="11906"/>
          <w:pgMar w:top="400" w:right="351" w:bottom="1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996"/>
          </w:cols>
        </w:sectPr>
      </w:pPr>
    </w:p>
    <w:p w14:paraId="38BB2C34">
      <w:pPr>
        <w:spacing w:line="199" w:lineRule="auto"/>
        <w:rPr>
          <w:sz w:val="10"/>
          <w:szCs w:val="10"/>
        </w:rPr>
        <w:sectPr>
          <w:footerReference r:id="rId6" w:type="default"/>
          <w:type w:val="continuous"/>
          <w:pgSz w:w="15648" w:h="11906"/>
          <w:pgMar w:top="400" w:right="351" w:bottom="1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996"/>
          </w:cols>
        </w:sectPr>
      </w:pPr>
    </w:p>
    <w:p w14:paraId="0B602673">
      <w:pPr>
        <w:pStyle w:val="2"/>
        <w:spacing w:before="48" w:line="191" w:lineRule="auto"/>
        <w:rPr>
          <w:color w:val="636366"/>
          <w:spacing w:val="9"/>
          <w:sz w:val="17"/>
          <w:szCs w:val="17"/>
        </w:rPr>
      </w:pPr>
    </w:p>
    <w:p w14:paraId="1D1D6111">
      <w:pPr>
        <w:pStyle w:val="2"/>
        <w:spacing w:before="49" w:line="191" w:lineRule="auto"/>
        <w:ind w:left="650"/>
        <w:rPr>
          <w:sz w:val="17"/>
          <w:szCs w:val="17"/>
        </w:rPr>
      </w:pPr>
      <w:r>
        <w:rPr>
          <w:color w:val="636366"/>
          <w:spacing w:val="9"/>
          <w:sz w:val="17"/>
          <w:szCs w:val="17"/>
        </w:rPr>
        <w:t>TABLE</w:t>
      </w:r>
      <w:r>
        <w:rPr>
          <w:color w:val="636366"/>
          <w:spacing w:val="36"/>
          <w:sz w:val="17"/>
          <w:szCs w:val="17"/>
        </w:rPr>
        <w:t xml:space="preserve"> </w:t>
      </w:r>
      <w:r>
        <w:rPr>
          <w:rFonts w:hint="eastAsia" w:eastAsia="宋体"/>
          <w:color w:val="636366"/>
          <w:spacing w:val="9"/>
          <w:sz w:val="17"/>
          <w:szCs w:val="17"/>
          <w:lang w:val="en-US" w:eastAsia="zh-CN"/>
        </w:rPr>
        <w:t>1</w:t>
      </w:r>
      <w:r>
        <w:rPr>
          <w:color w:val="636366"/>
          <w:spacing w:val="3"/>
          <w:sz w:val="17"/>
          <w:szCs w:val="17"/>
        </w:rPr>
        <w:t xml:space="preserve">    </w:t>
      </w:r>
      <w:r>
        <w:rPr>
          <w:spacing w:val="9"/>
          <w:sz w:val="17"/>
          <w:szCs w:val="17"/>
        </w:rPr>
        <w:t>(Continued)</w:t>
      </w:r>
    </w:p>
    <w:p w14:paraId="35DC4076">
      <w:pPr>
        <w:spacing w:line="107" w:lineRule="exact"/>
      </w:pPr>
    </w:p>
    <w:tbl>
      <w:tblPr>
        <w:tblStyle w:val="8"/>
        <w:tblW w:w="13669" w:type="dxa"/>
        <w:tblInd w:w="64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5"/>
        <w:gridCol w:w="4313"/>
        <w:gridCol w:w="3208"/>
        <w:gridCol w:w="1700"/>
        <w:gridCol w:w="1703"/>
      </w:tblGrid>
      <w:tr w14:paraId="2B1A53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745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71DD0E1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5"/>
                <w:sz w:val="17"/>
                <w:szCs w:val="17"/>
              </w:rPr>
              <w:t>Organ system, therapeutic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sz w:val="17"/>
                <w:szCs w:val="17"/>
              </w:rPr>
              <w:t>category, drug(s)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4313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42AB2E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</w:p>
          <w:p w14:paraId="6346DB0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3208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720B82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</w:p>
          <w:p w14:paraId="5A655CC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8"/>
                <w:sz w:val="17"/>
                <w:szCs w:val="17"/>
              </w:rPr>
              <w:t>Recommendation</w:t>
            </w:r>
          </w:p>
        </w:tc>
        <w:tc>
          <w:tcPr>
            <w:tcW w:w="170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0BAB0B6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pacing w:val="6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2"/>
                <w:sz w:val="17"/>
                <w:szCs w:val="17"/>
              </w:rPr>
              <w:t>Quality of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6"/>
                <w:sz w:val="17"/>
                <w:szCs w:val="17"/>
              </w:rPr>
              <w:t xml:space="preserve"> </w:t>
            </w:r>
          </w:p>
          <w:p w14:paraId="160D4D3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evidence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1703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01F6351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5"/>
                <w:sz w:val="17"/>
                <w:szCs w:val="17"/>
              </w:rPr>
              <w:t>Strength of</w:t>
            </w:r>
          </w:p>
          <w:p w14:paraId="6642512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19"/>
                <w:sz w:val="17"/>
                <w:szCs w:val="17"/>
              </w:rPr>
              <w:t>recommendation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19"/>
                <w:position w:val="6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19"/>
                <w:position w:val="6"/>
                <w:sz w:val="17"/>
                <w:szCs w:val="17"/>
              </w:rPr>
              <w:fldChar w:fldCharType="end"/>
            </w:r>
          </w:p>
        </w:tc>
      </w:tr>
      <w:tr w14:paraId="519EEB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3" w:hRule="atLeast"/>
        </w:trPr>
        <w:tc>
          <w:tcPr>
            <w:tcW w:w="2745" w:type="dxa"/>
            <w:tcBorders>
              <w:top w:val="single" w:color="auto" w:sz="8" w:space="0"/>
            </w:tcBorders>
            <w:vAlign w:val="top"/>
          </w:tcPr>
          <w:p w14:paraId="055F4F6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position w:val="2"/>
                <w:sz w:val="17"/>
                <w:szCs w:val="17"/>
              </w:rPr>
              <w:t>Ibuprofen</w:t>
            </w:r>
          </w:p>
          <w:p w14:paraId="6612745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>Indomethacin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 xml:space="preserve"> </w:t>
            </w:r>
          </w:p>
          <w:p w14:paraId="7122438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Ketorolac</w:t>
            </w:r>
          </w:p>
          <w:p w14:paraId="71250BF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Meloxicam</w:t>
            </w:r>
          </w:p>
          <w:p w14:paraId="74947B7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>Nabumetone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 xml:space="preserve"> </w:t>
            </w:r>
          </w:p>
          <w:p w14:paraId="7B54A32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Naproxen</w:t>
            </w:r>
          </w:p>
          <w:p w14:paraId="56908B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Oxaprozin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 xml:space="preserve"> </w:t>
            </w:r>
          </w:p>
          <w:p w14:paraId="1F3938A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Piroxicam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</w:t>
            </w:r>
          </w:p>
          <w:p w14:paraId="27B3092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Sulindac</w:t>
            </w:r>
          </w:p>
        </w:tc>
        <w:tc>
          <w:tcPr>
            <w:tcW w:w="4313" w:type="dxa"/>
            <w:tcBorders>
              <w:top w:val="single" w:color="auto" w:sz="8" w:space="0"/>
            </w:tcBorders>
            <w:vAlign w:val="top"/>
          </w:tcPr>
          <w:p w14:paraId="1A203FF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2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risk. Upper GI ulcers, gross bleeding,</w:t>
            </w:r>
            <w:r>
              <w:rPr>
                <w:rFonts w:hint="default" w:ascii="Times New Roman" w:hAnsi="Times New Roman" w:cs="Times New Roman"/>
                <w:spacing w:val="10"/>
                <w:position w:val="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position w:val="2"/>
                <w:sz w:val="17"/>
                <w:szCs w:val="17"/>
              </w:rPr>
              <w:t>or</w:t>
            </w:r>
          </w:p>
          <w:p w14:paraId="4D27C70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perforation caused by NSAIDs occu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r in</w:t>
            </w:r>
            <w:r>
              <w:rPr>
                <w:rFonts w:hint="default" w:ascii="Times New Roman" w:hAnsi="Times New Roman" w:cs="Times New Roman"/>
                <w:spacing w:val="13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5"/>
                <w:sz w:val="17"/>
                <w:szCs w:val="17"/>
              </w:rPr>
              <w:t>~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1%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of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patients treated for 3-6</w:t>
            </w:r>
            <w:r>
              <w:rPr>
                <w:rFonts w:hint="default" w:ascii="Times New Roman" w:hAnsi="Times New Roman" w:cs="Times New Roman"/>
                <w:spacing w:val="26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months and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in</w:t>
            </w:r>
            <w:r>
              <w:rPr>
                <w:rFonts w:hint="default" w:ascii="Times New Roman" w:hAnsi="Times New Roman" w:cs="Times New Roman"/>
                <w:spacing w:val="13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spacing w:val="7"/>
                <w:sz w:val="17"/>
                <w:szCs w:val="17"/>
              </w:rPr>
              <w:t>~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2%-4%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of</w:t>
            </w:r>
            <w:r>
              <w:rPr>
                <w:rFonts w:hint="default" w:ascii="Times New Roman" w:hAnsi="Times New Roman" w:cs="Times New Roman"/>
                <w:spacing w:val="-5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patients treated for</w:t>
            </w:r>
            <w:r>
              <w:rPr>
                <w:rFonts w:hint="default" w:ascii="Times New Roman" w:hAnsi="Times New Roman" w:cs="Times New Roman"/>
                <w:spacing w:val="15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1 year; the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se trends</w:t>
            </w:r>
          </w:p>
          <w:p w14:paraId="62CF995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continue with longer du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ration of</w:t>
            </w:r>
            <w:r>
              <w:rPr>
                <w:rFonts w:hint="default" w:ascii="Times New Roman" w:hAnsi="Times New Roman" w:cs="Times New Roman"/>
                <w:spacing w:val="-5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use. Also can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increase blood pressure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 xml:space="preserve"> and induce kidney</w:t>
            </w:r>
          </w:p>
          <w:p w14:paraId="5733151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injury. Risks are</w:t>
            </w:r>
            <w:r>
              <w:rPr>
                <w:rFonts w:hint="default" w:ascii="Times New Roman" w:hAnsi="Times New Roman" w:cs="Times New Roman"/>
                <w:spacing w:val="10"/>
                <w:position w:val="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dose-re</w:t>
            </w:r>
            <w:r>
              <w:rPr>
                <w:rFonts w:hint="default" w:ascii="Times New Roman" w:hAnsi="Times New Roman" w:cs="Times New Roman"/>
                <w:spacing w:val="5"/>
                <w:position w:val="2"/>
                <w:sz w:val="17"/>
                <w:szCs w:val="17"/>
              </w:rPr>
              <w:t>lated.</w:t>
            </w:r>
          </w:p>
        </w:tc>
        <w:tc>
          <w:tcPr>
            <w:tcW w:w="3208" w:type="dxa"/>
            <w:tcBorders>
              <w:top w:val="single" w:color="auto" w:sz="8" w:space="0"/>
            </w:tcBorders>
            <w:vAlign w:val="top"/>
          </w:tcPr>
          <w:p w14:paraId="51BD000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firstLine="182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corticosteroids, anticoagulants, or</w:t>
            </w:r>
          </w:p>
          <w:p w14:paraId="43DC997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4" w:firstLineChars="100"/>
              <w:textAlignment w:val="baseline"/>
              <w:rPr>
                <w:rFonts w:hint="eastAsia" w:eastAsia="宋体" w:cs="Times New Roman"/>
                <w:spacing w:val="7"/>
                <w:position w:val="2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position w:val="2"/>
                <w:sz w:val="17"/>
                <w:szCs w:val="17"/>
              </w:rPr>
              <w:t>antiplatelet agents unless other</w:t>
            </w:r>
            <w:r>
              <w:rPr>
                <w:rFonts w:hint="eastAsia" w:eastAsia="宋体" w:cs="Times New Roman"/>
                <w:spacing w:val="7"/>
                <w:position w:val="2"/>
                <w:sz w:val="17"/>
                <w:szCs w:val="17"/>
                <w:lang w:val="en-US" w:eastAsia="zh-CN"/>
              </w:rPr>
              <w:t xml:space="preserve"> </w:t>
            </w:r>
          </w:p>
          <w:p w14:paraId="0C3371B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4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alternatives are not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 xml:space="preserve"> effective</w:t>
            </w:r>
            <w:r>
              <w:rPr>
                <w:rFonts w:hint="default" w:ascii="Times New Roman" w:hAnsi="Times New Roman" w:cs="Times New Roman"/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and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the</w:t>
            </w:r>
          </w:p>
          <w:p w14:paraId="7ACA43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patient can take a gastroprotective</w:t>
            </w:r>
            <w:r>
              <w:rPr>
                <w:rFonts w:hint="default" w:ascii="Times New Roman" w:hAnsi="Times New Roman" w:cs="Times New Roman"/>
                <w:spacing w:val="18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agent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(proton-pump inhibitor or m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isoprostol).</w:t>
            </w:r>
          </w:p>
        </w:tc>
        <w:tc>
          <w:tcPr>
            <w:tcW w:w="1700" w:type="dxa"/>
            <w:tcBorders>
              <w:top w:val="single" w:color="auto" w:sz="8" w:space="0"/>
            </w:tcBorders>
            <w:vAlign w:val="top"/>
          </w:tcPr>
          <w:p w14:paraId="1AD57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3" w:type="dxa"/>
            <w:tcBorders>
              <w:top w:val="single" w:color="auto" w:sz="8" w:space="0"/>
            </w:tcBorders>
            <w:vAlign w:val="top"/>
          </w:tcPr>
          <w:p w14:paraId="3EA338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</w:tr>
      <w:tr w14:paraId="78C335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2745" w:type="dxa"/>
            <w:shd w:val="clear" w:color="auto" w:fill="E6E7E9"/>
            <w:vAlign w:val="top"/>
          </w:tcPr>
          <w:p w14:paraId="2CDD293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>Indomethacin</w:t>
            </w:r>
          </w:p>
          <w:p w14:paraId="10CC370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Ketorolac (oral and parenteral)</w:t>
            </w:r>
          </w:p>
        </w:tc>
        <w:tc>
          <w:tcPr>
            <w:tcW w:w="4313" w:type="dxa"/>
            <w:shd w:val="clear" w:color="auto" w:fill="E6E7E9"/>
            <w:vAlign w:val="top"/>
          </w:tcPr>
          <w:p w14:paraId="069524D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Increased risk of GI bleeding/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peptic ulcer disease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and acute kidney injury in older</w:t>
            </w:r>
            <w:r>
              <w:rPr>
                <w:rFonts w:hint="default" w:ascii="Times New Roman" w:hAnsi="Times New Roman" w:cs="Times New Roman"/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dults.</w:t>
            </w:r>
            <w:r>
              <w:rPr>
                <w:rFonts w:hint="default" w:ascii="Times New Roman" w:hAnsi="Times New Roman" w:cs="Times New Roman"/>
                <w:spacing w:val="12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Of all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the</w:t>
            </w:r>
            <w:r>
              <w:rPr>
                <w:rFonts w:hint="eastAsia" w:eastAsia="宋体" w:cs="Times New Roman"/>
                <w:spacing w:val="8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NSAIDs, indomethacin ha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s the</w:t>
            </w: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most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adverse effects, including a higher</w:t>
            </w:r>
            <w:r>
              <w:rPr>
                <w:rFonts w:hint="default" w:ascii="Times New Roman" w:hAnsi="Times New Roman" w:cs="Times New Roman"/>
                <w:spacing w:val="15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risk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of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adverse CNS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effects.</w:t>
            </w:r>
          </w:p>
        </w:tc>
        <w:tc>
          <w:tcPr>
            <w:tcW w:w="3208" w:type="dxa"/>
            <w:shd w:val="clear" w:color="auto" w:fill="E6E7E9"/>
            <w:vAlign w:val="top"/>
          </w:tcPr>
          <w:p w14:paraId="7519529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Avoid</w:t>
            </w:r>
          </w:p>
        </w:tc>
        <w:tc>
          <w:tcPr>
            <w:tcW w:w="1700" w:type="dxa"/>
            <w:shd w:val="clear" w:color="auto" w:fill="E6E7E9"/>
            <w:vAlign w:val="top"/>
          </w:tcPr>
          <w:p w14:paraId="0BF5666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703" w:type="dxa"/>
            <w:shd w:val="clear" w:color="auto" w:fill="E6E7E9"/>
            <w:vAlign w:val="top"/>
          </w:tcPr>
          <w:p w14:paraId="1976C6B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678C3D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2745" w:type="dxa"/>
            <w:vAlign w:val="top"/>
          </w:tcPr>
          <w:p w14:paraId="744E5B0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Meperidine</w:t>
            </w:r>
          </w:p>
        </w:tc>
        <w:tc>
          <w:tcPr>
            <w:tcW w:w="4313" w:type="dxa"/>
            <w:vAlign w:val="top"/>
          </w:tcPr>
          <w:p w14:paraId="727F119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2" w:right="0" w:hanging="182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Oral analgesic not effective in</w:t>
            </w:r>
            <w:r>
              <w:rPr>
                <w:rFonts w:hint="default" w:ascii="Times New Roman" w:hAnsi="Times New Roman" w:cs="Times New Roman"/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dosages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commonly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used; may have a higher risk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of</w:t>
            </w:r>
            <w:r>
              <w:rPr>
                <w:rFonts w:hint="default" w:ascii="Times New Roman" w:hAnsi="Times New Roman" w:cs="Times New Roman"/>
                <w:spacing w:val="-4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neuroto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xicity,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including delirium, than other opioids;</w:t>
            </w:r>
            <w:r>
              <w:rPr>
                <w:rFonts w:hint="default" w:ascii="Times New Roman" w:hAnsi="Times New Roman" w:cs="Times New Roman"/>
                <w:spacing w:val="17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safer</w:t>
            </w:r>
          </w:p>
          <w:p w14:paraId="68EBC0C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2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alternatives available.</w:t>
            </w:r>
          </w:p>
        </w:tc>
        <w:tc>
          <w:tcPr>
            <w:tcW w:w="3208" w:type="dxa"/>
            <w:vAlign w:val="top"/>
          </w:tcPr>
          <w:p w14:paraId="6FB8702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Avoid</w:t>
            </w:r>
          </w:p>
        </w:tc>
        <w:tc>
          <w:tcPr>
            <w:tcW w:w="1700" w:type="dxa"/>
            <w:vAlign w:val="top"/>
          </w:tcPr>
          <w:p w14:paraId="65BBE73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703" w:type="dxa"/>
            <w:vAlign w:val="top"/>
          </w:tcPr>
          <w:p w14:paraId="660CDA0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4BACA2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</w:trPr>
        <w:tc>
          <w:tcPr>
            <w:tcW w:w="2745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064DBE3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Skeletal muscle relaxants</w:t>
            </w:r>
            <w:r>
              <w:rPr>
                <w:rFonts w:hint="default" w:ascii="Times New Roman" w:hAnsi="Times New Roman" w:cs="Times New Roman"/>
                <w:spacing w:val="12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Carisoprodol</w:t>
            </w:r>
          </w:p>
          <w:p w14:paraId="44FC3F8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Chlorzoxazone</w:t>
            </w:r>
          </w:p>
          <w:p w14:paraId="2D2F729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12"/>
                <w:w w:val="101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Cyclobenzaprine</w:t>
            </w:r>
            <w:r>
              <w:rPr>
                <w:rFonts w:hint="default" w:ascii="Times New Roman" w:hAnsi="Times New Roman" w:cs="Times New Roman"/>
                <w:spacing w:val="12"/>
                <w:w w:val="101"/>
                <w:sz w:val="17"/>
                <w:szCs w:val="17"/>
              </w:rPr>
              <w:t xml:space="preserve"> </w:t>
            </w:r>
          </w:p>
          <w:p w14:paraId="6D44831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Metaxalone</w:t>
            </w:r>
          </w:p>
          <w:p w14:paraId="300E000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3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Methocarbamol</w:t>
            </w:r>
            <w:r>
              <w:rPr>
                <w:rFonts w:hint="default" w:ascii="Times New Roman" w:hAnsi="Times New Roman" w:cs="Times New Roman"/>
                <w:spacing w:val="3"/>
                <w:sz w:val="17"/>
                <w:szCs w:val="17"/>
              </w:rPr>
              <w:t xml:space="preserve"> </w:t>
            </w:r>
          </w:p>
          <w:p w14:paraId="456350B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>Orphenadrine</w:t>
            </w:r>
          </w:p>
        </w:tc>
        <w:tc>
          <w:tcPr>
            <w:tcW w:w="4313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65D661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0" w:right="0" w:hanging="18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Muscle relaxants typically used to treat</w:t>
            </w:r>
            <w:r>
              <w:rPr>
                <w:rFonts w:hint="eastAsia" w:eastAsia="宋体" w:cs="Times New Roman"/>
                <w:spacing w:val="5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musculoskeletal complaints are poo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rly tolerated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by older adults due to anti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cholinergic adverse</w:t>
            </w:r>
            <w:r>
              <w:rPr>
                <w:rFonts w:hint="eastAsia" w:eastAsia="宋体" w:cs="Times New Roman"/>
                <w:spacing w:val="5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effects, sedation, and increased risk of</w:t>
            </w:r>
            <w:r>
              <w:rPr>
                <w:rFonts w:hint="default" w:ascii="Times New Roman" w:hAnsi="Times New Roman" w:cs="Times New Roman"/>
                <w:spacing w:val="-7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fractu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res;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effectiveness at dosages tolera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ted by older adults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is questionable.</w:t>
            </w:r>
          </w:p>
          <w:p w14:paraId="52FFBF7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This criterion does not ap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ply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to</w:t>
            </w:r>
            <w:r>
              <w:rPr>
                <w:rFonts w:hint="default" w:ascii="Times New Roman" w:hAnsi="Times New Roman" w:cs="Times New Roman"/>
                <w:spacing w:val="1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skeletal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muscle</w:t>
            </w:r>
            <w:r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relaxants typically used for the management</w:t>
            </w:r>
            <w:r>
              <w:rPr>
                <w:rFonts w:hint="default" w:ascii="Times New Roman" w:hAnsi="Times New Roman" w:cs="Times New Roman"/>
                <w:spacing w:val="20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of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spasticity (i.e., baclofen and tizanidine)</w:t>
            </w:r>
            <w:r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  <w:t xml:space="preserve"> </w:t>
            </w:r>
          </w:p>
          <w:p w14:paraId="45517F4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although these drugs can also cause</w:t>
            </w:r>
            <w:r>
              <w:rPr>
                <w:rFonts w:hint="default" w:ascii="Times New Roman" w:hAnsi="Times New Roman" w:cs="Times New Roman"/>
                <w:spacing w:val="28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substantial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adverse effects.</w:t>
            </w:r>
          </w:p>
        </w:tc>
        <w:tc>
          <w:tcPr>
            <w:tcW w:w="3208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7656B1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Avoid</w:t>
            </w:r>
          </w:p>
        </w:tc>
        <w:tc>
          <w:tcPr>
            <w:tcW w:w="1700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05FA7E6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703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14A9737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</w:tbl>
    <w:p w14:paraId="38BCC2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48"/>
        <w:textAlignment w:val="baseline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pacing w:val="7"/>
          <w:sz w:val="15"/>
          <w:szCs w:val="15"/>
        </w:rPr>
        <w:t xml:space="preserve">Abbreviations: CNS, central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nervous system; COX, cyclooxygenase;</w:t>
      </w:r>
      <w:r>
        <w:rPr>
          <w:rFonts w:hint="default" w:ascii="Times New Roman" w:hAnsi="Times New Roman" w:cs="Times New Roman"/>
          <w:spacing w:val="1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CrCl,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creatinine</w:t>
      </w:r>
      <w:r>
        <w:rPr>
          <w:rFonts w:hint="default" w:ascii="Times New Roman" w:hAnsi="Times New Roman" w:cs="Times New Roman"/>
          <w:spacing w:val="1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clearance;</w:t>
      </w:r>
      <w:r>
        <w:rPr>
          <w:rFonts w:hint="default" w:ascii="Times New Roman" w:hAnsi="Times New Roman" w:cs="Times New Roman"/>
          <w:spacing w:val="11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CV,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cardiovascular;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DOACs,</w:t>
      </w:r>
      <w:r>
        <w:rPr>
          <w:rFonts w:hint="default" w:ascii="Times New Roman" w:hAnsi="Times New Roman" w:cs="Times New Roman"/>
          <w:spacing w:val="9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direct</w:t>
      </w:r>
      <w:r>
        <w:rPr>
          <w:rFonts w:hint="default" w:ascii="Times New Roman" w:hAnsi="Times New Roman" w:cs="Times New Roman"/>
          <w:spacing w:val="9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oral</w:t>
      </w:r>
      <w:r>
        <w:rPr>
          <w:rFonts w:hint="default" w:ascii="Times New Roman" w:hAnsi="Times New Roman" w:cs="Times New Roman"/>
          <w:spacing w:val="10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anticoagulants;</w:t>
      </w:r>
      <w:r>
        <w:rPr>
          <w:rFonts w:hint="default" w:ascii="Times New Roman" w:hAnsi="Times New Roman" w:cs="Times New Roman"/>
          <w:spacing w:val="11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GI,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gastrointestinal;</w:t>
      </w:r>
      <w:r>
        <w:rPr>
          <w:rFonts w:hint="default" w:ascii="Times New Roman" w:hAnsi="Times New Roman" w:cs="Times New Roman"/>
          <w:spacing w:val="1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HFrEF,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heart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failure with</w:t>
      </w:r>
    </w:p>
    <w:p w14:paraId="0DDA47F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2"/>
        <w:textAlignment w:val="baseline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pacing w:val="7"/>
          <w:position w:val="2"/>
          <w:sz w:val="15"/>
          <w:szCs w:val="15"/>
        </w:rPr>
        <w:t>reduced ejection fraction; HRT, hormone replacement therapy; INR, international</w:t>
      </w:r>
      <w:r>
        <w:rPr>
          <w:rFonts w:hint="default" w:ascii="Times New Roman" w:hAnsi="Times New Roman" w:cs="Times New Roman"/>
          <w:spacing w:val="10"/>
          <w:position w:val="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2"/>
          <w:sz w:val="15"/>
          <w:szCs w:val="15"/>
        </w:rPr>
        <w:t>normalized ratio;</w:t>
      </w:r>
      <w:r>
        <w:rPr>
          <w:rFonts w:hint="default" w:ascii="Times New Roman" w:hAnsi="Times New Roman" w:cs="Times New Roman"/>
          <w:spacing w:val="9"/>
          <w:w w:val="101"/>
          <w:position w:val="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2"/>
          <w:sz w:val="15"/>
          <w:szCs w:val="15"/>
        </w:rPr>
        <w:t>NSAIDs,</w:t>
      </w:r>
      <w:r>
        <w:rPr>
          <w:rFonts w:hint="default" w:ascii="Times New Roman" w:hAnsi="Times New Roman" w:cs="Times New Roman"/>
          <w:spacing w:val="9"/>
          <w:position w:val="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2"/>
          <w:sz w:val="15"/>
          <w:szCs w:val="15"/>
        </w:rPr>
        <w:t>nonsteroidal</w:t>
      </w:r>
      <w:r>
        <w:rPr>
          <w:rFonts w:hint="default" w:ascii="Times New Roman" w:hAnsi="Times New Roman" w:cs="Times New Roman"/>
          <w:spacing w:val="9"/>
          <w:position w:val="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2"/>
          <w:sz w:val="15"/>
          <w:szCs w:val="15"/>
        </w:rPr>
        <w:t>anti-inflammatory drugs;</w:t>
      </w:r>
      <w:r>
        <w:rPr>
          <w:rFonts w:hint="default" w:ascii="Times New Roman" w:hAnsi="Times New Roman" w:cs="Times New Roman"/>
          <w:spacing w:val="8"/>
          <w:position w:val="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2"/>
          <w:sz w:val="15"/>
          <w:szCs w:val="15"/>
        </w:rPr>
        <w:t>NYHA,</w:t>
      </w:r>
      <w:r>
        <w:rPr>
          <w:rFonts w:hint="default" w:ascii="Times New Roman" w:hAnsi="Times New Roman" w:cs="Times New Roman"/>
          <w:spacing w:val="9"/>
          <w:position w:val="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2"/>
          <w:sz w:val="15"/>
          <w:szCs w:val="15"/>
        </w:rPr>
        <w:t>New York</w:t>
      </w:r>
      <w:r>
        <w:rPr>
          <w:rFonts w:hint="default" w:ascii="Times New Roman" w:hAnsi="Times New Roman" w:cs="Times New Roman"/>
          <w:spacing w:val="10"/>
          <w:position w:val="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2"/>
          <w:sz w:val="15"/>
          <w:szCs w:val="15"/>
        </w:rPr>
        <w:t>Heart Association;</w:t>
      </w:r>
      <w:r>
        <w:rPr>
          <w:rFonts w:hint="default" w:ascii="Times New Roman" w:hAnsi="Times New Roman" w:cs="Times New Roman"/>
          <w:spacing w:val="10"/>
          <w:w w:val="101"/>
          <w:position w:val="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2"/>
          <w:sz w:val="15"/>
          <w:szCs w:val="15"/>
        </w:rPr>
        <w:t>SI</w:t>
      </w:r>
      <w:r>
        <w:rPr>
          <w:rFonts w:hint="default" w:ascii="Times New Roman" w:hAnsi="Times New Roman" w:cs="Times New Roman"/>
          <w:spacing w:val="6"/>
          <w:position w:val="2"/>
          <w:sz w:val="15"/>
          <w:szCs w:val="15"/>
        </w:rPr>
        <w:t>ADH,</w:t>
      </w:r>
    </w:p>
    <w:p w14:paraId="66E9461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4"/>
        <w:textAlignment w:val="baseline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pacing w:val="8"/>
          <w:sz w:val="15"/>
          <w:szCs w:val="15"/>
        </w:rPr>
        <w:t>syndrome of</w:t>
      </w:r>
      <w:r>
        <w:rPr>
          <w:rFonts w:hint="default" w:ascii="Times New Roman" w:hAnsi="Times New Roman" w:cs="Times New Roman"/>
          <w:spacing w:val="-3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inappropriate antidiuretic hormone secretion; VTE, v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enous thromboembolism.</w:t>
      </w:r>
    </w:p>
    <w:p w14:paraId="5B5A80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2"/>
        <w:textAlignment w:val="baseline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pacing w:val="7"/>
          <w:position w:val="6"/>
          <w:sz w:val="15"/>
          <w:szCs w:val="15"/>
        </w:rPr>
        <w:t>a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Under each drug class, drugs commonly used in the United</w:t>
      </w:r>
      <w:r>
        <w:rPr>
          <w:rFonts w:hint="default" w:ascii="Times New Roman" w:hAnsi="Times New Roman" w:cs="Times New Roman"/>
          <w:spacing w:val="9"/>
          <w:w w:val="10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States</w:t>
      </w:r>
      <w:r>
        <w:rPr>
          <w:rFonts w:hint="default" w:ascii="Times New Roman" w:hAnsi="Times New Roman" w:cs="Times New Roman"/>
          <w:spacing w:val="1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are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listed,</w:t>
      </w:r>
      <w:r>
        <w:rPr>
          <w:rFonts w:hint="default" w:ascii="Times New Roman" w:hAnsi="Times New Roman" w:cs="Times New Roman"/>
          <w:spacing w:val="1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except</w:t>
      </w:r>
      <w:r>
        <w:rPr>
          <w:rFonts w:hint="default" w:ascii="Times New Roman" w:hAnsi="Times New Roman" w:cs="Times New Roman"/>
          <w:spacing w:val="9"/>
          <w:w w:val="10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in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cases where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doing</w:t>
      </w:r>
      <w:r>
        <w:rPr>
          <w:rFonts w:hint="default" w:ascii="Times New Roman" w:hAnsi="Times New Roman" w:cs="Times New Roman"/>
          <w:spacing w:val="10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so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is</w:t>
      </w:r>
      <w:r>
        <w:rPr>
          <w:rFonts w:hint="default" w:ascii="Times New Roman" w:hAnsi="Times New Roman" w:cs="Times New Roman"/>
          <w:spacing w:val="9"/>
          <w:w w:val="10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infeasible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due</w:t>
      </w:r>
      <w:r>
        <w:rPr>
          <w:rFonts w:hint="default" w:ascii="Times New Roman" w:hAnsi="Times New Roman" w:cs="Times New Roman"/>
          <w:spacing w:val="9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to</w:t>
      </w:r>
      <w:r>
        <w:rPr>
          <w:rFonts w:hint="default" w:ascii="Times New Roman" w:hAnsi="Times New Roman" w:cs="Times New Roman"/>
          <w:spacing w:val="10"/>
          <w:w w:val="10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spac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e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considerations. Unless</w:t>
      </w:r>
      <w:r>
        <w:rPr>
          <w:rFonts w:hint="default" w:ascii="Times New Roman" w:hAnsi="Times New Roman" w:cs="Times New Roman"/>
          <w:spacing w:val="10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stated</w:t>
      </w:r>
      <w:r>
        <w:rPr>
          <w:rFonts w:hint="default" w:ascii="Times New Roman" w:hAnsi="Times New Roman" w:cs="Times New Roman"/>
          <w:spacing w:val="9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otherwise,</w:t>
      </w:r>
      <w:r>
        <w:rPr>
          <w:rFonts w:hint="default" w:ascii="Times New Roman" w:hAnsi="Times New Roman" w:cs="Times New Roman"/>
          <w:spacing w:val="10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all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drugs within</w:t>
      </w:r>
      <w:r>
        <w:rPr>
          <w:rFonts w:hint="default" w:ascii="Times New Roman" w:hAnsi="Times New Roman" w:cs="Times New Roman"/>
          <w:spacing w:val="1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a</w:t>
      </w:r>
      <w:r>
        <w:rPr>
          <w:rFonts w:hint="default" w:ascii="Times New Roman" w:hAnsi="Times New Roman" w:cs="Times New Roman"/>
          <w:spacing w:val="1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stated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drug</w:t>
      </w:r>
      <w:r>
        <w:rPr>
          <w:rFonts w:hint="default" w:ascii="Times New Roman" w:hAnsi="Times New Roman" w:cs="Times New Roman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class are considered potentially inappropriate in the context of</w:t>
      </w:r>
      <w:r>
        <w:rPr>
          <w:rFonts w:hint="default" w:ascii="Times New Roman" w:hAnsi="Times New Roman" w:cs="Times New Roman"/>
          <w:spacing w:val="-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the criterion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in which</w:t>
      </w:r>
      <w:r>
        <w:rPr>
          <w:rFonts w:hint="default" w:ascii="Times New Roman" w:hAnsi="Times New Roman" w:cs="Times New Roman"/>
          <w:spacing w:val="10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they appear,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even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if</w:t>
      </w:r>
      <w:r>
        <w:rPr>
          <w:rFonts w:hint="default" w:ascii="Times New Roman" w:hAnsi="Times New Roman" w:cs="Times New Roman"/>
          <w:spacing w:val="-4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not listed</w:t>
      </w:r>
      <w:r>
        <w:rPr>
          <w:rFonts w:hint="default" w:ascii="Times New Roman" w:hAnsi="Times New Roman" w:cs="Times New Roman"/>
          <w:spacing w:val="1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in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this</w:t>
      </w:r>
      <w:r>
        <w:rPr>
          <w:rFonts w:hint="default" w:ascii="Times New Roman" w:hAnsi="Times New Roman" w:cs="Times New Roman"/>
          <w:spacing w:val="9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table.</w:t>
      </w:r>
    </w:p>
    <w:p w14:paraId="7570A84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0" w:right="3746" w:hanging="2"/>
        <w:textAlignment w:val="baseline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pacing w:val="8"/>
          <w:position w:val="6"/>
          <w:sz w:val="15"/>
          <w:szCs w:val="15"/>
        </w:rPr>
        <w:t>b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Quality of</w:t>
      </w:r>
      <w:r>
        <w:rPr>
          <w:rFonts w:hint="default" w:ascii="Times New Roman" w:hAnsi="Times New Roman" w:cs="Times New Roman"/>
          <w:spacing w:val="-4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evidence and strength of</w:t>
      </w:r>
      <w:r>
        <w:rPr>
          <w:rFonts w:hint="default" w:ascii="Times New Roman" w:hAnsi="Times New Roman" w:cs="Times New Roman"/>
          <w:spacing w:val="-3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recommendation ratings apply to all drugs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and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recommendation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s within each</w:t>
      </w:r>
      <w:r>
        <w:rPr>
          <w:rFonts w:hint="default" w:ascii="Times New Roman" w:hAnsi="Times New Roman" w:cs="Times New Roman"/>
          <w:spacing w:val="9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criterion unless</w:t>
      </w:r>
      <w:r>
        <w:rPr>
          <w:rFonts w:hint="default" w:ascii="Times New Roman" w:hAnsi="Times New Roman" w:cs="Times New Roman"/>
          <w:spacing w:val="10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stated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otherwise.</w:t>
      </w:r>
      <w:r>
        <w:rPr>
          <w:rFonts w:hint="default" w:ascii="Times New Roman" w:hAnsi="Times New Roman" w:cs="Times New Roman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position w:val="6"/>
          <w:sz w:val="15"/>
          <w:szCs w:val="15"/>
        </w:rPr>
        <w:t>c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When selecting among DOACs and choosing a dose, pay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special</w:t>
      </w:r>
      <w:r>
        <w:rPr>
          <w:rFonts w:hint="default" w:ascii="Times New Roman" w:hAnsi="Times New Roman" w:cs="Times New Roman"/>
          <w:spacing w:val="1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consideration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to</w:t>
      </w:r>
      <w:r>
        <w:rPr>
          <w:rFonts w:hint="default" w:ascii="Times New Roman" w:hAnsi="Times New Roman" w:cs="Times New Roman"/>
          <w:spacing w:val="9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kidney function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,</w:t>
      </w:r>
      <w:r>
        <w:rPr>
          <w:rFonts w:hint="default" w:ascii="Times New Roman" w:hAnsi="Times New Roman" w:cs="Times New Roman"/>
          <w:spacing w:val="1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indication,</w:t>
      </w:r>
      <w:r>
        <w:rPr>
          <w:rFonts w:hint="default" w:ascii="Times New Roman" w:hAnsi="Times New Roman" w:cs="Times New Roman"/>
          <w:spacing w:val="9"/>
          <w:w w:val="102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and</w:t>
      </w:r>
      <w:r>
        <w:rPr>
          <w:rFonts w:hint="default" w:ascii="Times New Roman" w:hAnsi="Times New Roman" w:cs="Times New Roman"/>
          <w:spacing w:val="5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body weight.</w:t>
      </w:r>
    </w:p>
    <w:p w14:paraId="44FC7D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2" w:right="307" w:hanging="1"/>
        <w:textAlignment w:val="baseline"/>
        <w:rPr>
          <w:rFonts w:hint="default" w:ascii="Times New Roman" w:hAnsi="Times New Roman" w:cs="Times New Roman"/>
          <w:sz w:val="15"/>
          <w:szCs w:val="15"/>
        </w:rPr>
      </w:pPr>
      <w:r>
        <w:rPr>
          <w:rFonts w:hint="default" w:ascii="Times New Roman" w:hAnsi="Times New Roman" w:cs="Times New Roman"/>
          <w:spacing w:val="8"/>
          <w:position w:val="6"/>
          <w:sz w:val="15"/>
          <w:szCs w:val="15"/>
        </w:rPr>
        <w:t>d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Antipsychotics used in the United States include: First-generation (</w:t>
      </w:r>
      <w:r>
        <w:rPr>
          <w:rFonts w:hint="default" w:ascii="Times New Roman" w:hAnsi="Times New Roman" w:eastAsia="Arial" w:cs="Times New Roman"/>
          <w:spacing w:val="8"/>
          <w:sz w:val="15"/>
          <w:szCs w:val="15"/>
        </w:rPr>
        <w:t>“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typical</w:t>
      </w:r>
      <w:r>
        <w:rPr>
          <w:rFonts w:hint="default" w:ascii="Times New Roman" w:hAnsi="Times New Roman" w:eastAsia="Arial" w:cs="Times New Roman"/>
          <w:spacing w:val="8"/>
          <w:sz w:val="15"/>
          <w:szCs w:val="15"/>
        </w:rPr>
        <w:t>”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)—chlorpromazine, fluphenazine,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 xml:space="preserve"> haloperidol, perphenazine;</w:t>
      </w:r>
      <w:r>
        <w:rPr>
          <w:rFonts w:hint="default" w:ascii="Times New Roman" w:hAnsi="Times New Roman" w:cs="Times New Roman"/>
          <w:spacing w:val="9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Second-generation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(</w:t>
      </w:r>
      <w:r>
        <w:rPr>
          <w:rFonts w:hint="default" w:ascii="Times New Roman" w:hAnsi="Times New Roman" w:eastAsia="Arial" w:cs="Times New Roman"/>
          <w:spacing w:val="7"/>
          <w:sz w:val="15"/>
          <w:szCs w:val="15"/>
        </w:rPr>
        <w:t>“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atypical</w:t>
      </w:r>
      <w:r>
        <w:rPr>
          <w:rFonts w:hint="default" w:ascii="Times New Roman" w:hAnsi="Times New Roman" w:eastAsia="Arial" w:cs="Times New Roman"/>
          <w:spacing w:val="7"/>
          <w:sz w:val="15"/>
          <w:szCs w:val="15"/>
        </w:rPr>
        <w:t>”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)—aripiprazole,brexpiprazole,</w:t>
      </w:r>
      <w:r>
        <w:rPr>
          <w:rFonts w:hint="default" w:ascii="Times New Roman" w:hAnsi="Times New Roman" w:cs="Times New Roman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>cariprazine, clozapine, lurasidone,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olanzapine, paliperidone, pimavanserin, quetiapine, risperidone, ziprasidone. This list does</w:t>
      </w:r>
      <w:r>
        <w:rPr>
          <w:rFonts w:hint="default" w:ascii="Times New Roman" w:hAnsi="Times New Roman" w:cs="Times New Roman"/>
          <w:spacing w:val="9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not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include</w:t>
      </w:r>
      <w:r>
        <w:rPr>
          <w:rFonts w:hint="default" w:ascii="Times New Roman" w:hAnsi="Times New Roman" w:cs="Times New Roman"/>
          <w:spacing w:val="11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antipsychotics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rarely or</w:t>
      </w:r>
      <w:r>
        <w:rPr>
          <w:rFonts w:hint="default" w:ascii="Times New Roman" w:hAnsi="Times New Roman" w:cs="Times New Roman"/>
          <w:spacing w:val="10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never used</w:t>
      </w:r>
      <w:r>
        <w:rPr>
          <w:rFonts w:hint="default" w:ascii="Times New Roman" w:hAnsi="Times New Roman" w:cs="Times New Roman"/>
          <w:spacing w:val="8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in</w:t>
      </w:r>
      <w:r>
        <w:rPr>
          <w:rFonts w:hint="default" w:ascii="Times New Roman" w:hAnsi="Times New Roman" w:cs="Times New Roman"/>
          <w:spacing w:val="10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the U.S.</w:t>
      </w:r>
      <w:r>
        <w:rPr>
          <w:rFonts w:hint="default" w:ascii="Times New Roman" w:hAnsi="Times New Roman" w:cs="Times New Roman"/>
          <w:spacing w:val="11"/>
          <w:w w:val="101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among</w:t>
      </w:r>
      <w:r>
        <w:rPr>
          <w:rFonts w:hint="default" w:ascii="Times New Roman" w:hAnsi="Times New Roman" w:cs="Times New Roman"/>
          <w:spacing w:val="9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spacing w:val="7"/>
          <w:sz w:val="15"/>
          <w:szCs w:val="15"/>
        </w:rPr>
        <w:t>older</w:t>
      </w:r>
      <w:r>
        <w:rPr>
          <w:rFonts w:hint="default" w:ascii="Times New Roman" w:hAnsi="Times New Roman" w:cs="Times New Roman"/>
          <w:sz w:val="15"/>
          <w:szCs w:val="15"/>
        </w:rPr>
        <w:t xml:space="preserve">    </w:t>
      </w:r>
      <w:r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  <w:t>a</w:t>
      </w:r>
      <w:r>
        <w:rPr>
          <w:rFonts w:hint="default" w:ascii="Times New Roman" w:hAnsi="Times New Roman" w:cs="Times New Roman"/>
          <w:spacing w:val="6"/>
          <w:sz w:val="15"/>
          <w:szCs w:val="15"/>
        </w:rPr>
        <w:t>dults.</w:t>
      </w:r>
    </w:p>
    <w:p w14:paraId="353C49C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EB9A51F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08BD8147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56FA4141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55741D0D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02F317AC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096F416C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5CEF95D2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4F4FF784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3CADE8F0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69D7BEEA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31FBAB76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5AFC2C5C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6310655E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32E3B7ED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5B6274DC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31F7458D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06C5A5ED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738B6DBC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14D9763B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09E75A2E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5A40F079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5F61F056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20DED0C2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30AAD879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55E300DC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159E6BAE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33732F3B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178A95D1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792FA71D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00C1A752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614BFD77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25BD2E8D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3984870D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17A43960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7671D590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2A92A725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7513AEB3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7D661BFB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5430EE46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4BAFAAAC">
      <w:pPr>
        <w:pStyle w:val="2"/>
        <w:spacing w:before="49" w:line="276" w:lineRule="auto"/>
        <w:ind w:right="449"/>
        <w:rPr>
          <w:color w:val="636366"/>
          <w:spacing w:val="4"/>
          <w:sz w:val="17"/>
          <w:szCs w:val="17"/>
        </w:rPr>
      </w:pPr>
    </w:p>
    <w:p w14:paraId="49227649">
      <w:pPr>
        <w:pStyle w:val="2"/>
        <w:spacing w:before="49" w:line="276" w:lineRule="auto"/>
        <w:ind w:left="672" w:leftChars="320" w:right="449" w:firstLine="0" w:firstLineChars="0"/>
        <w:rPr>
          <w:sz w:val="20"/>
          <w:szCs w:val="20"/>
        </w:rPr>
      </w:pPr>
      <w:r>
        <w:rPr>
          <w:color w:val="636366"/>
          <w:spacing w:val="4"/>
          <w:sz w:val="20"/>
          <w:szCs w:val="20"/>
        </w:rPr>
        <w:t>TABLE</w:t>
      </w:r>
      <w:r>
        <w:rPr>
          <w:color w:val="636366"/>
          <w:spacing w:val="32"/>
          <w:sz w:val="20"/>
          <w:szCs w:val="20"/>
        </w:rPr>
        <w:t xml:space="preserve"> </w:t>
      </w:r>
      <w:r>
        <w:rPr>
          <w:rFonts w:hint="eastAsia" w:eastAsia="宋体"/>
          <w:color w:val="636366"/>
          <w:spacing w:val="4"/>
          <w:sz w:val="20"/>
          <w:szCs w:val="20"/>
          <w:lang w:val="en-US" w:eastAsia="zh-CN"/>
        </w:rPr>
        <w:t>2</w:t>
      </w:r>
      <w:r>
        <w:rPr>
          <w:color w:val="636366"/>
          <w:spacing w:val="4"/>
          <w:sz w:val="20"/>
          <w:szCs w:val="20"/>
        </w:rPr>
        <w:t xml:space="preserve">     </w:t>
      </w:r>
      <w:r>
        <w:rPr>
          <w:spacing w:val="4"/>
          <w:sz w:val="20"/>
          <w:szCs w:val="20"/>
        </w:rPr>
        <w:t>2023 American Geriatrics Society Beers Criteria</w:t>
      </w:r>
      <w:r>
        <w:rPr>
          <w:rFonts w:ascii="Arial" w:hAnsi="Arial" w:eastAsia="Arial" w:cs="Arial"/>
          <w:spacing w:val="4"/>
          <w:position w:val="7"/>
          <w:sz w:val="20"/>
          <w:szCs w:val="20"/>
        </w:rPr>
        <w:t>®</w:t>
      </w:r>
      <w:r>
        <w:rPr>
          <w:rFonts w:ascii="Arial" w:hAnsi="Arial" w:eastAsia="Arial" w:cs="Arial"/>
          <w:spacing w:val="16"/>
          <w:w w:val="101"/>
          <w:position w:val="7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for potentially inappropriate</w:t>
      </w:r>
      <w:r>
        <w:rPr>
          <w:spacing w:val="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medication use</w:t>
      </w:r>
      <w:r>
        <w:rPr>
          <w:spacing w:val="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in</w:t>
      </w:r>
      <w:r>
        <w:rPr>
          <w:spacing w:val="7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older</w:t>
      </w:r>
      <w:r>
        <w:rPr>
          <w:spacing w:val="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adults</w:t>
      </w:r>
      <w:r>
        <w:rPr>
          <w:spacing w:val="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due</w:t>
      </w:r>
      <w:r>
        <w:rPr>
          <w:spacing w:val="7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to</w:t>
      </w:r>
      <w:r>
        <w:rPr>
          <w:spacing w:val="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drug-disease</w:t>
      </w:r>
      <w:r>
        <w:rPr>
          <w:spacing w:val="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or</w:t>
      </w:r>
      <w:r>
        <w:rPr>
          <w:spacing w:val="8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drug-syndrome</w:t>
      </w:r>
      <w:r>
        <w:rPr>
          <w:spacing w:val="7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interactions</w:t>
      </w:r>
      <w:r>
        <w:rPr>
          <w:spacing w:val="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that</w:t>
      </w:r>
      <w:r>
        <w:rPr>
          <w:spacing w:val="7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m</w:t>
      </w:r>
      <w:r>
        <w:rPr>
          <w:spacing w:val="3"/>
          <w:sz w:val="20"/>
          <w:szCs w:val="20"/>
        </w:rPr>
        <w:t>ay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exacerbate the disease or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syndrom</w:t>
      </w:r>
      <w:r>
        <w:rPr>
          <w:spacing w:val="2"/>
          <w:sz w:val="20"/>
          <w:szCs w:val="20"/>
        </w:rPr>
        <w:t>e.</w:t>
      </w:r>
    </w:p>
    <w:p w14:paraId="6D8824A4">
      <w:pPr>
        <w:spacing w:line="100" w:lineRule="exact"/>
      </w:pPr>
    </w:p>
    <w:tbl>
      <w:tblPr>
        <w:tblStyle w:val="8"/>
        <w:tblW w:w="13662" w:type="dxa"/>
        <w:tblInd w:w="66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574"/>
        <w:gridCol w:w="3506"/>
        <w:gridCol w:w="2285"/>
        <w:gridCol w:w="1668"/>
        <w:gridCol w:w="1928"/>
      </w:tblGrid>
      <w:tr w14:paraId="5419E5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01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0F31BB2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4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Disease or syndrome</w:t>
            </w:r>
          </w:p>
        </w:tc>
        <w:tc>
          <w:tcPr>
            <w:tcW w:w="2574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6C9D07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4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Drug(s)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3506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46E3EF8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1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2285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2FFCA51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18"/>
                <w:sz w:val="17"/>
                <w:szCs w:val="17"/>
              </w:rPr>
              <w:t>Recommendation</w:t>
            </w:r>
          </w:p>
        </w:tc>
        <w:tc>
          <w:tcPr>
            <w:tcW w:w="1668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6089977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2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1"/>
                <w:sz w:val="17"/>
                <w:szCs w:val="17"/>
              </w:rPr>
              <w:t>Quality of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"/>
                <w:position w:val="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1"/>
                <w:sz w:val="17"/>
                <w:szCs w:val="17"/>
              </w:rPr>
              <w:t>evidence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7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7"/>
                <w:sz w:val="17"/>
                <w:szCs w:val="17"/>
              </w:rPr>
              <w:fldChar w:fldCharType="end"/>
            </w:r>
          </w:p>
        </w:tc>
        <w:tc>
          <w:tcPr>
            <w:tcW w:w="1928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6D7D182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4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7"/>
                <w:w w:val="113"/>
                <w:sz w:val="17"/>
                <w:szCs w:val="17"/>
              </w:rPr>
              <w:t>Strength of</w:t>
            </w:r>
          </w:p>
          <w:p w14:paraId="2742FC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2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20"/>
                <w:sz w:val="17"/>
                <w:szCs w:val="17"/>
              </w:rPr>
              <w:t>recommendation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fldChar w:fldCharType="end"/>
            </w:r>
          </w:p>
        </w:tc>
      </w:tr>
      <w:tr w14:paraId="16CC0C1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1" w:hRule="atLeast"/>
        </w:trPr>
        <w:tc>
          <w:tcPr>
            <w:tcW w:w="1701" w:type="dxa"/>
            <w:tcBorders>
              <w:top w:val="single" w:color="auto" w:sz="8" w:space="0"/>
            </w:tcBorders>
            <w:vAlign w:val="top"/>
          </w:tcPr>
          <w:p w14:paraId="54AA524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b/>
                <w:bCs/>
                <w:spacing w:val="3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4"/>
                <w:sz w:val="17"/>
                <w:szCs w:val="17"/>
              </w:rPr>
              <w:t>Cardiovascular</w:t>
            </w:r>
            <w:r>
              <w:rPr>
                <w:rFonts w:hint="default" w:ascii="Times New Roman" w:hAnsi="Times New Roman" w:cs="Times New Roman"/>
                <w:b/>
                <w:bCs/>
                <w:spacing w:val="3"/>
                <w:sz w:val="17"/>
                <w:szCs w:val="17"/>
              </w:rPr>
              <w:t xml:space="preserve"> </w:t>
            </w:r>
          </w:p>
          <w:p w14:paraId="7F4B3DD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4" w:right="504" w:firstLine="3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Heart failure</w:t>
            </w:r>
          </w:p>
        </w:tc>
        <w:tc>
          <w:tcPr>
            <w:tcW w:w="2574" w:type="dxa"/>
            <w:tcBorders>
              <w:top w:val="single" w:color="auto" w:sz="8" w:space="0"/>
            </w:tcBorders>
            <w:vAlign w:val="top"/>
          </w:tcPr>
          <w:p w14:paraId="389E53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434AECF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Cilostazol</w:t>
            </w:r>
          </w:p>
          <w:p w14:paraId="32C368F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9"/>
                <w:position w:val="2"/>
                <w:sz w:val="17"/>
                <w:szCs w:val="17"/>
              </w:rPr>
              <w:t>Dextromethorphan-quinid</w:t>
            </w:r>
            <w:r>
              <w:rPr>
                <w:rFonts w:hint="default" w:ascii="Times New Roman" w:hAnsi="Times New Roman" w:cs="Times New Roman"/>
                <w:spacing w:val="8"/>
                <w:position w:val="2"/>
                <w:sz w:val="17"/>
                <w:szCs w:val="17"/>
              </w:rPr>
              <w:t>ine</w:t>
            </w:r>
          </w:p>
          <w:p w14:paraId="6E04467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70" w:right="78" w:hanging="14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Nondihydropyridine calcium channel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blockers (CCBs)</w:t>
            </w:r>
          </w:p>
          <w:p w14:paraId="61A70B5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7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Diltiazem</w:t>
            </w:r>
          </w:p>
          <w:p w14:paraId="08D54C9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3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Verapamil</w:t>
            </w:r>
            <w:r>
              <w:rPr>
                <w:rFonts w:hint="default" w:ascii="Times New Roman" w:hAnsi="Times New Roman" w:cs="Times New Roman"/>
                <w:spacing w:val="3"/>
                <w:sz w:val="17"/>
                <w:szCs w:val="17"/>
              </w:rPr>
              <w:t xml:space="preserve">  </w:t>
            </w:r>
          </w:p>
          <w:p w14:paraId="3E6F03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>Dronedarone</w:t>
            </w:r>
          </w:p>
          <w:p w14:paraId="678EACA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NSAIDs and</w:t>
            </w:r>
            <w:r>
              <w:rPr>
                <w:rFonts w:hint="default" w:ascii="Times New Roman" w:hAnsi="Times New Roman" w:cs="Times New Roman"/>
                <w:spacing w:val="12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COX-2</w:t>
            </w:r>
            <w:r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inhibito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rs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Thiazolidinediones</w:t>
            </w:r>
          </w:p>
          <w:p w14:paraId="0811F0D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7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Pioglitazone</w:t>
            </w:r>
          </w:p>
        </w:tc>
        <w:tc>
          <w:tcPr>
            <w:tcW w:w="3506" w:type="dxa"/>
            <w:tcBorders>
              <w:top w:val="single" w:color="auto" w:sz="8" w:space="0"/>
            </w:tcBorders>
            <w:vAlign w:val="top"/>
          </w:tcPr>
          <w:p w14:paraId="27A7AF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235A836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Potential to promote fluid retention</w:t>
            </w:r>
            <w:r>
              <w:rPr>
                <w:rFonts w:hint="default" w:ascii="Times New Roman" w:hAnsi="Times New Roman" w:cs="Times New Roman"/>
                <w:spacing w:val="11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and/or</w:t>
            </w:r>
          </w:p>
          <w:p w14:paraId="2777006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exacerbate heart failure (NSAIDs</w:t>
            </w:r>
            <w:r>
              <w:rPr>
                <w:rFonts w:hint="default" w:ascii="Times New Roman" w:hAnsi="Times New Roman" w:cs="Times New Roman"/>
                <w:spacing w:val="13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and</w:t>
            </w:r>
            <w:r>
              <w:rPr>
                <w:rFonts w:hint="default" w:ascii="Times New Roman" w:hAnsi="Times New Roman" w:cs="Times New Roman"/>
                <w:spacing w:val="11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COX-</w:t>
            </w:r>
            <w:r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cs="Times New Roman"/>
                <w:spacing w:val="7"/>
                <w:position w:val="2"/>
                <w:sz w:val="17"/>
                <w:szCs w:val="17"/>
              </w:rPr>
              <w:t>inhibitors, non-dihydropyridine CC</w:t>
            </w: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Bs,</w:t>
            </w:r>
          </w:p>
          <w:p w14:paraId="797A225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0" w:right="7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thiazolidinediones); potential to increase mortality</w:t>
            </w:r>
            <w:r>
              <w:rPr>
                <w:rFonts w:hint="default" w:ascii="Times New Roman" w:hAnsi="Times New Roman" w:cs="Times New Roman"/>
                <w:spacing w:val="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in older adults with heart failure (cilosta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zol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and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dronedarone); concerns about QT pr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olongation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(dextromethorphan-quinidine).</w:t>
            </w:r>
          </w:p>
          <w:p w14:paraId="1CB8B5C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0" w:right="98" w:hanging="158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rial" w:cs="Times New Roman"/>
                <w:spacing w:val="6"/>
                <w:sz w:val="17"/>
                <w:szCs w:val="17"/>
              </w:rPr>
              <w:t xml:space="preserve">Note: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This is not a comprehensive</w:t>
            </w:r>
            <w:r>
              <w:rPr>
                <w:rFonts w:hint="default" w:ascii="Times New Roman" w:hAnsi="Times New Roman" w:cs="Times New Roman"/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li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of medications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to avoid inpatients with heart failure.</w:t>
            </w:r>
          </w:p>
        </w:tc>
        <w:tc>
          <w:tcPr>
            <w:tcW w:w="2285" w:type="dxa"/>
            <w:tcBorders>
              <w:top w:val="single" w:color="auto" w:sz="8" w:space="0"/>
            </w:tcBorders>
            <w:vAlign w:val="top"/>
          </w:tcPr>
          <w:p w14:paraId="58D7B0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rightMargin">
                    <wp:posOffset>-1395730</wp:posOffset>
                  </wp:positionH>
                  <wp:positionV relativeFrom="topMargin">
                    <wp:posOffset>656590</wp:posOffset>
                  </wp:positionV>
                  <wp:extent cx="916940" cy="6350"/>
                  <wp:effectExtent l="0" t="0" r="0" b="0"/>
                  <wp:wrapNone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959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E71CE9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Avoid:</w:t>
            </w:r>
          </w:p>
          <w:p w14:paraId="6E781D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Cilostazol</w:t>
            </w:r>
          </w:p>
          <w:p w14:paraId="64C206D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9"/>
                <w:position w:val="2"/>
                <w:sz w:val="17"/>
                <w:szCs w:val="17"/>
              </w:rPr>
              <w:t>Dextromethorphan-quinid</w:t>
            </w:r>
            <w:r>
              <w:rPr>
                <w:rFonts w:hint="default" w:ascii="Times New Roman" w:hAnsi="Times New Roman" w:cs="Times New Roman"/>
                <w:spacing w:val="8"/>
                <w:position w:val="2"/>
                <w:sz w:val="17"/>
                <w:szCs w:val="17"/>
              </w:rPr>
              <w:t>ine</w:t>
            </w:r>
          </w:p>
          <w:p w14:paraId="61D9D7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  <w:p w14:paraId="0A563D1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  <w:p w14:paraId="34B258D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jc w:val="both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Avoid in heart failure with</w:t>
            </w:r>
            <w:r>
              <w:rPr>
                <w:rFonts w:hint="default" w:ascii="Times New Roman" w:hAnsi="Times New Roman" w:cs="Times New Roman"/>
                <w:spacing w:val="1"/>
                <w:sz w:val="17"/>
                <w:szCs w:val="17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reduced ejection fraction:</w:t>
            </w:r>
          </w:p>
          <w:p w14:paraId="3323E3C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0" w:hanging="186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Nondihydropyridine ca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lcium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channel blockers (CCBs)</w:t>
            </w:r>
          </w:p>
          <w:p w14:paraId="24830E6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2" w:firstLineChars="100"/>
              <w:textAlignment w:val="baseline"/>
              <w:rPr>
                <w:rFonts w:hint="default" w:ascii="Times New Roman" w:hAnsi="Times New Roman" w:cs="Times New Roman"/>
                <w:spacing w:val="2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Diltiazem</w:t>
            </w:r>
            <w:r>
              <w:rPr>
                <w:rFonts w:hint="default" w:ascii="Times New Roman" w:hAnsi="Times New Roman" w:cs="Times New Roman"/>
                <w:spacing w:val="2"/>
                <w:sz w:val="17"/>
                <w:szCs w:val="17"/>
              </w:rPr>
              <w:t xml:space="preserve">  </w:t>
            </w:r>
          </w:p>
          <w:p w14:paraId="134FD9A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4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Verapamil</w:t>
            </w:r>
          </w:p>
          <w:p w14:paraId="7A6986D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position w:val="-4"/>
                <w:sz w:val="17"/>
                <w:szCs w:val="17"/>
              </w:rPr>
              <w:t>----------------------------</w:t>
            </w:r>
            <w:r>
              <w:rPr>
                <w:rFonts w:hint="default" w:ascii="Times New Roman" w:hAnsi="Times New Roman" w:cs="Times New Roman"/>
                <w:spacing w:val="-1"/>
                <w:position w:val="-4"/>
                <w:sz w:val="17"/>
                <w:szCs w:val="17"/>
              </w:rPr>
              <w:t>---</w:t>
            </w:r>
          </w:p>
          <w:p w14:paraId="2293214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0" w:hanging="186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Use with caution in patien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ts with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heart failure who are</w:t>
            </w:r>
          </w:p>
          <w:p w14:paraId="27BBCCD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2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asymptomatic; avoid</w:t>
            </w:r>
            <w:r>
              <w:rPr>
                <w:rFonts w:hint="default" w:ascii="Times New Roman" w:hAnsi="Times New Roman" w:cs="Times New Roman"/>
                <w:spacing w:val="25"/>
                <w:w w:val="102"/>
                <w:position w:val="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in</w:t>
            </w:r>
          </w:p>
          <w:p w14:paraId="42A7FFD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patients with symptomatic</w:t>
            </w:r>
            <w:r>
              <w:rPr>
                <w:rFonts w:hint="default" w:ascii="Times New Roman" w:hAnsi="Times New Roman" w:cs="Times New Roman"/>
                <w:spacing w:val="18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heart failure:</w:t>
            </w:r>
          </w:p>
          <w:p w14:paraId="4ED3A94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>Dronedarone</w:t>
            </w:r>
          </w:p>
          <w:p w14:paraId="582EAFC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NSAIDs and</w:t>
            </w:r>
            <w:r>
              <w:rPr>
                <w:rFonts w:hint="default" w:ascii="Times New Roman" w:hAnsi="Times New Roman" w:cs="Times New Roman"/>
                <w:spacing w:val="12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COX-2 inhibito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rs</w:t>
            </w:r>
          </w:p>
          <w:p w14:paraId="1A05CB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Thiazolidinediones</w:t>
            </w:r>
            <w:r>
              <w:rPr>
                <w:rFonts w:hint="default" w:ascii="Times New Roman" w:hAnsi="Times New Roman" w:cs="Times New Roman"/>
                <w:spacing w:val="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Pioglitazone</w:t>
            </w:r>
          </w:p>
        </w:tc>
        <w:tc>
          <w:tcPr>
            <w:tcW w:w="1668" w:type="dxa"/>
            <w:tcBorders>
              <w:top w:val="single" w:color="auto" w:sz="8" w:space="0"/>
            </w:tcBorders>
            <w:vAlign w:val="top"/>
          </w:tcPr>
          <w:p w14:paraId="636BD9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7EBB628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Cilostazol,</w:t>
            </w:r>
          </w:p>
          <w:p w14:paraId="0D65773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dextromethorphan-</w:t>
            </w:r>
            <w:r>
              <w:rPr>
                <w:rFonts w:hint="default" w:ascii="Times New Roman" w:hAnsi="Times New Roman" w:cs="Times New Roman"/>
                <w:spacing w:val="13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quinidine,</w:t>
            </w:r>
            <w:r>
              <w:rPr>
                <w:rFonts w:hint="default" w:ascii="Times New Roman" w:hAnsi="Times New Roman" w:cs="Times New Roman"/>
                <w:spacing w:val="21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COX-2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inhibitors:</w:t>
            </w:r>
            <w:r>
              <w:rPr>
                <w:rFonts w:hint="default" w:ascii="Times New Roman" w:hAnsi="Times New Roman" w:cs="Times New Roman"/>
                <w:spacing w:val="14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Low</w:t>
            </w:r>
          </w:p>
          <w:p w14:paraId="5DBA8DA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Non-dihydropyridine</w:t>
            </w:r>
            <w:r>
              <w:rPr>
                <w:rFonts w:hint="default" w:ascii="Times New Roman" w:hAnsi="Times New Roman" w:cs="Times New Roman"/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"/>
                <w:sz w:val="17"/>
                <w:szCs w:val="17"/>
              </w:rPr>
              <w:t>CCBs, NSAIDs:</w:t>
            </w:r>
          </w:p>
          <w:p w14:paraId="7152805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4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Moderate</w:t>
            </w:r>
          </w:p>
          <w:p w14:paraId="28D6BA5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Dronedarone,</w:t>
            </w:r>
          </w:p>
          <w:p w14:paraId="33A094E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thiazolidenediones:</w:t>
            </w:r>
            <w:r>
              <w:rPr>
                <w:rFonts w:hint="default" w:ascii="Times New Roman" w:hAnsi="Times New Roman" w:cs="Times New Roman"/>
                <w:spacing w:val="17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High</w:t>
            </w:r>
          </w:p>
        </w:tc>
        <w:tc>
          <w:tcPr>
            <w:tcW w:w="1928" w:type="dxa"/>
            <w:tcBorders>
              <w:top w:val="single" w:color="auto" w:sz="8" w:space="0"/>
            </w:tcBorders>
            <w:vAlign w:val="top"/>
          </w:tcPr>
          <w:p w14:paraId="6CC401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4B03393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1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79C47E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0" w:hRule="atLeast"/>
        </w:trPr>
        <w:tc>
          <w:tcPr>
            <w:tcW w:w="1701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CDC249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Syncope</w:t>
            </w:r>
          </w:p>
        </w:tc>
        <w:tc>
          <w:tcPr>
            <w:tcW w:w="2574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3190147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Antipsychotics (selected)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Chlorpromazine</w:t>
            </w:r>
          </w:p>
          <w:p w14:paraId="1A9207D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Olanzapine</w:t>
            </w:r>
          </w:p>
          <w:p w14:paraId="51E623A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Cholinesterase inhibitors (AChEI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s)</w:t>
            </w:r>
          </w:p>
          <w:p w14:paraId="4B35BC3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Donepezil</w:t>
            </w:r>
          </w:p>
          <w:p w14:paraId="79E03C9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Galantamine</w:t>
            </w: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 xml:space="preserve"> </w:t>
            </w:r>
          </w:p>
          <w:p w14:paraId="11C8770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Rivastigmine</w:t>
            </w:r>
          </w:p>
          <w:p w14:paraId="5DB6F91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position w:val="2"/>
                <w:sz w:val="17"/>
                <w:szCs w:val="17"/>
              </w:rPr>
              <w:t>Non-selective periphera</w:t>
            </w: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l alpha-1</w:t>
            </w:r>
          </w:p>
          <w:p w14:paraId="39BF2A4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blockers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   </w:t>
            </w:r>
          </w:p>
          <w:p w14:paraId="0C4622B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Doxazosin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Prazosin</w:t>
            </w:r>
          </w:p>
          <w:p w14:paraId="458A75D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Terazosin</w:t>
            </w:r>
          </w:p>
          <w:p w14:paraId="030C7EF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Tertiary tricyclic antidepressants</w:t>
            </w:r>
            <w:r>
              <w:rPr>
                <w:rFonts w:hint="default" w:ascii="Times New Roman" w:hAnsi="Times New Roman" w:cs="Times New Roman"/>
                <w:spacing w:val="15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>(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>TCAs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>)</w:t>
            </w:r>
          </w:p>
          <w:p w14:paraId="179DD66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Amitriptyline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 </w:t>
            </w:r>
          </w:p>
          <w:p w14:paraId="4563C05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Clomipramine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 xml:space="preserve"> </w:t>
            </w:r>
          </w:p>
          <w:p w14:paraId="3582A01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Doxepin</w:t>
            </w:r>
          </w:p>
          <w:p w14:paraId="253A245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9"/>
                <w:position w:val="2"/>
                <w:sz w:val="17"/>
                <w:szCs w:val="17"/>
              </w:rPr>
              <w:t>Imipramine</w:t>
            </w:r>
          </w:p>
        </w:tc>
        <w:tc>
          <w:tcPr>
            <w:tcW w:w="3506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0B9E04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9" w:right="145" w:hanging="153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Antipsychotics listed and tertiar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y TCAs increase</w:t>
            </w:r>
            <w:r>
              <w:rPr>
                <w:rFonts w:hint="default" w:ascii="Times New Roman" w:hAnsi="Times New Roman" w:cs="Times New Roman"/>
                <w:spacing w:val="1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the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risk of orthostatic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hypo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tension.</w:t>
            </w:r>
          </w:p>
          <w:p w14:paraId="48F7A7C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0" w:right="124" w:hanging="15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AChEIs cause bradycardia and should be</w:t>
            </w:r>
            <w:r>
              <w:rPr>
                <w:rFonts w:hint="default" w:ascii="Times New Roman" w:hAnsi="Times New Roman" w:cs="Times New Roman"/>
                <w:spacing w:val="27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avoided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in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older adults whose syncope may be</w:t>
            </w:r>
            <w:r>
              <w:rPr>
                <w:rFonts w:hint="default" w:ascii="Times New Roman" w:hAnsi="Times New Roman" w:cs="Times New Roman"/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du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e to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bradycardia.</w:t>
            </w:r>
          </w:p>
          <w:p w14:paraId="7D3D44B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72" w:leftChars="42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position w:val="2"/>
                <w:sz w:val="17"/>
                <w:szCs w:val="17"/>
              </w:rPr>
              <w:t>Non-selective peripheral alpha-1</w:t>
            </w: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 xml:space="preserve"> blockers cause</w:t>
            </w:r>
            <w:r>
              <w:rPr>
                <w:rFonts w:hint="eastAsia" w:eastAsia="宋体" w:cs="Times New Roman"/>
                <w:spacing w:val="6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position w:val="2"/>
                <w:sz w:val="17"/>
                <w:szCs w:val="17"/>
              </w:rPr>
              <w:t>orthostatic blood pressure changes and shoul</w:t>
            </w:r>
            <w:r>
              <w:rPr>
                <w:rFonts w:hint="eastAsia" w:eastAsia="宋体" w:cs="Times New Roman"/>
                <w:spacing w:val="7"/>
                <w:position w:val="2"/>
                <w:sz w:val="17"/>
                <w:szCs w:val="17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pacing w:val="7"/>
                <w:position w:val="2"/>
                <w:sz w:val="17"/>
                <w:szCs w:val="17"/>
              </w:rPr>
              <w:t xml:space="preserve"> be avoided in older adults whose syncope may be due to orthostatic hypotension.</w:t>
            </w:r>
          </w:p>
        </w:tc>
        <w:tc>
          <w:tcPr>
            <w:tcW w:w="2285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0068A69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Avoid</w:t>
            </w:r>
          </w:p>
        </w:tc>
        <w:tc>
          <w:tcPr>
            <w:tcW w:w="1668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020E57A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1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High</w:t>
            </w:r>
          </w:p>
        </w:tc>
        <w:tc>
          <w:tcPr>
            <w:tcW w:w="1928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57F9478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57" w:right="305" w:hanging="14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Antipsychotics, non-selective peripheral</w:t>
            </w:r>
            <w:r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alpha-1 blockers:</w:t>
            </w:r>
            <w:r>
              <w:rPr>
                <w:rFonts w:hint="default" w:ascii="Times New Roman" w:hAnsi="Times New Roman" w:cs="Times New Roman"/>
                <w:spacing w:val="1"/>
                <w:sz w:val="17"/>
                <w:szCs w:val="17"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>Weak</w:t>
            </w:r>
          </w:p>
          <w:p w14:paraId="5DADE4C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64" w:right="212" w:hanging="15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AChEIs, tertiary TCAs: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</w:tbl>
    <w:p w14:paraId="649E3756">
      <w:pPr>
        <w:spacing w:line="575" w:lineRule="exact"/>
        <w:ind w:firstLine="13230" w:firstLineChars="6300"/>
        <w:sectPr>
          <w:pgSz w:w="15648" w:h="11906"/>
          <w:pgMar w:top="400" w:right="303" w:bottom="40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14324" w:space="0"/>
            <w:col w:w="720"/>
          </w:cols>
        </w:sectPr>
      </w:pPr>
      <w:r>
        <w:rPr>
          <w:rFonts w:hint="eastAsia" w:eastAsia="宋体"/>
          <w:lang w:val="en-US" w:eastAsia="zh-CN"/>
        </w:rPr>
        <w:t xml:space="preserve">  </w:t>
      </w:r>
      <w:r>
        <w:rPr>
          <w:spacing w:val="3"/>
          <w:sz w:val="17"/>
          <w:szCs w:val="17"/>
        </w:rPr>
        <w:t>(Continues</w:t>
      </w:r>
      <w:r>
        <w:rPr>
          <w:rFonts w:hint="eastAsia" w:eastAsia="宋体"/>
          <w:spacing w:val="3"/>
          <w:sz w:val="17"/>
          <w:szCs w:val="17"/>
          <w:lang w:val="en-US" w:eastAsia="zh-CN"/>
        </w:rPr>
        <w:t>)</w:t>
      </w:r>
    </w:p>
    <w:p w14:paraId="1F2E305B">
      <w:pPr>
        <w:pStyle w:val="2"/>
        <w:spacing w:before="49" w:line="191" w:lineRule="auto"/>
        <w:ind w:firstLine="752" w:firstLineChars="400"/>
        <w:rPr>
          <w:sz w:val="17"/>
          <w:szCs w:val="17"/>
        </w:rPr>
      </w:pPr>
      <w:r>
        <w:rPr>
          <w:color w:val="636366"/>
          <w:spacing w:val="9"/>
          <w:sz w:val="17"/>
          <w:szCs w:val="17"/>
        </w:rPr>
        <w:t>TABLE</w:t>
      </w:r>
      <w:r>
        <w:rPr>
          <w:color w:val="636366"/>
          <w:spacing w:val="36"/>
          <w:sz w:val="17"/>
          <w:szCs w:val="17"/>
        </w:rPr>
        <w:t xml:space="preserve"> </w:t>
      </w:r>
      <w:r>
        <w:rPr>
          <w:rFonts w:hint="eastAsia" w:eastAsia="宋体"/>
          <w:color w:val="636366"/>
          <w:spacing w:val="9"/>
          <w:sz w:val="17"/>
          <w:szCs w:val="17"/>
          <w:lang w:val="en-US" w:eastAsia="zh-CN"/>
        </w:rPr>
        <w:t>2</w:t>
      </w:r>
      <w:r>
        <w:rPr>
          <w:color w:val="636366"/>
          <w:spacing w:val="3"/>
          <w:sz w:val="17"/>
          <w:szCs w:val="17"/>
        </w:rPr>
        <w:t xml:space="preserve">     </w:t>
      </w:r>
      <w:r>
        <w:rPr>
          <w:spacing w:val="9"/>
          <w:sz w:val="17"/>
          <w:szCs w:val="17"/>
        </w:rPr>
        <w:t>(Continued)</w:t>
      </w:r>
    </w:p>
    <w:p w14:paraId="0CEC5B2D">
      <w:pPr>
        <w:spacing w:line="108" w:lineRule="exact"/>
      </w:pPr>
    </w:p>
    <w:tbl>
      <w:tblPr>
        <w:tblStyle w:val="8"/>
        <w:tblW w:w="13788" w:type="dxa"/>
        <w:tblInd w:w="66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8"/>
        <w:gridCol w:w="2502"/>
        <w:gridCol w:w="4021"/>
        <w:gridCol w:w="1996"/>
        <w:gridCol w:w="1777"/>
        <w:gridCol w:w="1724"/>
      </w:tblGrid>
      <w:tr w14:paraId="438F4AA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68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7827A38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Disease or syndrome</w:t>
            </w:r>
          </w:p>
        </w:tc>
        <w:tc>
          <w:tcPr>
            <w:tcW w:w="2502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6E5CDAE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Drug(s)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4021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47C9180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1996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21040FC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18"/>
                <w:sz w:val="17"/>
                <w:szCs w:val="17"/>
              </w:rPr>
              <w:t>Recommendation</w:t>
            </w:r>
          </w:p>
        </w:tc>
        <w:tc>
          <w:tcPr>
            <w:tcW w:w="1777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60108BD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1"/>
                <w:sz w:val="17"/>
                <w:szCs w:val="17"/>
              </w:rPr>
              <w:t>Quality of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"/>
                <w:position w:val="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1"/>
                <w:sz w:val="17"/>
                <w:szCs w:val="17"/>
              </w:rPr>
              <w:t>evidence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7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7"/>
                <w:sz w:val="17"/>
                <w:szCs w:val="17"/>
              </w:rPr>
              <w:fldChar w:fldCharType="end"/>
            </w:r>
          </w:p>
        </w:tc>
        <w:tc>
          <w:tcPr>
            <w:tcW w:w="1724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center"/>
          </w:tcPr>
          <w:p w14:paraId="7DA1D22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206" w:firstLineChars="10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7"/>
                <w:w w:val="113"/>
                <w:sz w:val="17"/>
                <w:szCs w:val="17"/>
              </w:rPr>
              <w:t>Strength of</w:t>
            </w:r>
          </w:p>
          <w:p w14:paraId="7F1DF66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20"/>
                <w:sz w:val="17"/>
                <w:szCs w:val="17"/>
              </w:rPr>
              <w:t>recommendation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fldChar w:fldCharType="end"/>
            </w:r>
          </w:p>
        </w:tc>
      </w:tr>
      <w:tr w14:paraId="75DEFA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4270" w:type="dxa"/>
            <w:gridSpan w:val="2"/>
            <w:tcBorders>
              <w:top w:val="single" w:color="auto" w:sz="8" w:space="0"/>
            </w:tcBorders>
            <w:vAlign w:val="top"/>
          </w:tcPr>
          <w:p w14:paraId="45B71AE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4" w:right="50" w:firstLine="3"/>
              <w:textAlignment w:val="baseline"/>
              <w:rPr>
                <w:rFonts w:hint="default" w:ascii="Times New Roman" w:hAnsi="Times New Roman" w:cs="Times New Roman"/>
                <w:b/>
                <w:bCs/>
                <w:spacing w:val="5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1"/>
                <w:sz w:val="17"/>
                <w:szCs w:val="17"/>
              </w:rPr>
              <w:t>Central nervous system</w:t>
            </w:r>
            <w:r>
              <w:rPr>
                <w:rFonts w:hint="default" w:ascii="Times New Roman" w:hAnsi="Times New Roman" w:cs="Times New Roman"/>
                <w:b/>
                <w:bCs/>
                <w:spacing w:val="11"/>
                <w:w w:val="102"/>
                <w:sz w:val="17"/>
                <w:szCs w:val="17"/>
              </w:rPr>
              <w:t xml:space="preserve"> </w:t>
            </w:r>
          </w:p>
        </w:tc>
        <w:tc>
          <w:tcPr>
            <w:tcW w:w="4021" w:type="dxa"/>
            <w:tcBorders>
              <w:top w:val="single" w:color="auto" w:sz="8" w:space="0"/>
            </w:tcBorders>
            <w:vAlign w:val="top"/>
          </w:tcPr>
          <w:p w14:paraId="1717022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5" w:right="442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</w:tc>
        <w:tc>
          <w:tcPr>
            <w:tcW w:w="1996" w:type="dxa"/>
            <w:tcBorders>
              <w:top w:val="single" w:color="auto" w:sz="8" w:space="0"/>
            </w:tcBorders>
            <w:vAlign w:val="top"/>
          </w:tcPr>
          <w:p w14:paraId="66CC678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1" w:right="114" w:hanging="153"/>
              <w:textAlignment w:val="baseline"/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</w:pPr>
          </w:p>
        </w:tc>
        <w:tc>
          <w:tcPr>
            <w:tcW w:w="1777" w:type="dxa"/>
            <w:tcBorders>
              <w:top w:val="single" w:color="auto" w:sz="8" w:space="0"/>
            </w:tcBorders>
            <w:vAlign w:val="top"/>
          </w:tcPr>
          <w:p w14:paraId="462D0B6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4"/>
              <w:textAlignment w:val="baseline"/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</w:pPr>
          </w:p>
        </w:tc>
        <w:tc>
          <w:tcPr>
            <w:tcW w:w="1724" w:type="dxa"/>
            <w:tcBorders>
              <w:top w:val="single" w:color="auto" w:sz="8" w:space="0"/>
            </w:tcBorders>
            <w:vAlign w:val="top"/>
          </w:tcPr>
          <w:p w14:paraId="39717AF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5"/>
              <w:textAlignment w:val="baseline"/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</w:pPr>
          </w:p>
        </w:tc>
      </w:tr>
      <w:tr w14:paraId="59E6BB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0" w:hRule="atLeast"/>
        </w:trPr>
        <w:tc>
          <w:tcPr>
            <w:tcW w:w="1768" w:type="dxa"/>
            <w:vAlign w:val="top"/>
          </w:tcPr>
          <w:p w14:paraId="3E5A3B6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4" w:right="50" w:firstLine="3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Delirium</w:t>
            </w:r>
          </w:p>
        </w:tc>
        <w:tc>
          <w:tcPr>
            <w:tcW w:w="2502" w:type="dxa"/>
            <w:vAlign w:val="top"/>
          </w:tcPr>
          <w:p w14:paraId="412F7D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250339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 xml:space="preserve">Anticholinergics </w:t>
            </w:r>
          </w:p>
          <w:p w14:paraId="7123DBF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Antipsycho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tics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pacing w:val="6"/>
                <w:position w:val="6"/>
                <w:sz w:val="17"/>
                <w:szCs w:val="17"/>
              </w:rPr>
              <w:t>c</w:t>
            </w:r>
            <w:r>
              <w:rPr>
                <w:rFonts w:hint="default" w:ascii="Times New Roman" w:hAnsi="Times New Roman" w:cs="Times New Roman"/>
                <w:color w:val="auto"/>
                <w:spacing w:val="6"/>
                <w:position w:val="6"/>
                <w:sz w:val="17"/>
                <w:szCs w:val="17"/>
              </w:rPr>
              <w:fldChar w:fldCharType="end"/>
            </w:r>
          </w:p>
          <w:p w14:paraId="7EE02EB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6"/>
                <w:sz w:val="17"/>
                <w:szCs w:val="17"/>
              </w:rPr>
              <w:t>Benzodiazepines</w:t>
            </w:r>
          </w:p>
          <w:p w14:paraId="0D63E56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7"/>
                <w:position w:val="1"/>
                <w:sz w:val="17"/>
                <w:szCs w:val="17"/>
              </w:rPr>
              <w:t>Corticosteroids (oral and parenteral)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pacing w:val="7"/>
                <w:position w:val="7"/>
                <w:sz w:val="17"/>
                <w:szCs w:val="17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position w:val="7"/>
                <w:sz w:val="17"/>
                <w:szCs w:val="17"/>
              </w:rPr>
              <w:fldChar w:fldCharType="end"/>
            </w:r>
          </w:p>
          <w:p w14:paraId="00EC76B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H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-receptor antagonists</w:t>
            </w:r>
            <w:r>
              <w:rPr>
                <w:rFonts w:hint="default" w:ascii="Times New Roman" w:hAnsi="Times New Roman" w:cs="Times New Roman"/>
                <w:spacing w:val="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Cimetidine</w:t>
            </w:r>
          </w:p>
          <w:p w14:paraId="38C2687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3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Famotidine</w:t>
            </w:r>
            <w:r>
              <w:rPr>
                <w:rFonts w:hint="default" w:ascii="Times New Roman" w:hAnsi="Times New Roman" w:cs="Times New Roman"/>
                <w:spacing w:val="3"/>
                <w:sz w:val="17"/>
                <w:szCs w:val="17"/>
              </w:rPr>
              <w:t xml:space="preserve"> </w:t>
            </w:r>
          </w:p>
          <w:p w14:paraId="015B472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Nizatidine</w:t>
            </w:r>
          </w:p>
          <w:p w14:paraId="7A0B16B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Nonbenzodiazepine benzodiazepine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receptor agonist hypnotics (</w:t>
            </w:r>
            <w:r>
              <w:rPr>
                <w:rFonts w:hint="default" w:ascii="Times New Roman" w:hAnsi="Times New Roman" w:eastAsia="Arial" w:cs="Times New Roman"/>
                <w:spacing w:val="7"/>
                <w:sz w:val="17"/>
                <w:szCs w:val="17"/>
              </w:rPr>
              <w:t>“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Z-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drugs”)</w:t>
            </w:r>
          </w:p>
          <w:p w14:paraId="6B0386D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 xml:space="preserve">Eszopiclone </w:t>
            </w:r>
          </w:p>
          <w:p w14:paraId="63A60A2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Zaleplon</w:t>
            </w:r>
          </w:p>
          <w:p w14:paraId="16CCECD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Zolpidem</w:t>
            </w:r>
          </w:p>
          <w:p w14:paraId="4A085A2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Opioids</w:t>
            </w:r>
          </w:p>
        </w:tc>
        <w:tc>
          <w:tcPr>
            <w:tcW w:w="4021" w:type="dxa"/>
            <w:vAlign w:val="top"/>
          </w:tcPr>
          <w:p w14:paraId="19F1FA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6FEAC8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1" w:right="84" w:hanging="15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Avoid in older adults with or</w:t>
            </w:r>
            <w:r>
              <w:rPr>
                <w:rFonts w:hint="default" w:ascii="Times New Roman" w:hAnsi="Times New Roman" w:cs="Times New Roman"/>
                <w:spacing w:val="12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at high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risk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of</w:t>
            </w:r>
            <w:r>
              <w:rPr>
                <w:rFonts w:hint="default" w:ascii="Times New Roman" w:hAnsi="Times New Roman" w:cs="Times New Roman"/>
                <w:spacing w:val="-3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delirium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because of the potential of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inducing or worsening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delirium.</w:t>
            </w:r>
          </w:p>
          <w:p w14:paraId="29534DC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74" w:leftChars="43" w:hanging="184" w:hangingChars="100"/>
              <w:textAlignment w:val="baseline"/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Antipsychotics: avoid for b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ehavioral problems of</w:t>
            </w:r>
            <w:r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dementia or delirium unless nonpharmacologic</w:t>
            </w:r>
            <w:r>
              <w:rPr>
                <w:rFonts w:hint="default" w:ascii="Times New Roman" w:hAnsi="Times New Roman" w:cs="Times New Roman"/>
                <w:spacing w:val="1"/>
                <w:sz w:val="17"/>
                <w:szCs w:val="17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options (eg,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behavioral interven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tions) have failed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or are not possible</w:t>
            </w:r>
            <w:r>
              <w:rPr>
                <w:rFonts w:hint="default" w:ascii="Times New Roman" w:hAnsi="Times New Roman" w:cs="Times New Roman"/>
                <w:spacing w:val="11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and</w:t>
            </w:r>
            <w:r>
              <w:rPr>
                <w:rFonts w:hint="default" w:ascii="Times New Roman" w:hAnsi="Times New Roman" w:cs="Times New Roman"/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the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lder</w:t>
            </w:r>
            <w:r>
              <w:rPr>
                <w:rFonts w:hint="default" w:ascii="Times New Roman" w:hAnsi="Times New Roman" w:cs="Times New Roman"/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adult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is</w:t>
            </w:r>
          </w:p>
          <w:p w14:paraId="2EAEF9A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58" w:leftChars="123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threatening substantial harm t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 self</w:t>
            </w:r>
            <w:r>
              <w:rPr>
                <w:rFonts w:hint="default" w:ascii="Times New Roman" w:hAnsi="Times New Roman" w:cs="Times New Roman"/>
                <w:spacing w:val="-3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or</w:t>
            </w:r>
            <w:r>
              <w:rPr>
                <w:rFonts w:hint="default" w:ascii="Times New Roman" w:hAnsi="Times New Roman" w:cs="Times New Roman"/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others.</w:t>
            </w:r>
            <w:r>
              <w:rPr>
                <w:rFonts w:hint="default" w:ascii="Times New Roman" w:hAnsi="Times New Roman" w:cs="Times New Roman"/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If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used, periodic deprescribing attempts should</w:t>
            </w:r>
            <w:r>
              <w:rPr>
                <w:rFonts w:hint="default" w:ascii="Times New Roman" w:hAnsi="Times New Roman" w:cs="Times New Roman"/>
                <w:spacing w:val="14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be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considered to assess ongoing</w:t>
            </w:r>
            <w:r>
              <w:rPr>
                <w:rFonts w:hint="default" w:ascii="Times New Roman" w:hAnsi="Times New Roman" w:cs="Times New Roman"/>
                <w:spacing w:val="25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need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and/or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the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lowest effective</w:t>
            </w:r>
            <w:r>
              <w:rPr>
                <w:rFonts w:hint="default" w:ascii="Times New Roman" w:hAnsi="Times New Roman" w:cs="Times New Roman"/>
                <w:spacing w:val="18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dose.</w:t>
            </w:r>
          </w:p>
          <w:p w14:paraId="28A07C5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5" w:right="292" w:hanging="147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Corticosteroids: if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needed, use the lowest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possible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dose for the shortest d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uration</w:t>
            </w:r>
            <w:r>
              <w:rPr>
                <w:rFonts w:hint="default" w:ascii="Times New Roman" w:hAnsi="Times New Roman" w:cs="Times New Roman"/>
                <w:spacing w:val="11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and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monitor for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delirium.</w:t>
            </w:r>
          </w:p>
          <w:p w14:paraId="76C2006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1" w:leftChars="46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Opioids: emerging data highlights an</w:t>
            </w:r>
            <w:r>
              <w:rPr>
                <w:rFonts w:hint="default" w:ascii="Times New Roman" w:hAnsi="Times New Roman" w:cs="Times New Roman"/>
                <w:spacing w:val="1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association</w:t>
            </w:r>
            <w:r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between opioid administration and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delirium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.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For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 xml:space="preserve">older adults with pain,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use a balanced</w:t>
            </w:r>
            <w:r>
              <w:rPr>
                <w:rFonts w:hint="default" w:ascii="Times New Roman" w:hAnsi="Times New Roman" w:cs="Times New Roman"/>
                <w:spacing w:val="11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approach,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including the use o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f</w:t>
            </w:r>
            <w:r>
              <w:rPr>
                <w:rFonts w:hint="default" w:ascii="Times New Roman" w:hAnsi="Times New Roman" w:cs="Times New Roman"/>
                <w:spacing w:val="-9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validated pain</w:t>
            </w:r>
            <w:r>
              <w:rPr>
                <w:rFonts w:hint="default" w:ascii="Times New Roman" w:hAnsi="Times New Roman" w:cs="Times New Roman"/>
                <w:spacing w:val="11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assessment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tools and multimodal strategies</w:t>
            </w:r>
            <w:r>
              <w:rPr>
                <w:rFonts w:hint="default" w:ascii="Times New Roman" w:hAnsi="Times New Roman" w:cs="Times New Roman"/>
                <w:spacing w:val="27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that</w:t>
            </w:r>
            <w:r>
              <w:rPr>
                <w:rFonts w:hint="default" w:ascii="Times New Roman" w:hAnsi="Times New Roman" w:cs="Times New Roman"/>
                <w:spacing w:val="8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include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nondrug approaches to minimi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ze</w:t>
            </w:r>
            <w:r>
              <w:rPr>
                <w:rFonts w:hint="default" w:ascii="Times New Roman" w:hAnsi="Times New Roman" w:cs="Times New Roman"/>
                <w:spacing w:val="1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opioid use.</w:t>
            </w:r>
          </w:p>
        </w:tc>
        <w:tc>
          <w:tcPr>
            <w:tcW w:w="1996" w:type="dxa"/>
            <w:vAlign w:val="top"/>
          </w:tcPr>
          <w:p w14:paraId="671B2A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498DA88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1" w:right="114" w:hanging="153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Avoid, except in</w:t>
            </w:r>
            <w:r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situations</w:t>
            </w:r>
            <w:r>
              <w:rPr>
                <w:rFonts w:hint="default" w:ascii="Times New Roman" w:hAnsi="Times New Roman" w:cs="Times New Roman"/>
                <w:spacing w:val="9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list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ed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under the rationale statement.</w:t>
            </w:r>
          </w:p>
        </w:tc>
        <w:tc>
          <w:tcPr>
            <w:tcW w:w="1777" w:type="dxa"/>
            <w:vAlign w:val="top"/>
          </w:tcPr>
          <w:p w14:paraId="58D162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469EDC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0" w:right="131" w:hanging="151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H2-receptor antagonists:</w:t>
            </w:r>
            <w:r>
              <w:rPr>
                <w:rFonts w:hint="default" w:ascii="Times New Roman" w:hAnsi="Times New Roman" w:cs="Times New Roman"/>
                <w:spacing w:val="18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Low</w:t>
            </w:r>
          </w:p>
          <w:p w14:paraId="7A7A276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All others:</w:t>
            </w:r>
            <w:r>
              <w:rPr>
                <w:rFonts w:hint="default" w:ascii="Times New Roman" w:hAnsi="Times New Roman" w:cs="Times New Roman"/>
                <w:spacing w:val="2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Moderate</w:t>
            </w:r>
          </w:p>
        </w:tc>
        <w:tc>
          <w:tcPr>
            <w:tcW w:w="1724" w:type="dxa"/>
            <w:vAlign w:val="top"/>
          </w:tcPr>
          <w:p w14:paraId="66A582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2B41E33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5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0DF9E9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0" w:hRule="atLeast"/>
        </w:trPr>
        <w:tc>
          <w:tcPr>
            <w:tcW w:w="1768" w:type="dxa"/>
            <w:shd w:val="clear" w:color="auto" w:fill="E6E7E9"/>
            <w:vAlign w:val="top"/>
          </w:tcPr>
          <w:p w14:paraId="444143D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3" w:right="224" w:hanging="149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Dementia or</w:t>
            </w:r>
            <w:r>
              <w:rPr>
                <w:spacing w:val="25"/>
                <w:w w:val="10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cognitive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impairment</w:t>
            </w:r>
          </w:p>
        </w:tc>
        <w:tc>
          <w:tcPr>
            <w:tcW w:w="2502" w:type="dxa"/>
            <w:shd w:val="clear" w:color="auto" w:fill="E6E7E9"/>
            <w:vAlign w:val="top"/>
          </w:tcPr>
          <w:p w14:paraId="617ECE6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2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position w:val="2"/>
                <w:sz w:val="17"/>
                <w:szCs w:val="17"/>
              </w:rPr>
              <w:t xml:space="preserve">Anticholinergics </w:t>
            </w:r>
            <w:r>
              <w:rPr>
                <w:spacing w:val="6"/>
                <w:sz w:val="17"/>
                <w:szCs w:val="17"/>
              </w:rPr>
              <w:t xml:space="preserve">(see Table 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>6</w:t>
            </w:r>
            <w:r>
              <w:rPr>
                <w:spacing w:val="6"/>
                <w:sz w:val="17"/>
                <w:szCs w:val="17"/>
              </w:rPr>
              <w:t>)</w:t>
            </w:r>
          </w:p>
          <w:p w14:paraId="0F7B031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5" w:right="540" w:hanging="153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Antipsychotics, chron</w:t>
            </w:r>
            <w:r>
              <w:rPr>
                <w:spacing w:val="6"/>
                <w:sz w:val="17"/>
                <w:szCs w:val="17"/>
              </w:rPr>
              <w:t>ic use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or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persistent as-needed use</w:t>
            </w:r>
            <w:r>
              <w:rPr>
                <w:sz w:val="17"/>
                <w:szCs w:val="17"/>
              </w:rPr>
              <w:fldChar w:fldCharType="begin"/>
            </w:r>
            <w:r>
              <w:rPr>
                <w:sz w:val="17"/>
                <w:szCs w:val="17"/>
              </w:rPr>
              <w:instrText xml:space="preserve"> HYPERLINK \l "bookmark1" </w:instrText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color w:val="0000FF"/>
                <w:spacing w:val="7"/>
                <w:position w:val="6"/>
                <w:sz w:val="17"/>
                <w:szCs w:val="17"/>
              </w:rPr>
              <w:t>c</w:t>
            </w:r>
            <w:r>
              <w:rPr>
                <w:color w:val="0000FF"/>
                <w:spacing w:val="7"/>
                <w:position w:val="6"/>
                <w:sz w:val="17"/>
                <w:szCs w:val="17"/>
              </w:rPr>
              <w:fldChar w:fldCharType="end"/>
            </w:r>
          </w:p>
          <w:p w14:paraId="7A14459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Benzodiazepines</w:t>
            </w:r>
          </w:p>
          <w:p w14:paraId="3B30DCE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right="171" w:hanging="150"/>
              <w:textAlignment w:val="baseline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Nonbenzodiazepine benzodiazepine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receptor agonist hypnotics (</w:t>
            </w:r>
            <w:r>
              <w:rPr>
                <w:rFonts w:ascii="Arial" w:hAnsi="Arial" w:eastAsia="Arial" w:cs="Arial"/>
                <w:spacing w:val="7"/>
                <w:sz w:val="17"/>
                <w:szCs w:val="17"/>
              </w:rPr>
              <w:t>“</w:t>
            </w:r>
            <w:r>
              <w:rPr>
                <w:spacing w:val="7"/>
                <w:sz w:val="17"/>
                <w:szCs w:val="17"/>
              </w:rPr>
              <w:t>Z-</w:t>
            </w:r>
          </w:p>
          <w:p w14:paraId="715745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7"/>
              <w:textAlignment w:val="baseline"/>
              <w:rPr>
                <w:sz w:val="17"/>
                <w:szCs w:val="17"/>
              </w:rPr>
            </w:pPr>
            <w:r>
              <w:rPr>
                <w:spacing w:val="8"/>
                <w:position w:val="2"/>
                <w:sz w:val="17"/>
                <w:szCs w:val="17"/>
              </w:rPr>
              <w:t>drugs</w:t>
            </w:r>
            <w:r>
              <w:rPr>
                <w:rFonts w:ascii="Arial" w:hAnsi="Arial" w:eastAsia="Arial" w:cs="Arial"/>
                <w:spacing w:val="8"/>
                <w:position w:val="2"/>
                <w:sz w:val="17"/>
                <w:szCs w:val="17"/>
              </w:rPr>
              <w:t>”</w:t>
            </w:r>
            <w:r>
              <w:rPr>
                <w:spacing w:val="8"/>
                <w:position w:val="2"/>
                <w:sz w:val="17"/>
                <w:szCs w:val="17"/>
              </w:rPr>
              <w:t>)</w:t>
            </w:r>
          </w:p>
          <w:p w14:paraId="005B7A7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right="1543" w:firstLine="1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Eszopiclone</w:t>
            </w:r>
            <w:r>
              <w:rPr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Zaleplon</w:t>
            </w:r>
          </w:p>
          <w:p w14:paraId="039E5D2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Zolpidem</w:t>
            </w:r>
          </w:p>
        </w:tc>
        <w:tc>
          <w:tcPr>
            <w:tcW w:w="4021" w:type="dxa"/>
            <w:shd w:val="clear" w:color="auto" w:fill="E6E7E9"/>
            <w:vAlign w:val="top"/>
          </w:tcPr>
          <w:p w14:paraId="636076F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right="183" w:hanging="170" w:hangingChars="100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 because of adverse CNS effects. See criteria on individual drugs for additional information.</w:t>
            </w:r>
          </w:p>
          <w:p w14:paraId="1F35D79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right="183" w:hanging="170" w:hangingChars="100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Antipsychotics: increased risk of stroke and greater rate of cognitive decline and mortality in people  with dementia. Avoid antipsychotics for</w:t>
            </w:r>
            <w:r>
              <w:rPr>
                <w:rFonts w:hint="eastAsia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z w:val="17"/>
                <w:szCs w:val="17"/>
              </w:rPr>
              <w:t>behavioral problems of dementia or delirium</w:t>
            </w:r>
          </w:p>
          <w:p w14:paraId="7019F3A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183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unless documented nonpharmacologic options</w:t>
            </w:r>
            <w:r>
              <w:rPr>
                <w:rFonts w:hint="eastAsia" w:eastAsia="宋体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z w:val="17"/>
                <w:szCs w:val="17"/>
              </w:rPr>
              <w:t>(e.g., behavioral interventions) have failed and/or the patient is threatening substantial harm to self or others. If used, periodic deprescribing attempts should be considered to assess ongoing need</w:t>
            </w:r>
            <w:r>
              <w:rPr>
                <w:rFonts w:hint="eastAsia" w:eastAsia="宋体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z w:val="17"/>
                <w:szCs w:val="17"/>
              </w:rPr>
              <w:t>and/or the lowest effective dose.</w:t>
            </w:r>
          </w:p>
        </w:tc>
        <w:tc>
          <w:tcPr>
            <w:tcW w:w="1996" w:type="dxa"/>
            <w:shd w:val="clear" w:color="auto" w:fill="E6E7E9"/>
            <w:vAlign w:val="top"/>
          </w:tcPr>
          <w:p w14:paraId="6241436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Avoid</w:t>
            </w:r>
          </w:p>
        </w:tc>
        <w:tc>
          <w:tcPr>
            <w:tcW w:w="1777" w:type="dxa"/>
            <w:shd w:val="clear" w:color="auto" w:fill="E6E7E9"/>
            <w:vAlign w:val="top"/>
          </w:tcPr>
          <w:p w14:paraId="121D8C6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7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724" w:type="dxa"/>
            <w:shd w:val="clear" w:color="auto" w:fill="E6E7E9"/>
            <w:vAlign w:val="top"/>
          </w:tcPr>
          <w:p w14:paraId="65BBCE8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5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054B131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68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7DAB52C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3" w:right="224" w:hanging="149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History of falls or fractures</w:t>
            </w:r>
          </w:p>
          <w:p w14:paraId="565F1A3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3" w:right="224" w:hanging="149"/>
              <w:textAlignment w:val="baseline"/>
              <w:rPr>
                <w:spacing w:val="6"/>
                <w:sz w:val="17"/>
                <w:szCs w:val="17"/>
              </w:rPr>
            </w:pPr>
          </w:p>
        </w:tc>
        <w:tc>
          <w:tcPr>
            <w:tcW w:w="2502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2D8933D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 xml:space="preserve">Anticholinergics (see Table 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>6</w:t>
            </w:r>
            <w:r>
              <w:rPr>
                <w:spacing w:val="6"/>
                <w:sz w:val="17"/>
                <w:szCs w:val="17"/>
              </w:rPr>
              <w:t>)</w:t>
            </w:r>
          </w:p>
          <w:p w14:paraId="6677F2A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 xml:space="preserve">Antidepressants (selected classes) </w:t>
            </w:r>
          </w:p>
          <w:p w14:paraId="43F2B15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SNRIs</w:t>
            </w:r>
          </w:p>
          <w:p w14:paraId="44F9EB4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SSRIs</w:t>
            </w:r>
          </w:p>
          <w:p w14:paraId="4FD30D5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 xml:space="preserve">Tricyclic antidepressants (TCAs) </w:t>
            </w:r>
          </w:p>
          <w:p w14:paraId="31253E8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Antiepileptics</w:t>
            </w:r>
          </w:p>
          <w:p w14:paraId="7B5E6F6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Antipsychotics</w:t>
            </w:r>
            <w:r>
              <w:rPr>
                <w:spacing w:val="6"/>
                <w:sz w:val="17"/>
                <w:szCs w:val="17"/>
              </w:rPr>
              <w:fldChar w:fldCharType="begin"/>
            </w:r>
            <w:r>
              <w:rPr>
                <w:spacing w:val="6"/>
                <w:sz w:val="17"/>
                <w:szCs w:val="17"/>
              </w:rPr>
              <w:instrText xml:space="preserve"> HYPERLINK \l "bookmark1" </w:instrText>
            </w:r>
            <w:r>
              <w:rPr>
                <w:spacing w:val="6"/>
                <w:sz w:val="17"/>
                <w:szCs w:val="17"/>
              </w:rPr>
              <w:fldChar w:fldCharType="separate"/>
            </w:r>
            <w:r>
              <w:rPr>
                <w:spacing w:val="6"/>
                <w:sz w:val="17"/>
                <w:szCs w:val="17"/>
              </w:rPr>
              <w:t>c</w:t>
            </w:r>
            <w:r>
              <w:rPr>
                <w:spacing w:val="6"/>
                <w:sz w:val="17"/>
                <w:szCs w:val="17"/>
              </w:rPr>
              <w:fldChar w:fldCharType="end"/>
            </w:r>
            <w:r>
              <w:rPr>
                <w:spacing w:val="6"/>
                <w:sz w:val="17"/>
                <w:szCs w:val="17"/>
              </w:rPr>
              <w:t xml:space="preserve">     Benzodiazepines</w:t>
            </w:r>
          </w:p>
          <w:p w14:paraId="6016737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spacing w:val="6"/>
                <w:sz w:val="17"/>
                <w:szCs w:val="17"/>
              </w:rPr>
            </w:pPr>
          </w:p>
        </w:tc>
        <w:tc>
          <w:tcPr>
            <w:tcW w:w="4021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5781F5E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2" w:hanging="182" w:hangingChars="100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br w:type="column"/>
            </w:r>
            <w:r>
              <w:rPr>
                <w:spacing w:val="6"/>
                <w:sz w:val="17"/>
                <w:szCs w:val="17"/>
              </w:rPr>
              <w:t>May cause ataxia, impaired psychomotor function, syncope, or additional falls.</w:t>
            </w:r>
          </w:p>
          <w:p w14:paraId="5301A2F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2" w:hanging="182" w:hangingChars="100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Antidepressants (selected classes): evidence for risk of falls and fractures is mixed; newer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evidence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suggests that SNRIs may increase falls risk.</w:t>
            </w:r>
          </w:p>
          <w:p w14:paraId="1EC4EC8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2" w:hanging="182" w:hangingChars="100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Benzodiazepines: shorter-acting ones are not safer than long-acting ones.</w:t>
            </w:r>
          </w:p>
          <w:p w14:paraId="187C9F4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2" w:hanging="182" w:hangingChars="100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If one of the drugs must be used, consider reducing the use of other CNS-active medications that</w:t>
            </w:r>
          </w:p>
          <w:p w14:paraId="53547E6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46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increase the risk of falls and fractures</w:t>
            </w:r>
          </w:p>
        </w:tc>
        <w:tc>
          <w:tcPr>
            <w:tcW w:w="1996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0D3321D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0" w:hanging="180" w:hangingChars="100"/>
              <w:textAlignment w:val="baseline"/>
              <w:rPr>
                <w:spacing w:val="5"/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Avoid unless safer alternatives are not available.</w:t>
            </w:r>
          </w:p>
          <w:p w14:paraId="6564AAE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0" w:hanging="180" w:hangingChars="100"/>
              <w:textAlignment w:val="baseline"/>
              <w:rPr>
                <w:spacing w:val="5"/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Antiepileptics: avoid except for  seizures and mood disorders.</w:t>
            </w:r>
          </w:p>
          <w:p w14:paraId="547FACD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0" w:hanging="180" w:hangingChars="100"/>
              <w:textAlignment w:val="baseline"/>
              <w:rPr>
                <w:spacing w:val="5"/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Opioids: avoid except for pain</w:t>
            </w:r>
            <w:r>
              <w:rPr>
                <w:rFonts w:hint="eastAsia" w:eastAsia="宋体"/>
                <w:spacing w:val="5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management in the setting of severe acute pain.</w:t>
            </w:r>
          </w:p>
          <w:p w14:paraId="7118B9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pacing w:val="5"/>
                <w:sz w:val="17"/>
                <w:szCs w:val="17"/>
              </w:rPr>
            </w:pPr>
          </w:p>
        </w:tc>
        <w:tc>
          <w:tcPr>
            <w:tcW w:w="1777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621556C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4" w:hangingChars="100"/>
              <w:textAlignment w:val="baseline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Antidepressants, opioids: Moderate</w:t>
            </w:r>
          </w:p>
          <w:p w14:paraId="285C454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All others: High</w:t>
            </w:r>
          </w:p>
          <w:p w14:paraId="66237CC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7"/>
              <w:textAlignment w:val="baseline"/>
              <w:rPr>
                <w:spacing w:val="7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br w:type="column"/>
            </w:r>
          </w:p>
        </w:tc>
        <w:tc>
          <w:tcPr>
            <w:tcW w:w="1724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38168BA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5"/>
              <w:textAlignment w:val="baseline"/>
              <w:rPr>
                <w:spacing w:val="5"/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  <w:p w14:paraId="4990DDD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5"/>
              <w:textAlignment w:val="baseline"/>
              <w:rPr>
                <w:spacing w:val="5"/>
                <w:sz w:val="17"/>
                <w:szCs w:val="17"/>
              </w:rPr>
            </w:pPr>
          </w:p>
        </w:tc>
      </w:tr>
    </w:tbl>
    <w:p w14:paraId="18B6AD0F">
      <w:pPr>
        <w:spacing w:line="75" w:lineRule="auto"/>
        <w:rPr>
          <w:rFonts w:ascii="Arial"/>
          <w:sz w:val="2"/>
        </w:rPr>
      </w:pPr>
    </w:p>
    <w:p w14:paraId="59339B17">
      <w:pPr>
        <w:spacing w:line="75" w:lineRule="auto"/>
        <w:rPr>
          <w:rFonts w:ascii="Arial" w:hAnsi="Arial" w:eastAsia="Arial" w:cs="Arial"/>
          <w:sz w:val="2"/>
          <w:szCs w:val="2"/>
        </w:rPr>
        <w:sectPr>
          <w:pgSz w:w="15648" w:h="11906"/>
          <w:pgMar w:top="400" w:right="351" w:bottom="40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996"/>
          </w:cols>
        </w:sectPr>
      </w:pPr>
    </w:p>
    <w:p w14:paraId="156B75E1">
      <w:pPr>
        <w:spacing w:line="14" w:lineRule="auto"/>
      </w:pPr>
    </w:p>
    <w:p w14:paraId="5423C77C">
      <w:pPr>
        <w:spacing w:line="14" w:lineRule="auto"/>
        <w:rPr>
          <w:rFonts w:ascii="Arial"/>
          <w:sz w:val="2"/>
        </w:rPr>
      </w:pPr>
    </w:p>
    <w:p w14:paraId="3AC1188F">
      <w:pPr>
        <w:pStyle w:val="2"/>
        <w:spacing w:before="166" w:line="191" w:lineRule="auto"/>
        <w:ind w:left="13480"/>
        <w:rPr>
          <w:sz w:val="17"/>
          <w:szCs w:val="17"/>
        </w:rPr>
      </w:pPr>
      <w:r>
        <w:rPr>
          <w:spacing w:val="3"/>
          <w:sz w:val="17"/>
          <w:szCs w:val="17"/>
        </w:rPr>
        <w:t>(Continues)</w:t>
      </w:r>
    </w:p>
    <w:p w14:paraId="00FDBDED">
      <w:pPr>
        <w:spacing w:line="191" w:lineRule="auto"/>
        <w:rPr>
          <w:sz w:val="17"/>
          <w:szCs w:val="17"/>
        </w:rPr>
        <w:sectPr>
          <w:type w:val="continuous"/>
          <w:pgSz w:w="15648" w:h="11906"/>
          <w:pgMar w:top="400" w:right="351" w:bottom="40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996"/>
          </w:cols>
        </w:sectPr>
      </w:pPr>
    </w:p>
    <w:p w14:paraId="03D40082">
      <w:pPr>
        <w:spacing w:before="15"/>
      </w:pPr>
    </w:p>
    <w:p w14:paraId="2E5D7AFC">
      <w:pPr>
        <w:sectPr>
          <w:pgSz w:w="15648" w:h="11906"/>
          <w:pgMar w:top="400" w:right="315" w:bottom="40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5033"/>
          </w:cols>
        </w:sectPr>
      </w:pPr>
    </w:p>
    <w:p w14:paraId="152F5154">
      <w:pPr>
        <w:pStyle w:val="2"/>
        <w:spacing w:before="12" w:line="191" w:lineRule="auto"/>
        <w:ind w:left="651"/>
        <w:rPr>
          <w:sz w:val="17"/>
          <w:szCs w:val="17"/>
        </w:rPr>
      </w:pPr>
      <w:r>
        <w:rPr>
          <w:color w:val="636366"/>
          <w:spacing w:val="9"/>
          <w:sz w:val="17"/>
          <w:szCs w:val="17"/>
        </w:rPr>
        <w:t>TABLE</w:t>
      </w:r>
      <w:r>
        <w:rPr>
          <w:rFonts w:hint="eastAsia" w:eastAsia="宋体"/>
          <w:color w:val="636366"/>
          <w:spacing w:val="36"/>
          <w:sz w:val="17"/>
          <w:szCs w:val="17"/>
          <w:lang w:val="en-US" w:eastAsia="zh-CN"/>
        </w:rPr>
        <w:t>2</w:t>
      </w:r>
      <w:r>
        <w:rPr>
          <w:color w:val="636366"/>
          <w:spacing w:val="3"/>
          <w:sz w:val="17"/>
          <w:szCs w:val="17"/>
        </w:rPr>
        <w:t xml:space="preserve">     </w:t>
      </w:r>
      <w:r>
        <w:rPr>
          <w:spacing w:val="9"/>
          <w:sz w:val="17"/>
          <w:szCs w:val="17"/>
        </w:rPr>
        <w:t>(Continued)</w:t>
      </w:r>
    </w:p>
    <w:p w14:paraId="47429C7E">
      <w:pPr>
        <w:spacing w:line="108" w:lineRule="exact"/>
      </w:pPr>
    </w:p>
    <w:tbl>
      <w:tblPr>
        <w:tblStyle w:val="8"/>
        <w:tblW w:w="13662" w:type="dxa"/>
        <w:tblInd w:w="64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60"/>
        <w:gridCol w:w="3570"/>
        <w:gridCol w:w="2240"/>
        <w:gridCol w:w="1752"/>
        <w:gridCol w:w="1818"/>
      </w:tblGrid>
      <w:tr w14:paraId="64DD703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622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1F2C07E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Disease or syndrome</w:t>
            </w:r>
          </w:p>
        </w:tc>
        <w:tc>
          <w:tcPr>
            <w:tcW w:w="266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24B67B5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Drug(s)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357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6C96C1E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224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6386F7B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18"/>
                <w:sz w:val="17"/>
                <w:szCs w:val="17"/>
              </w:rPr>
              <w:t>Recommendation</w:t>
            </w:r>
          </w:p>
        </w:tc>
        <w:tc>
          <w:tcPr>
            <w:tcW w:w="1752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726E7DB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1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1"/>
                <w:sz w:val="17"/>
                <w:szCs w:val="17"/>
              </w:rPr>
              <w:t>Quality of</w:t>
            </w:r>
          </w:p>
          <w:p w14:paraId="15CACCD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position w:val="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1"/>
                <w:sz w:val="17"/>
                <w:szCs w:val="17"/>
              </w:rPr>
              <w:t>evidence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7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13"/>
                <w:position w:val="7"/>
                <w:sz w:val="17"/>
                <w:szCs w:val="17"/>
              </w:rPr>
              <w:fldChar w:fldCharType="end"/>
            </w:r>
          </w:p>
        </w:tc>
        <w:tc>
          <w:tcPr>
            <w:tcW w:w="1818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716250C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7"/>
                <w:w w:val="113"/>
                <w:sz w:val="17"/>
                <w:szCs w:val="17"/>
              </w:rPr>
              <w:t>Strength of</w:t>
            </w:r>
          </w:p>
          <w:p w14:paraId="6A76B4F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20"/>
                <w:sz w:val="17"/>
                <w:szCs w:val="17"/>
              </w:rPr>
              <w:t>recommendation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5"/>
                <w:w w:val="120"/>
                <w:position w:val="6"/>
                <w:sz w:val="17"/>
                <w:szCs w:val="17"/>
              </w:rPr>
              <w:fldChar w:fldCharType="end"/>
            </w:r>
          </w:p>
        </w:tc>
      </w:tr>
      <w:tr w14:paraId="155E30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</w:trPr>
        <w:tc>
          <w:tcPr>
            <w:tcW w:w="1622" w:type="dxa"/>
            <w:tcBorders>
              <w:top w:val="single" w:color="auto" w:sz="8" w:space="0"/>
            </w:tcBorders>
            <w:vAlign w:val="top"/>
          </w:tcPr>
          <w:p w14:paraId="1BA5B32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368" w:hanging="148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History of</w:t>
            </w:r>
            <w:r>
              <w:rPr>
                <w:rFonts w:hint="default" w:ascii="Times New Roman" w:hAnsi="Times New Roman" w:cs="Times New Roman"/>
                <w:spacing w:val="-5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falls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and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fractures, cont'd</w:t>
            </w:r>
          </w:p>
        </w:tc>
        <w:tc>
          <w:tcPr>
            <w:tcW w:w="2660" w:type="dxa"/>
            <w:tcBorders>
              <w:top w:val="single" w:color="auto" w:sz="8" w:space="0"/>
            </w:tcBorders>
            <w:vAlign w:val="top"/>
          </w:tcPr>
          <w:p w14:paraId="6D33BCD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183" w:hanging="149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N</w:t>
            </w:r>
            <w:r>
              <w:rPr>
                <w:rFonts w:hint="eastAsia" w:eastAsia="宋体" w:cs="Times New Roman"/>
                <w:spacing w:val="8"/>
                <w:sz w:val="17"/>
                <w:szCs w:val="17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onbenzodiazepine benzodiazepine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receptor agonist hypnotics</w:t>
            </w:r>
            <w:r>
              <w:rPr>
                <w:rFonts w:hint="default" w:ascii="Times New Roman" w:hAnsi="Times New Roman" w:cs="Times New Roman"/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(</w:t>
            </w:r>
            <w:r>
              <w:rPr>
                <w:rFonts w:hint="default" w:ascii="Times New Roman" w:hAnsi="Times New Roman" w:eastAsia="Arial" w:cs="Times New Roman"/>
                <w:spacing w:val="7"/>
                <w:sz w:val="17"/>
                <w:szCs w:val="17"/>
              </w:rPr>
              <w:t>“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Z-</w:t>
            </w:r>
            <w:r>
              <w:rPr>
                <w:rFonts w:hint="default" w:ascii="Times New Roman" w:hAnsi="Times New Roman" w:cs="Times New Roman"/>
                <w:spacing w:val="8"/>
                <w:position w:val="2"/>
                <w:sz w:val="17"/>
                <w:szCs w:val="17"/>
              </w:rPr>
              <w:t>drugs</w:t>
            </w:r>
            <w:r>
              <w:rPr>
                <w:rFonts w:hint="default" w:ascii="Times New Roman" w:hAnsi="Times New Roman" w:eastAsia="Arial" w:cs="Times New Roman"/>
                <w:spacing w:val="8"/>
                <w:position w:val="2"/>
                <w:sz w:val="17"/>
                <w:szCs w:val="17"/>
              </w:rPr>
              <w:t>”</w:t>
            </w:r>
            <w:r>
              <w:rPr>
                <w:rFonts w:hint="default" w:ascii="Times New Roman" w:hAnsi="Times New Roman" w:cs="Times New Roman"/>
                <w:spacing w:val="8"/>
                <w:position w:val="2"/>
                <w:sz w:val="17"/>
                <w:szCs w:val="17"/>
              </w:rPr>
              <w:t>)</w:t>
            </w:r>
          </w:p>
          <w:p w14:paraId="333594F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1555" w:firstLine="1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Eszopiclone</w:t>
            </w:r>
            <w:r>
              <w:rPr>
                <w:rFonts w:hint="default" w:ascii="Times New Roman" w:hAnsi="Times New Roman" w:cs="Times New Roman"/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Zaleplon</w:t>
            </w:r>
          </w:p>
          <w:p w14:paraId="739380A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Zolpidem</w:t>
            </w:r>
          </w:p>
          <w:p w14:paraId="3994553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Opioids</w:t>
            </w:r>
          </w:p>
        </w:tc>
        <w:tc>
          <w:tcPr>
            <w:tcW w:w="3570" w:type="dxa"/>
            <w:tcBorders>
              <w:top w:val="single" w:color="auto" w:sz="8" w:space="0"/>
            </w:tcBorders>
            <w:vAlign w:val="top"/>
          </w:tcPr>
          <w:p w14:paraId="2F7B5B8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193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(i.e., anticholinergics, selected antidepressants,     antiepileptics, antipsychotics, sedative/hypnotics including benzodiazepines and,</w:t>
            </w:r>
            <w:r>
              <w:rPr>
                <w:rFonts w:hint="eastAsia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nonbenzodiazepine benzodiazepine receptor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agonist hypnotics, opioids) and implement</w:t>
            </w:r>
            <w:r>
              <w:rPr>
                <w:rFonts w:hint="default" w:ascii="Times New Roman" w:hAnsi="Times New Roman" w:cs="Times New Roman"/>
                <w:spacing w:val="28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other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strategies to reduce</w:t>
            </w:r>
            <w:r>
              <w:rPr>
                <w:rFonts w:hint="default" w:ascii="Times New Roman" w:hAnsi="Times New Roman" w:cs="Times New Roman"/>
                <w:spacing w:val="24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fall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risk.</w:t>
            </w:r>
          </w:p>
        </w:tc>
        <w:tc>
          <w:tcPr>
            <w:tcW w:w="2240" w:type="dxa"/>
            <w:tcBorders>
              <w:top w:val="single" w:color="auto" w:sz="8" w:space="0"/>
            </w:tcBorders>
            <w:vAlign w:val="top"/>
          </w:tcPr>
          <w:p w14:paraId="2B08D9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52" w:type="dxa"/>
            <w:tcBorders>
              <w:top w:val="single" w:color="auto" w:sz="8" w:space="0"/>
            </w:tcBorders>
            <w:vAlign w:val="top"/>
          </w:tcPr>
          <w:p w14:paraId="502133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8" w:type="dxa"/>
            <w:tcBorders>
              <w:top w:val="single" w:color="auto" w:sz="8" w:space="0"/>
            </w:tcBorders>
            <w:vAlign w:val="top"/>
          </w:tcPr>
          <w:p w14:paraId="7BDA0B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</w:tr>
      <w:tr w14:paraId="0A0AF85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1622" w:type="dxa"/>
            <w:shd w:val="clear" w:color="auto" w:fill="E6E7E9"/>
            <w:vAlign w:val="top"/>
          </w:tcPr>
          <w:p w14:paraId="4BDC6A2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Parkinson disease</w:t>
            </w:r>
          </w:p>
        </w:tc>
        <w:tc>
          <w:tcPr>
            <w:tcW w:w="2660" w:type="dxa"/>
            <w:shd w:val="clear" w:color="auto" w:fill="E6E7E9"/>
            <w:vAlign w:val="top"/>
          </w:tcPr>
          <w:p w14:paraId="60D2578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Antiemetics</w:t>
            </w:r>
          </w:p>
          <w:p w14:paraId="1E01D3E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1227" w:hanging="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Metoclopramide</w:t>
            </w:r>
            <w:r>
              <w:rPr>
                <w:rFonts w:hint="default" w:ascii="Times New Roman" w:hAnsi="Times New Roman" w:cs="Times New Roman"/>
                <w:spacing w:val="2"/>
                <w:sz w:val="17"/>
                <w:szCs w:val="17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 xml:space="preserve">Prochlorperazine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Promethazine</w:t>
            </w:r>
          </w:p>
          <w:p w14:paraId="11D8CE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363" w:hanging="15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Antipsychotics (except clozapine,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pimavanserin, and quetiapine)</w:t>
            </w:r>
          </w:p>
        </w:tc>
        <w:tc>
          <w:tcPr>
            <w:tcW w:w="3570" w:type="dxa"/>
            <w:shd w:val="clear" w:color="auto" w:fill="E6E7E9"/>
            <w:vAlign w:val="top"/>
          </w:tcPr>
          <w:p w14:paraId="182F8F8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6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D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opamine-receptor antagonists with the potential to worsen parkinsonian symptoms</w:t>
            </w:r>
          </w:p>
          <w:p w14:paraId="3F46574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193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Exceptions: clozapine, pimavanserin, and quetiapine appear to be less likely to precipitate the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worsening of Parkinson disease than other antipsychotics.</w:t>
            </w:r>
          </w:p>
        </w:tc>
        <w:tc>
          <w:tcPr>
            <w:tcW w:w="2240" w:type="dxa"/>
            <w:shd w:val="clear" w:color="auto" w:fill="E6E7E9"/>
            <w:vAlign w:val="top"/>
          </w:tcPr>
          <w:p w14:paraId="1A532A8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Avoid</w:t>
            </w:r>
          </w:p>
        </w:tc>
        <w:tc>
          <w:tcPr>
            <w:tcW w:w="1752" w:type="dxa"/>
            <w:shd w:val="clear" w:color="auto" w:fill="E6E7E9"/>
            <w:vAlign w:val="top"/>
          </w:tcPr>
          <w:p w14:paraId="23700CF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818" w:type="dxa"/>
            <w:shd w:val="clear" w:color="auto" w:fill="E6E7E9"/>
            <w:vAlign w:val="top"/>
          </w:tcPr>
          <w:p w14:paraId="4EF1CEC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222161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1622" w:type="dxa"/>
            <w:vAlign w:val="top"/>
          </w:tcPr>
          <w:p w14:paraId="038480A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2"/>
                <w:sz w:val="17"/>
                <w:szCs w:val="17"/>
              </w:rPr>
              <w:t>Gastrointestinal</w:t>
            </w:r>
          </w:p>
          <w:p w14:paraId="71C035B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318" w:hanging="15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History of</w:t>
            </w:r>
            <w:r>
              <w:rPr>
                <w:rFonts w:hint="default" w:ascii="Times New Roman" w:hAnsi="Times New Roman" w:cs="Times New Roman"/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gastric</w:t>
            </w:r>
            <w:r>
              <w:rPr>
                <w:rFonts w:hint="default" w:ascii="Times New Roman" w:hAnsi="Times New Roman" w:cs="Times New Roman"/>
                <w:spacing w:val="1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or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duodenal ulcers</w:t>
            </w:r>
          </w:p>
        </w:tc>
        <w:tc>
          <w:tcPr>
            <w:tcW w:w="2660" w:type="dxa"/>
            <w:vAlign w:val="top"/>
          </w:tcPr>
          <w:p w14:paraId="0ED52F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7FFC679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Aspirin</w:t>
            </w:r>
          </w:p>
          <w:p w14:paraId="7A1455C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 xml:space="preserve">Non-COX-2 selective </w:t>
            </w:r>
            <w:r>
              <w:rPr>
                <w:rFonts w:hint="default" w:ascii="Times New Roman" w:hAnsi="Times New Roman" w:cs="Times New Roman"/>
                <w:spacing w:val="4"/>
                <w:sz w:val="17"/>
                <w:szCs w:val="17"/>
              </w:rPr>
              <w:t>NSAIDs</w:t>
            </w:r>
          </w:p>
        </w:tc>
        <w:tc>
          <w:tcPr>
            <w:tcW w:w="3570" w:type="dxa"/>
            <w:vAlign w:val="top"/>
          </w:tcPr>
          <w:p w14:paraId="2BE5A5F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  <w:p w14:paraId="3FA0172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May exacerbate existing ulcers or cause new/additional ulcers</w:t>
            </w:r>
          </w:p>
        </w:tc>
        <w:tc>
          <w:tcPr>
            <w:tcW w:w="2240" w:type="dxa"/>
            <w:vAlign w:val="top"/>
          </w:tcPr>
          <w:p w14:paraId="74194A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1D3B893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Avoid unless other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alternat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ives</w:t>
            </w:r>
            <w:r>
              <w:rPr>
                <w:rFonts w:hint="eastAsia" w:eastAsia="宋体" w:cs="Times New Roman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are not effective</w:t>
            </w:r>
            <w:r>
              <w:rPr>
                <w:rFonts w:hint="default" w:ascii="Times New Roman" w:hAnsi="Times New Roman" w:cs="Times New Roman"/>
                <w:spacing w:val="1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and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 xml:space="preserve">the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patient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can take a gastropro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tective</w:t>
            </w:r>
          </w:p>
          <w:p w14:paraId="3252F27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488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agent (i.e., proton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pump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inhibitor or misoprostol).</w:t>
            </w:r>
          </w:p>
        </w:tc>
        <w:tc>
          <w:tcPr>
            <w:tcW w:w="1752" w:type="dxa"/>
            <w:vAlign w:val="top"/>
          </w:tcPr>
          <w:p w14:paraId="105508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6594B9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818" w:type="dxa"/>
            <w:vAlign w:val="top"/>
          </w:tcPr>
          <w:p w14:paraId="7788F5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  <w:p w14:paraId="49277D0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Strong</w:t>
            </w:r>
          </w:p>
        </w:tc>
      </w:tr>
      <w:tr w14:paraId="1F66A0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3662" w:type="dxa"/>
            <w:gridSpan w:val="6"/>
            <w:shd w:val="clear" w:color="auto" w:fill="E6E7E9"/>
            <w:vAlign w:val="top"/>
          </w:tcPr>
          <w:p w14:paraId="2F10A28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7"/>
                <w:sz w:val="17"/>
                <w:szCs w:val="17"/>
              </w:rPr>
              <w:t>Kidney/urinary tract</w:t>
            </w:r>
          </w:p>
        </w:tc>
      </w:tr>
      <w:tr w14:paraId="193F2D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1622" w:type="dxa"/>
            <w:shd w:val="clear" w:color="auto" w:fill="E6E7E9"/>
            <w:vAlign w:val="top"/>
          </w:tcPr>
          <w:p w14:paraId="4E1A140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125" w:hanging="15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Urinary incontinence</w:t>
            </w:r>
            <w:r>
              <w:rPr>
                <w:rFonts w:hint="default" w:ascii="Times New Roman" w:hAnsi="Times New Roman" w:cs="Times New Roman"/>
                <w:spacing w:val="1"/>
                <w:sz w:val="17"/>
                <w:szCs w:val="17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(all types)</w:t>
            </w:r>
            <w:r>
              <w:rPr>
                <w:rFonts w:hint="default" w:ascii="Times New Roman" w:hAnsi="Times New Roman" w:cs="Times New Roman"/>
                <w:spacing w:val="20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in women</w:t>
            </w:r>
          </w:p>
        </w:tc>
        <w:tc>
          <w:tcPr>
            <w:tcW w:w="2660" w:type="dxa"/>
            <w:shd w:val="clear" w:color="auto" w:fill="E6E7E9"/>
            <w:vAlign w:val="top"/>
          </w:tcPr>
          <w:p w14:paraId="5EB84D2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position w:val="2"/>
                <w:sz w:val="17"/>
                <w:szCs w:val="17"/>
              </w:rPr>
              <w:t>Non-selective periphera</w:t>
            </w: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l alpha-1</w:t>
            </w:r>
          </w:p>
          <w:p w14:paraId="0D8D23D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1654" w:hanging="4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blockers</w: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rFonts w:hint="default" w:ascii="Times New Roman" w:hAnsi="Times New Roman" w:cs="Times New Roman"/>
                <w:color w:val="auto"/>
                <w:sz w:val="17"/>
                <w:szCs w:val="17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pacing w:val="7"/>
                <w:position w:val="6"/>
                <w:sz w:val="17"/>
                <w:szCs w:val="17"/>
              </w:rPr>
              <w:t>e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position w:val="6"/>
                <w:sz w:val="17"/>
                <w:szCs w:val="17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position w:val="6"/>
                <w:sz w:val="17"/>
                <w:szCs w:val="17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sz w:val="17"/>
                <w:szCs w:val="17"/>
              </w:rPr>
              <w:t>Dox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azosin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Prazosin</w:t>
            </w:r>
          </w:p>
          <w:p w14:paraId="325D9E5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Terazosin</w:t>
            </w:r>
          </w:p>
          <w:p w14:paraId="7D931C0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Estrogen, oral and</w:t>
            </w:r>
            <w:r>
              <w:rPr>
                <w:rFonts w:hint="default" w:ascii="Times New Roman" w:hAnsi="Times New Roman" w:cs="Times New Roman"/>
                <w:spacing w:val="10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  <w:t>trans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dermal</w:t>
            </w:r>
          </w:p>
          <w:p w14:paraId="1C4DB37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>(excludes intravaginal estrogen)</w:t>
            </w:r>
          </w:p>
        </w:tc>
        <w:tc>
          <w:tcPr>
            <w:tcW w:w="3570" w:type="dxa"/>
            <w:shd w:val="clear" w:color="auto" w:fill="E6E7E9"/>
            <w:vAlign w:val="top"/>
          </w:tcPr>
          <w:p w14:paraId="7E0A7E6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Aggravation of incontinence (alpha-1 blockers), lack of efficacy (oral estrogen)</w:t>
            </w:r>
          </w:p>
        </w:tc>
        <w:tc>
          <w:tcPr>
            <w:tcW w:w="2240" w:type="dxa"/>
            <w:shd w:val="clear" w:color="auto" w:fill="E6E7E9"/>
            <w:vAlign w:val="top"/>
          </w:tcPr>
          <w:p w14:paraId="0C09986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void in women</w:t>
            </w:r>
          </w:p>
          <w:p w14:paraId="22A325E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eastAsia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>See</w:t>
            </w: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 xml:space="preserve"> also recommendation on estrogen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 xml:space="preserve"> </w:t>
            </w:r>
          </w:p>
        </w:tc>
        <w:tc>
          <w:tcPr>
            <w:tcW w:w="1752" w:type="dxa"/>
            <w:shd w:val="clear" w:color="auto" w:fill="E6E7E9"/>
            <w:vAlign w:val="top"/>
          </w:tcPr>
          <w:p w14:paraId="7CF4D52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137" w:hanging="151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Non-selective peripheral</w:t>
            </w:r>
            <w:r>
              <w:rPr>
                <w:rFonts w:hint="default" w:ascii="Times New Roman" w:hAnsi="Times New Roman" w:cs="Times New Roman"/>
                <w:spacing w:val="14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alpha-1 blockers:</w:t>
            </w:r>
          </w:p>
          <w:p w14:paraId="57A6370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Moderate</w:t>
            </w:r>
          </w:p>
          <w:p w14:paraId="11BB2D3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Estrogen: High</w:t>
            </w:r>
          </w:p>
        </w:tc>
        <w:tc>
          <w:tcPr>
            <w:tcW w:w="1818" w:type="dxa"/>
            <w:shd w:val="clear" w:color="auto" w:fill="E6E7E9"/>
            <w:vAlign w:val="top"/>
          </w:tcPr>
          <w:p w14:paraId="49BF8BA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Non-selective</w:t>
            </w:r>
          </w:p>
          <w:p w14:paraId="22A35FF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366" w:firstLine="2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peripheral alpha-1</w:t>
            </w:r>
            <w:r>
              <w:rPr>
                <w:rFonts w:hint="default" w:ascii="Times New Roman" w:hAnsi="Times New Roman" w:cs="Times New Roman"/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5"/>
                <w:sz w:val="17"/>
                <w:szCs w:val="17"/>
              </w:rPr>
              <w:t>blockers: Strong</w:t>
            </w:r>
          </w:p>
          <w:p w14:paraId="6DDCC39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6"/>
                <w:sz w:val="17"/>
                <w:szCs w:val="17"/>
              </w:rPr>
              <w:t>Estrogen: Strong</w:t>
            </w:r>
          </w:p>
        </w:tc>
      </w:tr>
      <w:tr w14:paraId="442FB76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622" w:type="dxa"/>
            <w:tcBorders>
              <w:bottom w:val="single" w:color="auto" w:sz="12" w:space="0"/>
            </w:tcBorders>
            <w:vAlign w:val="top"/>
          </w:tcPr>
          <w:p w14:paraId="5AA07B8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Lower urinary tract</w:t>
            </w:r>
            <w:r>
              <w:rPr>
                <w:rFonts w:hint="eastAsia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 xml:space="preserve"> symptoms, benign prostatic</w:t>
            </w:r>
            <w:r>
              <w:rPr>
                <w:rFonts w:hint="eastAsia" w:cs="Times New Roman"/>
                <w:spacing w:val="7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  <w:position w:val="2"/>
                <w:sz w:val="17"/>
                <w:szCs w:val="17"/>
              </w:rPr>
              <w:t xml:space="preserve"> hyperplas</w:t>
            </w:r>
            <w:r>
              <w:rPr>
                <w:rFonts w:hint="eastAsia" w:eastAsia="宋体" w:cs="Times New Roman"/>
                <w:spacing w:val="6"/>
                <w:position w:val="2"/>
                <w:sz w:val="17"/>
                <w:szCs w:val="17"/>
                <w:lang w:val="en-US" w:eastAsia="zh-CN"/>
              </w:rPr>
              <w:t>ia</w:t>
            </w:r>
          </w:p>
        </w:tc>
        <w:tc>
          <w:tcPr>
            <w:tcW w:w="2660" w:type="dxa"/>
            <w:tcBorders>
              <w:bottom w:val="single" w:color="auto" w:sz="12" w:space="0"/>
            </w:tcBorders>
            <w:vAlign w:val="top"/>
          </w:tcPr>
          <w:p w14:paraId="57E44A0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eastAsia="宋体" w:cs="Times New Roman"/>
                <w:spacing w:val="7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Strongly anticholinergic drugs, except</w:t>
            </w: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 xml:space="preserve"> antimuscarinics for urinary incontinence (see Table 6)</w:t>
            </w:r>
          </w:p>
        </w:tc>
        <w:tc>
          <w:tcPr>
            <w:tcW w:w="3570" w:type="dxa"/>
            <w:tcBorders>
              <w:bottom w:val="single" w:color="auto" w:sz="12" w:space="0"/>
            </w:tcBorders>
            <w:vAlign w:val="top"/>
          </w:tcPr>
          <w:p w14:paraId="3C8153F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May decrease urinary flow and cause urinary</w:t>
            </w:r>
          </w:p>
          <w:p w14:paraId="12ACCAB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eastAsia="宋体" w:cs="Times New Roman"/>
                <w:spacing w:val="7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>rerention</w:t>
            </w:r>
          </w:p>
        </w:tc>
        <w:tc>
          <w:tcPr>
            <w:tcW w:w="2240" w:type="dxa"/>
            <w:tcBorders>
              <w:bottom w:val="single" w:color="auto" w:sz="12" w:space="0"/>
            </w:tcBorders>
            <w:vAlign w:val="top"/>
          </w:tcPr>
          <w:p w14:paraId="3B84505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Avoid in men</w:t>
            </w:r>
          </w:p>
        </w:tc>
        <w:tc>
          <w:tcPr>
            <w:tcW w:w="1752" w:type="dxa"/>
            <w:tcBorders>
              <w:bottom w:val="single" w:color="auto" w:sz="12" w:space="0"/>
            </w:tcBorders>
            <w:vAlign w:val="top"/>
          </w:tcPr>
          <w:p w14:paraId="496AE15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818" w:type="dxa"/>
            <w:tcBorders>
              <w:bottom w:val="single" w:color="auto" w:sz="12" w:space="0"/>
            </w:tcBorders>
            <w:vAlign w:val="top"/>
          </w:tcPr>
          <w:p w14:paraId="3F94F7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193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  <w:t>Strong</w:t>
            </w:r>
          </w:p>
        </w:tc>
      </w:tr>
    </w:tbl>
    <w:p w14:paraId="4AC2227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2" w:right="136" w:hanging="3"/>
        <w:textAlignment w:val="baseline"/>
        <w:rPr>
          <w:sz w:val="15"/>
          <w:szCs w:val="15"/>
        </w:rPr>
      </w:pPr>
      <w:r>
        <w:rPr>
          <w:spacing w:val="7"/>
          <w:sz w:val="15"/>
          <w:szCs w:val="15"/>
        </w:rPr>
        <w:t xml:space="preserve">Abbreviations: AChEI, acetylcholinesterase inhibitor; </w:t>
      </w:r>
      <w:r>
        <w:rPr>
          <w:spacing w:val="6"/>
          <w:sz w:val="15"/>
          <w:szCs w:val="15"/>
        </w:rPr>
        <w:t>CCBs, calcium</w:t>
      </w:r>
      <w:r>
        <w:rPr>
          <w:spacing w:val="11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channel blockers;</w:t>
      </w:r>
      <w:r>
        <w:rPr>
          <w:spacing w:val="12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CNS,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central</w:t>
      </w:r>
      <w:r>
        <w:rPr>
          <w:spacing w:val="9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nervous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system;</w:t>
      </w:r>
      <w:r>
        <w:rPr>
          <w:spacing w:val="13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COPD,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chronic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obstructive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pulmonary disease;</w:t>
      </w:r>
      <w:r>
        <w:rPr>
          <w:spacing w:val="12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COX,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cyclooxygenase;</w:t>
      </w:r>
      <w:r>
        <w:rPr>
          <w:spacing w:val="14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CrCl,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creatinine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clearance;</w:t>
      </w:r>
      <w:r>
        <w:rPr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NSAIDs, nonsteroidal anti-inflammatory drugs; SNRIs, serotonin-norepinephrine reuptake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inhibitors;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SSRIs,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selective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serotoni</w:t>
      </w:r>
      <w:r>
        <w:rPr>
          <w:spacing w:val="6"/>
          <w:sz w:val="15"/>
          <w:szCs w:val="15"/>
        </w:rPr>
        <w:t>n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reuptake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inhibitors; TCAs,</w:t>
      </w:r>
      <w:r>
        <w:rPr>
          <w:spacing w:val="11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tricyclic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antidepressants.</w:t>
      </w:r>
    </w:p>
    <w:p w14:paraId="39E894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3" w:right="214"/>
        <w:textAlignment w:val="baseline"/>
        <w:rPr>
          <w:sz w:val="15"/>
          <w:szCs w:val="15"/>
        </w:rPr>
      </w:pPr>
      <w:r>
        <w:rPr>
          <w:spacing w:val="7"/>
          <w:position w:val="6"/>
          <w:sz w:val="15"/>
          <w:szCs w:val="15"/>
        </w:rPr>
        <w:t>a</w:t>
      </w:r>
      <w:r>
        <w:rPr>
          <w:spacing w:val="7"/>
          <w:sz w:val="15"/>
          <w:szCs w:val="15"/>
        </w:rPr>
        <w:t>Under each drug class, drugs commonly used in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the United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States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are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listed,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except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in</w:t>
      </w:r>
      <w:r>
        <w:rPr>
          <w:spacing w:val="8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cases where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doing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so</w:t>
      </w:r>
      <w:r>
        <w:rPr>
          <w:spacing w:val="9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is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infeasi</w:t>
      </w:r>
      <w:r>
        <w:rPr>
          <w:spacing w:val="6"/>
          <w:sz w:val="15"/>
          <w:szCs w:val="15"/>
        </w:rPr>
        <w:t>ble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due</w:t>
      </w:r>
      <w:r>
        <w:rPr>
          <w:spacing w:val="9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to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space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considerations.</w:t>
      </w:r>
      <w:r>
        <w:rPr>
          <w:spacing w:val="9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Unless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stated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otherwise,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all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drugs within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stated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drug class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are</w:t>
      </w:r>
      <w:r>
        <w:rPr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considered potentially inappropriate in the context of the criterion in which they</w:t>
      </w:r>
      <w:r>
        <w:rPr>
          <w:spacing w:val="14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appear,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even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if</w:t>
      </w:r>
      <w:r>
        <w:rPr>
          <w:spacing w:val="-4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not</w:t>
      </w:r>
      <w:r>
        <w:rPr>
          <w:spacing w:val="8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listed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in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this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table.</w:t>
      </w:r>
    </w:p>
    <w:p w14:paraId="56E0FD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0"/>
        <w:textAlignment w:val="baseline"/>
        <w:rPr>
          <w:sz w:val="15"/>
          <w:szCs w:val="15"/>
        </w:rPr>
      </w:pPr>
      <w:r>
        <w:rPr>
          <w:spacing w:val="8"/>
          <w:position w:val="7"/>
          <w:sz w:val="15"/>
          <w:szCs w:val="15"/>
        </w:rPr>
        <w:t>b</w:t>
      </w:r>
      <w:r>
        <w:rPr>
          <w:spacing w:val="8"/>
          <w:position w:val="1"/>
          <w:sz w:val="15"/>
          <w:szCs w:val="15"/>
        </w:rPr>
        <w:t>Quality of</w:t>
      </w:r>
      <w:r>
        <w:rPr>
          <w:spacing w:val="-2"/>
          <w:position w:val="1"/>
          <w:sz w:val="15"/>
          <w:szCs w:val="15"/>
        </w:rPr>
        <w:t xml:space="preserve"> </w:t>
      </w:r>
      <w:r>
        <w:rPr>
          <w:spacing w:val="8"/>
          <w:position w:val="1"/>
          <w:sz w:val="15"/>
          <w:szCs w:val="15"/>
        </w:rPr>
        <w:t>evidence and strength of</w:t>
      </w:r>
      <w:r>
        <w:rPr>
          <w:spacing w:val="-3"/>
          <w:position w:val="1"/>
          <w:sz w:val="15"/>
          <w:szCs w:val="15"/>
        </w:rPr>
        <w:t xml:space="preserve"> </w:t>
      </w:r>
      <w:r>
        <w:rPr>
          <w:spacing w:val="8"/>
          <w:position w:val="1"/>
          <w:sz w:val="15"/>
          <w:szCs w:val="15"/>
        </w:rPr>
        <w:t>recommendation ratings apply to</w:t>
      </w:r>
      <w:r>
        <w:rPr>
          <w:spacing w:val="11"/>
          <w:position w:val="1"/>
          <w:sz w:val="15"/>
          <w:szCs w:val="15"/>
        </w:rPr>
        <w:t xml:space="preserve"> </w:t>
      </w:r>
      <w:r>
        <w:rPr>
          <w:spacing w:val="8"/>
          <w:position w:val="1"/>
          <w:sz w:val="15"/>
          <w:szCs w:val="15"/>
        </w:rPr>
        <w:t>all</w:t>
      </w:r>
      <w:r>
        <w:rPr>
          <w:spacing w:val="8"/>
          <w:w w:val="102"/>
          <w:position w:val="1"/>
          <w:sz w:val="15"/>
          <w:szCs w:val="15"/>
        </w:rPr>
        <w:t xml:space="preserve"> </w:t>
      </w:r>
      <w:r>
        <w:rPr>
          <w:spacing w:val="8"/>
          <w:position w:val="1"/>
          <w:sz w:val="15"/>
          <w:szCs w:val="15"/>
        </w:rPr>
        <w:t>drugs</w:t>
      </w:r>
      <w:r>
        <w:rPr>
          <w:spacing w:val="10"/>
          <w:position w:val="1"/>
          <w:sz w:val="15"/>
          <w:szCs w:val="15"/>
        </w:rPr>
        <w:t xml:space="preserve"> </w:t>
      </w:r>
      <w:r>
        <w:rPr>
          <w:spacing w:val="8"/>
          <w:position w:val="1"/>
          <w:sz w:val="15"/>
          <w:szCs w:val="15"/>
        </w:rPr>
        <w:t>and</w:t>
      </w:r>
      <w:r>
        <w:rPr>
          <w:spacing w:val="9"/>
          <w:w w:val="102"/>
          <w:position w:val="1"/>
          <w:sz w:val="15"/>
          <w:szCs w:val="15"/>
        </w:rPr>
        <w:t xml:space="preserve"> </w:t>
      </w:r>
      <w:r>
        <w:rPr>
          <w:spacing w:val="8"/>
          <w:position w:val="1"/>
          <w:sz w:val="15"/>
          <w:szCs w:val="15"/>
        </w:rPr>
        <w:t>recom</w:t>
      </w:r>
      <w:r>
        <w:rPr>
          <w:spacing w:val="7"/>
          <w:position w:val="1"/>
          <w:sz w:val="15"/>
          <w:szCs w:val="15"/>
        </w:rPr>
        <w:t>mendations within</w:t>
      </w:r>
      <w:r>
        <w:rPr>
          <w:spacing w:val="10"/>
          <w:position w:val="1"/>
          <w:sz w:val="15"/>
          <w:szCs w:val="15"/>
        </w:rPr>
        <w:t xml:space="preserve"> </w:t>
      </w:r>
      <w:r>
        <w:rPr>
          <w:spacing w:val="7"/>
          <w:position w:val="1"/>
          <w:sz w:val="15"/>
          <w:szCs w:val="15"/>
        </w:rPr>
        <w:t>each</w:t>
      </w:r>
      <w:r>
        <w:rPr>
          <w:spacing w:val="9"/>
          <w:w w:val="101"/>
          <w:position w:val="1"/>
          <w:sz w:val="15"/>
          <w:szCs w:val="15"/>
        </w:rPr>
        <w:t xml:space="preserve"> </w:t>
      </w:r>
      <w:r>
        <w:rPr>
          <w:spacing w:val="7"/>
          <w:position w:val="1"/>
          <w:sz w:val="15"/>
          <w:szCs w:val="15"/>
        </w:rPr>
        <w:t>criterion</w:t>
      </w:r>
      <w:r>
        <w:rPr>
          <w:spacing w:val="8"/>
          <w:w w:val="102"/>
          <w:position w:val="1"/>
          <w:sz w:val="15"/>
          <w:szCs w:val="15"/>
        </w:rPr>
        <w:t xml:space="preserve"> </w:t>
      </w:r>
      <w:r>
        <w:rPr>
          <w:spacing w:val="7"/>
          <w:position w:val="1"/>
          <w:sz w:val="15"/>
          <w:szCs w:val="15"/>
        </w:rPr>
        <w:t>unless</w:t>
      </w:r>
      <w:r>
        <w:rPr>
          <w:spacing w:val="10"/>
          <w:position w:val="1"/>
          <w:sz w:val="15"/>
          <w:szCs w:val="15"/>
        </w:rPr>
        <w:t xml:space="preserve"> </w:t>
      </w:r>
      <w:r>
        <w:rPr>
          <w:spacing w:val="7"/>
          <w:position w:val="1"/>
          <w:sz w:val="15"/>
          <w:szCs w:val="15"/>
        </w:rPr>
        <w:t>stated</w:t>
      </w:r>
      <w:r>
        <w:rPr>
          <w:spacing w:val="10"/>
          <w:position w:val="1"/>
          <w:sz w:val="15"/>
          <w:szCs w:val="15"/>
        </w:rPr>
        <w:t xml:space="preserve"> </w:t>
      </w:r>
      <w:r>
        <w:rPr>
          <w:spacing w:val="7"/>
          <w:position w:val="1"/>
          <w:sz w:val="15"/>
          <w:szCs w:val="15"/>
        </w:rPr>
        <w:t>otherwise.</w:t>
      </w:r>
    </w:p>
    <w:p w14:paraId="4BF293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2" w:right="526"/>
        <w:textAlignment w:val="baseline"/>
        <w:rPr>
          <w:sz w:val="15"/>
          <w:szCs w:val="15"/>
        </w:rPr>
      </w:pPr>
      <w:r>
        <w:rPr>
          <w:spacing w:val="8"/>
          <w:position w:val="6"/>
          <w:sz w:val="15"/>
          <w:szCs w:val="15"/>
        </w:rPr>
        <w:t>c</w:t>
      </w:r>
      <w:r>
        <w:rPr>
          <w:spacing w:val="8"/>
          <w:sz w:val="15"/>
          <w:szCs w:val="15"/>
        </w:rPr>
        <w:t>Maybe required to treat concurrent schizophrenia, bipolar disorder,</w:t>
      </w:r>
      <w:r>
        <w:rPr>
          <w:spacing w:val="11"/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and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other</w:t>
      </w:r>
      <w:r>
        <w:rPr>
          <w:spacing w:val="11"/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select</w:t>
      </w:r>
      <w:r>
        <w:rPr>
          <w:spacing w:val="7"/>
          <w:sz w:val="15"/>
          <w:szCs w:val="15"/>
        </w:rPr>
        <w:t>ed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mental health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and</w:t>
      </w:r>
      <w:r>
        <w:rPr>
          <w:spacing w:val="9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neuropsychiatric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conditions</w:t>
      </w:r>
      <w:r>
        <w:rPr>
          <w:spacing w:val="6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but</w:t>
      </w:r>
      <w:r>
        <w:rPr>
          <w:spacing w:val="11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should</w:t>
      </w:r>
      <w:r>
        <w:rPr>
          <w:spacing w:val="6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be prescribed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in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the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lowest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effective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dose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and for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the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shortest</w:t>
      </w:r>
      <w:r>
        <w:rPr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possible duration.</w:t>
      </w:r>
    </w:p>
    <w:p w14:paraId="53A093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3" w:right="31" w:hanging="1"/>
        <w:textAlignment w:val="baseline"/>
        <w:rPr>
          <w:sz w:val="15"/>
          <w:szCs w:val="15"/>
        </w:rPr>
      </w:pPr>
      <w:r>
        <w:rPr>
          <w:spacing w:val="7"/>
          <w:position w:val="6"/>
          <w:sz w:val="15"/>
          <w:szCs w:val="15"/>
        </w:rPr>
        <w:t>d</w:t>
      </w:r>
      <w:r>
        <w:rPr>
          <w:spacing w:val="7"/>
          <w:sz w:val="15"/>
          <w:szCs w:val="15"/>
        </w:rPr>
        <w:t>Excludes inhaled and topical forms. Oral and</w:t>
      </w:r>
      <w:r>
        <w:rPr>
          <w:spacing w:val="8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parenteral</w:t>
      </w:r>
      <w:r>
        <w:rPr>
          <w:spacing w:val="9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corticosteroids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may be</w:t>
      </w:r>
      <w:r>
        <w:rPr>
          <w:spacing w:val="8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required for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conditions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such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as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exacerbation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of COPD but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 xml:space="preserve">should </w:t>
      </w:r>
      <w:r>
        <w:rPr>
          <w:spacing w:val="6"/>
          <w:sz w:val="15"/>
          <w:szCs w:val="15"/>
        </w:rPr>
        <w:t>be</w:t>
      </w:r>
      <w:r>
        <w:rPr>
          <w:spacing w:val="7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prescribed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in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the</w:t>
      </w:r>
      <w:r>
        <w:rPr>
          <w:spacing w:val="9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lowest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effective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dose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and</w:t>
      </w:r>
      <w:r>
        <w:rPr>
          <w:spacing w:val="7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for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the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shortest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possible</w:t>
      </w:r>
      <w:r>
        <w:rPr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duration.</w:t>
      </w:r>
    </w:p>
    <w:p w14:paraId="64A29F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52"/>
        <w:textAlignment w:val="baseline"/>
        <w:rPr>
          <w:sz w:val="15"/>
          <w:szCs w:val="15"/>
        </w:rPr>
      </w:pPr>
      <w:r>
        <w:rPr>
          <w:spacing w:val="7"/>
          <w:position w:val="6"/>
          <w:sz w:val="15"/>
          <w:szCs w:val="15"/>
        </w:rPr>
        <w:t>e</w:t>
      </w:r>
      <w:r>
        <w:rPr>
          <w:spacing w:val="7"/>
          <w:sz w:val="15"/>
          <w:szCs w:val="15"/>
        </w:rPr>
        <w:t>Data are limited for selective peripheral alpha-1</w:t>
      </w:r>
      <w:r>
        <w:rPr>
          <w:spacing w:val="6"/>
          <w:sz w:val="15"/>
          <w:szCs w:val="15"/>
        </w:rPr>
        <w:t xml:space="preserve"> blockers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(e.g.,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tamsulosin,</w:t>
      </w:r>
      <w:r>
        <w:rPr>
          <w:spacing w:val="11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silodosin,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and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others) but</w:t>
      </w:r>
      <w:r>
        <w:rPr>
          <w:spacing w:val="9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may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apply</w:t>
      </w:r>
      <w:r>
        <w:rPr>
          <w:spacing w:val="9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as well.</w:t>
      </w:r>
    </w:p>
    <w:p w14:paraId="4F8BBAF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11BBC6F3">
      <w:pPr>
        <w:spacing w:line="309" w:lineRule="auto"/>
        <w:rPr>
          <w:rFonts w:ascii="Arial"/>
          <w:sz w:val="21"/>
        </w:rPr>
      </w:pPr>
    </w:p>
    <w:p w14:paraId="47904C29">
      <w:pPr>
        <w:spacing w:line="309" w:lineRule="auto"/>
        <w:rPr>
          <w:rFonts w:ascii="Arial"/>
          <w:sz w:val="21"/>
        </w:rPr>
      </w:pPr>
    </w:p>
    <w:p w14:paraId="3A48B91E">
      <w:pPr>
        <w:spacing w:line="575" w:lineRule="exact"/>
        <w:ind w:firstLine="334"/>
      </w:pPr>
    </w:p>
    <w:p w14:paraId="69450E1C">
      <w:pPr>
        <w:spacing w:line="575" w:lineRule="exact"/>
        <w:sectPr>
          <w:type w:val="continuous"/>
          <w:pgSz w:w="15648" w:h="11906"/>
          <w:pgMar w:top="400" w:right="315" w:bottom="40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14313" w:space="0"/>
            <w:col w:w="720"/>
          </w:cols>
        </w:sectPr>
      </w:pPr>
    </w:p>
    <w:tbl>
      <w:tblPr>
        <w:tblStyle w:val="8"/>
        <w:tblW w:w="1007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6"/>
        <w:gridCol w:w="3161"/>
        <w:gridCol w:w="2377"/>
        <w:gridCol w:w="891"/>
        <w:gridCol w:w="1564"/>
      </w:tblGrid>
      <w:tr w14:paraId="5DA8C7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0079" w:type="dxa"/>
            <w:gridSpan w:val="5"/>
            <w:tcBorders>
              <w:top w:val="nil"/>
              <w:bottom w:val="single" w:color="auto" w:sz="12" w:space="0"/>
            </w:tcBorders>
            <w:vAlign w:val="top"/>
          </w:tcPr>
          <w:p w14:paraId="5F688F73">
            <w:pPr>
              <w:spacing w:line="252" w:lineRule="auto"/>
              <w:rPr>
                <w:rFonts w:ascii="Arial"/>
                <w:color w:val="auto"/>
                <w:sz w:val="21"/>
              </w:rPr>
            </w:pPr>
          </w:p>
          <w:p w14:paraId="4E79664C">
            <w:pPr>
              <w:pStyle w:val="9"/>
              <w:spacing w:before="49" w:line="240" w:lineRule="auto"/>
              <w:ind w:left="5" w:right="162" w:hanging="3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pacing w:val="4"/>
                <w:sz w:val="20"/>
                <w:szCs w:val="20"/>
              </w:rPr>
              <w:t>TABLE</w:t>
            </w:r>
            <w:r>
              <w:rPr>
                <w:color w:val="auto"/>
                <w:spacing w:val="29"/>
                <w:w w:val="101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color w:val="auto"/>
                <w:spacing w:val="29"/>
                <w:w w:val="101"/>
                <w:sz w:val="20"/>
                <w:szCs w:val="20"/>
                <w:lang w:val="en-US" w:eastAsia="zh-CN"/>
              </w:rPr>
              <w:t>3</w:t>
            </w:r>
            <w:r>
              <w:rPr>
                <w:color w:val="auto"/>
                <w:spacing w:val="4"/>
                <w:sz w:val="20"/>
                <w:szCs w:val="20"/>
              </w:rPr>
              <w:t xml:space="preserve">     2023 American Geriatrics Society Beers Criteria</w:t>
            </w:r>
            <w:r>
              <w:rPr>
                <w:rFonts w:ascii="Arial" w:hAnsi="Arial" w:eastAsia="Arial" w:cs="Arial"/>
                <w:color w:val="auto"/>
                <w:spacing w:val="4"/>
                <w:position w:val="7"/>
                <w:sz w:val="20"/>
                <w:szCs w:val="20"/>
              </w:rPr>
              <w:t>®</w:t>
            </w:r>
            <w:r>
              <w:rPr>
                <w:rFonts w:ascii="Arial" w:hAnsi="Arial" w:eastAsia="Arial" w:cs="Arial"/>
                <w:color w:val="auto"/>
                <w:spacing w:val="16"/>
                <w:w w:val="101"/>
                <w:position w:val="7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4"/>
                <w:sz w:val="20"/>
                <w:szCs w:val="20"/>
              </w:rPr>
              <w:t>for potentially inappropriate</w:t>
            </w:r>
            <w:r>
              <w:rPr>
                <w:color w:val="auto"/>
                <w:spacing w:val="7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</w:rPr>
              <w:t>medications:</w:t>
            </w:r>
            <w:r>
              <w:rPr>
                <w:color w:val="auto"/>
                <w:spacing w:val="7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</w:rPr>
              <w:t>drugs</w:t>
            </w:r>
            <w:r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</w:rPr>
              <w:t>to be</w:t>
            </w:r>
            <w:r>
              <w:rPr>
                <w:color w:val="auto"/>
                <w:spacing w:val="6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</w:rPr>
              <w:t>used with</w:t>
            </w:r>
            <w:r>
              <w:rPr>
                <w:color w:val="auto"/>
                <w:spacing w:val="8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</w:rPr>
              <w:t>caution</w:t>
            </w:r>
            <w:r>
              <w:rPr>
                <w:color w:val="auto"/>
                <w:spacing w:val="7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</w:rPr>
              <w:t>in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</w:rPr>
              <w:t>older adults</w:t>
            </w:r>
            <w:r>
              <w:rPr>
                <w:color w:val="auto"/>
                <w:sz w:val="20"/>
                <w:szCs w:val="20"/>
              </w:rPr>
              <w:fldChar w:fldCharType="begin"/>
            </w:r>
            <w:r>
              <w:rPr>
                <w:color w:val="auto"/>
                <w:sz w:val="20"/>
                <w:szCs w:val="20"/>
              </w:rPr>
              <w:instrText xml:space="preserve"> HYPERLINK \l "bookmark1" </w:instrText>
            </w:r>
            <w:r>
              <w:rPr>
                <w:color w:val="auto"/>
                <w:sz w:val="20"/>
                <w:szCs w:val="20"/>
              </w:rPr>
              <w:fldChar w:fldCharType="separate"/>
            </w:r>
            <w:r>
              <w:rPr>
                <w:color w:val="auto"/>
                <w:spacing w:val="3"/>
                <w:position w:val="6"/>
                <w:sz w:val="20"/>
                <w:szCs w:val="20"/>
              </w:rPr>
              <w:t>a</w:t>
            </w:r>
            <w:r>
              <w:rPr>
                <w:color w:val="auto"/>
                <w:spacing w:val="3"/>
                <w:position w:val="6"/>
                <w:sz w:val="20"/>
                <w:szCs w:val="20"/>
              </w:rPr>
              <w:fldChar w:fldCharType="end"/>
            </w:r>
            <w:r>
              <w:rPr>
                <w:color w:val="auto"/>
                <w:spacing w:val="-7"/>
                <w:position w:val="6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3"/>
                <w:sz w:val="20"/>
                <w:szCs w:val="20"/>
              </w:rPr>
              <w:t>.</w:t>
            </w:r>
          </w:p>
        </w:tc>
      </w:tr>
      <w:tr w14:paraId="129183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086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3658557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pacing w:val="14"/>
                <w:position w:val="2"/>
                <w:sz w:val="17"/>
                <w:szCs w:val="17"/>
              </w:rPr>
              <w:t>Drug(s)</w:t>
            </w:r>
            <w:r>
              <w:rPr>
                <w:color w:val="auto"/>
                <w:sz w:val="17"/>
                <w:szCs w:val="17"/>
              </w:rPr>
              <w:fldChar w:fldCharType="begin"/>
            </w:r>
            <w:r>
              <w:rPr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color w:val="auto"/>
                <w:sz w:val="17"/>
                <w:szCs w:val="17"/>
              </w:rPr>
              <w:fldChar w:fldCharType="separate"/>
            </w:r>
            <w:r>
              <w:rPr>
                <w:color w:val="auto"/>
                <w:spacing w:val="14"/>
                <w:position w:val="7"/>
                <w:sz w:val="17"/>
                <w:szCs w:val="17"/>
              </w:rPr>
              <w:t>b</w:t>
            </w:r>
            <w:r>
              <w:rPr>
                <w:color w:val="auto"/>
                <w:spacing w:val="14"/>
                <w:position w:val="7"/>
                <w:sz w:val="17"/>
                <w:szCs w:val="17"/>
              </w:rPr>
              <w:fldChar w:fldCharType="end"/>
            </w:r>
          </w:p>
        </w:tc>
        <w:tc>
          <w:tcPr>
            <w:tcW w:w="3161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5D4F58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17"/>
                <w:szCs w:val="17"/>
              </w:rPr>
            </w:pPr>
          </w:p>
          <w:p w14:paraId="42239E3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pacing w:val="14"/>
                <w:sz w:val="17"/>
                <w:szCs w:val="17"/>
              </w:rPr>
              <w:t>Rationale</w:t>
            </w:r>
          </w:p>
        </w:tc>
        <w:tc>
          <w:tcPr>
            <w:tcW w:w="2377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0B5941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ascii="Arial"/>
                <w:color w:val="auto"/>
                <w:sz w:val="17"/>
                <w:szCs w:val="17"/>
              </w:rPr>
            </w:pPr>
          </w:p>
          <w:p w14:paraId="3EAC20A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pacing w:val="18"/>
                <w:sz w:val="17"/>
                <w:szCs w:val="17"/>
              </w:rPr>
              <w:t>Recommendation</w:t>
            </w:r>
          </w:p>
        </w:tc>
        <w:tc>
          <w:tcPr>
            <w:tcW w:w="891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46AC3F2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pacing w:val="12"/>
                <w:sz w:val="17"/>
                <w:szCs w:val="17"/>
              </w:rPr>
              <w:t>Quality of</w:t>
            </w:r>
            <w:r>
              <w:rPr>
                <w:color w:val="auto"/>
                <w:spacing w:val="6"/>
                <w:sz w:val="17"/>
                <w:szCs w:val="17"/>
              </w:rPr>
              <w:t xml:space="preserve"> </w:t>
            </w:r>
            <w:r>
              <w:rPr>
                <w:color w:val="auto"/>
                <w:spacing w:val="14"/>
                <w:sz w:val="17"/>
                <w:szCs w:val="17"/>
              </w:rPr>
              <w:t>evidence</w:t>
            </w:r>
            <w:r>
              <w:rPr>
                <w:color w:val="auto"/>
                <w:sz w:val="17"/>
                <w:szCs w:val="17"/>
              </w:rPr>
              <w:fldChar w:fldCharType="begin"/>
            </w:r>
            <w:r>
              <w:rPr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color w:val="auto"/>
                <w:sz w:val="17"/>
                <w:szCs w:val="17"/>
              </w:rPr>
              <w:fldChar w:fldCharType="separate"/>
            </w:r>
            <w:r>
              <w:rPr>
                <w:color w:val="auto"/>
                <w:spacing w:val="14"/>
                <w:position w:val="6"/>
                <w:sz w:val="17"/>
                <w:szCs w:val="17"/>
              </w:rPr>
              <w:t>c</w:t>
            </w:r>
            <w:r>
              <w:rPr>
                <w:color w:val="auto"/>
                <w:spacing w:val="14"/>
                <w:position w:val="6"/>
                <w:sz w:val="17"/>
                <w:szCs w:val="17"/>
              </w:rPr>
              <w:fldChar w:fldCharType="end"/>
            </w:r>
          </w:p>
        </w:tc>
        <w:tc>
          <w:tcPr>
            <w:tcW w:w="1564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56F5A92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pacing w:val="7"/>
                <w:w w:val="113"/>
                <w:sz w:val="17"/>
                <w:szCs w:val="17"/>
              </w:rPr>
              <w:t>Strength of</w:t>
            </w:r>
          </w:p>
          <w:p w14:paraId="369F3B9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pacing w:val="5"/>
                <w:w w:val="119"/>
                <w:position w:val="1"/>
                <w:sz w:val="17"/>
                <w:szCs w:val="17"/>
              </w:rPr>
              <w:t>recommendation</w:t>
            </w:r>
            <w:r>
              <w:rPr>
                <w:color w:val="auto"/>
                <w:sz w:val="17"/>
                <w:szCs w:val="17"/>
              </w:rPr>
              <w:fldChar w:fldCharType="begin"/>
            </w:r>
            <w:r>
              <w:rPr>
                <w:color w:val="auto"/>
                <w:sz w:val="17"/>
                <w:szCs w:val="17"/>
              </w:rPr>
              <w:instrText xml:space="preserve"> HYPERLINK \l "bookmark1" </w:instrText>
            </w:r>
            <w:r>
              <w:rPr>
                <w:color w:val="auto"/>
                <w:sz w:val="17"/>
                <w:szCs w:val="17"/>
              </w:rPr>
              <w:fldChar w:fldCharType="separate"/>
            </w:r>
            <w:r>
              <w:rPr>
                <w:color w:val="auto"/>
                <w:spacing w:val="5"/>
                <w:w w:val="119"/>
                <w:position w:val="7"/>
                <w:sz w:val="17"/>
                <w:szCs w:val="17"/>
              </w:rPr>
              <w:t>c</w:t>
            </w:r>
            <w:r>
              <w:rPr>
                <w:color w:val="auto"/>
                <w:spacing w:val="5"/>
                <w:w w:val="119"/>
                <w:position w:val="7"/>
                <w:sz w:val="17"/>
                <w:szCs w:val="17"/>
              </w:rPr>
              <w:fldChar w:fldCharType="end"/>
            </w:r>
          </w:p>
        </w:tc>
      </w:tr>
      <w:tr w14:paraId="1A65DB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9" w:hRule="atLeast"/>
        </w:trPr>
        <w:tc>
          <w:tcPr>
            <w:tcW w:w="2086" w:type="dxa"/>
            <w:tcBorders>
              <w:top w:val="single" w:color="auto" w:sz="8" w:space="0"/>
            </w:tcBorders>
            <w:vAlign w:val="top"/>
          </w:tcPr>
          <w:p w14:paraId="0A366C1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Dabigatran for long-term</w:t>
            </w:r>
          </w:p>
          <w:p w14:paraId="29B5C3E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treatment of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nonvalvular</w:t>
            </w:r>
            <w:r>
              <w:rPr>
                <w:sz w:val="17"/>
                <w:szCs w:val="17"/>
              </w:rPr>
              <w:t xml:space="preserve">    </w:t>
            </w:r>
            <w:r>
              <w:rPr>
                <w:spacing w:val="6"/>
                <w:sz w:val="17"/>
                <w:szCs w:val="17"/>
              </w:rPr>
              <w:t>atrial fibrillation or venous</w:t>
            </w:r>
            <w:r>
              <w:rPr>
                <w:spacing w:val="13"/>
                <w:w w:val="102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thromboembolism (VTE)</w:t>
            </w:r>
          </w:p>
        </w:tc>
        <w:tc>
          <w:tcPr>
            <w:tcW w:w="3161" w:type="dxa"/>
            <w:tcBorders>
              <w:top w:val="single" w:color="auto" w:sz="8" w:space="0"/>
            </w:tcBorders>
            <w:vAlign w:val="top"/>
          </w:tcPr>
          <w:p w14:paraId="544F11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spacing w:val="7"/>
                <w:position w:val="2"/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Increased risk of GI bleeding compared</w:t>
            </w:r>
          </w:p>
          <w:p w14:paraId="7C9D461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7" w:leftChars="89" w:right="0" w:firstLine="0" w:firstLineChars="0"/>
              <w:textAlignment w:val="baseline"/>
              <w:rPr>
                <w:spacing w:val="7"/>
                <w:position w:val="2"/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with warfarin (based on head-to-head</w:t>
            </w:r>
          </w:p>
          <w:p w14:paraId="697B137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7" w:leftChars="89" w:right="0" w:firstLine="0" w:firstLineChars="0"/>
              <w:textAlignment w:val="baseline"/>
              <w:rPr>
                <w:spacing w:val="7"/>
                <w:position w:val="2"/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clinical trials) and of GI bleeding and</w:t>
            </w:r>
          </w:p>
          <w:p w14:paraId="3D7DB00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7" w:leftChars="89" w:right="0" w:firstLine="0" w:firstLineChars="0"/>
              <w:textAlignment w:val="baseline"/>
              <w:rPr>
                <w:spacing w:val="7"/>
                <w:position w:val="2"/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major bleeding compared with</w:t>
            </w:r>
            <w:r>
              <w:rPr>
                <w:rFonts w:hint="eastAsia" w:eastAsia="宋体"/>
                <w:spacing w:val="7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position w:val="2"/>
                <w:sz w:val="17"/>
                <w:szCs w:val="17"/>
              </w:rPr>
              <w:t>apixaban (based on observational studies and</w:t>
            </w:r>
            <w:r>
              <w:rPr>
                <w:rFonts w:hint="eastAsia"/>
                <w:spacing w:val="7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position w:val="2"/>
                <w:sz w:val="17"/>
                <w:szCs w:val="17"/>
              </w:rPr>
              <w:t>meta-analyses) in older adults when used for long-term treatment of</w:t>
            </w:r>
            <w:r>
              <w:rPr>
                <w:rFonts w:hint="eastAsia"/>
                <w:spacing w:val="7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position w:val="2"/>
                <w:sz w:val="17"/>
                <w:szCs w:val="17"/>
              </w:rPr>
              <w:t>nonvalvular atrial fibrillation or VTE.</w:t>
            </w:r>
          </w:p>
        </w:tc>
        <w:tc>
          <w:tcPr>
            <w:tcW w:w="2377" w:type="dxa"/>
            <w:tcBorders>
              <w:top w:val="single" w:color="auto" w:sz="8" w:space="0"/>
            </w:tcBorders>
            <w:vAlign w:val="top"/>
          </w:tcPr>
          <w:p w14:paraId="3087B92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spacing w:val="7"/>
                <w:position w:val="2"/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Use caution in selecting</w:t>
            </w:r>
          </w:p>
          <w:p w14:paraId="702448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7" w:leftChars="89" w:right="0" w:firstLine="0" w:firstLineChars="0"/>
              <w:textAlignment w:val="baseline"/>
              <w:rPr>
                <w:spacing w:val="7"/>
                <w:position w:val="2"/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dabigatran over other DOACs (e.g., apixaban) for long-term treatment of nonvalvul</w:t>
            </w:r>
            <w:r>
              <w:rPr>
                <w:rFonts w:hint="eastAsia"/>
                <w:spacing w:val="7"/>
                <w:position w:val="2"/>
                <w:sz w:val="17"/>
                <w:szCs w:val="17"/>
                <w:lang w:val="en-US" w:eastAsia="zh-CN"/>
              </w:rPr>
              <w:t>a</w:t>
            </w:r>
            <w:r>
              <w:rPr>
                <w:spacing w:val="7"/>
                <w:position w:val="2"/>
                <w:sz w:val="17"/>
                <w:szCs w:val="17"/>
              </w:rPr>
              <w:t>r</w:t>
            </w:r>
            <w:r>
              <w:rPr>
                <w:rFonts w:hint="eastAsia"/>
                <w:spacing w:val="7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position w:val="2"/>
                <w:sz w:val="17"/>
                <w:szCs w:val="17"/>
              </w:rPr>
              <w:t>atrial fibrillation or VTE.</w:t>
            </w:r>
          </w:p>
          <w:p w14:paraId="681A26C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See also criteria on warfarin and rivaroxaban and footnote</w:t>
            </w:r>
            <w:r>
              <w:rPr>
                <w:spacing w:val="7"/>
                <w:position w:val="2"/>
                <w:sz w:val="17"/>
                <w:szCs w:val="17"/>
              </w:rPr>
              <w:fldChar w:fldCharType="begin"/>
            </w:r>
            <w:r>
              <w:rPr>
                <w:spacing w:val="7"/>
                <w:position w:val="2"/>
                <w:sz w:val="17"/>
                <w:szCs w:val="17"/>
              </w:rPr>
              <w:instrText xml:space="preserve"> HYPERLINK \l "bookmark1" </w:instrText>
            </w:r>
            <w:r>
              <w:rPr>
                <w:spacing w:val="7"/>
                <w:position w:val="2"/>
                <w:sz w:val="17"/>
                <w:szCs w:val="17"/>
              </w:rPr>
              <w:fldChar w:fldCharType="separate"/>
            </w:r>
            <w:r>
              <w:rPr>
                <w:spacing w:val="7"/>
                <w:position w:val="2"/>
                <w:sz w:val="17"/>
                <w:szCs w:val="17"/>
              </w:rPr>
              <w:t>d</w:t>
            </w:r>
            <w:r>
              <w:rPr>
                <w:spacing w:val="7"/>
                <w:position w:val="2"/>
                <w:sz w:val="17"/>
                <w:szCs w:val="17"/>
              </w:rPr>
              <w:fldChar w:fldCharType="end"/>
            </w:r>
            <w:r>
              <w:rPr>
                <w:spacing w:val="7"/>
                <w:position w:val="2"/>
                <w:sz w:val="17"/>
                <w:szCs w:val="17"/>
              </w:rPr>
              <w:t xml:space="preserve"> regarding     choice among DOACs.</w:t>
            </w:r>
          </w:p>
        </w:tc>
        <w:tc>
          <w:tcPr>
            <w:tcW w:w="891" w:type="dxa"/>
            <w:tcBorders>
              <w:top w:val="single" w:color="auto" w:sz="8" w:space="0"/>
            </w:tcBorders>
            <w:vAlign w:val="top"/>
          </w:tcPr>
          <w:p w14:paraId="548D8B3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564" w:type="dxa"/>
            <w:tcBorders>
              <w:top w:val="single" w:color="auto" w:sz="8" w:space="0"/>
            </w:tcBorders>
            <w:vAlign w:val="top"/>
          </w:tcPr>
          <w:p w14:paraId="6CAE199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33E39B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2086" w:type="dxa"/>
            <w:shd w:val="clear" w:color="auto" w:fill="E6E7E9"/>
            <w:vAlign w:val="top"/>
          </w:tcPr>
          <w:p w14:paraId="6670323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Prasugrel</w:t>
            </w:r>
            <w:r>
              <w:rPr>
                <w:spacing w:val="2"/>
                <w:sz w:val="17"/>
                <w:szCs w:val="17"/>
              </w:rPr>
              <w:t xml:space="preserve">  </w:t>
            </w:r>
            <w:r>
              <w:rPr>
                <w:spacing w:val="5"/>
                <w:sz w:val="17"/>
                <w:szCs w:val="17"/>
              </w:rPr>
              <w:t>Ticagrelor</w:t>
            </w:r>
          </w:p>
        </w:tc>
        <w:tc>
          <w:tcPr>
            <w:tcW w:w="3161" w:type="dxa"/>
            <w:shd w:val="clear" w:color="auto" w:fill="E6E7E9"/>
            <w:vAlign w:val="top"/>
          </w:tcPr>
          <w:p w14:paraId="5227EBB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rFonts w:hint="eastAsia" w:eastAsia="宋体"/>
                <w:spacing w:val="7"/>
                <w:position w:val="2"/>
                <w:sz w:val="17"/>
                <w:szCs w:val="17"/>
                <w:lang w:val="en-US" w:eastAsia="zh-CN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Both increase the risk of major bleeding in older adults compared with</w:t>
            </w:r>
            <w:r>
              <w:rPr>
                <w:rFonts w:hint="eastAsia" w:eastAsia="宋体"/>
                <w:spacing w:val="7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position w:val="2"/>
                <w:sz w:val="17"/>
                <w:szCs w:val="17"/>
              </w:rPr>
              <w:t>clopidogrel,  especially among those</w:t>
            </w:r>
            <w:r>
              <w:rPr>
                <w:rFonts w:hint="eastAsia" w:eastAsia="宋体"/>
                <w:spacing w:val="7"/>
                <w:position w:val="2"/>
                <w:sz w:val="17"/>
                <w:szCs w:val="17"/>
                <w:lang w:val="en-US" w:eastAsia="zh-CN"/>
              </w:rPr>
              <w:t xml:space="preserve"> </w:t>
            </w:r>
          </w:p>
          <w:p w14:paraId="4790E28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7" w:leftChars="89" w:right="0" w:firstLine="0" w:firstLineChars="0"/>
              <w:textAlignment w:val="baseline"/>
              <w:rPr>
                <w:spacing w:val="7"/>
                <w:position w:val="2"/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75 years old and older. However, this risk may be offset</w:t>
            </w:r>
            <w:r>
              <w:rPr>
                <w:rFonts w:hint="eastAsia" w:eastAsia="宋体"/>
                <w:spacing w:val="7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position w:val="2"/>
                <w:sz w:val="17"/>
                <w:szCs w:val="17"/>
              </w:rPr>
              <w:t>by cardiovascular benefits in select</w:t>
            </w:r>
            <w:r>
              <w:rPr>
                <w:rFonts w:hint="eastAsia"/>
                <w:spacing w:val="7"/>
                <w:position w:val="2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7"/>
                <w:position w:val="2"/>
                <w:sz w:val="17"/>
                <w:szCs w:val="17"/>
              </w:rPr>
              <w:t>patients.</w:t>
            </w:r>
          </w:p>
        </w:tc>
        <w:tc>
          <w:tcPr>
            <w:tcW w:w="2377" w:type="dxa"/>
            <w:shd w:val="clear" w:color="auto" w:fill="E6E7E9"/>
            <w:vAlign w:val="top"/>
          </w:tcPr>
          <w:p w14:paraId="2EC8A0E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Use with caution, particularly</w:t>
            </w:r>
            <w:r>
              <w:rPr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in adults 75</w:t>
            </w:r>
            <w:r>
              <w:rPr>
                <w:spacing w:val="22"/>
                <w:w w:val="10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years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old</w:t>
            </w:r>
            <w:r>
              <w:rPr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and</w:t>
            </w:r>
          </w:p>
          <w:p w14:paraId="568DFA1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0" w:firstLineChars="10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older.</w:t>
            </w:r>
          </w:p>
          <w:p w14:paraId="6BA4C10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2" w:right="0" w:hanging="182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If</w:t>
            </w:r>
            <w:r>
              <w:rPr>
                <w:spacing w:val="9"/>
                <w:w w:val="10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prasugrel is used, consider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a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lower dose (5</w:t>
            </w:r>
            <w:r>
              <w:rPr>
                <w:spacing w:val="29"/>
                <w:w w:val="102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mg) for</w:t>
            </w:r>
            <w:r>
              <w:rPr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those</w:t>
            </w:r>
            <w:r>
              <w:rPr>
                <w:sz w:val="17"/>
                <w:szCs w:val="17"/>
              </w:rPr>
              <w:t xml:space="preserve">   </w:t>
            </w:r>
            <w:r>
              <w:rPr>
                <w:spacing w:val="6"/>
                <w:sz w:val="17"/>
                <w:szCs w:val="17"/>
              </w:rPr>
              <w:t>75 years old</w:t>
            </w:r>
            <w:r>
              <w:rPr>
                <w:spacing w:val="11"/>
                <w:w w:val="10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and older.</w:t>
            </w:r>
          </w:p>
        </w:tc>
        <w:tc>
          <w:tcPr>
            <w:tcW w:w="891" w:type="dxa"/>
            <w:shd w:val="clear" w:color="auto" w:fill="E6E7E9"/>
            <w:vAlign w:val="top"/>
          </w:tcPr>
          <w:p w14:paraId="022E375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564" w:type="dxa"/>
            <w:shd w:val="clear" w:color="auto" w:fill="E6E7E9"/>
            <w:vAlign w:val="top"/>
          </w:tcPr>
          <w:p w14:paraId="3C03084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0F4322E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 w:hRule="atLeast"/>
        </w:trPr>
        <w:tc>
          <w:tcPr>
            <w:tcW w:w="2086" w:type="dxa"/>
            <w:vAlign w:val="top"/>
          </w:tcPr>
          <w:p w14:paraId="38B155B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Antidepressants (sel</w:t>
            </w:r>
            <w:r>
              <w:rPr>
                <w:spacing w:val="6"/>
                <w:sz w:val="17"/>
                <w:szCs w:val="17"/>
              </w:rPr>
              <w:t>ected)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Mirtazipine</w:t>
            </w:r>
          </w:p>
          <w:p w14:paraId="2E302FD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SNRIs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SSRIs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3"/>
                <w:sz w:val="17"/>
                <w:szCs w:val="17"/>
              </w:rPr>
              <w:t>TCAs</w:t>
            </w:r>
          </w:p>
          <w:p w14:paraId="7A00E4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Antiepileptics (select</w:t>
            </w:r>
            <w:r>
              <w:rPr>
                <w:spacing w:val="5"/>
                <w:sz w:val="17"/>
                <w:szCs w:val="17"/>
              </w:rPr>
              <w:t>ed)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Carbamazepine</w:t>
            </w:r>
          </w:p>
          <w:p w14:paraId="50F8D23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Oxcarbazepine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Antipsychotics</w:t>
            </w:r>
          </w:p>
          <w:p w14:paraId="633768A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Diuretics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8"/>
                <w:sz w:val="17"/>
                <w:szCs w:val="17"/>
              </w:rPr>
              <w:t>Tramadol</w:t>
            </w:r>
          </w:p>
        </w:tc>
        <w:tc>
          <w:tcPr>
            <w:tcW w:w="3161" w:type="dxa"/>
            <w:vAlign w:val="top"/>
          </w:tcPr>
          <w:p w14:paraId="6915193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May exacerbate or cause</w:t>
            </w:r>
            <w:r>
              <w:rPr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SIADH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or</w:t>
            </w:r>
          </w:p>
          <w:p w14:paraId="0709F83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hyponatremia; monitor sodi</w:t>
            </w:r>
            <w:r>
              <w:rPr>
                <w:spacing w:val="7"/>
                <w:sz w:val="17"/>
                <w:szCs w:val="17"/>
              </w:rPr>
              <w:t>um levels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closely when starting or changing</w:t>
            </w:r>
          </w:p>
          <w:p w14:paraId="48C20D6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2" w:firstLineChars="10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position w:val="2"/>
                <w:sz w:val="17"/>
                <w:szCs w:val="17"/>
              </w:rPr>
              <w:t>dosages in older</w:t>
            </w:r>
            <w:r>
              <w:rPr>
                <w:spacing w:val="14"/>
                <w:position w:val="2"/>
                <w:sz w:val="17"/>
                <w:szCs w:val="17"/>
              </w:rPr>
              <w:t xml:space="preserve"> </w:t>
            </w:r>
            <w:r>
              <w:rPr>
                <w:spacing w:val="6"/>
                <w:position w:val="2"/>
                <w:sz w:val="17"/>
                <w:szCs w:val="17"/>
              </w:rPr>
              <w:t>adults.</w:t>
            </w:r>
          </w:p>
        </w:tc>
        <w:tc>
          <w:tcPr>
            <w:tcW w:w="2377" w:type="dxa"/>
            <w:vAlign w:val="top"/>
          </w:tcPr>
          <w:p w14:paraId="5D1846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Use with caution</w:t>
            </w:r>
          </w:p>
        </w:tc>
        <w:tc>
          <w:tcPr>
            <w:tcW w:w="891" w:type="dxa"/>
            <w:vAlign w:val="top"/>
          </w:tcPr>
          <w:p w14:paraId="2DC89D9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564" w:type="dxa"/>
            <w:vAlign w:val="top"/>
          </w:tcPr>
          <w:p w14:paraId="5A39EDD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3E9FE5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2086" w:type="dxa"/>
            <w:shd w:val="clear" w:color="auto" w:fill="E6E7E9"/>
            <w:vAlign w:val="top"/>
          </w:tcPr>
          <w:p w14:paraId="5E22983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Dextromethorphan-</w:t>
            </w:r>
            <w:r>
              <w:rPr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quinidine</w:t>
            </w:r>
          </w:p>
        </w:tc>
        <w:tc>
          <w:tcPr>
            <w:tcW w:w="3161" w:type="dxa"/>
            <w:shd w:val="clear" w:color="auto" w:fill="E6E7E9"/>
            <w:vAlign w:val="top"/>
          </w:tcPr>
          <w:p w14:paraId="114AEF7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Limited efficacy in patients with</w:t>
            </w:r>
          </w:p>
          <w:p w14:paraId="2F0C780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spacing w:val="7"/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 xml:space="preserve">behavioral symptoms </w:t>
            </w:r>
            <w:r>
              <w:rPr>
                <w:spacing w:val="7"/>
                <w:sz w:val="17"/>
                <w:szCs w:val="17"/>
              </w:rPr>
              <w:t>of</w:t>
            </w:r>
            <w:r>
              <w:rPr>
                <w:spacing w:val="-3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dementia</w:t>
            </w:r>
          </w:p>
          <w:p w14:paraId="7600997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 xml:space="preserve"> (does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not apply to the</w:t>
            </w:r>
            <w:r>
              <w:rPr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treatment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of</w:t>
            </w:r>
          </w:p>
          <w:p w14:paraId="4EC3177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eastAsia" w:eastAsia="宋体"/>
                <w:sz w:val="17"/>
                <w:szCs w:val="17"/>
                <w:lang w:val="en-US" w:eastAsia="zh-CN"/>
              </w:rPr>
            </w:pPr>
            <w:r>
              <w:rPr>
                <w:spacing w:val="7"/>
                <w:sz w:val="17"/>
                <w:szCs w:val="17"/>
              </w:rPr>
              <w:t>pseudobulbar affect). Ma</w:t>
            </w:r>
            <w:r>
              <w:rPr>
                <w:spacing w:val="6"/>
                <w:sz w:val="17"/>
                <w:szCs w:val="17"/>
              </w:rPr>
              <w:t>y increase the</w:t>
            </w:r>
            <w:r>
              <w:rPr>
                <w:sz w:val="17"/>
                <w:szCs w:val="17"/>
              </w:rPr>
              <w:t xml:space="preserve">   </w:t>
            </w:r>
            <w:r>
              <w:rPr>
                <w:spacing w:val="7"/>
                <w:sz w:val="17"/>
                <w:szCs w:val="17"/>
              </w:rPr>
              <w:t>risk of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falls and co</w:t>
            </w:r>
            <w:r>
              <w:rPr>
                <w:spacing w:val="6"/>
                <w:sz w:val="17"/>
                <w:szCs w:val="17"/>
              </w:rPr>
              <w:t>ncerns with clinically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significant drug interactions and with</w:t>
            </w:r>
            <w:r>
              <w:rPr>
                <w:spacing w:val="3"/>
                <w:sz w:val="17"/>
                <w:szCs w:val="17"/>
              </w:rPr>
              <w:t xml:space="preserve">     </w:t>
            </w:r>
            <w:r>
              <w:rPr>
                <w:spacing w:val="7"/>
                <w:sz w:val="17"/>
                <w:szCs w:val="17"/>
              </w:rPr>
              <w:t>use in those with heart failure</w:t>
            </w:r>
            <w:r>
              <w:rPr>
                <w:rFonts w:hint="eastAsia" w:eastAsia="宋体"/>
                <w:spacing w:val="7"/>
                <w:sz w:val="17"/>
                <w:szCs w:val="17"/>
                <w:lang w:val="en-US" w:eastAsia="zh-CN"/>
              </w:rPr>
              <w:t>.</w:t>
            </w:r>
          </w:p>
        </w:tc>
        <w:tc>
          <w:tcPr>
            <w:tcW w:w="2377" w:type="dxa"/>
            <w:shd w:val="clear" w:color="auto" w:fill="E6E7E9"/>
            <w:vAlign w:val="top"/>
          </w:tcPr>
          <w:p w14:paraId="35BD87A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Use with caution</w:t>
            </w:r>
          </w:p>
        </w:tc>
        <w:tc>
          <w:tcPr>
            <w:tcW w:w="891" w:type="dxa"/>
            <w:shd w:val="clear" w:color="auto" w:fill="E6E7E9"/>
            <w:vAlign w:val="top"/>
          </w:tcPr>
          <w:p w14:paraId="0472384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564" w:type="dxa"/>
            <w:shd w:val="clear" w:color="auto" w:fill="E6E7E9"/>
            <w:vAlign w:val="top"/>
          </w:tcPr>
          <w:p w14:paraId="122FCC0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33AEFD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086" w:type="dxa"/>
            <w:vAlign w:val="top"/>
          </w:tcPr>
          <w:p w14:paraId="25056AD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Trimethoprim-</w:t>
            </w:r>
          </w:p>
          <w:p w14:paraId="7AD8626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sulfamethoxazole</w:t>
            </w:r>
          </w:p>
        </w:tc>
        <w:tc>
          <w:tcPr>
            <w:tcW w:w="3161" w:type="dxa"/>
            <w:vAlign w:val="top"/>
          </w:tcPr>
          <w:p w14:paraId="5C4F5C4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6" w:right="0" w:hanging="186" w:hangingChars="100"/>
              <w:textAlignment w:val="baseline"/>
              <w:rPr>
                <w:spacing w:val="6"/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Increased risk of</w:t>
            </w:r>
            <w:r>
              <w:rPr>
                <w:spacing w:val="-5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hyperkalemia when used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concurrently with an ACEI,</w:t>
            </w:r>
            <w:r>
              <w:rPr>
                <w:spacing w:val="6"/>
                <w:sz w:val="17"/>
                <w:szCs w:val="17"/>
              </w:rPr>
              <w:t xml:space="preserve"> ARB, </w:t>
            </w:r>
          </w:p>
          <w:p w14:paraId="13848E1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2" w:firstLineChars="100"/>
              <w:textAlignment w:val="baseline"/>
              <w:rPr>
                <w:sz w:val="17"/>
                <w:szCs w:val="17"/>
              </w:rPr>
            </w:pP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>o</w:t>
            </w:r>
            <w:r>
              <w:rPr>
                <w:spacing w:val="6"/>
                <w:sz w:val="17"/>
                <w:szCs w:val="17"/>
              </w:rPr>
              <w:t>r</w:t>
            </w:r>
            <w:r>
              <w:rPr>
                <w:rFonts w:hint="eastAsia" w:eastAsia="宋体"/>
                <w:spacing w:val="6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ARNI in presence of</w:t>
            </w:r>
            <w:r>
              <w:rPr>
                <w:spacing w:val="13"/>
                <w:w w:val="10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decreased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CrCl.</w:t>
            </w:r>
          </w:p>
        </w:tc>
        <w:tc>
          <w:tcPr>
            <w:tcW w:w="2377" w:type="dxa"/>
            <w:vAlign w:val="top"/>
          </w:tcPr>
          <w:p w14:paraId="191A237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pacing w:val="7"/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Use with caution in patient</w:t>
            </w:r>
            <w:r>
              <w:rPr>
                <w:spacing w:val="7"/>
                <w:sz w:val="17"/>
                <w:szCs w:val="17"/>
              </w:rPr>
              <w:t xml:space="preserve">s </w:t>
            </w:r>
          </w:p>
          <w:p w14:paraId="0DCBC82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4" w:firstLineChars="100"/>
              <w:textAlignment w:val="baseline"/>
              <w:rPr>
                <w:spacing w:val="25"/>
                <w:w w:val="101"/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on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ACEI, ARB, or ARNI</w:t>
            </w:r>
            <w:r>
              <w:rPr>
                <w:spacing w:val="25"/>
                <w:w w:val="101"/>
                <w:sz w:val="17"/>
                <w:szCs w:val="17"/>
              </w:rPr>
              <w:t xml:space="preserve"> </w:t>
            </w:r>
          </w:p>
          <w:p w14:paraId="3C7F329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0" w:firstLineChars="100"/>
              <w:textAlignment w:val="baseline"/>
              <w:rPr>
                <w:sz w:val="17"/>
                <w:szCs w:val="17"/>
              </w:rPr>
            </w:pPr>
            <w:r>
              <w:rPr>
                <w:rFonts w:hint="eastAsia" w:eastAsia="宋体"/>
                <w:spacing w:val="5"/>
                <w:sz w:val="17"/>
                <w:szCs w:val="17"/>
                <w:lang w:val="en-US" w:eastAsia="zh-CN"/>
              </w:rPr>
              <w:t>a</w:t>
            </w:r>
            <w:r>
              <w:rPr>
                <w:spacing w:val="5"/>
                <w:sz w:val="17"/>
                <w:szCs w:val="17"/>
              </w:rPr>
              <w:t>nd</w:t>
            </w:r>
            <w:r>
              <w:rPr>
                <w:rFonts w:hint="eastAsia" w:eastAsia="宋体"/>
                <w:spacing w:val="5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decreased CrCl.</w:t>
            </w:r>
          </w:p>
        </w:tc>
        <w:tc>
          <w:tcPr>
            <w:tcW w:w="891" w:type="dxa"/>
            <w:vAlign w:val="top"/>
          </w:tcPr>
          <w:p w14:paraId="73D86D8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Low</w:t>
            </w:r>
          </w:p>
        </w:tc>
        <w:tc>
          <w:tcPr>
            <w:tcW w:w="1564" w:type="dxa"/>
            <w:vAlign w:val="top"/>
          </w:tcPr>
          <w:p w14:paraId="2FDE6C2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Strong</w:t>
            </w:r>
          </w:p>
        </w:tc>
      </w:tr>
      <w:tr w14:paraId="1BCDEAA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1" w:hRule="atLeast"/>
        </w:trPr>
        <w:tc>
          <w:tcPr>
            <w:tcW w:w="2086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4D8223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position w:val="2"/>
                <w:sz w:val="17"/>
                <w:szCs w:val="17"/>
              </w:rPr>
              <w:t>Sodium-glucose co-</w:t>
            </w:r>
          </w:p>
          <w:p w14:paraId="648AE3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transporter-2 (SGLT2)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inhibitors</w:t>
            </w:r>
          </w:p>
          <w:p w14:paraId="2E0E19B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Canigliflozin</w:t>
            </w:r>
            <w:r>
              <w:rPr>
                <w:sz w:val="17"/>
                <w:szCs w:val="17"/>
              </w:rPr>
              <w:t xml:space="preserve">   </w:t>
            </w:r>
            <w:r>
              <w:rPr>
                <w:spacing w:val="5"/>
                <w:sz w:val="17"/>
                <w:szCs w:val="17"/>
              </w:rPr>
              <w:t>Dapagliflozin</w:t>
            </w:r>
            <w:r>
              <w:rPr>
                <w:spacing w:val="2"/>
                <w:sz w:val="17"/>
                <w:szCs w:val="17"/>
              </w:rPr>
              <w:t xml:space="preserve">  </w:t>
            </w:r>
            <w:r>
              <w:rPr>
                <w:spacing w:val="6"/>
                <w:sz w:val="17"/>
                <w:szCs w:val="17"/>
              </w:rPr>
              <w:t>Emplaglifozin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Ertuglifozin</w:t>
            </w:r>
          </w:p>
        </w:tc>
        <w:tc>
          <w:tcPr>
            <w:tcW w:w="3161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30D711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Older adults may be at increased risk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of</w:t>
            </w:r>
          </w:p>
          <w:p w14:paraId="3C1D055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184" w:firstLine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position w:val="2"/>
                <w:sz w:val="17"/>
                <w:szCs w:val="17"/>
              </w:rPr>
              <w:t>urogenital infections, parti</w:t>
            </w:r>
            <w:r>
              <w:rPr>
                <w:spacing w:val="6"/>
                <w:position w:val="2"/>
                <w:sz w:val="17"/>
                <w:szCs w:val="17"/>
              </w:rPr>
              <w:t>cularly</w:t>
            </w:r>
          </w:p>
          <w:p w14:paraId="547E00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women in the first month</w:t>
            </w:r>
            <w:r>
              <w:rPr>
                <w:spacing w:val="8"/>
                <w:sz w:val="17"/>
                <w:szCs w:val="17"/>
              </w:rPr>
              <w:t xml:space="preserve"> of</w:t>
            </w:r>
            <w:r>
              <w:rPr>
                <w:spacing w:val="-3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treatment.</w:t>
            </w:r>
            <w:r>
              <w:rPr>
                <w:sz w:val="17"/>
                <w:szCs w:val="17"/>
              </w:rPr>
              <w:t xml:space="preserve">   </w:t>
            </w:r>
            <w:r>
              <w:rPr>
                <w:spacing w:val="7"/>
                <w:sz w:val="17"/>
                <w:szCs w:val="17"/>
              </w:rPr>
              <w:t>An increased risk of</w:t>
            </w:r>
            <w:r>
              <w:rPr>
                <w:spacing w:val="-3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eug</w:t>
            </w:r>
            <w:r>
              <w:rPr>
                <w:spacing w:val="6"/>
                <w:sz w:val="17"/>
                <w:szCs w:val="17"/>
              </w:rPr>
              <w:t>lycemic diabetic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ketoacidosis has also been seen</w:t>
            </w:r>
            <w:r>
              <w:rPr>
                <w:spacing w:val="6"/>
                <w:sz w:val="17"/>
                <w:szCs w:val="17"/>
              </w:rPr>
              <w:t xml:space="preserve"> in</w:t>
            </w:r>
            <w:r>
              <w:rPr>
                <w:spacing w:val="9"/>
                <w:w w:val="10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older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7"/>
                <w:sz w:val="17"/>
                <w:szCs w:val="17"/>
              </w:rPr>
              <w:t>adults.</w:t>
            </w:r>
          </w:p>
        </w:tc>
        <w:tc>
          <w:tcPr>
            <w:tcW w:w="2377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1FFD694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Use with caution.</w:t>
            </w:r>
          </w:p>
          <w:p w14:paraId="44265F6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84" w:hangingChars="10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Monitor patients for urogenital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infections and ketoacidosis.</w:t>
            </w:r>
          </w:p>
        </w:tc>
        <w:tc>
          <w:tcPr>
            <w:tcW w:w="891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7CAEF70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Moderate</w:t>
            </w:r>
          </w:p>
        </w:tc>
        <w:tc>
          <w:tcPr>
            <w:tcW w:w="1564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4B52AC4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Weak</w:t>
            </w:r>
          </w:p>
        </w:tc>
      </w:tr>
    </w:tbl>
    <w:p w14:paraId="7DCC9BC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775" w:hanging="5"/>
        <w:jc w:val="both"/>
        <w:textAlignment w:val="baseline"/>
        <w:rPr>
          <w:sz w:val="15"/>
          <w:szCs w:val="15"/>
        </w:rPr>
      </w:pPr>
      <w:r>
        <w:rPr>
          <w:spacing w:val="7"/>
          <w:sz w:val="15"/>
          <w:szCs w:val="15"/>
        </w:rPr>
        <w:t>Abbreviations: ACEI, angiotensin-converting enzyme inhibitor; ARB, angiotensin receptor blocker; ARNI, angiotensin recepto</w:t>
      </w:r>
      <w:r>
        <w:rPr>
          <w:spacing w:val="6"/>
          <w:sz w:val="15"/>
          <w:szCs w:val="15"/>
        </w:rPr>
        <w:t>r-neprilysin inhibitor;</w:t>
      </w:r>
      <w:r>
        <w:rPr>
          <w:sz w:val="15"/>
          <w:szCs w:val="15"/>
        </w:rPr>
        <w:t xml:space="preserve">  </w:t>
      </w:r>
      <w:r>
        <w:rPr>
          <w:spacing w:val="8"/>
          <w:sz w:val="15"/>
          <w:szCs w:val="15"/>
        </w:rPr>
        <w:t>CrCl, creatinine clearance; DOAC, directoral antico</w:t>
      </w:r>
      <w:r>
        <w:rPr>
          <w:spacing w:val="7"/>
          <w:sz w:val="15"/>
          <w:szCs w:val="15"/>
        </w:rPr>
        <w:t>agulant; GI, gastrointestinal; SIADH,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syndrome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of</w:t>
      </w:r>
      <w:r>
        <w:rPr>
          <w:spacing w:val="-3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inappropriate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antidiuretic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hormone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secretion;</w:t>
      </w:r>
      <w:r>
        <w:rPr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SGLT2, sodium glucose co-transporter-2; SNRIs, serotonin-norepinephrin</w:t>
      </w:r>
      <w:r>
        <w:rPr>
          <w:spacing w:val="6"/>
          <w:sz w:val="15"/>
          <w:szCs w:val="15"/>
        </w:rPr>
        <w:t>e reuptake inhibitors;</w:t>
      </w:r>
      <w:r>
        <w:rPr>
          <w:spacing w:val="1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SSRIs, selective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serotonin</w:t>
      </w:r>
      <w:r>
        <w:rPr>
          <w:spacing w:val="7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reuptake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inhibitors;</w:t>
      </w:r>
      <w:r>
        <w:rPr>
          <w:spacing w:val="5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TCAs,</w:t>
      </w:r>
      <w:r>
        <w:rPr>
          <w:sz w:val="15"/>
          <w:szCs w:val="15"/>
        </w:rPr>
        <w:t xml:space="preserve">  </w:t>
      </w:r>
      <w:r>
        <w:rPr>
          <w:spacing w:val="7"/>
          <w:sz w:val="15"/>
          <w:szCs w:val="15"/>
        </w:rPr>
        <w:t>tricyclic antidepressants; VTE, venous throm</w:t>
      </w:r>
      <w:r>
        <w:rPr>
          <w:spacing w:val="6"/>
          <w:sz w:val="15"/>
          <w:szCs w:val="15"/>
        </w:rPr>
        <w:t>boembolism.</w:t>
      </w:r>
    </w:p>
    <w:p w14:paraId="7E555AC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3" w:right="1040" w:firstLine="1"/>
        <w:jc w:val="both"/>
        <w:textAlignment w:val="baseline"/>
        <w:rPr>
          <w:sz w:val="15"/>
          <w:szCs w:val="15"/>
        </w:rPr>
      </w:pPr>
      <w:r>
        <w:rPr>
          <w:spacing w:val="8"/>
          <w:position w:val="4"/>
          <w:sz w:val="15"/>
          <w:szCs w:val="15"/>
        </w:rPr>
        <w:t>a</w:t>
      </w:r>
      <w:r>
        <w:rPr>
          <w:rFonts w:ascii="Arial" w:hAnsi="Arial" w:eastAsia="Arial" w:cs="Arial"/>
          <w:spacing w:val="8"/>
          <w:position w:val="4"/>
          <w:sz w:val="15"/>
          <w:szCs w:val="15"/>
        </w:rPr>
        <w:t>“</w:t>
      </w:r>
      <w:r>
        <w:rPr>
          <w:spacing w:val="8"/>
          <w:sz w:val="15"/>
          <w:szCs w:val="15"/>
        </w:rPr>
        <w:t>Use with caution</w:t>
      </w:r>
      <w:r>
        <w:rPr>
          <w:rFonts w:ascii="Arial" w:hAnsi="Arial" w:eastAsia="Arial" w:cs="Arial"/>
          <w:spacing w:val="8"/>
          <w:sz w:val="15"/>
          <w:szCs w:val="15"/>
        </w:rPr>
        <w:t xml:space="preserve">” </w:t>
      </w:r>
      <w:r>
        <w:rPr>
          <w:spacing w:val="8"/>
          <w:sz w:val="15"/>
          <w:szCs w:val="15"/>
        </w:rPr>
        <w:t>recommendations reflect concern about the balance of</w:t>
      </w:r>
      <w:r>
        <w:rPr>
          <w:spacing w:val="7"/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benefits and harms of</w:t>
      </w:r>
      <w:r>
        <w:rPr>
          <w:spacing w:val="-3"/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medication compared with alternatives in the</w:t>
      </w:r>
      <w:r>
        <w:rPr>
          <w:sz w:val="15"/>
          <w:szCs w:val="15"/>
        </w:rPr>
        <w:t xml:space="preserve">   </w:t>
      </w:r>
      <w:r>
        <w:rPr>
          <w:spacing w:val="7"/>
          <w:sz w:val="15"/>
          <w:szCs w:val="15"/>
        </w:rPr>
        <w:t xml:space="preserve">situation when those concerns do not rise to the level of </w:t>
      </w:r>
      <w:r>
        <w:rPr>
          <w:rFonts w:ascii="Arial" w:hAnsi="Arial" w:eastAsia="Arial" w:cs="Arial"/>
          <w:spacing w:val="7"/>
          <w:sz w:val="15"/>
          <w:szCs w:val="15"/>
        </w:rPr>
        <w:t>“</w:t>
      </w:r>
      <w:r>
        <w:rPr>
          <w:spacing w:val="7"/>
          <w:sz w:val="15"/>
          <w:szCs w:val="15"/>
        </w:rPr>
        <w:t>avoid</w:t>
      </w:r>
      <w:r>
        <w:rPr>
          <w:rFonts w:ascii="Arial" w:hAnsi="Arial" w:eastAsia="Arial" w:cs="Arial"/>
          <w:spacing w:val="7"/>
          <w:sz w:val="15"/>
          <w:szCs w:val="15"/>
        </w:rPr>
        <w:t xml:space="preserve">” </w:t>
      </w:r>
      <w:r>
        <w:rPr>
          <w:spacing w:val="7"/>
          <w:sz w:val="15"/>
          <w:szCs w:val="15"/>
        </w:rPr>
        <w:t>recommendations in other Tables because</w:t>
      </w:r>
      <w:r>
        <w:rPr>
          <w:spacing w:val="26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of</w:t>
      </w:r>
      <w:r>
        <w:rPr>
          <w:spacing w:val="-5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limited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evidence,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lesser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degree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of</w:t>
      </w:r>
      <w:r>
        <w:rPr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 xml:space="preserve">potential harm compared with alternative therapies, and/or extenuating clinical </w:t>
      </w:r>
      <w:r>
        <w:rPr>
          <w:spacing w:val="7"/>
          <w:sz w:val="15"/>
          <w:szCs w:val="15"/>
        </w:rPr>
        <w:t>circumstances.</w:t>
      </w:r>
    </w:p>
    <w:p w14:paraId="44406A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" w:right="745" w:hanging="2"/>
        <w:textAlignment w:val="baseline"/>
        <w:rPr>
          <w:sz w:val="15"/>
          <w:szCs w:val="15"/>
        </w:rPr>
      </w:pPr>
      <w:r>
        <w:rPr>
          <w:spacing w:val="7"/>
          <w:position w:val="6"/>
          <w:sz w:val="15"/>
          <w:szCs w:val="15"/>
        </w:rPr>
        <w:t>b</w:t>
      </w:r>
      <w:r>
        <w:rPr>
          <w:spacing w:val="7"/>
          <w:sz w:val="15"/>
          <w:szCs w:val="15"/>
        </w:rPr>
        <w:t>Under each drug class, drugs commonly used in the United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States</w:t>
      </w:r>
      <w:r>
        <w:rPr>
          <w:spacing w:val="9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are listed,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except in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cases w</w:t>
      </w:r>
      <w:r>
        <w:rPr>
          <w:spacing w:val="6"/>
          <w:sz w:val="15"/>
          <w:szCs w:val="15"/>
        </w:rPr>
        <w:t>here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doing</w:t>
      </w:r>
      <w:r>
        <w:rPr>
          <w:spacing w:val="9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so</w:t>
      </w:r>
      <w:r>
        <w:rPr>
          <w:spacing w:val="9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is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infeasible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due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to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space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considerations.</w:t>
      </w:r>
      <w:r>
        <w:rPr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Unless stated otherwise,all drugs within a stated drug class are conside</w:t>
      </w:r>
      <w:r>
        <w:rPr>
          <w:spacing w:val="7"/>
          <w:sz w:val="15"/>
          <w:szCs w:val="15"/>
        </w:rPr>
        <w:t>red potentially inappropriate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in</w:t>
      </w:r>
      <w:r>
        <w:rPr>
          <w:spacing w:val="10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the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context</w:t>
      </w:r>
      <w:r>
        <w:rPr>
          <w:spacing w:val="9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of</w:t>
      </w:r>
      <w:r>
        <w:rPr>
          <w:spacing w:val="-3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the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criterion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in which</w:t>
      </w:r>
      <w:r>
        <w:rPr>
          <w:spacing w:val="9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they</w:t>
      </w:r>
    </w:p>
    <w:p w14:paraId="7FB4F7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6"/>
        <w:textAlignment w:val="baseline"/>
        <w:rPr>
          <w:sz w:val="15"/>
          <w:szCs w:val="15"/>
        </w:rPr>
      </w:pPr>
      <w:r>
        <w:rPr>
          <w:spacing w:val="7"/>
          <w:position w:val="2"/>
          <w:sz w:val="15"/>
          <w:szCs w:val="15"/>
        </w:rPr>
        <w:t>appear, even if</w:t>
      </w:r>
      <w:r>
        <w:rPr>
          <w:spacing w:val="-4"/>
          <w:position w:val="2"/>
          <w:sz w:val="15"/>
          <w:szCs w:val="15"/>
        </w:rPr>
        <w:t xml:space="preserve"> </w:t>
      </w:r>
      <w:r>
        <w:rPr>
          <w:spacing w:val="7"/>
          <w:position w:val="2"/>
          <w:sz w:val="15"/>
          <w:szCs w:val="15"/>
        </w:rPr>
        <w:t>not l</w:t>
      </w:r>
      <w:r>
        <w:rPr>
          <w:spacing w:val="6"/>
          <w:position w:val="2"/>
          <w:sz w:val="15"/>
          <w:szCs w:val="15"/>
        </w:rPr>
        <w:t>isted in</w:t>
      </w:r>
      <w:r>
        <w:rPr>
          <w:spacing w:val="10"/>
          <w:w w:val="102"/>
          <w:position w:val="2"/>
          <w:sz w:val="15"/>
          <w:szCs w:val="15"/>
        </w:rPr>
        <w:t xml:space="preserve"> </w:t>
      </w:r>
      <w:r>
        <w:rPr>
          <w:spacing w:val="6"/>
          <w:position w:val="2"/>
          <w:sz w:val="15"/>
          <w:szCs w:val="15"/>
        </w:rPr>
        <w:t>this</w:t>
      </w:r>
      <w:r>
        <w:rPr>
          <w:spacing w:val="9"/>
          <w:w w:val="101"/>
          <w:position w:val="2"/>
          <w:sz w:val="15"/>
          <w:szCs w:val="15"/>
        </w:rPr>
        <w:t xml:space="preserve"> </w:t>
      </w:r>
      <w:r>
        <w:rPr>
          <w:spacing w:val="6"/>
          <w:position w:val="2"/>
          <w:sz w:val="15"/>
          <w:szCs w:val="15"/>
        </w:rPr>
        <w:t>table.</w:t>
      </w:r>
    </w:p>
    <w:p w14:paraId="7C1417B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3" w:right="828"/>
        <w:textAlignment w:val="baseline"/>
        <w:rPr>
          <w:rFonts w:hint="eastAsia" w:eastAsia="宋体"/>
          <w:sz w:val="15"/>
          <w:szCs w:val="15"/>
          <w:lang w:val="en-US" w:eastAsia="zh-CN"/>
        </w:rPr>
        <w:sectPr>
          <w:pgSz w:w="11906" w:h="15648"/>
          <w:pgMar w:top="400" w:right="231" w:bottom="400" w:left="90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0765"/>
          </w:cols>
        </w:sectPr>
      </w:pPr>
      <w:r>
        <w:rPr>
          <w:spacing w:val="8"/>
          <w:position w:val="6"/>
          <w:sz w:val="15"/>
          <w:szCs w:val="15"/>
        </w:rPr>
        <w:t>c</w:t>
      </w:r>
      <w:r>
        <w:rPr>
          <w:spacing w:val="8"/>
          <w:sz w:val="15"/>
          <w:szCs w:val="15"/>
        </w:rPr>
        <w:t>Quality of</w:t>
      </w:r>
      <w:r>
        <w:rPr>
          <w:spacing w:val="-3"/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evidence and strength of</w:t>
      </w:r>
      <w:r>
        <w:rPr>
          <w:spacing w:val="-4"/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recommendation ratings apply to all drugs</w:t>
      </w:r>
      <w:r>
        <w:rPr>
          <w:spacing w:val="10"/>
          <w:sz w:val="15"/>
          <w:szCs w:val="15"/>
        </w:rPr>
        <w:t xml:space="preserve"> </w:t>
      </w:r>
      <w:r>
        <w:rPr>
          <w:spacing w:val="8"/>
          <w:sz w:val="15"/>
          <w:szCs w:val="15"/>
        </w:rPr>
        <w:t>and recommen</w:t>
      </w:r>
      <w:r>
        <w:rPr>
          <w:spacing w:val="7"/>
          <w:sz w:val="15"/>
          <w:szCs w:val="15"/>
        </w:rPr>
        <w:t>dations within</w:t>
      </w:r>
      <w:r>
        <w:rPr>
          <w:spacing w:val="9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each</w:t>
      </w:r>
      <w:r>
        <w:rPr>
          <w:spacing w:val="9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criterion unless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stated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otherwise.</w:t>
      </w:r>
      <w:r>
        <w:rPr>
          <w:sz w:val="15"/>
          <w:szCs w:val="15"/>
        </w:rPr>
        <w:t xml:space="preserve"> </w:t>
      </w:r>
      <w:r>
        <w:rPr>
          <w:spacing w:val="7"/>
          <w:position w:val="6"/>
          <w:sz w:val="15"/>
          <w:szCs w:val="15"/>
        </w:rPr>
        <w:t>d</w:t>
      </w:r>
      <w:r>
        <w:rPr>
          <w:spacing w:val="7"/>
          <w:sz w:val="15"/>
          <w:szCs w:val="15"/>
        </w:rPr>
        <w:t>When selecting among DOACs and choosing a dosage, pay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special</w:t>
      </w:r>
      <w:r>
        <w:rPr>
          <w:spacing w:val="9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consideration</w:t>
      </w:r>
      <w:r>
        <w:rPr>
          <w:spacing w:val="9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to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kidney function</w:t>
      </w:r>
      <w:r>
        <w:rPr>
          <w:spacing w:val="6"/>
          <w:sz w:val="15"/>
          <w:szCs w:val="15"/>
        </w:rPr>
        <w:t>,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indication,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and body weight.</w:t>
      </w:r>
      <w:r>
        <w:rPr>
          <w:rFonts w:hint="eastAsia" w:eastAsia="宋体"/>
          <w:spacing w:val="6"/>
          <w:sz w:val="15"/>
          <w:szCs w:val="15"/>
          <w:lang w:val="en-US" w:eastAsia="zh-CN"/>
        </w:rPr>
        <w:t xml:space="preserve"> </w:t>
      </w:r>
    </w:p>
    <w:p w14:paraId="3D14CD4A">
      <w:pPr>
        <w:spacing w:line="421" w:lineRule="auto"/>
        <w:rPr>
          <w:rFonts w:hint="default" w:ascii="Times New Roman" w:hAnsi="Times New Roman" w:cs="Times New Roman"/>
          <w:spacing w:val="3"/>
          <w:position w:val="1"/>
          <w:sz w:val="20"/>
          <w:szCs w:val="20"/>
        </w:rPr>
      </w:pPr>
      <w:r>
        <w:rPr>
          <w:rFonts w:hint="default" w:ascii="Times New Roman" w:hAnsi="Times New Roman" w:cs="Times New Roman"/>
          <w:color w:val="636366"/>
          <w:spacing w:val="4"/>
          <w:position w:val="1"/>
          <w:sz w:val="20"/>
          <w:szCs w:val="20"/>
        </w:rPr>
        <w:t>TABLE</w:t>
      </w:r>
      <w:r>
        <w:rPr>
          <w:rFonts w:hint="default" w:ascii="Times New Roman" w:hAnsi="Times New Roman" w:cs="Times New Roman"/>
          <w:color w:val="636366"/>
          <w:spacing w:val="30"/>
          <w:position w:val="1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color w:val="636366"/>
          <w:spacing w:val="30"/>
          <w:position w:val="1"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/>
          <w:color w:val="636366"/>
          <w:spacing w:val="4"/>
          <w:position w:val="1"/>
          <w:sz w:val="20"/>
          <w:szCs w:val="20"/>
        </w:rPr>
        <w:t xml:space="preserve">     </w:t>
      </w:r>
      <w:r>
        <w:rPr>
          <w:rFonts w:hint="default" w:ascii="Times New Roman" w:hAnsi="Times New Roman" w:cs="Times New Roman"/>
          <w:spacing w:val="4"/>
          <w:position w:val="1"/>
          <w:sz w:val="20"/>
          <w:szCs w:val="20"/>
        </w:rPr>
        <w:t>2023 American Geriatrics Society Beers Criteria</w:t>
      </w:r>
      <w:r>
        <w:rPr>
          <w:rFonts w:hint="default" w:ascii="Times New Roman" w:hAnsi="Times New Roman" w:eastAsia="Arial" w:cs="Times New Roman"/>
          <w:spacing w:val="4"/>
          <w:position w:val="8"/>
          <w:sz w:val="20"/>
          <w:szCs w:val="20"/>
        </w:rPr>
        <w:t>®</w:t>
      </w:r>
      <w:r>
        <w:rPr>
          <w:rFonts w:hint="default" w:ascii="Times New Roman" w:hAnsi="Times New Roman" w:eastAsia="Arial" w:cs="Times New Roman"/>
          <w:spacing w:val="16"/>
          <w:w w:val="102"/>
          <w:position w:val="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4"/>
          <w:position w:val="1"/>
          <w:sz w:val="20"/>
          <w:szCs w:val="20"/>
        </w:rPr>
        <w:t>for potentially clinically important</w:t>
      </w:r>
      <w:r>
        <w:rPr>
          <w:rFonts w:hint="default" w:ascii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4"/>
          <w:position w:val="1"/>
          <w:sz w:val="20"/>
          <w:szCs w:val="20"/>
        </w:rPr>
        <w:t>drug-drug</w:t>
      </w:r>
      <w:r>
        <w:rPr>
          <w:rFonts w:hint="default" w:ascii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4"/>
          <w:position w:val="1"/>
          <w:sz w:val="20"/>
          <w:szCs w:val="20"/>
        </w:rPr>
        <w:t>interac</w:t>
      </w:r>
      <w:r>
        <w:rPr>
          <w:rFonts w:hint="default" w:ascii="Times New Roman" w:hAnsi="Times New Roman" w:cs="Times New Roman"/>
          <w:spacing w:val="3"/>
          <w:position w:val="1"/>
          <w:sz w:val="20"/>
          <w:szCs w:val="20"/>
        </w:rPr>
        <w:t>tions</w:t>
      </w:r>
      <w:r>
        <w:rPr>
          <w:rFonts w:hint="default" w:ascii="Times New Roman" w:hAnsi="Times New Roman" w:cs="Times New Roman"/>
          <w:spacing w:val="9"/>
          <w:position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3"/>
          <w:position w:val="1"/>
          <w:sz w:val="20"/>
          <w:szCs w:val="20"/>
        </w:rPr>
        <w:t>that</w:t>
      </w:r>
      <w:r>
        <w:rPr>
          <w:rFonts w:hint="default" w:ascii="Times New Roman" w:hAnsi="Times New Roman" w:cs="Times New Roman"/>
          <w:spacing w:val="9"/>
          <w:position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3"/>
          <w:position w:val="1"/>
          <w:sz w:val="20"/>
          <w:szCs w:val="20"/>
        </w:rPr>
        <w:t>should be</w:t>
      </w:r>
      <w:r>
        <w:rPr>
          <w:rFonts w:hint="default" w:ascii="Times New Roman" w:hAnsi="Times New Roman" w:cs="Times New Roman"/>
          <w:spacing w:val="9"/>
          <w:position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3"/>
          <w:position w:val="1"/>
          <w:sz w:val="20"/>
          <w:szCs w:val="20"/>
        </w:rPr>
        <w:t>avoided</w:t>
      </w:r>
      <w:r>
        <w:rPr>
          <w:rFonts w:hint="default" w:ascii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3"/>
          <w:position w:val="1"/>
          <w:sz w:val="20"/>
          <w:szCs w:val="20"/>
        </w:rPr>
        <w:t>in</w:t>
      </w:r>
      <w:r>
        <w:rPr>
          <w:rFonts w:hint="default" w:ascii="Times New Roman" w:hAnsi="Times New Roman" w:cs="Times New Roman"/>
          <w:spacing w:val="7"/>
          <w:position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3"/>
          <w:position w:val="1"/>
          <w:sz w:val="20"/>
          <w:szCs w:val="20"/>
        </w:rPr>
        <w:t>older</w:t>
      </w:r>
      <w:r>
        <w:rPr>
          <w:rFonts w:hint="default" w:ascii="Times New Roman" w:hAnsi="Times New Roman" w:cs="Times New Roman"/>
          <w:spacing w:val="8"/>
          <w:position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3"/>
          <w:position w:val="1"/>
          <w:sz w:val="20"/>
          <w:szCs w:val="20"/>
        </w:rPr>
        <w:t>adults.</w:t>
      </w:r>
    </w:p>
    <w:tbl>
      <w:tblPr>
        <w:tblStyle w:val="8"/>
        <w:tblW w:w="4740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6"/>
        <w:gridCol w:w="2164"/>
        <w:gridCol w:w="3939"/>
        <w:gridCol w:w="3571"/>
        <w:gridCol w:w="857"/>
        <w:gridCol w:w="1410"/>
      </w:tblGrid>
      <w:tr w14:paraId="7CEDF5B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00" w:type="pct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7E26410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hint="eastAsia" w:cs="Times New Roman"/>
                <w:b/>
                <w:bCs/>
                <w:sz w:val="17"/>
                <w:szCs w:val="17"/>
                <w:lang w:val="en-US" w:eastAsia="zh-CN"/>
              </w:rPr>
              <w:t>Object drug or class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57D828D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36" w:leftChars="160" w:right="0" w:firstLine="0" w:firstLineChars="0"/>
              <w:jc w:val="left"/>
              <w:textAlignment w:val="baseline"/>
              <w:rPr>
                <w:rFonts w:hint="default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Interacting drug or </w:t>
            </w:r>
          </w:p>
          <w:p w14:paraId="68280C9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36" w:leftChars="160" w:right="0" w:firstLine="0" w:firstLineChars="0"/>
              <w:jc w:val="left"/>
              <w:textAlignment w:val="baseline"/>
              <w:rPr>
                <w:rFonts w:hint="default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class</w:t>
            </w:r>
          </w:p>
        </w:tc>
        <w:tc>
          <w:tcPr>
            <w:tcW w:w="1385" w:type="pct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1E5C765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36" w:leftChars="16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hint="default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isk r</w:t>
            </w:r>
            <w:r>
              <w:rPr>
                <w:rFonts w:hint="default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ationale </w:t>
            </w:r>
          </w:p>
        </w:tc>
        <w:tc>
          <w:tcPr>
            <w:tcW w:w="1256" w:type="pct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020BE5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hint="default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Recommendation</w:t>
            </w:r>
          </w:p>
        </w:tc>
        <w:tc>
          <w:tcPr>
            <w:tcW w:w="301" w:type="pct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065D999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hint="eastAsia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Quality of evidence</w:t>
            </w:r>
            <w:r>
              <w:rPr>
                <w:rFonts w:hint="eastAsia" w:ascii="Times New Roman" w:hAnsi="Times New Roman" w:eastAsia="AdvOTc022ae45.B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95" w:type="pct"/>
            <w:tcBorders>
              <w:top w:val="single" w:color="auto" w:sz="12" w:space="0"/>
              <w:bottom w:val="single" w:color="auto" w:sz="8" w:space="0"/>
            </w:tcBorders>
            <w:shd w:val="clear" w:color="auto" w:fill="E6E7E9"/>
            <w:vAlign w:val="center"/>
          </w:tcPr>
          <w:p w14:paraId="402697E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 w:eastAsia="zh-CN"/>
              </w:rPr>
              <w:t>Strength of</w:t>
            </w:r>
            <w:r>
              <w:rPr>
                <w:rFonts w:hint="eastAsia" w:cs="Times New Roman"/>
                <w:b/>
                <w:bCs/>
                <w:sz w:val="17"/>
                <w:szCs w:val="17"/>
                <w:lang w:val="en-US" w:eastAsia="zh-CN"/>
              </w:rPr>
              <w:t xml:space="preserve"> r</w:t>
            </w: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 w:eastAsia="zh-CN"/>
              </w:rPr>
              <w:t>ecommendation</w:t>
            </w:r>
            <w:r>
              <w:rPr>
                <w:rFonts w:hint="eastAsia" w:cs="Times New Roman"/>
                <w:b/>
                <w:bCs/>
                <w:sz w:val="24"/>
                <w:szCs w:val="24"/>
                <w:vertAlign w:val="superscript"/>
                <w:lang w:val="en-US" w:eastAsia="zh-CN"/>
              </w:rPr>
              <w:t>a</w:t>
            </w:r>
          </w:p>
        </w:tc>
      </w:tr>
      <w:tr w14:paraId="7CBFB0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800" w:type="pct"/>
            <w:tcBorders>
              <w:top w:val="single" w:color="auto" w:sz="8" w:space="0"/>
            </w:tcBorders>
            <w:vAlign w:val="top"/>
          </w:tcPr>
          <w:p w14:paraId="1D764E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RAS inhibitors (ACEIs, </w:t>
            </w:r>
          </w:p>
          <w:p w14:paraId="203741B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ARBs, ARNIs, aliskiren) </w:t>
            </w:r>
          </w:p>
          <w:p w14:paraId="4D55BE4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or potassium-sparing </w:t>
            </w:r>
          </w:p>
          <w:p w14:paraId="515B60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diuretics (amiloride, </w:t>
            </w:r>
          </w:p>
          <w:p w14:paraId="33E15A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triamterene)</w:t>
            </w:r>
          </w:p>
        </w:tc>
        <w:tc>
          <w:tcPr>
            <w:tcW w:w="760" w:type="pct"/>
            <w:tcBorders>
              <w:top w:val="single" w:color="auto" w:sz="8" w:space="0"/>
            </w:tcBorders>
            <w:vAlign w:val="top"/>
          </w:tcPr>
          <w:p w14:paraId="697DFB7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Another RAS inhibitor </w:t>
            </w:r>
          </w:p>
          <w:p w14:paraId="7E889C5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or a potassium- </w:t>
            </w:r>
          </w:p>
          <w:p w14:paraId="44E7F2E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sparing diuretic</w:t>
            </w:r>
          </w:p>
          <w:p w14:paraId="00519C1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1385" w:type="pct"/>
            <w:tcBorders>
              <w:top w:val="single" w:color="auto" w:sz="8" w:space="0"/>
            </w:tcBorders>
            <w:vAlign w:val="top"/>
          </w:tcPr>
          <w:p w14:paraId="2C76439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Increased risk of hyperkalemia.</w:t>
            </w:r>
          </w:p>
          <w:p w14:paraId="31B7B4C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1256" w:type="pct"/>
            <w:tcBorders>
              <w:top w:val="single" w:color="auto" w:sz="8" w:space="0"/>
            </w:tcBorders>
            <w:vAlign w:val="top"/>
          </w:tcPr>
          <w:p w14:paraId="457A8D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  <w:t>A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  <w:t xml:space="preserve">void routinely using 2 or more RAS </w:t>
            </w:r>
          </w:p>
          <w:p w14:paraId="64E1D668">
            <w:pPr>
              <w:keepNext w:val="0"/>
              <w:keepLines w:val="0"/>
              <w:widowControl/>
              <w:suppressLineNumbers w:val="0"/>
              <w:ind w:firstLine="170" w:firstLineChars="100"/>
              <w:jc w:val="left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  <w:t xml:space="preserve">inhibitors, or a RAS inhibitor and </w:t>
            </w:r>
          </w:p>
          <w:p w14:paraId="34FF0BAD">
            <w:pPr>
              <w:keepNext w:val="0"/>
              <w:keepLines w:val="0"/>
              <w:widowControl/>
              <w:suppressLineNumbers w:val="0"/>
              <w:ind w:firstLine="170" w:firstLineChars="100"/>
              <w:jc w:val="left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  <w:t xml:space="preserve">potassium-sparing diuretic, </w:t>
            </w:r>
          </w:p>
          <w:p w14:paraId="374AB855">
            <w:pPr>
              <w:keepNext w:val="0"/>
              <w:keepLines w:val="0"/>
              <w:widowControl/>
              <w:suppressLineNumbers w:val="0"/>
              <w:ind w:firstLine="170" w:firstLineChars="100"/>
              <w:jc w:val="left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  <w:t xml:space="preserve">concurrently in those with chronic </w:t>
            </w:r>
          </w:p>
          <w:p w14:paraId="7CDF16FB">
            <w:pPr>
              <w:keepNext w:val="0"/>
              <w:keepLines w:val="0"/>
              <w:widowControl/>
              <w:suppressLineNumbers w:val="0"/>
              <w:ind w:firstLine="170" w:firstLineChars="100"/>
              <w:jc w:val="left"/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  <w:t>kidney disease Stage 3a or higher.</w:t>
            </w:r>
          </w:p>
          <w:p w14:paraId="0816B7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449" w:right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01" w:type="pct"/>
            <w:tcBorders>
              <w:top w:val="single" w:color="auto" w:sz="8" w:space="0"/>
            </w:tcBorders>
            <w:vAlign w:val="top"/>
          </w:tcPr>
          <w:p w14:paraId="781E8A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17"/>
                <w:szCs w:val="17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-SA"/>
              </w:rPr>
              <w:t>Moderate</w:t>
            </w:r>
          </w:p>
        </w:tc>
        <w:tc>
          <w:tcPr>
            <w:tcW w:w="495" w:type="pct"/>
            <w:tcBorders>
              <w:top w:val="single" w:color="auto" w:sz="8" w:space="0"/>
            </w:tcBorders>
            <w:vAlign w:val="top"/>
          </w:tcPr>
          <w:p w14:paraId="1E99A80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5E56B9C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00" w:type="pct"/>
            <w:shd w:val="clear" w:color="auto" w:fill="E6E7E9"/>
            <w:vAlign w:val="top"/>
          </w:tcPr>
          <w:p w14:paraId="2053FD8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Opioids</w:t>
            </w:r>
          </w:p>
          <w:p w14:paraId="4025E9F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pct"/>
            <w:shd w:val="clear" w:color="auto" w:fill="E6E7E9"/>
            <w:vAlign w:val="top"/>
          </w:tcPr>
          <w:p w14:paraId="558132A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Benzodiazepines</w:t>
            </w:r>
          </w:p>
          <w:p w14:paraId="73DDF9E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85" w:type="pct"/>
            <w:shd w:val="clear" w:color="auto" w:fill="E6E7E9"/>
            <w:vAlign w:val="top"/>
          </w:tcPr>
          <w:p w14:paraId="15F4AFF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Increased risk of overdose and adverse events.</w:t>
            </w:r>
          </w:p>
        </w:tc>
        <w:tc>
          <w:tcPr>
            <w:tcW w:w="1256" w:type="pct"/>
            <w:shd w:val="clear" w:color="auto" w:fill="E6E7E9"/>
            <w:vAlign w:val="top"/>
          </w:tcPr>
          <w:p w14:paraId="52685C5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Avoid</w:t>
            </w:r>
          </w:p>
          <w:p w14:paraId="359DB9F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301" w:type="pct"/>
            <w:shd w:val="clear" w:color="auto" w:fill="E6E7E9"/>
            <w:vAlign w:val="top"/>
          </w:tcPr>
          <w:p w14:paraId="2D668CF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495" w:type="pct"/>
            <w:shd w:val="clear" w:color="auto" w:fill="E6E7E9"/>
            <w:vAlign w:val="top"/>
          </w:tcPr>
          <w:p w14:paraId="1385C33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52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</w:tr>
      <w:tr w14:paraId="2F26009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00" w:type="pct"/>
            <w:vAlign w:val="top"/>
          </w:tcPr>
          <w:p w14:paraId="7C314F5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Opioids</w:t>
            </w:r>
          </w:p>
          <w:p w14:paraId="5D94BB9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08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pct"/>
            <w:vAlign w:val="top"/>
          </w:tcPr>
          <w:p w14:paraId="5D1698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Gabapentin </w:t>
            </w:r>
          </w:p>
          <w:p w14:paraId="58716A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Pregabalin</w:t>
            </w:r>
          </w:p>
        </w:tc>
        <w:tc>
          <w:tcPr>
            <w:tcW w:w="1385" w:type="pct"/>
            <w:vAlign w:val="top"/>
          </w:tcPr>
          <w:p w14:paraId="1DEF4B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hanging="170" w:hangingChars="10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Increased risk of severe sedation-related adverse events, including respiratory depression and death.</w:t>
            </w:r>
          </w:p>
        </w:tc>
        <w:tc>
          <w:tcPr>
            <w:tcW w:w="1256" w:type="pct"/>
            <w:vAlign w:val="top"/>
          </w:tcPr>
          <w:p w14:paraId="7C1E3A2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hanging="170" w:hanging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Avoid; exceptions are when transitioning from </w:t>
            </w:r>
          </w:p>
          <w:p w14:paraId="4571F9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firstLine="0" w:firstLineChars="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opioid therapy to gabapentin or pregabalin, or when using gabapentinoids to reduce opioid dose, although caution should be </w:t>
            </w:r>
          </w:p>
          <w:p w14:paraId="0753028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used in all circumstances.</w:t>
            </w:r>
          </w:p>
        </w:tc>
        <w:tc>
          <w:tcPr>
            <w:tcW w:w="301" w:type="pct"/>
            <w:vAlign w:val="top"/>
          </w:tcPr>
          <w:p w14:paraId="2D2DD45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495" w:type="pct"/>
            <w:vAlign w:val="top"/>
          </w:tcPr>
          <w:p w14:paraId="17D155F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1152217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800" w:type="pct"/>
            <w:shd w:val="clear" w:color="auto" w:fill="E6E7E9"/>
            <w:vAlign w:val="top"/>
          </w:tcPr>
          <w:p w14:paraId="1B3E7B6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Anticholinergic</w:t>
            </w:r>
          </w:p>
          <w:p w14:paraId="6660DA9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0" w:type="pct"/>
            <w:shd w:val="clear" w:color="auto" w:fill="E6E7E9"/>
            <w:vAlign w:val="top"/>
          </w:tcPr>
          <w:p w14:paraId="6BF9F86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Anticholinergic</w:t>
            </w:r>
          </w:p>
          <w:p w14:paraId="2231C9C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85" w:type="pct"/>
            <w:shd w:val="clear" w:color="auto" w:fill="E6E7E9"/>
            <w:vAlign w:val="top"/>
          </w:tcPr>
          <w:p w14:paraId="6AC16B1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0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Use of more than one medication with anticholinergic properties increases the risk of cognitive decline, delirium, and falls or fractures</w:t>
            </w:r>
          </w:p>
          <w:p w14:paraId="4D822D6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56" w:type="pct"/>
            <w:shd w:val="clear" w:color="auto" w:fill="E6E7E9"/>
            <w:vAlign w:val="top"/>
          </w:tcPr>
          <w:p w14:paraId="51F4FC2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6" w:right="466" w:hanging="156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Avoid; minimize the number of</w:t>
            </w: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anticholinergic drugs.</w:t>
            </w:r>
          </w:p>
          <w:p w14:paraId="51C3DAD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6" w:right="466" w:hanging="156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301" w:type="pct"/>
            <w:shd w:val="clear" w:color="auto" w:fill="E6E7E9"/>
            <w:vAlign w:val="top"/>
          </w:tcPr>
          <w:p w14:paraId="4118F9A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495" w:type="pct"/>
            <w:shd w:val="clear" w:color="auto" w:fill="E6E7E9"/>
            <w:vAlign w:val="top"/>
          </w:tcPr>
          <w:p w14:paraId="6ACC52F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0AD532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00" w:type="pct"/>
            <w:vAlign w:val="top"/>
          </w:tcPr>
          <w:p w14:paraId="7E1826B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Antiepileptics (including </w:t>
            </w:r>
          </w:p>
          <w:p w14:paraId="2370CB1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gabapentinoids) </w:t>
            </w:r>
          </w:p>
          <w:p w14:paraId="08554E1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Antidepressants (TCAs, </w:t>
            </w:r>
          </w:p>
          <w:p w14:paraId="5075616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SSRIs, and SNRIs) </w:t>
            </w:r>
          </w:p>
          <w:p w14:paraId="0F301ED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Antipsychotics </w:t>
            </w:r>
          </w:p>
          <w:p w14:paraId="5024CD2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Benzodiazepines </w:t>
            </w:r>
          </w:p>
          <w:p w14:paraId="24B4BA3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Nonbenzodiazepine </w:t>
            </w:r>
          </w:p>
          <w:p w14:paraId="7198243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benzodiazepine receptor </w:t>
            </w:r>
          </w:p>
          <w:p w14:paraId="61D1C26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agonist hypnotics (i.e., </w:t>
            </w:r>
          </w:p>
          <w:p w14:paraId="308681C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“Z-drugs”) </w:t>
            </w:r>
          </w:p>
          <w:p w14:paraId="7306F70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Opioids </w:t>
            </w:r>
          </w:p>
          <w:p w14:paraId="46C5D5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Skeletal muscle relaxants</w:t>
            </w:r>
          </w:p>
        </w:tc>
        <w:tc>
          <w:tcPr>
            <w:tcW w:w="760" w:type="pct"/>
            <w:vAlign w:val="top"/>
          </w:tcPr>
          <w:p w14:paraId="69C8895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Any combination of ≥3 of these CNS-active drugs</w:t>
            </w:r>
          </w:p>
          <w:p w14:paraId="789889B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85" w:type="pct"/>
            <w:vAlign w:val="top"/>
          </w:tcPr>
          <w:p w14:paraId="5F15E52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Increased risk of falls and of fracture with the</w:t>
            </w:r>
          </w:p>
          <w:p w14:paraId="3C3B21B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646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concurrent use of ≥3 CNS-active agents</w:t>
            </w:r>
            <w:r>
              <w:rPr>
                <w:rFonts w:hint="eastAsia" w:cs="Times New Roman"/>
                <w:sz w:val="17"/>
                <w:szCs w:val="1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(antiepileptics including gabapentinoids, antidepressants, antipsychotics, benzodiazepines, nonbenzodiazepine benzodiazepine receptor agonist hypnotics, opioids, and skeletal muscle relaxants).</w:t>
            </w:r>
          </w:p>
          <w:p w14:paraId="0520154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56" w:type="pct"/>
            <w:vAlign w:val="top"/>
          </w:tcPr>
          <w:p w14:paraId="125FBB5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Avoid concurrent use of ≥3 CNS-active </w:t>
            </w:r>
          </w:p>
          <w:p w14:paraId="00A9943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drugs (among types as listed at left); </w:t>
            </w:r>
          </w:p>
          <w:p w14:paraId="4151ACF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minimize the number of CNS-active </w:t>
            </w:r>
          </w:p>
          <w:p w14:paraId="302AD42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drugs.</w:t>
            </w:r>
          </w:p>
          <w:p w14:paraId="31BDC81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301" w:type="pct"/>
            <w:vAlign w:val="top"/>
          </w:tcPr>
          <w:p w14:paraId="0F2AD90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High</w:t>
            </w:r>
          </w:p>
        </w:tc>
        <w:tc>
          <w:tcPr>
            <w:tcW w:w="495" w:type="pct"/>
            <w:vAlign w:val="top"/>
          </w:tcPr>
          <w:p w14:paraId="3C8BEE2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74C422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00" w:type="pct"/>
            <w:tcBorders/>
            <w:shd w:val="clear" w:color="auto" w:fill="E6E7E9"/>
            <w:vAlign w:val="top"/>
          </w:tcPr>
          <w:p w14:paraId="59C27AF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6" w:hangingChars="10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  <w:lang w:val="en-US" w:eastAsia="zh-CN"/>
              </w:rPr>
              <w:t>Lithium</w:t>
            </w:r>
          </w:p>
          <w:p w14:paraId="52FA9B9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6" w:hangingChars="10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</w:p>
        </w:tc>
        <w:tc>
          <w:tcPr>
            <w:tcW w:w="760" w:type="pct"/>
            <w:tcBorders/>
            <w:shd w:val="clear" w:color="auto" w:fill="E6E7E9"/>
            <w:vAlign w:val="top"/>
          </w:tcPr>
          <w:p w14:paraId="63E6775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>ACEIs</w:t>
            </w:r>
          </w:p>
          <w:p w14:paraId="39EFEF0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>ARBs</w:t>
            </w:r>
          </w:p>
          <w:p w14:paraId="35934EA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eastAsia="宋体" w:cs="Times New Roman"/>
                <w:spacing w:val="7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pacing w:val="7"/>
                <w:sz w:val="17"/>
                <w:szCs w:val="17"/>
                <w:lang w:val="en-US" w:eastAsia="zh-CN"/>
              </w:rPr>
              <w:t>ARNIs</w:t>
            </w:r>
          </w:p>
        </w:tc>
        <w:tc>
          <w:tcPr>
            <w:tcW w:w="1385" w:type="pct"/>
            <w:tcBorders/>
            <w:shd w:val="clear" w:color="auto" w:fill="E6E7E9"/>
            <w:vAlign w:val="top"/>
          </w:tcPr>
          <w:p w14:paraId="586C1E7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>Increased risk of lithium toxicity</w:t>
            </w:r>
          </w:p>
          <w:p w14:paraId="535B0D1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</w:tc>
        <w:tc>
          <w:tcPr>
            <w:tcW w:w="1256" w:type="pct"/>
            <w:tcBorders/>
            <w:shd w:val="clear" w:color="auto" w:fill="E6E7E9"/>
            <w:vAlign w:val="top"/>
          </w:tcPr>
          <w:p w14:paraId="5CF39C5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Avoid; monitor lithium concentrations.</w:t>
            </w:r>
          </w:p>
          <w:p w14:paraId="48B2FF6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301" w:type="pct"/>
            <w:tcBorders/>
            <w:shd w:val="clear" w:color="auto" w:fill="E6E7E9"/>
            <w:vAlign w:val="top"/>
          </w:tcPr>
          <w:p w14:paraId="7394AE2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495" w:type="pct"/>
            <w:tcBorders/>
            <w:shd w:val="clear" w:color="auto" w:fill="E6E7E9"/>
            <w:vAlign w:val="top"/>
          </w:tcPr>
          <w:p w14:paraId="2AEC4EF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71B0F6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00" w:type="pct"/>
            <w:tcBorders/>
            <w:shd w:val="clear" w:color="auto" w:fill="auto"/>
            <w:vAlign w:val="top"/>
          </w:tcPr>
          <w:p w14:paraId="2F695E4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6" w:hangingChars="10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  <w:lang w:val="en-US" w:eastAsia="zh-CN"/>
              </w:rPr>
              <w:t>Lithium</w:t>
            </w:r>
          </w:p>
          <w:p w14:paraId="453AD02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6" w:hangingChars="10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</w:p>
        </w:tc>
        <w:tc>
          <w:tcPr>
            <w:tcW w:w="760" w:type="pct"/>
            <w:tcBorders/>
            <w:shd w:val="clear" w:color="auto" w:fill="auto"/>
            <w:vAlign w:val="top"/>
          </w:tcPr>
          <w:p w14:paraId="0E8FEDF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>Loop diuretics</w:t>
            </w:r>
          </w:p>
          <w:p w14:paraId="3A9E154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</w:tc>
        <w:tc>
          <w:tcPr>
            <w:tcW w:w="1385" w:type="pct"/>
            <w:tcBorders/>
            <w:shd w:val="clear" w:color="auto" w:fill="auto"/>
            <w:vAlign w:val="top"/>
          </w:tcPr>
          <w:p w14:paraId="2CA65E6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>Increased risk of lithium toxicity</w:t>
            </w:r>
          </w:p>
          <w:p w14:paraId="297AFB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</w:tc>
        <w:tc>
          <w:tcPr>
            <w:tcW w:w="1256" w:type="pct"/>
            <w:tcBorders/>
            <w:shd w:val="clear" w:color="auto" w:fill="auto"/>
            <w:vAlign w:val="top"/>
          </w:tcPr>
          <w:p w14:paraId="1CDD454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Avoid; monitor lithium concentrations.</w:t>
            </w:r>
          </w:p>
          <w:p w14:paraId="5293B47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301" w:type="pct"/>
            <w:tcBorders/>
            <w:shd w:val="clear" w:color="auto" w:fill="auto"/>
            <w:vAlign w:val="top"/>
          </w:tcPr>
          <w:p w14:paraId="30C745F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495" w:type="pct"/>
            <w:tcBorders/>
            <w:shd w:val="clear" w:color="auto" w:fill="auto"/>
            <w:vAlign w:val="top"/>
          </w:tcPr>
          <w:p w14:paraId="2A082B9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52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</w:tr>
      <w:tr w14:paraId="6B3EF9C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00" w:type="pct"/>
            <w:tcBorders/>
            <w:shd w:val="clear" w:color="auto" w:fill="E6E7E9"/>
            <w:vAlign w:val="top"/>
          </w:tcPr>
          <w:p w14:paraId="599C612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6" w:hangingChars="10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  <w:lang w:val="en-US" w:eastAsia="zh-CN"/>
              </w:rPr>
              <w:t xml:space="preserve">Non-selective peripheral </w:t>
            </w:r>
          </w:p>
          <w:p w14:paraId="2372367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6" w:hangingChars="10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  <w:lang w:val="en-US" w:eastAsia="zh-CN"/>
              </w:rPr>
              <w:t>alpha-1 blockers</w:t>
            </w: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  <w:vertAlign w:val="superscript"/>
                <w:lang w:val="en-US" w:eastAsia="zh-CN"/>
              </w:rPr>
              <w:t>b</w:t>
            </w:r>
          </w:p>
          <w:p w14:paraId="06F999C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6" w:hangingChars="10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</w:p>
        </w:tc>
        <w:tc>
          <w:tcPr>
            <w:tcW w:w="760" w:type="pct"/>
            <w:tcBorders/>
            <w:shd w:val="clear" w:color="auto" w:fill="E6E7E9"/>
            <w:vAlign w:val="top"/>
          </w:tcPr>
          <w:p w14:paraId="7C96EB9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>Loop diuretics</w:t>
            </w:r>
          </w:p>
          <w:p w14:paraId="4B9E78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</w:tc>
        <w:tc>
          <w:tcPr>
            <w:tcW w:w="1385" w:type="pct"/>
            <w:tcBorders/>
            <w:shd w:val="clear" w:color="auto" w:fill="E6E7E9"/>
            <w:vAlign w:val="top"/>
          </w:tcPr>
          <w:p w14:paraId="1109FAF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 xml:space="preserve">Increased risk of urinary incontinence in </w:t>
            </w:r>
          </w:p>
          <w:p w14:paraId="4EABF01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>older women</w:t>
            </w:r>
            <w:r>
              <w:rPr>
                <w:rFonts w:hint="eastAsia" w:cs="Times New Roman"/>
                <w:spacing w:val="7"/>
                <w:sz w:val="17"/>
                <w:szCs w:val="17"/>
                <w:lang w:val="en-US" w:eastAsia="zh-CN"/>
              </w:rPr>
              <w:t>.</w:t>
            </w:r>
          </w:p>
          <w:p w14:paraId="5741144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</w:tc>
        <w:tc>
          <w:tcPr>
            <w:tcW w:w="1256" w:type="pct"/>
            <w:tcBorders/>
            <w:shd w:val="clear" w:color="auto" w:fill="E6E7E9"/>
            <w:vAlign w:val="top"/>
          </w:tcPr>
          <w:p w14:paraId="3CDC46F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 xml:space="preserve">Avoid in older women, unless </w:t>
            </w:r>
          </w:p>
          <w:p w14:paraId="43900B2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  <w:t>conditions warrant both drugs.</w:t>
            </w:r>
          </w:p>
          <w:p w14:paraId="58014B0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</w:p>
        </w:tc>
        <w:tc>
          <w:tcPr>
            <w:tcW w:w="301" w:type="pct"/>
            <w:tcBorders/>
            <w:shd w:val="clear" w:color="auto" w:fill="E6E7E9"/>
            <w:vAlign w:val="top"/>
          </w:tcPr>
          <w:p w14:paraId="260DA8D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495" w:type="pct"/>
            <w:tcBorders/>
            <w:shd w:val="clear" w:color="auto" w:fill="E6E7E9"/>
            <w:vAlign w:val="top"/>
          </w:tcPr>
          <w:p w14:paraId="499A4B5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  <w:tr w14:paraId="18984D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800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0A7CE0A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6" w:hangingChars="10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8"/>
                <w:sz w:val="17"/>
                <w:szCs w:val="17"/>
                <w:lang w:val="en-US" w:eastAsia="zh-CN"/>
              </w:rPr>
              <w:t>Phenytoin</w:t>
            </w:r>
          </w:p>
          <w:p w14:paraId="07D2B26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hanging="186" w:hangingChars="100"/>
              <w:textAlignment w:val="baseline"/>
              <w:rPr>
                <w:rFonts w:hint="default" w:ascii="Times New Roman" w:hAnsi="Times New Roman" w:cs="Times New Roman"/>
                <w:spacing w:val="8"/>
                <w:sz w:val="17"/>
                <w:szCs w:val="17"/>
              </w:rPr>
            </w:pP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13B3CAC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 xml:space="preserve">Trimethoprim- </w:t>
            </w:r>
          </w:p>
          <w:p w14:paraId="40693EE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>sulfamethoxazole</w:t>
            </w:r>
          </w:p>
          <w:p w14:paraId="4A8BE56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</w:tc>
        <w:tc>
          <w:tcPr>
            <w:tcW w:w="1385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11D8D0E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pacing w:val="7"/>
                <w:sz w:val="17"/>
                <w:szCs w:val="17"/>
                <w:lang w:val="en-US" w:eastAsia="zh-CN"/>
              </w:rPr>
              <w:t>Increased risk of phenytoin toxicity</w:t>
            </w:r>
          </w:p>
          <w:p w14:paraId="4F76E6C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646" w:hanging="184" w:hangingChars="100"/>
              <w:textAlignment w:val="baseline"/>
              <w:rPr>
                <w:rFonts w:hint="default" w:ascii="Times New Roman" w:hAnsi="Times New Roman" w:cs="Times New Roman"/>
                <w:spacing w:val="7"/>
                <w:sz w:val="17"/>
                <w:szCs w:val="17"/>
              </w:rPr>
            </w:pPr>
          </w:p>
        </w:tc>
        <w:tc>
          <w:tcPr>
            <w:tcW w:w="1256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12C9B6D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Avoid</w:t>
            </w:r>
          </w:p>
        </w:tc>
        <w:tc>
          <w:tcPr>
            <w:tcW w:w="301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365D951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Moderate</w:t>
            </w:r>
          </w:p>
        </w:tc>
        <w:tc>
          <w:tcPr>
            <w:tcW w:w="495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0A3C605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eastAsia="宋体" w:cs="Times New Roman"/>
                <w:sz w:val="17"/>
                <w:szCs w:val="17"/>
                <w:lang w:val="en-US" w:eastAsia="zh-CN"/>
              </w:rPr>
            </w:pPr>
            <w:r>
              <w:rPr>
                <w:rFonts w:hint="eastAsia" w:eastAsia="宋体" w:cs="Times New Roman"/>
                <w:sz w:val="17"/>
                <w:szCs w:val="17"/>
                <w:lang w:val="en-US" w:eastAsia="zh-CN"/>
              </w:rPr>
              <w:t>Strong</w:t>
            </w:r>
          </w:p>
        </w:tc>
      </w:tr>
    </w:tbl>
    <w:p w14:paraId="5C3DD912">
      <w:pPr>
        <w:spacing w:line="58" w:lineRule="auto"/>
        <w:rPr>
          <w:rFonts w:ascii="Arial" w:hAnsi="Arial" w:eastAsia="Arial" w:cs="Arial"/>
          <w:sz w:val="2"/>
          <w:szCs w:val="2"/>
        </w:rPr>
      </w:pPr>
    </w:p>
    <w:p w14:paraId="28360EBC">
      <w:pPr>
        <w:pStyle w:val="2"/>
        <w:spacing w:before="128" w:line="191" w:lineRule="auto"/>
        <w:ind w:left="13415"/>
        <w:rPr>
          <w:sz w:val="17"/>
          <w:szCs w:val="17"/>
        </w:rPr>
        <w:sectPr>
          <w:type w:val="continuous"/>
          <w:pgSz w:w="15648" w:h="11906"/>
          <w:pgMar w:top="400" w:right="351" w:bottom="40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996"/>
          </w:cols>
        </w:sectPr>
      </w:pPr>
      <w:r>
        <w:rPr>
          <w:rFonts w:hint="eastAsia" w:eastAsia="宋体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pacing w:val="3"/>
          <w:sz w:val="17"/>
          <w:szCs w:val="17"/>
        </w:rPr>
        <w:t>(Continues)</w:t>
      </w:r>
    </w:p>
    <w:p w14:paraId="6DA47326">
      <w:pPr>
        <w:tabs>
          <w:tab w:val="left" w:pos="3366"/>
        </w:tabs>
        <w:bidi w:val="0"/>
        <w:jc w:val="left"/>
        <w:rPr>
          <w:rFonts w:hint="default" w:eastAsia="宋体"/>
          <w:lang w:val="en-US" w:eastAsia="zh-CN"/>
        </w:rPr>
        <w:sectPr>
          <w:type w:val="continuous"/>
          <w:pgSz w:w="15648" w:h="11906"/>
          <w:pgMar w:top="400" w:right="351" w:bottom="400" w:left="29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4996"/>
          </w:cols>
        </w:sectPr>
      </w:pPr>
    </w:p>
    <w:p w14:paraId="76E9D353">
      <w:pPr>
        <w:bidi w:val="0"/>
        <w:jc w:val="left"/>
      </w:pPr>
    </w:p>
    <w:tbl>
      <w:tblPr>
        <w:tblStyle w:val="8"/>
        <w:tblpPr w:leftFromText="180" w:rightFromText="180" w:vertAnchor="text" w:horzAnchor="page" w:tblpX="930" w:tblpY="-132"/>
        <w:tblOverlap w:val="never"/>
        <w:tblW w:w="1364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4"/>
        <w:gridCol w:w="2161"/>
        <w:gridCol w:w="3447"/>
        <w:gridCol w:w="3138"/>
        <w:gridCol w:w="1223"/>
        <w:gridCol w:w="1620"/>
      </w:tblGrid>
      <w:tr w14:paraId="077DE5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3643" w:type="dxa"/>
            <w:gridSpan w:val="6"/>
            <w:tcBorders>
              <w:top w:val="nil"/>
              <w:bottom w:val="single" w:color="auto" w:sz="12" w:space="0"/>
            </w:tcBorders>
            <w:vAlign w:val="top"/>
          </w:tcPr>
          <w:p w14:paraId="2DD0E429">
            <w:pPr>
              <w:pStyle w:val="9"/>
              <w:spacing w:before="130" w:line="191" w:lineRule="auto"/>
              <w:rPr>
                <w:sz w:val="17"/>
                <w:szCs w:val="17"/>
              </w:rPr>
            </w:pPr>
            <w:r>
              <w:rPr>
                <w:color w:val="636366"/>
                <w:spacing w:val="9"/>
                <w:sz w:val="17"/>
                <w:szCs w:val="17"/>
              </w:rPr>
              <w:t>TABLE</w:t>
            </w:r>
            <w:r>
              <w:rPr>
                <w:color w:val="636366"/>
                <w:spacing w:val="36"/>
                <w:sz w:val="17"/>
                <w:szCs w:val="17"/>
              </w:rPr>
              <w:t xml:space="preserve"> </w:t>
            </w:r>
            <w:r>
              <w:rPr>
                <w:rFonts w:hint="eastAsia" w:eastAsia="宋体"/>
                <w:color w:val="636366"/>
                <w:spacing w:val="36"/>
                <w:sz w:val="17"/>
                <w:szCs w:val="17"/>
                <w:lang w:val="en-US" w:eastAsia="zh-CN"/>
              </w:rPr>
              <w:t>4</w:t>
            </w:r>
            <w:r>
              <w:rPr>
                <w:color w:val="636366"/>
                <w:spacing w:val="3"/>
                <w:sz w:val="17"/>
                <w:szCs w:val="17"/>
              </w:rPr>
              <w:t xml:space="preserve">     </w:t>
            </w:r>
            <w:r>
              <w:rPr>
                <w:spacing w:val="9"/>
                <w:sz w:val="17"/>
                <w:szCs w:val="17"/>
              </w:rPr>
              <w:t>(Continued)</w:t>
            </w:r>
          </w:p>
        </w:tc>
      </w:tr>
      <w:tr w14:paraId="1C2ECCA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054" w:type="dxa"/>
            <w:tcBorders>
              <w:top w:val="single" w:color="auto" w:sz="12" w:space="0"/>
              <w:bottom w:val="nil"/>
            </w:tcBorders>
            <w:shd w:val="clear" w:color="auto" w:fill="D1D2D4"/>
            <w:vAlign w:val="top"/>
          </w:tcPr>
          <w:p w14:paraId="4E59B1E9">
            <w:pPr>
              <w:pStyle w:val="9"/>
              <w:spacing w:before="130" w:line="191" w:lineRule="auto"/>
              <w:rPr>
                <w:rFonts w:hint="default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Object drug or class</w:t>
            </w:r>
          </w:p>
        </w:tc>
        <w:tc>
          <w:tcPr>
            <w:tcW w:w="2161" w:type="dxa"/>
            <w:tcBorders>
              <w:top w:val="single" w:color="auto" w:sz="12" w:space="0"/>
              <w:bottom w:val="nil"/>
            </w:tcBorders>
            <w:shd w:val="clear" w:color="auto" w:fill="D1D2D4"/>
            <w:vAlign w:val="top"/>
          </w:tcPr>
          <w:p w14:paraId="6F401B52">
            <w:pPr>
              <w:pStyle w:val="9"/>
              <w:spacing w:before="130" w:line="191" w:lineRule="auto"/>
              <w:rPr>
                <w:rFonts w:hint="default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Interacting drug or class</w:t>
            </w:r>
          </w:p>
        </w:tc>
        <w:tc>
          <w:tcPr>
            <w:tcW w:w="3447" w:type="dxa"/>
            <w:tcBorders>
              <w:top w:val="single" w:color="auto" w:sz="12" w:space="0"/>
              <w:bottom w:val="nil"/>
            </w:tcBorders>
            <w:shd w:val="clear" w:color="auto" w:fill="D1D2D4"/>
            <w:vAlign w:val="top"/>
          </w:tcPr>
          <w:p w14:paraId="22F4C941">
            <w:pPr>
              <w:pStyle w:val="9"/>
              <w:spacing w:before="130" w:line="191" w:lineRule="auto"/>
              <w:rPr>
                <w:rFonts w:hint="default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Risk rationale</w:t>
            </w:r>
          </w:p>
        </w:tc>
        <w:tc>
          <w:tcPr>
            <w:tcW w:w="3138" w:type="dxa"/>
            <w:tcBorders>
              <w:top w:val="single" w:color="auto" w:sz="12" w:space="0"/>
              <w:bottom w:val="nil"/>
            </w:tcBorders>
            <w:shd w:val="clear" w:color="auto" w:fill="D1D2D4"/>
            <w:vAlign w:val="top"/>
          </w:tcPr>
          <w:p w14:paraId="277CE2F7">
            <w:pPr>
              <w:pStyle w:val="9"/>
              <w:spacing w:before="130" w:line="191" w:lineRule="auto"/>
              <w:rPr>
                <w:rFonts w:hint="default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Recommendation</w:t>
            </w:r>
          </w:p>
        </w:tc>
        <w:tc>
          <w:tcPr>
            <w:tcW w:w="1223" w:type="dxa"/>
            <w:tcBorders>
              <w:top w:val="single" w:color="auto" w:sz="12" w:space="0"/>
              <w:bottom w:val="nil"/>
            </w:tcBorders>
            <w:shd w:val="clear" w:color="auto" w:fill="D1D2D4"/>
            <w:vAlign w:val="top"/>
          </w:tcPr>
          <w:p w14:paraId="72C7F3CB">
            <w:pPr>
              <w:pStyle w:val="9"/>
              <w:spacing w:before="130" w:line="191" w:lineRule="auto"/>
              <w:rPr>
                <w:rFonts w:hint="default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Quality of evidence</w:t>
            </w:r>
            <w:r>
              <w:rPr>
                <w:rFonts w:hint="eastAsia" w:eastAsia="宋体"/>
                <w:b/>
                <w:bCs/>
                <w:color w:val="000000" w:themeColor="text1"/>
                <w:spacing w:val="9"/>
                <w:sz w:val="24"/>
                <w:szCs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620" w:type="dxa"/>
            <w:tcBorders>
              <w:top w:val="single" w:color="auto" w:sz="12" w:space="0"/>
              <w:bottom w:val="nil"/>
            </w:tcBorders>
            <w:shd w:val="clear" w:color="auto" w:fill="D1D2D4"/>
            <w:vAlign w:val="top"/>
          </w:tcPr>
          <w:p w14:paraId="313A7023">
            <w:pPr>
              <w:pStyle w:val="9"/>
              <w:spacing w:before="130" w:line="191" w:lineRule="auto"/>
              <w:rPr>
                <w:rFonts w:hint="default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bCs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Strength of recommendations</w:t>
            </w:r>
            <w:r>
              <w:rPr>
                <w:rFonts w:hint="eastAsia" w:eastAsia="宋体"/>
                <w:b/>
                <w:bCs/>
                <w:color w:val="000000" w:themeColor="text1"/>
                <w:spacing w:val="9"/>
                <w:sz w:val="24"/>
                <w:szCs w:val="24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 w14:paraId="580405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E6E7E9"/>
            <w:vAlign w:val="top"/>
          </w:tcPr>
          <w:p w14:paraId="3B79D5A4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Theophylline</w:t>
            </w:r>
          </w:p>
        </w:tc>
        <w:tc>
          <w:tcPr>
            <w:tcW w:w="2161" w:type="dxa"/>
            <w:tcBorders>
              <w:top w:val="nil"/>
              <w:bottom w:val="nil"/>
            </w:tcBorders>
            <w:shd w:val="clear" w:color="auto" w:fill="E6E7E9"/>
            <w:vAlign w:val="top"/>
          </w:tcPr>
          <w:p w14:paraId="567D6A2F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Cimetidine</w:t>
            </w:r>
          </w:p>
        </w:tc>
        <w:tc>
          <w:tcPr>
            <w:tcW w:w="3447" w:type="dxa"/>
            <w:tcBorders>
              <w:top w:val="nil"/>
              <w:bottom w:val="nil"/>
            </w:tcBorders>
            <w:shd w:val="clear" w:color="auto" w:fill="E6E7E9"/>
            <w:vAlign w:val="top"/>
          </w:tcPr>
          <w:p w14:paraId="4F3547AA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Increased risk of theophylline toxicity</w:t>
            </w:r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E6E7E9"/>
            <w:vAlign w:val="top"/>
          </w:tcPr>
          <w:p w14:paraId="12587A2E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Avoid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E6E7E9"/>
            <w:vAlign w:val="top"/>
          </w:tcPr>
          <w:p w14:paraId="76962FBD">
            <w:pPr>
              <w:spacing w:before="130" w:line="191" w:lineRule="auto"/>
              <w:rPr>
                <w:rFonts w:hint="default" w:ascii="Times New Roman" w:hAnsi="Times New Roman" w:eastAsia="宋体" w:cs="Times New Roman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Moderate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E6E7E9"/>
            <w:vAlign w:val="top"/>
          </w:tcPr>
          <w:p w14:paraId="0C9B559C">
            <w:pPr>
              <w:spacing w:before="130" w:line="191" w:lineRule="auto"/>
              <w:rPr>
                <w:rFonts w:hint="default" w:ascii="Times New Roman" w:hAnsi="Times New Roman" w:eastAsia="宋体" w:cs="Times New Roman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Strong</w:t>
            </w:r>
          </w:p>
        </w:tc>
      </w:tr>
      <w:tr w14:paraId="2110D87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05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7FDEF6E0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Theophylline</w:t>
            </w:r>
          </w:p>
        </w:tc>
        <w:tc>
          <w:tcPr>
            <w:tcW w:w="2161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3F907BD3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Ciprofloxacin</w:t>
            </w:r>
          </w:p>
        </w:tc>
        <w:tc>
          <w:tcPr>
            <w:tcW w:w="3447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5AF4E8D1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Increased risk of theophylline toxicity</w:t>
            </w:r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24A69700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Avoid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5BCC5A77">
            <w:pPr>
              <w:spacing w:before="130" w:line="191" w:lineRule="auto"/>
              <w:rPr>
                <w:rFonts w:hint="default" w:ascii="Times New Roman" w:hAnsi="Times New Roman" w:eastAsia="宋体" w:cs="Times New Roman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Moderate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42916D06">
            <w:pPr>
              <w:spacing w:before="130" w:line="191" w:lineRule="auto"/>
              <w:rPr>
                <w:rFonts w:hint="default" w:ascii="Times New Roman" w:hAnsi="Times New Roman" w:eastAsia="宋体" w:cs="Times New Roman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Strong</w:t>
            </w:r>
          </w:p>
        </w:tc>
      </w:tr>
      <w:tr w14:paraId="5A68F4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054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2C5B4B48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Warfarin</w:t>
            </w:r>
          </w:p>
          <w:p w14:paraId="054EDC82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1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3E9FCEC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Amiodarone </w:t>
            </w:r>
          </w:p>
          <w:p w14:paraId="051DAC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Ciprofloxacin </w:t>
            </w:r>
          </w:p>
          <w:p w14:paraId="2EFFB01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Macrolides (excluding </w:t>
            </w:r>
          </w:p>
          <w:p w14:paraId="4A72A35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azithromycin) </w:t>
            </w:r>
          </w:p>
          <w:p w14:paraId="09B6417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Trimethoprim- </w:t>
            </w:r>
          </w:p>
          <w:p w14:paraId="3F7BD0F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sulfamethoxazole </w:t>
            </w:r>
          </w:p>
          <w:p w14:paraId="6048D7B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SSRIs</w:t>
            </w:r>
          </w:p>
        </w:tc>
        <w:tc>
          <w:tcPr>
            <w:tcW w:w="3447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2C80EEA0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Increased risk of </w:t>
            </w:r>
            <w:r>
              <w:rPr>
                <w:rFonts w:hint="eastAsia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bleeding</w:t>
            </w:r>
          </w:p>
        </w:tc>
        <w:tc>
          <w:tcPr>
            <w:tcW w:w="3138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402B4A6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Avoid when possible; if used together, </w:t>
            </w:r>
          </w:p>
          <w:p w14:paraId="715E003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88" w:firstLineChars="100"/>
              <w:textAlignment w:val="baseline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monitor INR closely.</w:t>
            </w:r>
          </w:p>
          <w:p w14:paraId="044320C6">
            <w:pPr>
              <w:pStyle w:val="9"/>
              <w:spacing w:before="130" w:line="191" w:lineRule="auto"/>
              <w:rPr>
                <w:rFonts w:hint="default" w:eastAsia="宋体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289231E0">
            <w:pPr>
              <w:spacing w:before="130" w:line="191" w:lineRule="auto"/>
              <w:rPr>
                <w:rFonts w:hint="default" w:ascii="Times New Roman" w:hAnsi="Times New Roman" w:eastAsia="宋体" w:cs="Times New Roman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Moderate</w:t>
            </w:r>
          </w:p>
        </w:tc>
        <w:tc>
          <w:tcPr>
            <w:tcW w:w="1620" w:type="dxa"/>
            <w:tcBorders>
              <w:top w:val="nil"/>
              <w:bottom w:val="single" w:color="auto" w:sz="12" w:space="0"/>
            </w:tcBorders>
            <w:shd w:val="clear" w:color="auto" w:fill="E6E7E9"/>
            <w:vAlign w:val="top"/>
          </w:tcPr>
          <w:p w14:paraId="7AB15B50">
            <w:pPr>
              <w:spacing w:before="130" w:line="191" w:lineRule="auto"/>
              <w:rPr>
                <w:rFonts w:hint="default" w:ascii="Times New Roman" w:hAnsi="Times New Roman" w:eastAsia="宋体" w:cs="Times New Roman"/>
                <w:color w:val="000000" w:themeColor="text1"/>
                <w:spacing w:val="9"/>
                <w:sz w:val="17"/>
                <w:szCs w:val="1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Strong</w:t>
            </w:r>
          </w:p>
        </w:tc>
      </w:tr>
      <w:tr w14:paraId="4A5F9F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3643" w:type="dxa"/>
            <w:gridSpan w:val="6"/>
            <w:tcBorders>
              <w:top w:val="single" w:color="auto" w:sz="12" w:space="0"/>
            </w:tcBorders>
            <w:vAlign w:val="top"/>
          </w:tcPr>
          <w:p w14:paraId="5309A00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textAlignment w:val="baseline"/>
              <w:rPr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Note: This table is not a comprehensive list of all drug–</w:t>
            </w:r>
            <w:r>
              <w:rPr>
                <w:rFonts w:hint="default"/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drug interactions relevant for older adults</w:t>
            </w:r>
            <w:r>
              <w:rPr>
                <w:rFonts w:hint="eastAsia"/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623EBB5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textAlignment w:val="baseline"/>
              <w:rPr>
                <w:color w:val="000000" w:themeColor="text1"/>
                <w:spacing w:val="9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Abbreviations: ACEIs, angiotensin-converting enzyme inhibitors; ARBs, angiotensin receptor blockers; ARNIs, angiotensin receptor-neprilysin inhibitors; CNS, central nervous system; INR, international normalized </w:t>
            </w:r>
            <w:r>
              <w:rPr>
                <w:rFonts w:hint="default"/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ratio; NSAIDs, nonsteroidal anti-inflammatory drugs; RAS, renin-angiotensin system; SNRIs </w:t>
            </w:r>
            <w:r>
              <w:rPr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= </w:t>
            </w:r>
            <w:r>
              <w:rPr>
                <w:rFonts w:hint="default"/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serotonin-norepinephrine reuptake inhibitors; SSRIs, selective serotonin reuptake inhibitors; TCAs, tricyclic antidepressants. </w:t>
            </w:r>
          </w:p>
          <w:p w14:paraId="5D8A3C6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color w:val="000000" w:themeColor="text1"/>
                <w:spacing w:val="9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pacing w:val="9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/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Quality of evidence and strength of recommendation ratings apply to all drugs and recommendations within each criterion unless stated otherwise. </w:t>
            </w:r>
          </w:p>
          <w:p w14:paraId="3CA73A3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color w:val="000000" w:themeColor="text1"/>
                <w:spacing w:val="9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pacing w:val="9"/>
                <w:sz w:val="15"/>
                <w:szCs w:val="15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/>
                <w:color w:val="000000" w:themeColor="text1"/>
                <w:spacing w:val="9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Data are limited for selective peripheral alpha-1 blockers (e.g., tamsulosin, silodosin, and others) but may apply as well.</w:t>
            </w:r>
          </w:p>
          <w:p w14:paraId="7C668103">
            <w:pPr>
              <w:pStyle w:val="9"/>
              <w:spacing w:before="130" w:line="191" w:lineRule="auto"/>
              <w:rPr>
                <w:color w:val="636366"/>
                <w:spacing w:val="9"/>
                <w:sz w:val="17"/>
                <w:szCs w:val="17"/>
              </w:rPr>
            </w:pPr>
          </w:p>
        </w:tc>
      </w:tr>
    </w:tbl>
    <w:p w14:paraId="5FF10C1D">
      <w:pPr>
        <w:sectPr>
          <w:pgSz w:w="15648" w:h="11906" w:orient="landscape"/>
          <w:pgMar w:top="912" w:right="400" w:bottom="231" w:left="40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0761"/>
          </w:cols>
        </w:sectPr>
      </w:pPr>
    </w:p>
    <w:p w14:paraId="375F716C">
      <w:pPr>
        <w:pStyle w:val="2"/>
        <w:spacing w:before="49" w:line="240" w:lineRule="auto"/>
        <w:ind w:right="921"/>
        <w:rPr>
          <w:sz w:val="20"/>
          <w:szCs w:val="20"/>
        </w:rPr>
      </w:pPr>
      <w:r>
        <w:rPr>
          <w:color w:val="636366"/>
          <w:spacing w:val="4"/>
          <w:sz w:val="20"/>
          <w:szCs w:val="20"/>
        </w:rPr>
        <w:t>TABLE</w:t>
      </w:r>
      <w:r>
        <w:rPr>
          <w:color w:val="636366"/>
          <w:spacing w:val="30"/>
          <w:w w:val="102"/>
          <w:sz w:val="20"/>
          <w:szCs w:val="20"/>
        </w:rPr>
        <w:t xml:space="preserve"> </w:t>
      </w:r>
      <w:r>
        <w:rPr>
          <w:rFonts w:hint="eastAsia" w:eastAsia="宋体"/>
          <w:color w:val="636366"/>
          <w:spacing w:val="30"/>
          <w:w w:val="102"/>
          <w:sz w:val="20"/>
          <w:szCs w:val="20"/>
          <w:lang w:val="en-US" w:eastAsia="zh-CN"/>
        </w:rPr>
        <w:t xml:space="preserve">5 </w:t>
      </w:r>
      <w:r>
        <w:rPr>
          <w:color w:val="636366"/>
          <w:spacing w:val="4"/>
          <w:sz w:val="20"/>
          <w:szCs w:val="20"/>
        </w:rPr>
        <w:t xml:space="preserve">    </w:t>
      </w:r>
      <w:r>
        <w:rPr>
          <w:spacing w:val="4"/>
          <w:sz w:val="20"/>
          <w:szCs w:val="20"/>
        </w:rPr>
        <w:t>2023 American Geriatrics Society Beers Criteria</w:t>
      </w:r>
      <w:r>
        <w:rPr>
          <w:rFonts w:ascii="Arial" w:hAnsi="Arial" w:eastAsia="Arial" w:cs="Arial"/>
          <w:spacing w:val="4"/>
          <w:position w:val="7"/>
          <w:sz w:val="20"/>
          <w:szCs w:val="20"/>
        </w:rPr>
        <w:t>®</w:t>
      </w:r>
      <w:r>
        <w:rPr>
          <w:rFonts w:ascii="Arial" w:hAnsi="Arial" w:eastAsia="Arial" w:cs="Arial"/>
          <w:spacing w:val="16"/>
          <w:w w:val="101"/>
          <w:position w:val="7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for medica</w:t>
      </w:r>
      <w:r>
        <w:rPr>
          <w:spacing w:val="3"/>
          <w:sz w:val="20"/>
          <w:szCs w:val="20"/>
        </w:rPr>
        <w:t>tions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that</w:t>
      </w:r>
      <w:r>
        <w:rPr>
          <w:spacing w:val="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should be</w:t>
      </w:r>
      <w:r>
        <w:rPr>
          <w:spacing w:val="9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avoided</w:t>
      </w:r>
      <w:r>
        <w:rPr>
          <w:spacing w:val="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or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have</w:t>
      </w:r>
      <w:r>
        <w:rPr>
          <w:spacing w:val="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their</w:t>
      </w:r>
      <w:r>
        <w:rPr>
          <w:spacing w:val="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dosage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reduced with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varying levels of</w:t>
      </w:r>
      <w:r>
        <w:rPr>
          <w:spacing w:val="-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kidney function in older</w:t>
      </w:r>
      <w:r>
        <w:rPr>
          <w:spacing w:val="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adults.</w:t>
      </w:r>
    </w:p>
    <w:p w14:paraId="735C89DD">
      <w:pPr>
        <w:spacing w:line="100" w:lineRule="exact"/>
      </w:pPr>
    </w:p>
    <w:tbl>
      <w:tblPr>
        <w:tblStyle w:val="8"/>
        <w:tblW w:w="10079" w:type="dxa"/>
        <w:tblInd w:w="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2"/>
        <w:gridCol w:w="608"/>
        <w:gridCol w:w="1473"/>
        <w:gridCol w:w="2160"/>
        <w:gridCol w:w="2082"/>
        <w:gridCol w:w="920"/>
        <w:gridCol w:w="1524"/>
      </w:tblGrid>
      <w:tr w14:paraId="426343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12" w:type="dxa"/>
            <w:tcBorders>
              <w:top w:val="single" w:color="auto" w:sz="12" w:space="0"/>
              <w:bottom w:val="single" w:color="auto" w:sz="8" w:space="0"/>
            </w:tcBorders>
            <w:shd w:val="clear" w:color="auto" w:fill="A3A4A5"/>
            <w:vAlign w:val="top"/>
          </w:tcPr>
          <w:p w14:paraId="6F39A087">
            <w:pPr>
              <w:spacing w:line="263" w:lineRule="auto"/>
              <w:jc w:val="left"/>
              <w:rPr>
                <w:rFonts w:ascii="Arial"/>
                <w:b/>
                <w:bCs/>
                <w:sz w:val="21"/>
              </w:rPr>
            </w:pPr>
          </w:p>
          <w:p w14:paraId="5D4D00C8">
            <w:pPr>
              <w:spacing w:line="263" w:lineRule="auto"/>
              <w:jc w:val="left"/>
              <w:rPr>
                <w:rFonts w:ascii="Arial"/>
                <w:b/>
                <w:bCs/>
                <w:sz w:val="21"/>
              </w:rPr>
            </w:pPr>
          </w:p>
          <w:p w14:paraId="43EAAAC8">
            <w:pPr>
              <w:pStyle w:val="9"/>
              <w:spacing w:before="49" w:line="188" w:lineRule="auto"/>
              <w:ind w:left="145"/>
              <w:jc w:val="lef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1"/>
                <w:sz w:val="17"/>
                <w:szCs w:val="17"/>
              </w:rPr>
              <w:t>Drug</w:t>
            </w:r>
          </w:p>
        </w:tc>
        <w:tc>
          <w:tcPr>
            <w:tcW w:w="2081" w:type="dxa"/>
            <w:gridSpan w:val="2"/>
            <w:tcBorders>
              <w:top w:val="single" w:color="auto" w:sz="12" w:space="0"/>
              <w:bottom w:val="single" w:color="auto" w:sz="8" w:space="0"/>
            </w:tcBorders>
            <w:shd w:val="clear" w:color="auto" w:fill="A3A4A5"/>
            <w:vAlign w:val="top"/>
          </w:tcPr>
          <w:p w14:paraId="2229B2B5">
            <w:pPr>
              <w:pStyle w:val="9"/>
              <w:spacing w:before="106" w:line="256" w:lineRule="auto"/>
              <w:ind w:left="772" w:right="82" w:firstLine="4"/>
              <w:jc w:val="lef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2"/>
                <w:sz w:val="17"/>
                <w:szCs w:val="17"/>
              </w:rPr>
              <w:t>CrCl (mL/min)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13"/>
                <w:sz w:val="17"/>
                <w:szCs w:val="17"/>
              </w:rPr>
              <w:t>at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3"/>
                <w:sz w:val="17"/>
                <w:szCs w:val="17"/>
              </w:rPr>
              <w:t>which action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1"/>
                <w:sz w:val="17"/>
                <w:szCs w:val="17"/>
              </w:rPr>
              <w:t>is required</w:t>
            </w:r>
          </w:p>
        </w:tc>
        <w:tc>
          <w:tcPr>
            <w:tcW w:w="216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3A4A5"/>
            <w:vAlign w:val="top"/>
          </w:tcPr>
          <w:p w14:paraId="425B072B">
            <w:pPr>
              <w:spacing w:line="258" w:lineRule="auto"/>
              <w:jc w:val="left"/>
              <w:rPr>
                <w:rFonts w:ascii="Arial"/>
                <w:b/>
                <w:bCs/>
                <w:sz w:val="21"/>
              </w:rPr>
            </w:pPr>
          </w:p>
          <w:p w14:paraId="199C53C4">
            <w:pPr>
              <w:spacing w:line="259" w:lineRule="auto"/>
              <w:jc w:val="left"/>
              <w:rPr>
                <w:rFonts w:ascii="Arial"/>
                <w:b/>
                <w:bCs/>
                <w:sz w:val="21"/>
              </w:rPr>
            </w:pPr>
          </w:p>
          <w:p w14:paraId="63965849">
            <w:pPr>
              <w:pStyle w:val="9"/>
              <w:spacing w:before="49" w:line="193" w:lineRule="auto"/>
              <w:ind w:left="85"/>
              <w:jc w:val="lef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1"/>
                <w:sz w:val="17"/>
                <w:szCs w:val="17"/>
              </w:rPr>
              <w:t>Rationale</w:t>
            </w:r>
          </w:p>
        </w:tc>
        <w:tc>
          <w:tcPr>
            <w:tcW w:w="2082" w:type="dxa"/>
            <w:tcBorders>
              <w:top w:val="single" w:color="auto" w:sz="12" w:space="0"/>
              <w:bottom w:val="single" w:color="auto" w:sz="8" w:space="0"/>
            </w:tcBorders>
            <w:shd w:val="clear" w:color="auto" w:fill="A3A4A5"/>
            <w:vAlign w:val="top"/>
          </w:tcPr>
          <w:p w14:paraId="7EEC1FC3">
            <w:pPr>
              <w:spacing w:line="258" w:lineRule="auto"/>
              <w:jc w:val="left"/>
              <w:rPr>
                <w:rFonts w:ascii="Arial"/>
                <w:b/>
                <w:bCs/>
                <w:sz w:val="21"/>
              </w:rPr>
            </w:pPr>
          </w:p>
          <w:p w14:paraId="208A1594">
            <w:pPr>
              <w:spacing w:line="259" w:lineRule="auto"/>
              <w:jc w:val="left"/>
              <w:rPr>
                <w:rFonts w:ascii="Arial"/>
                <w:b/>
                <w:bCs/>
                <w:sz w:val="21"/>
              </w:rPr>
            </w:pPr>
          </w:p>
          <w:p w14:paraId="4742978D">
            <w:pPr>
              <w:pStyle w:val="9"/>
              <w:spacing w:before="49" w:line="193" w:lineRule="auto"/>
              <w:ind w:left="6"/>
              <w:jc w:val="lef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4"/>
                <w:sz w:val="17"/>
                <w:szCs w:val="17"/>
              </w:rPr>
              <w:t>Recommendation</w:t>
            </w:r>
          </w:p>
        </w:tc>
        <w:tc>
          <w:tcPr>
            <w:tcW w:w="920" w:type="dxa"/>
            <w:tcBorders>
              <w:top w:val="single" w:color="auto" w:sz="12" w:space="0"/>
              <w:bottom w:val="single" w:color="auto" w:sz="8" w:space="0"/>
            </w:tcBorders>
            <w:shd w:val="clear" w:color="auto" w:fill="A3A4A5"/>
            <w:vAlign w:val="top"/>
          </w:tcPr>
          <w:p w14:paraId="5AB30957">
            <w:pPr>
              <w:spacing w:line="288" w:lineRule="auto"/>
              <w:jc w:val="left"/>
              <w:rPr>
                <w:rFonts w:ascii="Arial"/>
                <w:b/>
                <w:bCs/>
                <w:sz w:val="21"/>
              </w:rPr>
            </w:pPr>
          </w:p>
          <w:p w14:paraId="0DC781D7">
            <w:pPr>
              <w:pStyle w:val="9"/>
              <w:spacing w:before="49" w:line="262" w:lineRule="auto"/>
              <w:ind w:left="5" w:right="64" w:firstLine="2"/>
              <w:jc w:val="lef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Quality of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0"/>
                <w:sz w:val="17"/>
                <w:szCs w:val="17"/>
              </w:rPr>
              <w:t>evidence</w:t>
            </w:r>
          </w:p>
        </w:tc>
        <w:tc>
          <w:tcPr>
            <w:tcW w:w="1524" w:type="dxa"/>
            <w:tcBorders>
              <w:top w:val="single" w:color="auto" w:sz="12" w:space="0"/>
              <w:bottom w:val="single" w:color="auto" w:sz="8" w:space="0"/>
            </w:tcBorders>
            <w:shd w:val="clear" w:color="auto" w:fill="A3A4A5"/>
            <w:vAlign w:val="top"/>
          </w:tcPr>
          <w:p w14:paraId="2BB109B4">
            <w:pPr>
              <w:spacing w:line="288" w:lineRule="auto"/>
              <w:jc w:val="left"/>
              <w:rPr>
                <w:rFonts w:ascii="Arial"/>
                <w:b/>
                <w:bCs/>
                <w:sz w:val="21"/>
              </w:rPr>
            </w:pPr>
          </w:p>
          <w:p w14:paraId="2E995128">
            <w:pPr>
              <w:pStyle w:val="9"/>
              <w:spacing w:before="48" w:line="200" w:lineRule="auto"/>
              <w:ind w:left="85"/>
              <w:jc w:val="lef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2"/>
                <w:sz w:val="17"/>
                <w:szCs w:val="17"/>
              </w:rPr>
              <w:t>Strength of</w:t>
            </w:r>
          </w:p>
          <w:p w14:paraId="22DE7333">
            <w:pPr>
              <w:pStyle w:val="9"/>
              <w:spacing w:before="36" w:line="228" w:lineRule="exact"/>
              <w:ind w:left="83"/>
              <w:jc w:val="lef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5"/>
                <w:position w:val="1"/>
                <w:sz w:val="17"/>
                <w:szCs w:val="17"/>
              </w:rPr>
              <w:t>recommendation</w:t>
            </w:r>
          </w:p>
        </w:tc>
      </w:tr>
      <w:tr w14:paraId="1E779A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3393" w:type="dxa"/>
            <w:gridSpan w:val="3"/>
            <w:tcBorders>
              <w:top w:val="single" w:color="auto" w:sz="8" w:space="0"/>
            </w:tcBorders>
            <w:vAlign w:val="top"/>
          </w:tcPr>
          <w:p w14:paraId="6E1007B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0"/>
              <w:textAlignment w:val="baseline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6"/>
                <w:position w:val="1"/>
                <w:sz w:val="17"/>
                <w:szCs w:val="17"/>
              </w:rPr>
              <w:t>Anti-infective</w:t>
            </w:r>
          </w:p>
          <w:p w14:paraId="125356C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8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Ciprofloxacin                   </w:t>
            </w:r>
            <w:r>
              <w:rPr>
                <w:spacing w:val="8"/>
                <w:sz w:val="17"/>
                <w:szCs w:val="17"/>
              </w:rPr>
              <w:t>&lt;30</w:t>
            </w:r>
          </w:p>
        </w:tc>
        <w:tc>
          <w:tcPr>
            <w:tcW w:w="2160" w:type="dxa"/>
            <w:tcBorders>
              <w:top w:val="single" w:color="auto" w:sz="8" w:space="0"/>
            </w:tcBorders>
            <w:vAlign w:val="top"/>
          </w:tcPr>
          <w:p w14:paraId="3C7212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07B8CA6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Increased risk of CNS</w:t>
            </w:r>
          </w:p>
          <w:p w14:paraId="58A6FE3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4" w:right="311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effects (e.</w:t>
            </w:r>
            <w:bookmarkStart w:id="0" w:name="_GoBack"/>
            <w:bookmarkEnd w:id="0"/>
            <w:r>
              <w:rPr>
                <w:sz w:val="17"/>
                <w:szCs w:val="17"/>
              </w:rPr>
              <w:t>g.,</w:t>
            </w:r>
            <w:r>
              <w:rPr>
                <w:spacing w:val="12"/>
                <w:w w:val="10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seizures,    </w:t>
            </w:r>
            <w:r>
              <w:rPr>
                <w:spacing w:val="4"/>
                <w:sz w:val="17"/>
                <w:szCs w:val="17"/>
              </w:rPr>
              <w:t>confusion) and tendon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rupture.</w:t>
            </w:r>
          </w:p>
        </w:tc>
        <w:tc>
          <w:tcPr>
            <w:tcW w:w="2082" w:type="dxa"/>
            <w:tcBorders>
              <w:top w:val="single" w:color="auto" w:sz="8" w:space="0"/>
            </w:tcBorders>
            <w:vAlign w:val="top"/>
          </w:tcPr>
          <w:p w14:paraId="7B3F13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35F03C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 w:right="556" w:hanging="149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Dosages used to</w:t>
            </w:r>
            <w:r>
              <w:rPr>
                <w:spacing w:val="17"/>
                <w:w w:val="10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treat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common infections</w:t>
            </w:r>
          </w:p>
          <w:p w14:paraId="789DAB4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6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typically require</w:t>
            </w:r>
          </w:p>
          <w:p w14:paraId="7D6EB7E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9" w:right="420" w:hanging="4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reduction when CrCl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 xml:space="preserve">&lt;30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10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10"/>
                <w:sz w:val="17"/>
                <w:szCs w:val="17"/>
              </w:rPr>
              <w:t>.</w:t>
            </w:r>
          </w:p>
        </w:tc>
        <w:tc>
          <w:tcPr>
            <w:tcW w:w="920" w:type="dxa"/>
            <w:tcBorders>
              <w:top w:val="single" w:color="auto" w:sz="8" w:space="0"/>
            </w:tcBorders>
            <w:vAlign w:val="top"/>
          </w:tcPr>
          <w:p w14:paraId="35EE89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7D4A501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tcBorders>
              <w:top w:val="single" w:color="auto" w:sz="8" w:space="0"/>
            </w:tcBorders>
            <w:vAlign w:val="top"/>
          </w:tcPr>
          <w:p w14:paraId="60FC12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591F5DD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07ADD1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3393" w:type="dxa"/>
            <w:gridSpan w:val="3"/>
            <w:shd w:val="clear" w:color="auto" w:fill="E6E7E9"/>
            <w:vAlign w:val="top"/>
          </w:tcPr>
          <w:p w14:paraId="610EAFD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4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Nitrofurantoin</w:t>
            </w:r>
            <w:r>
              <w:rPr>
                <w:spacing w:val="6"/>
                <w:sz w:val="17"/>
                <w:szCs w:val="17"/>
              </w:rPr>
              <w:t xml:space="preserve">                &lt;30</w:t>
            </w:r>
          </w:p>
        </w:tc>
        <w:tc>
          <w:tcPr>
            <w:tcW w:w="2160" w:type="dxa"/>
            <w:shd w:val="clear" w:color="auto" w:fill="E6E7E9"/>
            <w:vAlign w:val="top"/>
          </w:tcPr>
          <w:p w14:paraId="1349BFD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7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Potential for pulmo</w:t>
            </w:r>
            <w:r>
              <w:rPr>
                <w:spacing w:val="3"/>
                <w:sz w:val="17"/>
                <w:szCs w:val="17"/>
              </w:rPr>
              <w:t>nary</w:t>
            </w:r>
          </w:p>
          <w:p w14:paraId="06DD3A2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5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toxicity</w:t>
            </w:r>
            <w:r>
              <w:rPr>
                <w:spacing w:val="10"/>
                <w:sz w:val="17"/>
                <w:szCs w:val="17"/>
              </w:rPr>
              <w:t xml:space="preserve">, </w:t>
            </w:r>
            <w:r>
              <w:rPr>
                <w:sz w:val="17"/>
                <w:szCs w:val="17"/>
              </w:rPr>
              <w:t>hepatoxicity</w:t>
            </w:r>
            <w:r>
              <w:rPr>
                <w:spacing w:val="10"/>
                <w:sz w:val="17"/>
                <w:szCs w:val="17"/>
              </w:rPr>
              <w:t>,</w:t>
            </w:r>
          </w:p>
          <w:p w14:paraId="0285E63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6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and peripheral</w:t>
            </w:r>
          </w:p>
          <w:p w14:paraId="62A32DC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26" w:right="191" w:firstLine="8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neuropathy, especially</w:t>
            </w:r>
            <w:r>
              <w:rPr>
                <w:spacing w:val="1"/>
                <w:sz w:val="17"/>
                <w:szCs w:val="17"/>
              </w:rPr>
              <w:t xml:space="preserve">    </w:t>
            </w:r>
            <w:r>
              <w:rPr>
                <w:sz w:val="17"/>
                <w:szCs w:val="17"/>
              </w:rPr>
              <w:t>with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long</w:t>
            </w:r>
            <w:r>
              <w:rPr>
                <w:spacing w:val="12"/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term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use</w:t>
            </w:r>
            <w:r>
              <w:rPr>
                <w:spacing w:val="6"/>
                <w:sz w:val="17"/>
                <w:szCs w:val="17"/>
              </w:rPr>
              <w:t>.</w:t>
            </w:r>
          </w:p>
        </w:tc>
        <w:tc>
          <w:tcPr>
            <w:tcW w:w="2082" w:type="dxa"/>
            <w:shd w:val="clear" w:color="auto" w:fill="E6E7E9"/>
            <w:vAlign w:val="top"/>
          </w:tcPr>
          <w:p w14:paraId="7443D36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 w:right="444" w:hanging="154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if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6"/>
                <w:sz w:val="17"/>
                <w:szCs w:val="17"/>
              </w:rPr>
              <w:t xml:space="preserve"> &lt;30</w:t>
            </w:r>
            <w:r>
              <w:rPr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6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min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7FADF54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"/>
              <w:textAlignment w:val="baseline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Low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7C9F8A3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0A52CA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0" w:hRule="atLeast"/>
        </w:trPr>
        <w:tc>
          <w:tcPr>
            <w:tcW w:w="1920" w:type="dxa"/>
            <w:gridSpan w:val="2"/>
            <w:vAlign w:val="top"/>
          </w:tcPr>
          <w:p w14:paraId="0DEE120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2"/>
              <w:textAlignment w:val="baseline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Trimethoprim-</w:t>
            </w:r>
          </w:p>
          <w:p w14:paraId="071FF61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06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position w:val="1"/>
                <w:sz w:val="17"/>
                <w:szCs w:val="17"/>
              </w:rPr>
              <w:t>sulfamethoxazole</w:t>
            </w:r>
          </w:p>
        </w:tc>
        <w:tc>
          <w:tcPr>
            <w:tcW w:w="1473" w:type="dxa"/>
            <w:vAlign w:val="top"/>
          </w:tcPr>
          <w:p w14:paraId="4332F26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71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&lt;30</w:t>
            </w:r>
          </w:p>
        </w:tc>
        <w:tc>
          <w:tcPr>
            <w:tcW w:w="2160" w:type="dxa"/>
            <w:vAlign w:val="top"/>
          </w:tcPr>
          <w:p w14:paraId="2A349CC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position w:val="1"/>
                <w:sz w:val="17"/>
                <w:szCs w:val="17"/>
              </w:rPr>
              <w:t>Increased risk</w:t>
            </w:r>
            <w:r>
              <w:rPr>
                <w:spacing w:val="8"/>
                <w:position w:val="1"/>
                <w:sz w:val="17"/>
                <w:szCs w:val="17"/>
              </w:rPr>
              <w:t xml:space="preserve"> </w:t>
            </w:r>
            <w:r>
              <w:rPr>
                <w:spacing w:val="3"/>
                <w:position w:val="1"/>
                <w:sz w:val="17"/>
                <w:szCs w:val="17"/>
              </w:rPr>
              <w:t>of</w:t>
            </w:r>
          </w:p>
          <w:p w14:paraId="46DB377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26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worsening of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kidney</w:t>
            </w:r>
          </w:p>
          <w:p w14:paraId="5F1670C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2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position w:val="1"/>
                <w:sz w:val="17"/>
                <w:szCs w:val="17"/>
              </w:rPr>
              <w:t>function and</w:t>
            </w:r>
          </w:p>
          <w:p w14:paraId="5994DA6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3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hyperkalemia; risk of</w:t>
            </w:r>
          </w:p>
          <w:p w14:paraId="1042517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3" w:right="209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hyperkalemia especially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prominent with</w:t>
            </w:r>
          </w:p>
          <w:p w14:paraId="503029E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0" w:right="427" w:firstLine="5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concurrent use of an</w:t>
            </w:r>
            <w:r>
              <w:rPr>
                <w:spacing w:val="1"/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>ACE, ARB, or ARNI.</w:t>
            </w:r>
          </w:p>
        </w:tc>
        <w:tc>
          <w:tcPr>
            <w:tcW w:w="2082" w:type="dxa"/>
            <w:vAlign w:val="top"/>
          </w:tcPr>
          <w:p w14:paraId="0CC00F6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1" w:right="343" w:hanging="154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Reduce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dosage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if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is </w:t>
            </w:r>
            <w:r>
              <w:rPr>
                <w:spacing w:val="7"/>
                <w:sz w:val="17"/>
                <w:szCs w:val="17"/>
              </w:rPr>
              <w:t xml:space="preserve">15-29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7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7"/>
                <w:sz w:val="17"/>
                <w:szCs w:val="17"/>
              </w:rPr>
              <w:t>.</w:t>
            </w:r>
          </w:p>
          <w:p w14:paraId="48B0879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 w:right="444" w:hanging="154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if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6"/>
                <w:sz w:val="17"/>
                <w:szCs w:val="17"/>
              </w:rPr>
              <w:t xml:space="preserve"> &lt;15</w:t>
            </w:r>
            <w:r>
              <w:rPr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6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min.</w:t>
            </w:r>
          </w:p>
        </w:tc>
        <w:tc>
          <w:tcPr>
            <w:tcW w:w="920" w:type="dxa"/>
            <w:vAlign w:val="top"/>
          </w:tcPr>
          <w:p w14:paraId="0BF376A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vAlign w:val="top"/>
          </w:tcPr>
          <w:p w14:paraId="4C4187A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17DC606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393" w:type="dxa"/>
            <w:gridSpan w:val="3"/>
            <w:shd w:val="clear" w:color="auto" w:fill="E6E7E9"/>
            <w:vAlign w:val="top"/>
          </w:tcPr>
          <w:p w14:paraId="0893352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9"/>
              <w:textAlignment w:val="baseline"/>
              <w:rPr>
                <w:sz w:val="17"/>
                <w:szCs w:val="17"/>
              </w:rPr>
            </w:pPr>
            <w:r>
              <w:rPr>
                <w:b/>
                <w:bCs/>
                <w:spacing w:val="11"/>
                <w:sz w:val="17"/>
                <w:szCs w:val="17"/>
              </w:rPr>
              <w:t>Cardiovascular and antithrombotics</w:t>
            </w:r>
          </w:p>
        </w:tc>
        <w:tc>
          <w:tcPr>
            <w:tcW w:w="2160" w:type="dxa"/>
            <w:shd w:val="clear" w:color="auto" w:fill="E6E7E9"/>
            <w:vAlign w:val="top"/>
          </w:tcPr>
          <w:p w14:paraId="09EEF8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082" w:type="dxa"/>
            <w:shd w:val="clear" w:color="auto" w:fill="E6E7E9"/>
            <w:vAlign w:val="top"/>
          </w:tcPr>
          <w:p w14:paraId="255502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920" w:type="dxa"/>
            <w:shd w:val="clear" w:color="auto" w:fill="E6E7E9"/>
            <w:vAlign w:val="top"/>
          </w:tcPr>
          <w:p w14:paraId="608A17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24" w:type="dxa"/>
            <w:shd w:val="clear" w:color="auto" w:fill="E6E7E9"/>
            <w:vAlign w:val="top"/>
          </w:tcPr>
          <w:p w14:paraId="002045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</w:tr>
      <w:tr w14:paraId="4A6D87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393" w:type="dxa"/>
            <w:gridSpan w:val="3"/>
            <w:shd w:val="clear" w:color="auto" w:fill="E6E7E9"/>
            <w:vAlign w:val="top"/>
          </w:tcPr>
          <w:p w14:paraId="344AB48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0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Amiloride</w:t>
            </w:r>
            <w:r>
              <w:rPr>
                <w:spacing w:val="1"/>
                <w:sz w:val="17"/>
                <w:szCs w:val="17"/>
              </w:rPr>
              <w:t xml:space="preserve">                        </w:t>
            </w:r>
            <w:r>
              <w:rPr>
                <w:spacing w:val="11"/>
                <w:sz w:val="17"/>
                <w:szCs w:val="17"/>
              </w:rPr>
              <w:t>&lt;30</w:t>
            </w:r>
          </w:p>
        </w:tc>
        <w:tc>
          <w:tcPr>
            <w:tcW w:w="2160" w:type="dxa"/>
            <w:shd w:val="clear" w:color="auto" w:fill="E6E7E9"/>
            <w:vAlign w:val="top"/>
          </w:tcPr>
          <w:p w14:paraId="3880C5D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3" w:right="750" w:hanging="147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Hyperkalemia and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hyponatremia</w:t>
            </w:r>
          </w:p>
        </w:tc>
        <w:tc>
          <w:tcPr>
            <w:tcW w:w="2082" w:type="dxa"/>
            <w:shd w:val="clear" w:color="auto" w:fill="E6E7E9"/>
            <w:vAlign w:val="top"/>
          </w:tcPr>
          <w:p w14:paraId="656F284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3D4C141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31317C6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39DFAE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9" w:hRule="atLeast"/>
        </w:trPr>
        <w:tc>
          <w:tcPr>
            <w:tcW w:w="3393" w:type="dxa"/>
            <w:gridSpan w:val="3"/>
            <w:vAlign w:val="top"/>
          </w:tcPr>
          <w:p w14:paraId="79CEB47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5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Dabigatran</w:t>
            </w:r>
            <w:r>
              <w:rPr>
                <w:spacing w:val="3"/>
                <w:sz w:val="17"/>
                <w:szCs w:val="17"/>
              </w:rPr>
              <w:t xml:space="preserve">                      &lt;30</w:t>
            </w:r>
          </w:p>
        </w:tc>
        <w:tc>
          <w:tcPr>
            <w:tcW w:w="2160" w:type="dxa"/>
            <w:vAlign w:val="top"/>
          </w:tcPr>
          <w:p w14:paraId="5254CCF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7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Lack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of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evidence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for</w:t>
            </w:r>
          </w:p>
          <w:p w14:paraId="4C63BE0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5" w:right="261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efficacy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and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safety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in     </w:t>
            </w:r>
            <w:r>
              <w:rPr>
                <w:spacing w:val="3"/>
                <w:sz w:val="17"/>
                <w:szCs w:val="17"/>
              </w:rPr>
              <w:t>individuals with a CrCl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 xml:space="preserve">&lt;30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10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10"/>
                <w:sz w:val="17"/>
                <w:szCs w:val="17"/>
              </w:rPr>
              <w:t>.</w:t>
            </w:r>
            <w:r>
              <w:rPr>
                <w:spacing w:val="13"/>
                <w:w w:val="10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Label</w:t>
            </w:r>
          </w:p>
          <w:p w14:paraId="2F5F020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dose for patients with</w:t>
            </w:r>
          </w:p>
          <w:p w14:paraId="0E8567D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1" w:right="487" w:firstLine="7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CrCl</w:t>
            </w:r>
            <w:r>
              <w:rPr>
                <w:spacing w:val="17"/>
                <w:w w:val="101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 xml:space="preserve">15-30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8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 xml:space="preserve">min </w:t>
            </w:r>
            <w:r>
              <w:rPr>
                <w:spacing w:val="3"/>
                <w:sz w:val="17"/>
                <w:szCs w:val="17"/>
              </w:rPr>
              <w:t>based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on</w:t>
            </w:r>
          </w:p>
          <w:p w14:paraId="50EA258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3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pharmacokinetic data.</w:t>
            </w:r>
          </w:p>
        </w:tc>
        <w:tc>
          <w:tcPr>
            <w:tcW w:w="2082" w:type="dxa"/>
            <w:vAlign w:val="top"/>
          </w:tcPr>
          <w:p w14:paraId="520B886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Avoid when CrCl</w:t>
            </w:r>
          </w:p>
          <w:p w14:paraId="334736E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9"/>
              <w:textAlignment w:val="baseline"/>
              <w:rPr>
                <w:sz w:val="17"/>
                <w:szCs w:val="17"/>
              </w:rPr>
            </w:pPr>
            <w:r>
              <w:rPr>
                <w:spacing w:val="10"/>
                <w:sz w:val="17"/>
                <w:szCs w:val="17"/>
              </w:rPr>
              <w:t xml:space="preserve">&lt;30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10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10"/>
                <w:sz w:val="17"/>
                <w:szCs w:val="17"/>
              </w:rPr>
              <w:t xml:space="preserve">; </w:t>
            </w:r>
            <w:r>
              <w:rPr>
                <w:sz w:val="17"/>
                <w:szCs w:val="17"/>
              </w:rPr>
              <w:t>dose</w:t>
            </w:r>
          </w:p>
          <w:p w14:paraId="7DCCBD3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6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adjustment is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advised</w:t>
            </w:r>
          </w:p>
          <w:p w14:paraId="40784B4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 w:right="177" w:hanging="8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when</w:t>
            </w:r>
            <w:r>
              <w:rPr>
                <w:spacing w:val="18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15"/>
                <w:sz w:val="17"/>
                <w:szCs w:val="17"/>
              </w:rPr>
              <w:t xml:space="preserve"> </w:t>
            </w:r>
            <w:r>
              <w:rPr>
                <w:spacing w:val="18"/>
                <w:sz w:val="17"/>
                <w:szCs w:val="17"/>
              </w:rPr>
              <w:t>&gt;30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18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 xml:space="preserve">min </w:t>
            </w:r>
            <w:r>
              <w:rPr>
                <w:spacing w:val="5"/>
                <w:sz w:val="17"/>
                <w:szCs w:val="17"/>
              </w:rPr>
              <w:t>in the presence of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drug-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3"/>
                <w:sz w:val="17"/>
                <w:szCs w:val="17"/>
              </w:rPr>
              <w:t>drug interactions.</w:t>
            </w:r>
          </w:p>
        </w:tc>
        <w:tc>
          <w:tcPr>
            <w:tcW w:w="920" w:type="dxa"/>
            <w:vAlign w:val="top"/>
          </w:tcPr>
          <w:p w14:paraId="51092EE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vAlign w:val="top"/>
          </w:tcPr>
          <w:p w14:paraId="636B8FB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202B7ED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3393" w:type="dxa"/>
            <w:gridSpan w:val="3"/>
            <w:shd w:val="clear" w:color="auto" w:fill="E6E7E9"/>
            <w:vAlign w:val="top"/>
          </w:tcPr>
          <w:p w14:paraId="629B775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5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Dofetilide                         </w:t>
            </w:r>
            <w:r>
              <w:rPr>
                <w:spacing w:val="6"/>
                <w:sz w:val="17"/>
                <w:szCs w:val="17"/>
              </w:rPr>
              <w:t>&lt;60</w:t>
            </w:r>
          </w:p>
        </w:tc>
        <w:tc>
          <w:tcPr>
            <w:tcW w:w="2160" w:type="dxa"/>
            <w:shd w:val="clear" w:color="auto" w:fill="E6E7E9"/>
            <w:vAlign w:val="top"/>
          </w:tcPr>
          <w:p w14:paraId="1E93787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5" w:right="503" w:hanging="147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QTc prolongation and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torsades de pointes.</w:t>
            </w:r>
          </w:p>
        </w:tc>
        <w:tc>
          <w:tcPr>
            <w:tcW w:w="2082" w:type="dxa"/>
            <w:shd w:val="clear" w:color="auto" w:fill="E6E7E9"/>
            <w:vAlign w:val="top"/>
          </w:tcPr>
          <w:p w14:paraId="6D2666E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Reduce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dose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if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is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20-</w:t>
            </w:r>
          </w:p>
          <w:p w14:paraId="017851E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59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7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7"/>
                <w:sz w:val="17"/>
                <w:szCs w:val="17"/>
              </w:rPr>
              <w:t>.</w:t>
            </w:r>
          </w:p>
          <w:p w14:paraId="6344091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 w:right="444" w:hanging="154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if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6"/>
                <w:sz w:val="17"/>
                <w:szCs w:val="17"/>
              </w:rPr>
              <w:t xml:space="preserve"> &lt;20</w:t>
            </w:r>
            <w:r>
              <w:rPr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6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min.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7F8A94F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0380698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32E367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3393" w:type="dxa"/>
            <w:gridSpan w:val="3"/>
            <w:vAlign w:val="top"/>
          </w:tcPr>
          <w:p w14:paraId="6E4170E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5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Edoxaban                         </w:t>
            </w:r>
            <w:r>
              <w:rPr>
                <w:spacing w:val="6"/>
                <w:sz w:val="17"/>
                <w:szCs w:val="17"/>
              </w:rPr>
              <w:t>15-50</w:t>
            </w:r>
          </w:p>
          <w:p w14:paraId="60B49D6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91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 xml:space="preserve">&lt;15 </w:t>
            </w:r>
            <w:r>
              <w:rPr>
                <w:sz w:val="17"/>
                <w:szCs w:val="17"/>
              </w:rPr>
              <w:t>or</w:t>
            </w:r>
            <w:r>
              <w:rPr>
                <w:spacing w:val="16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&gt;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95</w:t>
            </w:r>
          </w:p>
        </w:tc>
        <w:tc>
          <w:tcPr>
            <w:tcW w:w="2160" w:type="dxa"/>
            <w:vAlign w:val="top"/>
          </w:tcPr>
          <w:p w14:paraId="63D56C0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7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Lack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of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evidence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of</w:t>
            </w:r>
          </w:p>
          <w:p w14:paraId="7A336A1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3" w:right="551" w:firstLine="2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efficacy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or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safety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in </w:t>
            </w:r>
            <w:r>
              <w:rPr>
                <w:spacing w:val="3"/>
                <w:sz w:val="17"/>
                <w:szCs w:val="17"/>
              </w:rPr>
              <w:t>patients with CrCl</w:t>
            </w:r>
            <w:r>
              <w:rPr>
                <w:spacing w:val="5"/>
                <w:sz w:val="17"/>
                <w:szCs w:val="17"/>
              </w:rPr>
              <w:t xml:space="preserve">  </w:t>
            </w:r>
            <w:r>
              <w:rPr>
                <w:spacing w:val="11"/>
                <w:sz w:val="17"/>
                <w:szCs w:val="17"/>
              </w:rPr>
              <w:t xml:space="preserve">&lt;30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11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11"/>
                <w:sz w:val="17"/>
                <w:szCs w:val="17"/>
              </w:rPr>
              <w:t>.</w:t>
            </w:r>
          </w:p>
        </w:tc>
        <w:tc>
          <w:tcPr>
            <w:tcW w:w="2082" w:type="dxa"/>
            <w:vAlign w:val="top"/>
          </w:tcPr>
          <w:p w14:paraId="585EC82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Reduce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dose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if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is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15-</w:t>
            </w:r>
          </w:p>
          <w:p w14:paraId="2F74BA9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0"/>
              <w:textAlignment w:val="baseline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50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7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7"/>
                <w:sz w:val="17"/>
                <w:szCs w:val="17"/>
              </w:rPr>
              <w:t>.</w:t>
            </w:r>
          </w:p>
          <w:p w14:paraId="438BF4C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if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&lt;15</w:t>
            </w:r>
          </w:p>
          <w:p w14:paraId="07ED531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6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or</w:t>
            </w:r>
            <w:r>
              <w:rPr>
                <w:spacing w:val="19"/>
                <w:w w:val="102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 xml:space="preserve">&gt; 95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9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9"/>
                <w:sz w:val="17"/>
                <w:szCs w:val="17"/>
              </w:rPr>
              <w:t>.</w:t>
            </w:r>
          </w:p>
        </w:tc>
        <w:tc>
          <w:tcPr>
            <w:tcW w:w="920" w:type="dxa"/>
            <w:vAlign w:val="top"/>
          </w:tcPr>
          <w:p w14:paraId="196352E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vAlign w:val="top"/>
          </w:tcPr>
          <w:p w14:paraId="04F6578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4FFEB4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393" w:type="dxa"/>
            <w:gridSpan w:val="3"/>
            <w:shd w:val="clear" w:color="auto" w:fill="E6E7E9"/>
            <w:vAlign w:val="top"/>
          </w:tcPr>
          <w:p w14:paraId="370878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5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Enoxaparin</w:t>
            </w:r>
            <w:r>
              <w:rPr>
                <w:spacing w:val="4"/>
                <w:sz w:val="17"/>
                <w:szCs w:val="17"/>
              </w:rPr>
              <w:t xml:space="preserve">                     &lt;30</w:t>
            </w:r>
          </w:p>
        </w:tc>
        <w:tc>
          <w:tcPr>
            <w:tcW w:w="2160" w:type="dxa"/>
            <w:shd w:val="clear" w:color="auto" w:fill="E6E7E9"/>
            <w:vAlign w:val="top"/>
          </w:tcPr>
          <w:p w14:paraId="04F69E9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Increased risk of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bleeding</w:t>
            </w:r>
          </w:p>
        </w:tc>
        <w:tc>
          <w:tcPr>
            <w:tcW w:w="2082" w:type="dxa"/>
            <w:shd w:val="clear" w:color="auto" w:fill="E6E7E9"/>
            <w:vAlign w:val="top"/>
          </w:tcPr>
          <w:p w14:paraId="54D9C90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Reduce dose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1210EF2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11C42EA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4C4114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393" w:type="dxa"/>
            <w:gridSpan w:val="3"/>
            <w:vAlign w:val="top"/>
          </w:tcPr>
          <w:p w14:paraId="79E52AF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5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Fondaparinux</w:t>
            </w:r>
            <w:r>
              <w:rPr>
                <w:spacing w:val="5"/>
                <w:sz w:val="17"/>
                <w:szCs w:val="17"/>
              </w:rPr>
              <w:t xml:space="preserve">                 &lt;30</w:t>
            </w:r>
          </w:p>
        </w:tc>
        <w:tc>
          <w:tcPr>
            <w:tcW w:w="2160" w:type="dxa"/>
            <w:vAlign w:val="top"/>
          </w:tcPr>
          <w:p w14:paraId="5CA6010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Increased risk of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bleeding</w:t>
            </w:r>
          </w:p>
        </w:tc>
        <w:tc>
          <w:tcPr>
            <w:tcW w:w="2082" w:type="dxa"/>
            <w:vAlign w:val="top"/>
          </w:tcPr>
          <w:p w14:paraId="1655B0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</w:p>
        </w:tc>
        <w:tc>
          <w:tcPr>
            <w:tcW w:w="920" w:type="dxa"/>
            <w:vAlign w:val="top"/>
          </w:tcPr>
          <w:p w14:paraId="027EA28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vAlign w:val="top"/>
          </w:tcPr>
          <w:p w14:paraId="7664633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09CE3A1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0" w:hRule="atLeast"/>
        </w:trPr>
        <w:tc>
          <w:tcPr>
            <w:tcW w:w="3393" w:type="dxa"/>
            <w:gridSpan w:val="3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1C6719F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6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Rivaroxaban</w:t>
            </w:r>
            <w:r>
              <w:rPr>
                <w:spacing w:val="2"/>
                <w:sz w:val="17"/>
                <w:szCs w:val="17"/>
              </w:rPr>
              <w:t xml:space="preserve">                    &lt;50</w:t>
            </w:r>
          </w:p>
        </w:tc>
        <w:tc>
          <w:tcPr>
            <w:tcW w:w="2160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43646BA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5" w:right="233" w:hanging="148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Lack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of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efficacy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or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safety   </w:t>
            </w:r>
            <w:r>
              <w:rPr>
                <w:spacing w:val="3"/>
                <w:sz w:val="17"/>
                <w:szCs w:val="17"/>
              </w:rPr>
              <w:t>evidence in people with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10"/>
                <w:sz w:val="17"/>
                <w:szCs w:val="17"/>
              </w:rPr>
              <w:t xml:space="preserve"> &lt;15</w:t>
            </w:r>
            <w:r>
              <w:rPr>
                <w:spacing w:val="11"/>
                <w:w w:val="10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10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10"/>
                <w:sz w:val="17"/>
                <w:szCs w:val="17"/>
              </w:rPr>
              <w:t>;</w:t>
            </w:r>
          </w:p>
          <w:p w14:paraId="557E342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8" w:right="446" w:hanging="4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limited evidence for</w:t>
            </w:r>
            <w:r>
              <w:rPr>
                <w:spacing w:val="4"/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15"/>
                <w:w w:val="10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 xml:space="preserve">15-30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7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7"/>
                <w:sz w:val="17"/>
                <w:szCs w:val="17"/>
              </w:rPr>
              <w:t>.</w:t>
            </w:r>
          </w:p>
        </w:tc>
        <w:tc>
          <w:tcPr>
            <w:tcW w:w="2082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80AB4B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 w:right="444" w:hanging="154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if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6"/>
                <w:sz w:val="17"/>
                <w:szCs w:val="17"/>
              </w:rPr>
              <w:t xml:space="preserve"> &lt;15</w:t>
            </w:r>
            <w:r>
              <w:rPr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6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min.</w:t>
            </w:r>
          </w:p>
          <w:p w14:paraId="097F085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1" w:right="233" w:hanging="154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Reduce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the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dose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if</w:t>
            </w:r>
            <w:r>
              <w:rPr>
                <w:spacing w:val="1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CrCl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is </w:t>
            </w:r>
            <w:r>
              <w:rPr>
                <w:spacing w:val="8"/>
                <w:sz w:val="17"/>
                <w:szCs w:val="17"/>
              </w:rPr>
              <w:t xml:space="preserve">15-50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8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</w:p>
          <w:p w14:paraId="4EFE666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3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following manufacturer</w:t>
            </w:r>
          </w:p>
          <w:p w14:paraId="30EC1F1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dosing</w:t>
            </w:r>
          </w:p>
          <w:p w14:paraId="701D033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 w:right="197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recommendations based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on indication-specific</w:t>
            </w:r>
          </w:p>
          <w:p w14:paraId="5AFC095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dosing</w:t>
            </w:r>
            <w:r>
              <w:rPr>
                <w:spacing w:val="9"/>
                <w:sz w:val="17"/>
                <w:szCs w:val="17"/>
              </w:rPr>
              <w:t>.</w:t>
            </w:r>
          </w:p>
        </w:tc>
        <w:tc>
          <w:tcPr>
            <w:tcW w:w="920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1508E8F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5E45E8F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1E460B9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079" w:type="dxa"/>
            <w:gridSpan w:val="7"/>
            <w:tcBorders>
              <w:top w:val="single" w:color="auto" w:sz="12" w:space="0"/>
            </w:tcBorders>
            <w:vAlign w:val="top"/>
          </w:tcPr>
          <w:p w14:paraId="1DD3AC89">
            <w:pPr>
              <w:pStyle w:val="9"/>
              <w:spacing w:before="116" w:line="179" w:lineRule="auto"/>
              <w:jc w:val="right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(Continues)</w:t>
            </w:r>
          </w:p>
        </w:tc>
      </w:tr>
    </w:tbl>
    <w:p w14:paraId="378C610B">
      <w:pPr>
        <w:rPr>
          <w:rFonts w:ascii="Arial" w:hAnsi="Arial" w:eastAsia="Arial" w:cs="Arial"/>
          <w:sz w:val="21"/>
          <w:szCs w:val="21"/>
        </w:rPr>
        <w:sectPr>
          <w:pgSz w:w="11906" w:h="15648"/>
          <w:pgMar w:top="400" w:right="231" w:bottom="400" w:left="910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2E651B38">
      <w:pPr>
        <w:spacing w:line="52" w:lineRule="exact"/>
      </w:pPr>
    </w:p>
    <w:tbl>
      <w:tblPr>
        <w:tblStyle w:val="8"/>
        <w:tblW w:w="10079" w:type="dxa"/>
        <w:tblInd w:w="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303"/>
        <w:gridCol w:w="1395"/>
        <w:gridCol w:w="2161"/>
        <w:gridCol w:w="2081"/>
        <w:gridCol w:w="920"/>
        <w:gridCol w:w="1524"/>
      </w:tblGrid>
      <w:tr w14:paraId="6BE5CFB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0079" w:type="dxa"/>
            <w:gridSpan w:val="7"/>
            <w:tcBorders>
              <w:top w:val="nil"/>
              <w:bottom w:val="single" w:color="auto" w:sz="12" w:space="0"/>
            </w:tcBorders>
            <w:vAlign w:val="top"/>
          </w:tcPr>
          <w:p w14:paraId="51A76A0D">
            <w:pPr>
              <w:pStyle w:val="9"/>
              <w:spacing w:before="130" w:line="191" w:lineRule="auto"/>
              <w:ind w:left="2"/>
              <w:rPr>
                <w:sz w:val="17"/>
                <w:szCs w:val="17"/>
              </w:rPr>
            </w:pPr>
            <w:r>
              <w:rPr>
                <w:color w:val="636366"/>
                <w:spacing w:val="9"/>
                <w:sz w:val="17"/>
                <w:szCs w:val="17"/>
              </w:rPr>
              <w:t>TABLE</w:t>
            </w:r>
            <w:r>
              <w:rPr>
                <w:color w:val="636366"/>
                <w:spacing w:val="36"/>
                <w:sz w:val="17"/>
                <w:szCs w:val="17"/>
              </w:rPr>
              <w:t xml:space="preserve"> </w:t>
            </w:r>
            <w:r>
              <w:rPr>
                <w:rFonts w:hint="eastAsia" w:eastAsia="宋体"/>
                <w:color w:val="636366"/>
                <w:spacing w:val="9"/>
                <w:sz w:val="17"/>
                <w:szCs w:val="17"/>
                <w:lang w:val="en-US" w:eastAsia="zh-CN"/>
              </w:rPr>
              <w:t>5</w:t>
            </w:r>
            <w:r>
              <w:rPr>
                <w:color w:val="636366"/>
                <w:spacing w:val="3"/>
                <w:sz w:val="17"/>
                <w:szCs w:val="17"/>
              </w:rPr>
              <w:t xml:space="preserve">     </w:t>
            </w:r>
            <w:r>
              <w:rPr>
                <w:spacing w:val="9"/>
                <w:sz w:val="17"/>
                <w:szCs w:val="17"/>
              </w:rPr>
              <w:t>(Continued)</w:t>
            </w:r>
          </w:p>
        </w:tc>
      </w:tr>
      <w:tr w14:paraId="1D40E5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695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4D4311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42F62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2AC59B0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5"/>
              <w:jc w:val="left"/>
              <w:textAlignment w:val="baseline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1"/>
                <w:sz w:val="17"/>
                <w:szCs w:val="17"/>
              </w:rPr>
              <w:t>Drug</w:t>
            </w:r>
          </w:p>
        </w:tc>
        <w:tc>
          <w:tcPr>
            <w:tcW w:w="1698" w:type="dxa"/>
            <w:gridSpan w:val="2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41ECCC9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89" w:right="82" w:firstLine="4"/>
              <w:jc w:val="left"/>
              <w:textAlignment w:val="baseline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2"/>
                <w:sz w:val="17"/>
                <w:szCs w:val="17"/>
              </w:rPr>
              <w:t>CrCl (mL/min)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13"/>
                <w:sz w:val="17"/>
                <w:szCs w:val="17"/>
              </w:rPr>
              <w:t>at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3"/>
                <w:sz w:val="17"/>
                <w:szCs w:val="17"/>
              </w:rPr>
              <w:t>which action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1"/>
                <w:sz w:val="17"/>
                <w:szCs w:val="17"/>
              </w:rPr>
              <w:t>is required</w:t>
            </w:r>
          </w:p>
        </w:tc>
        <w:tc>
          <w:tcPr>
            <w:tcW w:w="2161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4C7553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18B2AD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10E18F4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jc w:val="left"/>
              <w:textAlignment w:val="baseline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1"/>
                <w:sz w:val="17"/>
                <w:szCs w:val="17"/>
              </w:rPr>
              <w:t>Rationale</w:t>
            </w:r>
          </w:p>
        </w:tc>
        <w:tc>
          <w:tcPr>
            <w:tcW w:w="2081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59C997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539ED3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0A73D98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jc w:val="left"/>
              <w:textAlignment w:val="baseline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4"/>
                <w:sz w:val="17"/>
                <w:szCs w:val="17"/>
              </w:rPr>
              <w:t>Recommendation</w:t>
            </w:r>
          </w:p>
        </w:tc>
        <w:tc>
          <w:tcPr>
            <w:tcW w:w="920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5F1E74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64FA09B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 w:right="62" w:firstLine="2"/>
              <w:jc w:val="left"/>
              <w:textAlignment w:val="baseline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Quality of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0"/>
                <w:sz w:val="17"/>
                <w:szCs w:val="17"/>
              </w:rPr>
              <w:t>evidence</w:t>
            </w:r>
          </w:p>
        </w:tc>
        <w:tc>
          <w:tcPr>
            <w:tcW w:w="1524" w:type="dxa"/>
            <w:tcBorders>
              <w:top w:val="single" w:color="auto" w:sz="12" w:space="0"/>
              <w:bottom w:val="single" w:color="auto" w:sz="8" w:space="0"/>
            </w:tcBorders>
            <w:shd w:val="clear" w:color="auto" w:fill="D1D2D4"/>
            <w:vAlign w:val="top"/>
          </w:tcPr>
          <w:p w14:paraId="0F3CFF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/>
                <w:b/>
                <w:bCs/>
                <w:sz w:val="21"/>
              </w:rPr>
            </w:pPr>
          </w:p>
          <w:p w14:paraId="28C4E7C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7"/>
              <w:jc w:val="left"/>
              <w:textAlignment w:val="baseline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2"/>
                <w:sz w:val="17"/>
                <w:szCs w:val="17"/>
              </w:rPr>
              <w:t>Strength of</w:t>
            </w:r>
          </w:p>
          <w:p w14:paraId="436674E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jc w:val="left"/>
              <w:textAlignment w:val="baseline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15"/>
                <w:position w:val="1"/>
                <w:sz w:val="17"/>
                <w:szCs w:val="17"/>
              </w:rPr>
              <w:t>recommendation</w:t>
            </w:r>
          </w:p>
        </w:tc>
      </w:tr>
      <w:tr w14:paraId="448013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393" w:type="dxa"/>
            <w:gridSpan w:val="3"/>
            <w:tcBorders>
              <w:top w:val="single" w:color="auto" w:sz="8" w:space="0"/>
            </w:tcBorders>
            <w:vAlign w:val="top"/>
          </w:tcPr>
          <w:p w14:paraId="05F5D09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5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Spironolactone</w:t>
            </w:r>
            <w:r>
              <w:rPr>
                <w:spacing w:val="3"/>
                <w:sz w:val="17"/>
                <w:szCs w:val="17"/>
              </w:rPr>
              <w:t xml:space="preserve">                &lt;30</w:t>
            </w:r>
          </w:p>
        </w:tc>
        <w:tc>
          <w:tcPr>
            <w:tcW w:w="2161" w:type="dxa"/>
            <w:tcBorders>
              <w:top w:val="single" w:color="auto" w:sz="8" w:space="0"/>
            </w:tcBorders>
            <w:vAlign w:val="top"/>
          </w:tcPr>
          <w:p w14:paraId="33015F8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6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Hyperkalemia</w:t>
            </w:r>
          </w:p>
        </w:tc>
        <w:tc>
          <w:tcPr>
            <w:tcW w:w="2081" w:type="dxa"/>
            <w:tcBorders>
              <w:top w:val="single" w:color="auto" w:sz="8" w:space="0"/>
            </w:tcBorders>
            <w:vAlign w:val="top"/>
          </w:tcPr>
          <w:p w14:paraId="7252B01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</w:p>
        </w:tc>
        <w:tc>
          <w:tcPr>
            <w:tcW w:w="920" w:type="dxa"/>
            <w:tcBorders>
              <w:top w:val="single" w:color="auto" w:sz="8" w:space="0"/>
            </w:tcBorders>
            <w:vAlign w:val="top"/>
          </w:tcPr>
          <w:p w14:paraId="17A992E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tcBorders>
              <w:top w:val="single" w:color="auto" w:sz="8" w:space="0"/>
            </w:tcBorders>
            <w:vAlign w:val="top"/>
          </w:tcPr>
          <w:p w14:paraId="1AF0073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64CD4E9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393" w:type="dxa"/>
            <w:gridSpan w:val="3"/>
            <w:shd w:val="clear" w:color="auto" w:fill="E6E7E9"/>
            <w:vAlign w:val="top"/>
          </w:tcPr>
          <w:p w14:paraId="42D7EDF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2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Triamterene</w:t>
            </w:r>
            <w:r>
              <w:rPr>
                <w:spacing w:val="4"/>
                <w:sz w:val="17"/>
                <w:szCs w:val="17"/>
              </w:rPr>
              <w:t xml:space="preserve">                    &lt;30</w:t>
            </w:r>
          </w:p>
        </w:tc>
        <w:tc>
          <w:tcPr>
            <w:tcW w:w="2161" w:type="dxa"/>
            <w:shd w:val="clear" w:color="auto" w:fill="E6E7E9"/>
            <w:vAlign w:val="top"/>
          </w:tcPr>
          <w:p w14:paraId="7D54F9F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3" w:right="751" w:hanging="147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Hyperkalemia and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hyponatremia</w:t>
            </w:r>
          </w:p>
        </w:tc>
        <w:tc>
          <w:tcPr>
            <w:tcW w:w="2081" w:type="dxa"/>
            <w:shd w:val="clear" w:color="auto" w:fill="E6E7E9"/>
            <w:vAlign w:val="top"/>
          </w:tcPr>
          <w:p w14:paraId="7C72BD6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29F2107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04ADB26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53A60B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3393" w:type="dxa"/>
            <w:gridSpan w:val="3"/>
            <w:vAlign w:val="top"/>
          </w:tcPr>
          <w:p w14:paraId="5CB1DB8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4" w:right="288" w:hanging="165"/>
              <w:textAlignment w:val="baseline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Central nervous system and analge</w:t>
            </w:r>
            <w:r>
              <w:rPr>
                <w:spacing w:val="8"/>
                <w:sz w:val="17"/>
                <w:szCs w:val="17"/>
              </w:rPr>
              <w:t>sics</w:t>
            </w:r>
            <w:r>
              <w:rPr>
                <w:sz w:val="17"/>
                <w:szCs w:val="17"/>
              </w:rPr>
              <w:t xml:space="preserve"> Baclofen</w:t>
            </w:r>
            <w:r>
              <w:rPr>
                <w:spacing w:val="1"/>
                <w:sz w:val="17"/>
                <w:szCs w:val="17"/>
              </w:rPr>
              <w:t xml:space="preserve">                           </w:t>
            </w:r>
            <w:r>
              <w:rPr>
                <w:sz w:val="17"/>
                <w:szCs w:val="17"/>
              </w:rPr>
              <w:t>eGFR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&lt;60</w:t>
            </w:r>
          </w:p>
        </w:tc>
        <w:tc>
          <w:tcPr>
            <w:tcW w:w="2161" w:type="dxa"/>
            <w:vAlign w:val="top"/>
          </w:tcPr>
          <w:p w14:paraId="583BCC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636FDAF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position w:val="1"/>
                <w:sz w:val="17"/>
                <w:szCs w:val="17"/>
              </w:rPr>
              <w:t>Increased risk</w:t>
            </w:r>
            <w:r>
              <w:rPr>
                <w:spacing w:val="8"/>
                <w:position w:val="1"/>
                <w:sz w:val="17"/>
                <w:szCs w:val="17"/>
              </w:rPr>
              <w:t xml:space="preserve"> </w:t>
            </w:r>
            <w:r>
              <w:rPr>
                <w:spacing w:val="3"/>
                <w:position w:val="1"/>
                <w:sz w:val="17"/>
                <w:szCs w:val="17"/>
              </w:rPr>
              <w:t>of</w:t>
            </w:r>
          </w:p>
          <w:p w14:paraId="2B026F1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5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encephalopathy</w:t>
            </w:r>
          </w:p>
          <w:p w14:paraId="271A6C8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4" w:right="164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requiring hospitali</w:t>
            </w:r>
            <w:r>
              <w:rPr>
                <w:spacing w:val="3"/>
                <w:sz w:val="17"/>
                <w:szCs w:val="17"/>
              </w:rPr>
              <w:t>zation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in older adults with</w:t>
            </w:r>
          </w:p>
          <w:p w14:paraId="1C5C11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26" w:right="353" w:firstLine="8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eGFR</w:t>
            </w:r>
            <w:r>
              <w:rPr>
                <w:spacing w:val="13"/>
                <w:sz w:val="17"/>
                <w:szCs w:val="17"/>
              </w:rPr>
              <w:t xml:space="preserve"> &lt;60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13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or </w:t>
            </w:r>
            <w:r>
              <w:rPr>
                <w:spacing w:val="4"/>
                <w:sz w:val="17"/>
                <w:szCs w:val="17"/>
              </w:rPr>
              <w:t>who require chronic</w:t>
            </w:r>
            <w:r>
              <w:rPr>
                <w:spacing w:val="2"/>
                <w:sz w:val="17"/>
                <w:szCs w:val="17"/>
              </w:rPr>
              <w:t xml:space="preserve">    </w:t>
            </w:r>
            <w:r>
              <w:rPr>
                <w:sz w:val="17"/>
                <w:szCs w:val="17"/>
              </w:rPr>
              <w:t>dialysis</w:t>
            </w:r>
            <w:r>
              <w:rPr>
                <w:spacing w:val="10"/>
                <w:sz w:val="17"/>
                <w:szCs w:val="17"/>
              </w:rPr>
              <w:t>.</w:t>
            </w:r>
          </w:p>
        </w:tc>
        <w:tc>
          <w:tcPr>
            <w:tcW w:w="2081" w:type="dxa"/>
            <w:vAlign w:val="top"/>
          </w:tcPr>
          <w:p w14:paraId="7A65EE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3742339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Avoid baclofen in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older</w:t>
            </w:r>
          </w:p>
          <w:p w14:paraId="75A7EE4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3" w:right="283" w:firstLine="2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adults with impaired</w:t>
            </w:r>
            <w:r>
              <w:rPr>
                <w:sz w:val="17"/>
                <w:szCs w:val="17"/>
              </w:rPr>
              <w:t xml:space="preserve">     </w:t>
            </w:r>
            <w:r>
              <w:rPr>
                <w:spacing w:val="3"/>
                <w:sz w:val="17"/>
                <w:szCs w:val="17"/>
              </w:rPr>
              <w:t>kidney function (eGFR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11"/>
                <w:sz w:val="17"/>
                <w:szCs w:val="17"/>
              </w:rPr>
              <w:t xml:space="preserve">&lt;60 </w:t>
            </w:r>
            <w:r>
              <w:rPr>
                <w:sz w:val="17"/>
                <w:szCs w:val="17"/>
              </w:rPr>
              <w:t>mL</w:t>
            </w:r>
            <w:r>
              <w:rPr>
                <w:spacing w:val="11"/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min</w:t>
            </w:r>
            <w:r>
              <w:rPr>
                <w:spacing w:val="11"/>
                <w:sz w:val="17"/>
                <w:szCs w:val="17"/>
              </w:rPr>
              <w:t xml:space="preserve">). </w:t>
            </w:r>
            <w:r>
              <w:rPr>
                <w:sz w:val="17"/>
                <w:szCs w:val="17"/>
              </w:rPr>
              <w:t>When</w:t>
            </w:r>
          </w:p>
          <w:p w14:paraId="42B2495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0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position w:val="1"/>
                <w:sz w:val="17"/>
                <w:szCs w:val="17"/>
              </w:rPr>
              <w:t>baclofen cannot be</w:t>
            </w:r>
          </w:p>
          <w:p w14:paraId="480B191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 w:right="276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avoided, use the</w:t>
            </w:r>
            <w:r>
              <w:rPr>
                <w:spacing w:val="17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lowest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effective dose</w:t>
            </w:r>
            <w:r>
              <w:rPr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and</w:t>
            </w:r>
          </w:p>
          <w:p w14:paraId="62B0534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4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monitor for signs</w:t>
            </w:r>
            <w:r>
              <w:rPr>
                <w:spacing w:val="22"/>
                <w:w w:val="10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of</w:t>
            </w:r>
          </w:p>
          <w:p w14:paraId="0997611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5" w:right="272" w:firstLine="2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CNS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toxicity</w:t>
            </w:r>
            <w:r>
              <w:rPr>
                <w:spacing w:val="11"/>
                <w:sz w:val="17"/>
                <w:szCs w:val="17"/>
              </w:rPr>
              <w:t>,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including </w:t>
            </w:r>
            <w:r>
              <w:rPr>
                <w:spacing w:val="4"/>
                <w:sz w:val="17"/>
                <w:szCs w:val="17"/>
              </w:rPr>
              <w:t>altered mental status.</w:t>
            </w:r>
          </w:p>
        </w:tc>
        <w:tc>
          <w:tcPr>
            <w:tcW w:w="920" w:type="dxa"/>
            <w:vAlign w:val="top"/>
          </w:tcPr>
          <w:p w14:paraId="22D1E0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347F2DB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vAlign w:val="top"/>
          </w:tcPr>
          <w:p w14:paraId="51582E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107C34E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5E4497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3393" w:type="dxa"/>
            <w:gridSpan w:val="3"/>
            <w:shd w:val="clear" w:color="auto" w:fill="E6E7E9"/>
            <w:vAlign w:val="top"/>
          </w:tcPr>
          <w:p w14:paraId="442D2C3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5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Duloxetine                       </w:t>
            </w:r>
            <w:r>
              <w:rPr>
                <w:spacing w:val="11"/>
                <w:sz w:val="17"/>
                <w:szCs w:val="17"/>
              </w:rPr>
              <w:t>&lt;30</w:t>
            </w:r>
          </w:p>
        </w:tc>
        <w:tc>
          <w:tcPr>
            <w:tcW w:w="2161" w:type="dxa"/>
            <w:shd w:val="clear" w:color="auto" w:fill="E6E7E9"/>
            <w:vAlign w:val="top"/>
          </w:tcPr>
          <w:p w14:paraId="52E39FD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4" w:right="583" w:hanging="149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Increased GI</w:t>
            </w:r>
            <w:r>
              <w:rPr>
                <w:spacing w:val="17"/>
                <w:w w:val="10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adverse</w:t>
            </w:r>
            <w:r>
              <w:rPr>
                <w:sz w:val="17"/>
                <w:szCs w:val="17"/>
              </w:rPr>
              <w:t xml:space="preserve"> effects</w:t>
            </w:r>
            <w:r>
              <w:rPr>
                <w:spacing w:val="10"/>
                <w:sz w:val="17"/>
                <w:szCs w:val="17"/>
              </w:rPr>
              <w:t xml:space="preserve"> (</w:t>
            </w:r>
            <w:r>
              <w:rPr>
                <w:sz w:val="17"/>
                <w:szCs w:val="17"/>
              </w:rPr>
              <w:t>nausea</w:t>
            </w:r>
            <w:r>
              <w:rPr>
                <w:spacing w:val="10"/>
                <w:sz w:val="17"/>
                <w:szCs w:val="17"/>
              </w:rPr>
              <w:t>,</w:t>
            </w:r>
          </w:p>
          <w:p w14:paraId="776F707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5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diarrhea)</w:t>
            </w:r>
          </w:p>
        </w:tc>
        <w:tc>
          <w:tcPr>
            <w:tcW w:w="2081" w:type="dxa"/>
            <w:shd w:val="clear" w:color="auto" w:fill="E6E7E9"/>
            <w:vAlign w:val="top"/>
          </w:tcPr>
          <w:p w14:paraId="3EF24DE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2CE510B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6A98CE4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0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Weak</w:t>
            </w:r>
          </w:p>
        </w:tc>
      </w:tr>
      <w:tr w14:paraId="0C2A06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393" w:type="dxa"/>
            <w:gridSpan w:val="3"/>
            <w:vAlign w:val="top"/>
          </w:tcPr>
          <w:p w14:paraId="3B4AC0C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8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Gabapentin</w:t>
            </w:r>
            <w:r>
              <w:rPr>
                <w:spacing w:val="4"/>
                <w:sz w:val="17"/>
                <w:szCs w:val="17"/>
              </w:rPr>
              <w:t xml:space="preserve">                     &lt;60</w:t>
            </w:r>
          </w:p>
        </w:tc>
        <w:tc>
          <w:tcPr>
            <w:tcW w:w="2161" w:type="dxa"/>
            <w:vAlign w:val="top"/>
          </w:tcPr>
          <w:p w14:paraId="42C1753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CNS adverse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effects</w:t>
            </w:r>
          </w:p>
        </w:tc>
        <w:tc>
          <w:tcPr>
            <w:tcW w:w="2081" w:type="dxa"/>
            <w:vAlign w:val="top"/>
          </w:tcPr>
          <w:p w14:paraId="2ED4498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Reduce dose</w:t>
            </w:r>
          </w:p>
        </w:tc>
        <w:tc>
          <w:tcPr>
            <w:tcW w:w="920" w:type="dxa"/>
            <w:vAlign w:val="top"/>
          </w:tcPr>
          <w:p w14:paraId="61F8DF2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vAlign w:val="top"/>
          </w:tcPr>
          <w:p w14:paraId="764A87A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70EA088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393" w:type="dxa"/>
            <w:gridSpan w:val="3"/>
            <w:shd w:val="clear" w:color="auto" w:fill="E6E7E9"/>
            <w:vAlign w:val="top"/>
          </w:tcPr>
          <w:p w14:paraId="032EF91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6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Levetiracetam                  </w:t>
            </w:r>
            <w:r>
              <w:rPr>
                <w:rFonts w:ascii="Arial" w:hAnsi="Arial" w:eastAsia="Arial" w:cs="Arial"/>
                <w:spacing w:val="13"/>
                <w:sz w:val="17"/>
                <w:szCs w:val="17"/>
              </w:rPr>
              <w:t>≤</w:t>
            </w:r>
            <w:r>
              <w:rPr>
                <w:spacing w:val="13"/>
                <w:sz w:val="17"/>
                <w:szCs w:val="17"/>
              </w:rPr>
              <w:t>80</w:t>
            </w:r>
          </w:p>
        </w:tc>
        <w:tc>
          <w:tcPr>
            <w:tcW w:w="2161" w:type="dxa"/>
            <w:shd w:val="clear" w:color="auto" w:fill="E6E7E9"/>
            <w:vAlign w:val="top"/>
          </w:tcPr>
          <w:p w14:paraId="21957B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CNS adverse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effects</w:t>
            </w:r>
          </w:p>
        </w:tc>
        <w:tc>
          <w:tcPr>
            <w:tcW w:w="2081" w:type="dxa"/>
            <w:shd w:val="clear" w:color="auto" w:fill="E6E7E9"/>
            <w:vAlign w:val="top"/>
          </w:tcPr>
          <w:p w14:paraId="23CF8B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Reduce dose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516748A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5410552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17E110A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1998" w:type="dxa"/>
            <w:gridSpan w:val="2"/>
            <w:vAlign w:val="top"/>
          </w:tcPr>
          <w:p w14:paraId="682A6AD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4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NSAIDs</w:t>
            </w:r>
            <w:r>
              <w:rPr>
                <w:spacing w:val="8"/>
                <w:sz w:val="17"/>
                <w:szCs w:val="17"/>
              </w:rPr>
              <w:t xml:space="preserve"> (</w:t>
            </w:r>
            <w:r>
              <w:rPr>
                <w:sz w:val="17"/>
                <w:szCs w:val="17"/>
              </w:rPr>
              <w:t>non</w:t>
            </w:r>
            <w:r>
              <w:rPr>
                <w:spacing w:val="8"/>
                <w:sz w:val="17"/>
                <w:szCs w:val="17"/>
              </w:rPr>
              <w:t>-</w:t>
            </w:r>
          </w:p>
          <w:p w14:paraId="1FA1E29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06"/>
              <w:textAlignment w:val="baseline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selective,</w:t>
            </w:r>
            <w:r>
              <w:rPr>
                <w:spacing w:val="19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COX-2</w:t>
            </w:r>
          </w:p>
          <w:p w14:paraId="156669E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0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position w:val="1"/>
                <w:sz w:val="17"/>
                <w:szCs w:val="17"/>
              </w:rPr>
              <w:t>selective, and</w:t>
            </w:r>
          </w:p>
          <w:p w14:paraId="4CA525B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0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nonacetylated</w:t>
            </w:r>
          </w:p>
          <w:p w14:paraId="510D2E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03" w:right="94" w:firstLine="2"/>
              <w:textAlignment w:val="baseline"/>
              <w:rPr>
                <w:sz w:val="11"/>
                <w:szCs w:val="11"/>
              </w:rPr>
            </w:pPr>
            <w:r>
              <w:rPr>
                <w:spacing w:val="2"/>
                <w:sz w:val="17"/>
                <w:szCs w:val="17"/>
              </w:rPr>
              <w:t>salicylates, oral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and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parenteral)</w:t>
            </w:r>
            <w:r>
              <w:fldChar w:fldCharType="begin"/>
            </w:r>
            <w:r>
              <w:instrText xml:space="preserve"> HYPERLINK \l "bookmark1" </w:instrText>
            </w:r>
            <w:r>
              <w:fldChar w:fldCharType="separate"/>
            </w:r>
            <w:r>
              <w:rPr>
                <w:color w:val="0000FF"/>
                <w:spacing w:val="5"/>
                <w:position w:val="6"/>
                <w:sz w:val="11"/>
                <w:szCs w:val="11"/>
              </w:rPr>
              <w:t>a</w:t>
            </w:r>
            <w:r>
              <w:rPr>
                <w:color w:val="0000FF"/>
                <w:spacing w:val="5"/>
                <w:position w:val="6"/>
                <w:sz w:val="11"/>
                <w:szCs w:val="11"/>
              </w:rPr>
              <w:fldChar w:fldCharType="end"/>
            </w:r>
          </w:p>
        </w:tc>
        <w:tc>
          <w:tcPr>
            <w:tcW w:w="1395" w:type="dxa"/>
            <w:vAlign w:val="top"/>
          </w:tcPr>
          <w:p w14:paraId="2745055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93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&lt;</w:t>
            </w:r>
            <w:r>
              <w:rPr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30</w:t>
            </w:r>
          </w:p>
        </w:tc>
        <w:tc>
          <w:tcPr>
            <w:tcW w:w="2161" w:type="dxa"/>
            <w:vAlign w:val="top"/>
          </w:tcPr>
          <w:p w14:paraId="5F644C1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5" w:right="230" w:hanging="151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May increase the</w:t>
            </w:r>
            <w:r>
              <w:rPr>
                <w:spacing w:val="24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risk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of</w:t>
            </w:r>
            <w:r>
              <w:rPr>
                <w:sz w:val="17"/>
                <w:szCs w:val="17"/>
              </w:rPr>
              <w:t xml:space="preserve">    </w:t>
            </w:r>
            <w:r>
              <w:rPr>
                <w:spacing w:val="4"/>
                <w:sz w:val="17"/>
                <w:szCs w:val="17"/>
              </w:rPr>
              <w:t>acute kidney injury and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a further decline</w:t>
            </w:r>
            <w:r>
              <w:rPr>
                <w:spacing w:val="22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in</w:t>
            </w:r>
          </w:p>
          <w:p w14:paraId="678B468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4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kidney function</w:t>
            </w:r>
          </w:p>
        </w:tc>
        <w:tc>
          <w:tcPr>
            <w:tcW w:w="2081" w:type="dxa"/>
            <w:vAlign w:val="top"/>
          </w:tcPr>
          <w:p w14:paraId="4B8869E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</w:p>
        </w:tc>
        <w:tc>
          <w:tcPr>
            <w:tcW w:w="920" w:type="dxa"/>
            <w:vAlign w:val="top"/>
          </w:tcPr>
          <w:p w14:paraId="75682C7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vAlign w:val="top"/>
          </w:tcPr>
          <w:p w14:paraId="7C6A93A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7D21E88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393" w:type="dxa"/>
            <w:gridSpan w:val="3"/>
            <w:shd w:val="clear" w:color="auto" w:fill="E6E7E9"/>
            <w:vAlign w:val="top"/>
          </w:tcPr>
          <w:p w14:paraId="6A7D3D0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7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Pregabalin</w:t>
            </w:r>
            <w:r>
              <w:rPr>
                <w:spacing w:val="3"/>
                <w:sz w:val="17"/>
                <w:szCs w:val="17"/>
              </w:rPr>
              <w:t xml:space="preserve">                       &lt;60</w:t>
            </w:r>
          </w:p>
        </w:tc>
        <w:tc>
          <w:tcPr>
            <w:tcW w:w="2161" w:type="dxa"/>
            <w:shd w:val="clear" w:color="auto" w:fill="E6E7E9"/>
            <w:vAlign w:val="top"/>
          </w:tcPr>
          <w:p w14:paraId="4D1F1C5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CNS adverse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effects</w:t>
            </w:r>
          </w:p>
        </w:tc>
        <w:tc>
          <w:tcPr>
            <w:tcW w:w="2081" w:type="dxa"/>
            <w:shd w:val="clear" w:color="auto" w:fill="E6E7E9"/>
            <w:vAlign w:val="top"/>
          </w:tcPr>
          <w:p w14:paraId="06E4CC1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Reduce dose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505562E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7FC0FDE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7BC276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3393" w:type="dxa"/>
            <w:gridSpan w:val="3"/>
            <w:vAlign w:val="top"/>
          </w:tcPr>
          <w:p w14:paraId="0752283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2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Tramadol</w:t>
            </w:r>
            <w:r>
              <w:rPr>
                <w:spacing w:val="1"/>
                <w:sz w:val="17"/>
                <w:szCs w:val="17"/>
              </w:rPr>
              <w:t xml:space="preserve">                         </w:t>
            </w:r>
            <w:r>
              <w:rPr>
                <w:spacing w:val="13"/>
                <w:sz w:val="17"/>
                <w:szCs w:val="17"/>
              </w:rPr>
              <w:t>&lt;30</w:t>
            </w:r>
          </w:p>
        </w:tc>
        <w:tc>
          <w:tcPr>
            <w:tcW w:w="2161" w:type="dxa"/>
            <w:vAlign w:val="top"/>
          </w:tcPr>
          <w:p w14:paraId="1AE62CC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CNS adverse</w:t>
            </w:r>
            <w:r>
              <w:rPr>
                <w:spacing w:val="2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effects</w:t>
            </w:r>
          </w:p>
        </w:tc>
        <w:tc>
          <w:tcPr>
            <w:tcW w:w="2081" w:type="dxa"/>
            <w:vAlign w:val="top"/>
          </w:tcPr>
          <w:p w14:paraId="0F036B6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4" w:right="201" w:hanging="149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Immediate release: reduce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dose</w:t>
            </w:r>
          </w:p>
          <w:p w14:paraId="3FFDA3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position w:val="1"/>
                <w:sz w:val="17"/>
                <w:szCs w:val="17"/>
              </w:rPr>
              <w:t>Extended-release: avoid</w:t>
            </w:r>
          </w:p>
        </w:tc>
        <w:tc>
          <w:tcPr>
            <w:tcW w:w="920" w:type="dxa"/>
            <w:vAlign w:val="top"/>
          </w:tcPr>
          <w:p w14:paraId="3A2F3C1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"/>
              <w:textAlignment w:val="baseline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Low</w:t>
            </w:r>
          </w:p>
        </w:tc>
        <w:tc>
          <w:tcPr>
            <w:tcW w:w="1524" w:type="dxa"/>
            <w:vAlign w:val="top"/>
          </w:tcPr>
          <w:p w14:paraId="5EFAE34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0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Weak</w:t>
            </w:r>
          </w:p>
        </w:tc>
      </w:tr>
      <w:tr w14:paraId="4E0539B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079" w:type="dxa"/>
            <w:gridSpan w:val="7"/>
            <w:shd w:val="clear" w:color="auto" w:fill="E6E7E9"/>
            <w:vAlign w:val="top"/>
          </w:tcPr>
          <w:p w14:paraId="67E9742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49"/>
              <w:textAlignment w:val="baseline"/>
              <w:rPr>
                <w:sz w:val="17"/>
                <w:szCs w:val="17"/>
              </w:rPr>
            </w:pPr>
            <w:r>
              <w:rPr>
                <w:spacing w:val="10"/>
                <w:sz w:val="17"/>
                <w:szCs w:val="17"/>
              </w:rPr>
              <w:t>Gastrointestinal</w:t>
            </w:r>
          </w:p>
        </w:tc>
      </w:tr>
      <w:tr w14:paraId="360A83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695" w:type="dxa"/>
            <w:shd w:val="clear" w:color="auto" w:fill="E6E7E9"/>
            <w:vAlign w:val="top"/>
          </w:tcPr>
          <w:p w14:paraId="5BA5834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8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Cimetidine</w:t>
            </w:r>
          </w:p>
        </w:tc>
        <w:tc>
          <w:tcPr>
            <w:tcW w:w="1698" w:type="dxa"/>
            <w:gridSpan w:val="2"/>
            <w:shd w:val="clear" w:color="auto" w:fill="E6E7E9"/>
            <w:vAlign w:val="top"/>
          </w:tcPr>
          <w:p w14:paraId="449C9BA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96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&lt;50</w:t>
            </w:r>
          </w:p>
        </w:tc>
        <w:tc>
          <w:tcPr>
            <w:tcW w:w="2161" w:type="dxa"/>
            <w:shd w:val="clear" w:color="auto" w:fill="E6E7E9"/>
            <w:vAlign w:val="top"/>
          </w:tcPr>
          <w:p w14:paraId="2D4162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4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Mental status changes</w:t>
            </w:r>
          </w:p>
        </w:tc>
        <w:tc>
          <w:tcPr>
            <w:tcW w:w="2081" w:type="dxa"/>
            <w:shd w:val="clear" w:color="auto" w:fill="E6E7E9"/>
            <w:vAlign w:val="top"/>
          </w:tcPr>
          <w:p w14:paraId="7F936CC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Reduce dose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0E66B9F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1E63C81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1E45F04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695" w:type="dxa"/>
            <w:vAlign w:val="top"/>
          </w:tcPr>
          <w:p w14:paraId="2E1B4AB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5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Famotidine</w:t>
            </w:r>
          </w:p>
        </w:tc>
        <w:tc>
          <w:tcPr>
            <w:tcW w:w="1698" w:type="dxa"/>
            <w:gridSpan w:val="2"/>
            <w:vAlign w:val="top"/>
          </w:tcPr>
          <w:p w14:paraId="28ED891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96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&lt;50</w:t>
            </w:r>
          </w:p>
        </w:tc>
        <w:tc>
          <w:tcPr>
            <w:tcW w:w="2161" w:type="dxa"/>
            <w:vAlign w:val="top"/>
          </w:tcPr>
          <w:p w14:paraId="38609BD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4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Mental status changes</w:t>
            </w:r>
          </w:p>
        </w:tc>
        <w:tc>
          <w:tcPr>
            <w:tcW w:w="2081" w:type="dxa"/>
            <w:vAlign w:val="top"/>
          </w:tcPr>
          <w:p w14:paraId="7EDC60A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Reduce dose</w:t>
            </w:r>
          </w:p>
        </w:tc>
        <w:tc>
          <w:tcPr>
            <w:tcW w:w="920" w:type="dxa"/>
            <w:vAlign w:val="top"/>
          </w:tcPr>
          <w:p w14:paraId="6F64328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vAlign w:val="top"/>
          </w:tcPr>
          <w:p w14:paraId="388A679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4EF01B8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695" w:type="dxa"/>
            <w:shd w:val="clear" w:color="auto" w:fill="E6E7E9"/>
            <w:vAlign w:val="top"/>
          </w:tcPr>
          <w:p w14:paraId="42B20D2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4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Nizatidine</w:t>
            </w:r>
          </w:p>
        </w:tc>
        <w:tc>
          <w:tcPr>
            <w:tcW w:w="1698" w:type="dxa"/>
            <w:gridSpan w:val="2"/>
            <w:shd w:val="clear" w:color="auto" w:fill="E6E7E9"/>
            <w:vAlign w:val="top"/>
          </w:tcPr>
          <w:p w14:paraId="40DDD9C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96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&lt;50</w:t>
            </w:r>
          </w:p>
        </w:tc>
        <w:tc>
          <w:tcPr>
            <w:tcW w:w="2161" w:type="dxa"/>
            <w:shd w:val="clear" w:color="auto" w:fill="E6E7E9"/>
            <w:vAlign w:val="top"/>
          </w:tcPr>
          <w:p w14:paraId="74FA9F5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4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Mental status changes</w:t>
            </w:r>
          </w:p>
        </w:tc>
        <w:tc>
          <w:tcPr>
            <w:tcW w:w="2081" w:type="dxa"/>
            <w:shd w:val="clear" w:color="auto" w:fill="E6E7E9"/>
            <w:vAlign w:val="top"/>
          </w:tcPr>
          <w:p w14:paraId="5ACB231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Reduce dose</w:t>
            </w:r>
          </w:p>
        </w:tc>
        <w:tc>
          <w:tcPr>
            <w:tcW w:w="920" w:type="dxa"/>
            <w:shd w:val="clear" w:color="auto" w:fill="E6E7E9"/>
            <w:vAlign w:val="top"/>
          </w:tcPr>
          <w:p w14:paraId="58CF436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shd w:val="clear" w:color="auto" w:fill="E6E7E9"/>
            <w:vAlign w:val="top"/>
          </w:tcPr>
          <w:p w14:paraId="34F98AE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6EA266E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695" w:type="dxa"/>
            <w:vAlign w:val="top"/>
          </w:tcPr>
          <w:p w14:paraId="25B232C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7" w:right="394" w:hanging="181"/>
              <w:textAlignment w:val="baseline"/>
              <w:rPr>
                <w:sz w:val="17"/>
                <w:szCs w:val="17"/>
              </w:rPr>
            </w:pPr>
            <w:r>
              <w:rPr>
                <w:spacing w:val="11"/>
                <w:sz w:val="17"/>
                <w:szCs w:val="17"/>
              </w:rPr>
              <w:t>Hyperuricemia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"/>
                <w:sz w:val="17"/>
                <w:szCs w:val="17"/>
              </w:rPr>
              <w:t>Colchicine</w:t>
            </w:r>
          </w:p>
        </w:tc>
        <w:tc>
          <w:tcPr>
            <w:tcW w:w="1698" w:type="dxa"/>
            <w:gridSpan w:val="2"/>
            <w:vAlign w:val="top"/>
          </w:tcPr>
          <w:p w14:paraId="324DFC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786108B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96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&lt;30</w:t>
            </w:r>
          </w:p>
        </w:tc>
        <w:tc>
          <w:tcPr>
            <w:tcW w:w="2161" w:type="dxa"/>
            <w:vAlign w:val="top"/>
          </w:tcPr>
          <w:p w14:paraId="3171B1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28E6C6C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30" w:right="367" w:hanging="142"/>
              <w:textAlignment w:val="baseline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GI, neuromuscular, and</w:t>
            </w:r>
            <w:r>
              <w:rPr>
                <w:spacing w:val="10"/>
                <w:w w:val="102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bone marrow toxicity</w:t>
            </w:r>
          </w:p>
        </w:tc>
        <w:tc>
          <w:tcPr>
            <w:tcW w:w="2081" w:type="dxa"/>
            <w:vAlign w:val="top"/>
          </w:tcPr>
          <w:p w14:paraId="481800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2F9639D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54" w:right="275" w:hanging="148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Reduce dose; monitor</w:t>
            </w:r>
            <w:r>
              <w:rPr>
                <w:spacing w:val="19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for</w:t>
            </w:r>
            <w:r>
              <w:rPr>
                <w:sz w:val="17"/>
                <w:szCs w:val="17"/>
              </w:rPr>
              <w:t xml:space="preserve"> adverse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effects</w:t>
            </w:r>
            <w:r>
              <w:rPr>
                <w:spacing w:val="6"/>
                <w:sz w:val="17"/>
                <w:szCs w:val="17"/>
              </w:rPr>
              <w:t>.</w:t>
            </w:r>
          </w:p>
        </w:tc>
        <w:tc>
          <w:tcPr>
            <w:tcW w:w="920" w:type="dxa"/>
            <w:vAlign w:val="top"/>
          </w:tcPr>
          <w:p w14:paraId="34A185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22DD35C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vAlign w:val="top"/>
          </w:tcPr>
          <w:p w14:paraId="4882B9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547B20C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  <w:tr w14:paraId="317FF85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695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0C9FA40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7"/>
              <w:textAlignment w:val="baseline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Probenecid</w:t>
            </w:r>
          </w:p>
        </w:tc>
        <w:tc>
          <w:tcPr>
            <w:tcW w:w="1698" w:type="dxa"/>
            <w:gridSpan w:val="2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4773A4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96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&lt;30</w:t>
            </w:r>
          </w:p>
        </w:tc>
        <w:tc>
          <w:tcPr>
            <w:tcW w:w="2161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7EB6A0A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7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Loss of effectivene</w:t>
            </w:r>
            <w:r>
              <w:rPr>
                <w:spacing w:val="-1"/>
                <w:sz w:val="17"/>
                <w:szCs w:val="17"/>
              </w:rPr>
              <w:t>ss</w:t>
            </w:r>
          </w:p>
        </w:tc>
        <w:tc>
          <w:tcPr>
            <w:tcW w:w="2081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208C293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Avoid</w:t>
            </w:r>
          </w:p>
        </w:tc>
        <w:tc>
          <w:tcPr>
            <w:tcW w:w="920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6C217C4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"/>
              <w:textAlignment w:val="baseline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Moderate</w:t>
            </w:r>
          </w:p>
        </w:tc>
        <w:tc>
          <w:tcPr>
            <w:tcW w:w="1524" w:type="dxa"/>
            <w:tcBorders>
              <w:bottom w:val="single" w:color="auto" w:sz="12" w:space="0"/>
            </w:tcBorders>
            <w:shd w:val="clear" w:color="auto" w:fill="E6E7E9"/>
            <w:vAlign w:val="top"/>
          </w:tcPr>
          <w:p w14:paraId="1D1F470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8"/>
              <w:textAlignment w:val="baseline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Strong</w:t>
            </w:r>
          </w:p>
        </w:tc>
      </w:tr>
    </w:tbl>
    <w:p w14:paraId="076605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sz w:val="15"/>
          <w:szCs w:val="15"/>
        </w:rPr>
      </w:pPr>
      <w:r>
        <w:rPr>
          <w:rFonts w:ascii="Arial" w:hAnsi="Arial" w:eastAsia="Arial" w:cs="Arial"/>
          <w:spacing w:val="7"/>
          <w:position w:val="2"/>
          <w:sz w:val="15"/>
          <w:szCs w:val="15"/>
        </w:rPr>
        <w:t>Note</w:t>
      </w:r>
      <w:r>
        <w:rPr>
          <w:spacing w:val="7"/>
          <w:position w:val="2"/>
          <w:sz w:val="15"/>
          <w:szCs w:val="15"/>
        </w:rPr>
        <w:t>: This table is not a comprehensive list</w:t>
      </w:r>
      <w:r>
        <w:rPr>
          <w:spacing w:val="9"/>
          <w:w w:val="102"/>
          <w:position w:val="2"/>
          <w:sz w:val="15"/>
          <w:szCs w:val="15"/>
        </w:rPr>
        <w:t xml:space="preserve"> </w:t>
      </w:r>
      <w:r>
        <w:rPr>
          <w:spacing w:val="7"/>
          <w:position w:val="2"/>
          <w:sz w:val="15"/>
          <w:szCs w:val="15"/>
        </w:rPr>
        <w:t>of all drugs</w:t>
      </w:r>
      <w:r>
        <w:rPr>
          <w:spacing w:val="10"/>
          <w:w w:val="102"/>
          <w:position w:val="2"/>
          <w:sz w:val="15"/>
          <w:szCs w:val="15"/>
        </w:rPr>
        <w:t xml:space="preserve"> </w:t>
      </w:r>
      <w:r>
        <w:rPr>
          <w:spacing w:val="7"/>
          <w:position w:val="2"/>
          <w:sz w:val="15"/>
          <w:szCs w:val="15"/>
        </w:rPr>
        <w:t>that</w:t>
      </w:r>
      <w:r>
        <w:rPr>
          <w:spacing w:val="10"/>
          <w:position w:val="2"/>
          <w:sz w:val="15"/>
          <w:szCs w:val="15"/>
        </w:rPr>
        <w:t xml:space="preserve"> </w:t>
      </w:r>
      <w:r>
        <w:rPr>
          <w:spacing w:val="7"/>
          <w:position w:val="2"/>
          <w:sz w:val="15"/>
          <w:szCs w:val="15"/>
        </w:rPr>
        <w:t>should be</w:t>
      </w:r>
      <w:r>
        <w:rPr>
          <w:spacing w:val="10"/>
          <w:position w:val="2"/>
          <w:sz w:val="15"/>
          <w:szCs w:val="15"/>
        </w:rPr>
        <w:t xml:space="preserve"> </w:t>
      </w:r>
      <w:r>
        <w:rPr>
          <w:spacing w:val="7"/>
          <w:position w:val="2"/>
          <w:sz w:val="15"/>
          <w:szCs w:val="15"/>
        </w:rPr>
        <w:t>av</w:t>
      </w:r>
      <w:r>
        <w:rPr>
          <w:spacing w:val="6"/>
          <w:position w:val="2"/>
          <w:sz w:val="15"/>
          <w:szCs w:val="15"/>
        </w:rPr>
        <w:t>oided</w:t>
      </w:r>
      <w:r>
        <w:rPr>
          <w:spacing w:val="10"/>
          <w:w w:val="101"/>
          <w:position w:val="2"/>
          <w:sz w:val="15"/>
          <w:szCs w:val="15"/>
        </w:rPr>
        <w:t xml:space="preserve"> </w:t>
      </w:r>
      <w:r>
        <w:rPr>
          <w:spacing w:val="6"/>
          <w:position w:val="2"/>
          <w:sz w:val="15"/>
          <w:szCs w:val="15"/>
        </w:rPr>
        <w:t>or</w:t>
      </w:r>
      <w:r>
        <w:rPr>
          <w:spacing w:val="8"/>
          <w:position w:val="2"/>
          <w:sz w:val="15"/>
          <w:szCs w:val="15"/>
        </w:rPr>
        <w:t xml:space="preserve"> </w:t>
      </w:r>
      <w:r>
        <w:rPr>
          <w:spacing w:val="6"/>
          <w:position w:val="2"/>
          <w:sz w:val="15"/>
          <w:szCs w:val="15"/>
        </w:rPr>
        <w:t>dose-adjusted</w:t>
      </w:r>
      <w:r>
        <w:rPr>
          <w:spacing w:val="9"/>
          <w:w w:val="101"/>
          <w:position w:val="2"/>
          <w:sz w:val="15"/>
          <w:szCs w:val="15"/>
        </w:rPr>
        <w:t xml:space="preserve"> </w:t>
      </w:r>
      <w:r>
        <w:rPr>
          <w:spacing w:val="6"/>
          <w:position w:val="2"/>
          <w:sz w:val="15"/>
          <w:szCs w:val="15"/>
        </w:rPr>
        <w:t>in</w:t>
      </w:r>
      <w:r>
        <w:rPr>
          <w:spacing w:val="9"/>
          <w:position w:val="2"/>
          <w:sz w:val="15"/>
          <w:szCs w:val="15"/>
        </w:rPr>
        <w:t xml:space="preserve"> </w:t>
      </w:r>
      <w:r>
        <w:rPr>
          <w:spacing w:val="6"/>
          <w:position w:val="2"/>
          <w:sz w:val="15"/>
          <w:szCs w:val="15"/>
        </w:rPr>
        <w:t>older</w:t>
      </w:r>
      <w:r>
        <w:rPr>
          <w:spacing w:val="10"/>
          <w:position w:val="2"/>
          <w:sz w:val="15"/>
          <w:szCs w:val="15"/>
        </w:rPr>
        <w:t xml:space="preserve"> </w:t>
      </w:r>
      <w:r>
        <w:rPr>
          <w:spacing w:val="6"/>
          <w:position w:val="2"/>
          <w:sz w:val="15"/>
          <w:szCs w:val="15"/>
        </w:rPr>
        <w:t>adults with</w:t>
      </w:r>
      <w:r>
        <w:rPr>
          <w:spacing w:val="8"/>
          <w:position w:val="2"/>
          <w:sz w:val="15"/>
          <w:szCs w:val="15"/>
        </w:rPr>
        <w:t xml:space="preserve"> </w:t>
      </w:r>
      <w:r>
        <w:rPr>
          <w:spacing w:val="6"/>
          <w:position w:val="2"/>
          <w:sz w:val="15"/>
          <w:szCs w:val="15"/>
        </w:rPr>
        <w:t>renal</w:t>
      </w:r>
      <w:r>
        <w:rPr>
          <w:spacing w:val="10"/>
          <w:w w:val="101"/>
          <w:position w:val="2"/>
          <w:sz w:val="15"/>
          <w:szCs w:val="15"/>
        </w:rPr>
        <w:t xml:space="preserve"> </w:t>
      </w:r>
      <w:r>
        <w:rPr>
          <w:spacing w:val="6"/>
          <w:position w:val="2"/>
          <w:sz w:val="15"/>
          <w:szCs w:val="15"/>
        </w:rPr>
        <w:t>impairment.</w:t>
      </w:r>
    </w:p>
    <w:p w14:paraId="0CFE533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7" w:right="1037" w:hanging="4"/>
        <w:textAlignment w:val="baseline"/>
        <w:rPr>
          <w:sz w:val="15"/>
          <w:szCs w:val="15"/>
        </w:rPr>
      </w:pPr>
      <w:r>
        <w:rPr>
          <w:spacing w:val="7"/>
          <w:sz w:val="15"/>
          <w:szCs w:val="15"/>
        </w:rPr>
        <w:t>Abbreviations: ACEI, angiotensin-converting enzyme inhibitor; ARB, angiotensin receptor blocker; ARNI,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angi</w:t>
      </w:r>
      <w:r>
        <w:rPr>
          <w:spacing w:val="6"/>
          <w:sz w:val="15"/>
          <w:szCs w:val="15"/>
        </w:rPr>
        <w:t>otensin</w:t>
      </w:r>
      <w:r>
        <w:rPr>
          <w:spacing w:val="10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receptor-neprilysin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inhibitor;</w:t>
      </w:r>
      <w:r>
        <w:rPr>
          <w:spacing w:val="13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CNS,</w:t>
      </w:r>
      <w:r>
        <w:rPr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central nervous system; CrCl, creatinine clearance; eGFR,</w:t>
      </w:r>
      <w:r>
        <w:rPr>
          <w:spacing w:val="1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estimated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glomerular filtra</w:t>
      </w:r>
      <w:r>
        <w:rPr>
          <w:spacing w:val="6"/>
          <w:sz w:val="15"/>
          <w:szCs w:val="15"/>
        </w:rPr>
        <w:t>tion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rate;</w:t>
      </w:r>
      <w:r>
        <w:rPr>
          <w:spacing w:val="12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GI,</w:t>
      </w:r>
      <w:r>
        <w:rPr>
          <w:spacing w:val="8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gastrointestinal.</w:t>
      </w:r>
    </w:p>
    <w:p w14:paraId="6FF646E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7"/>
        <w:textAlignment w:val="baseline"/>
        <w:rPr>
          <w:sz w:val="15"/>
          <w:szCs w:val="15"/>
        </w:rPr>
      </w:pPr>
      <w:r>
        <w:rPr>
          <w:spacing w:val="8"/>
          <w:position w:val="6"/>
          <w:sz w:val="15"/>
          <w:szCs w:val="15"/>
        </w:rPr>
        <w:t>a</w:t>
      </w:r>
      <w:r>
        <w:rPr>
          <w:spacing w:val="8"/>
          <w:sz w:val="15"/>
          <w:szCs w:val="15"/>
        </w:rPr>
        <w:t>NSAIDs include: Non-selective: diclofenac,diflunisal,etodolac, flurbiprofen, ibuprofen, indomethacin, ketor</w:t>
      </w:r>
      <w:r>
        <w:rPr>
          <w:spacing w:val="7"/>
          <w:sz w:val="15"/>
          <w:szCs w:val="15"/>
        </w:rPr>
        <w:t>olac, meloxicam,nabumetone,</w:t>
      </w:r>
      <w:r>
        <w:rPr>
          <w:spacing w:val="1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naproxen,</w:t>
      </w:r>
    </w:p>
    <w:p w14:paraId="73DD505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8" w:right="693"/>
        <w:textAlignment w:val="baseline"/>
        <w:rPr>
          <w:sz w:val="15"/>
          <w:szCs w:val="15"/>
        </w:rPr>
      </w:pPr>
      <w:r>
        <w:rPr>
          <w:spacing w:val="6"/>
          <w:sz w:val="15"/>
          <w:szCs w:val="15"/>
        </w:rPr>
        <w:t>oxaprozin, piroxicam, sulindac; COX-2 selective: celecoxib;</w:t>
      </w:r>
      <w:r>
        <w:rPr>
          <w:spacing w:val="9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Nonacetylated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salicylates:</w:t>
      </w:r>
      <w:r>
        <w:rPr>
          <w:spacing w:val="8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diflunisal,</w:t>
      </w:r>
      <w:r>
        <w:rPr>
          <w:spacing w:val="8"/>
          <w:w w:val="102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magnesium</w:t>
      </w:r>
      <w:r>
        <w:rPr>
          <w:spacing w:val="1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salicylate</w:t>
      </w:r>
      <w:r>
        <w:rPr>
          <w:spacing w:val="5"/>
          <w:sz w:val="15"/>
          <w:szCs w:val="15"/>
        </w:rPr>
        <w:t>. This</w:t>
      </w:r>
      <w:r>
        <w:rPr>
          <w:spacing w:val="8"/>
          <w:sz w:val="15"/>
          <w:szCs w:val="15"/>
        </w:rPr>
        <w:t xml:space="preserve"> </w:t>
      </w:r>
      <w:r>
        <w:rPr>
          <w:spacing w:val="5"/>
          <w:sz w:val="15"/>
          <w:szCs w:val="15"/>
        </w:rPr>
        <w:t>list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5"/>
          <w:sz w:val="15"/>
          <w:szCs w:val="15"/>
        </w:rPr>
        <w:t>does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5"/>
          <w:sz w:val="15"/>
          <w:szCs w:val="15"/>
        </w:rPr>
        <w:t>not</w:t>
      </w:r>
      <w:r>
        <w:rPr>
          <w:spacing w:val="9"/>
          <w:sz w:val="15"/>
          <w:szCs w:val="15"/>
        </w:rPr>
        <w:t xml:space="preserve"> </w:t>
      </w:r>
      <w:r>
        <w:rPr>
          <w:spacing w:val="5"/>
          <w:sz w:val="15"/>
          <w:szCs w:val="15"/>
        </w:rPr>
        <w:t>include</w:t>
      </w:r>
      <w:r>
        <w:rPr>
          <w:spacing w:val="9"/>
          <w:sz w:val="15"/>
          <w:szCs w:val="15"/>
        </w:rPr>
        <w:t xml:space="preserve"> </w:t>
      </w:r>
      <w:r>
        <w:rPr>
          <w:spacing w:val="5"/>
          <w:sz w:val="15"/>
          <w:szCs w:val="15"/>
        </w:rPr>
        <w:t>NSAIDs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5"/>
          <w:sz w:val="15"/>
          <w:szCs w:val="15"/>
        </w:rPr>
        <w:t>rarely</w:t>
      </w:r>
      <w:r>
        <w:rPr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or never used in the</w:t>
      </w:r>
      <w:r>
        <w:rPr>
          <w:spacing w:val="8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U.S.</w:t>
      </w:r>
      <w:r>
        <w:rPr>
          <w:spacing w:val="10"/>
          <w:w w:val="102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among</w:t>
      </w:r>
      <w:r>
        <w:rPr>
          <w:spacing w:val="9"/>
          <w:w w:val="101"/>
          <w:sz w:val="15"/>
          <w:szCs w:val="15"/>
        </w:rPr>
        <w:t xml:space="preserve"> </w:t>
      </w:r>
      <w:r>
        <w:rPr>
          <w:spacing w:val="7"/>
          <w:sz w:val="15"/>
          <w:szCs w:val="15"/>
        </w:rPr>
        <w:t>ol</w:t>
      </w:r>
      <w:r>
        <w:rPr>
          <w:spacing w:val="6"/>
          <w:sz w:val="15"/>
          <w:szCs w:val="15"/>
        </w:rPr>
        <w:t>der</w:t>
      </w:r>
      <w:r>
        <w:rPr>
          <w:spacing w:val="10"/>
          <w:w w:val="101"/>
          <w:sz w:val="15"/>
          <w:szCs w:val="15"/>
        </w:rPr>
        <w:t xml:space="preserve"> </w:t>
      </w:r>
      <w:r>
        <w:rPr>
          <w:spacing w:val="6"/>
          <w:sz w:val="15"/>
          <w:szCs w:val="15"/>
        </w:rPr>
        <w:t>adults.</w:t>
      </w:r>
    </w:p>
    <w:p w14:paraId="01B1A0A6">
      <w:pPr>
        <w:spacing w:before="26"/>
      </w:pPr>
    </w:p>
    <w:p w14:paraId="6814CEC9">
      <w:pPr>
        <w:spacing w:before="26"/>
      </w:pPr>
    </w:p>
    <w:p w14:paraId="5B9C6C2A">
      <w:pPr>
        <w:sectPr>
          <w:pgSz w:w="11906" w:h="15648"/>
          <w:pgMar w:top="400" w:right="231" w:bottom="400" w:left="90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1">
            <w:col w:w="10765"/>
          </w:cols>
        </w:sectPr>
      </w:pPr>
    </w:p>
    <w:p w14:paraId="0D551EDF">
      <w:pPr>
        <w:spacing w:line="14" w:lineRule="auto"/>
        <w:sectPr>
          <w:type w:val="continuous"/>
          <w:pgSz w:w="11906" w:h="15648"/>
          <w:pgMar w:top="400" w:right="231" w:bottom="400" w:left="90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equalWidth="0" w:num="2">
            <w:col w:w="5133" w:space="100"/>
            <w:col w:w="5532"/>
          </w:cols>
        </w:sect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BFD56EC">
      <w:pPr>
        <w:pStyle w:val="2"/>
        <w:spacing w:before="29" w:line="268" w:lineRule="auto"/>
        <w:ind w:right="680"/>
        <w:jc w:val="both"/>
        <w:sectPr>
          <w:pgSz w:w="11906" w:h="15648"/>
          <w:pgMar w:top="400" w:right="231" w:bottom="400" w:left="909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3C23DB67">
      <w:pPr>
        <w:bidi w:val="0"/>
      </w:pPr>
    </w:p>
    <w:tbl>
      <w:tblPr>
        <w:tblStyle w:val="8"/>
        <w:tblpPr w:leftFromText="180" w:rightFromText="180" w:vertAnchor="text" w:horzAnchor="page" w:tblpX="921" w:tblpY="243"/>
        <w:tblOverlap w:val="never"/>
        <w:tblW w:w="57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0"/>
      </w:tblGrid>
      <w:tr w14:paraId="5A5EA4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3" w:hRule="atLeast"/>
        </w:trPr>
        <w:tc>
          <w:tcPr>
            <w:tcW w:w="5700" w:type="dxa"/>
            <w:tcBorders>
              <w:top w:val="single" w:color="auto" w:sz="12" w:space="0"/>
            </w:tcBorders>
            <w:shd w:val="clear" w:color="auto" w:fill="E6E7E9"/>
            <w:vAlign w:val="center"/>
          </w:tcPr>
          <w:p w14:paraId="594BE0F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jc w:val="left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  <w:t>Antidepressants</w:t>
            </w:r>
          </w:p>
          <w:p w14:paraId="4FED793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Amitriptyline</w:t>
            </w:r>
          </w:p>
          <w:p w14:paraId="27A270C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Amoxapine</w:t>
            </w:r>
          </w:p>
          <w:p w14:paraId="0141121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Clomipramine</w:t>
            </w:r>
          </w:p>
          <w:p w14:paraId="0991529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Desipramine</w:t>
            </w:r>
          </w:p>
          <w:p w14:paraId="55DC417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Doxepin (&gt;6 mg/day) </w:t>
            </w:r>
          </w:p>
          <w:p w14:paraId="369DAD7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Imipramine</w:t>
            </w:r>
          </w:p>
          <w:p w14:paraId="01E0F06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Nortriptyline </w:t>
            </w:r>
          </w:p>
          <w:p w14:paraId="27641DD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Paroxetine</w:t>
            </w:r>
          </w:p>
        </w:tc>
      </w:tr>
      <w:tr w14:paraId="28BE02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5700" w:type="dxa"/>
            <w:vAlign w:val="top"/>
          </w:tcPr>
          <w:p w14:paraId="70972F95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"/>
              <w:textAlignment w:val="baseline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Antiemetics</w:t>
            </w:r>
          </w:p>
          <w:p w14:paraId="0105B4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37"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Prochlorperazine </w:t>
            </w:r>
          </w:p>
          <w:p w14:paraId="310EA60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237"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Promethazine</w:t>
            </w:r>
          </w:p>
        </w:tc>
      </w:tr>
      <w:tr w14:paraId="19A651D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7" w:hRule="atLeast"/>
        </w:trPr>
        <w:tc>
          <w:tcPr>
            <w:tcW w:w="5700" w:type="dxa"/>
            <w:shd w:val="clear" w:color="auto" w:fill="E6E7E9"/>
            <w:vAlign w:val="top"/>
          </w:tcPr>
          <w:p w14:paraId="03870E7B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 w:eastAsia="zh-CN"/>
              </w:rPr>
              <w:t xml:space="preserve">Antihistamines (first-generation) </w:t>
            </w:r>
          </w:p>
          <w:p w14:paraId="389CE832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Brompheniramine </w:t>
            </w:r>
          </w:p>
          <w:p w14:paraId="354A90AA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Chlorpheniramine </w:t>
            </w:r>
          </w:p>
          <w:p w14:paraId="1983CC2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Cyproheptadine </w:t>
            </w:r>
          </w:p>
          <w:p w14:paraId="7CD65835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Dimenhydrinate </w:t>
            </w:r>
          </w:p>
          <w:p w14:paraId="734058F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Diphenhydramine </w:t>
            </w:r>
          </w:p>
          <w:p w14:paraId="01F927ED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Doxylamine </w:t>
            </w:r>
          </w:p>
          <w:p w14:paraId="7E7D2459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Hydroxyzine </w:t>
            </w:r>
          </w:p>
          <w:p w14:paraId="4B4B21C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Meclizine </w:t>
            </w:r>
          </w:p>
          <w:p w14:paraId="74A1E52A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Promethazine </w:t>
            </w:r>
          </w:p>
          <w:p w14:paraId="429C5819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 w:left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Triprolidine</w:t>
            </w:r>
          </w:p>
        </w:tc>
      </w:tr>
      <w:tr w14:paraId="4D06ADB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5700" w:type="dxa"/>
            <w:vAlign w:val="top"/>
          </w:tcPr>
          <w:p w14:paraId="10A169B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 w:eastAsia="zh-CN"/>
              </w:rPr>
              <w:t>Antimuscarinics (urinary incontinence)</w:t>
            </w: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vertAlign w:val="superscript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 w:eastAsia="zh-CN"/>
              </w:rPr>
              <w:t xml:space="preserve"> </w:t>
            </w:r>
          </w:p>
          <w:p w14:paraId="11EF295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Darifenacin </w:t>
            </w:r>
          </w:p>
          <w:p w14:paraId="7A6EDB6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Fesoterodine </w:t>
            </w:r>
          </w:p>
          <w:p w14:paraId="1D3730E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Flavoxate </w:t>
            </w:r>
          </w:p>
          <w:p w14:paraId="232248C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Oxybutynin </w:t>
            </w:r>
          </w:p>
          <w:p w14:paraId="69186AD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Solifenacin </w:t>
            </w:r>
          </w:p>
          <w:p w14:paraId="01B7A7F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Tolterodine </w:t>
            </w:r>
          </w:p>
          <w:p w14:paraId="77ACF59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Trospium</w:t>
            </w:r>
          </w:p>
        </w:tc>
      </w:tr>
      <w:tr w14:paraId="4DE1C0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5700" w:type="dxa"/>
            <w:shd w:val="clear" w:color="auto" w:fill="E6E7E9"/>
            <w:vAlign w:val="top"/>
          </w:tcPr>
          <w:p w14:paraId="1169D27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84" w:right="0" w:hanging="170" w:hanging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  <w:t>Antiparkinsonian agents</w:t>
            </w:r>
            <w:r>
              <w:rPr>
                <w:rFonts w:hint="default" w:ascii="Times New Roman" w:hAnsi="Times New Roman" w:cs="Times New Roman"/>
                <w:sz w:val="17"/>
                <w:szCs w:val="17"/>
              </w:rPr>
              <w:t xml:space="preserve"> </w:t>
            </w:r>
          </w:p>
          <w:p w14:paraId="0B38CD4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Benztropine</w:t>
            </w:r>
          </w:p>
          <w:p w14:paraId="64E80AE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68" w:leftChars="80" w:right="0" w:firstLine="0" w:firstLineChars="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</w:rPr>
              <w:t>Trihexyphenidyl</w:t>
            </w:r>
          </w:p>
        </w:tc>
      </w:tr>
      <w:tr w14:paraId="7AE7EC4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5700" w:type="dxa"/>
            <w:vAlign w:val="top"/>
          </w:tcPr>
          <w:p w14:paraId="0C6D6A5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 w:eastAsia="zh-CN"/>
              </w:rPr>
              <w:t xml:space="preserve">Antipsychotics </w:t>
            </w:r>
          </w:p>
          <w:p w14:paraId="20DB829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Chlorpromazine </w:t>
            </w:r>
          </w:p>
          <w:p w14:paraId="333F1EC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Clozapine </w:t>
            </w:r>
          </w:p>
          <w:p w14:paraId="0B873F8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06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Olanzapine </w:t>
            </w:r>
          </w:p>
          <w:p w14:paraId="5C926D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jc w:val="left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>Perphenazine</w:t>
            </w:r>
          </w:p>
        </w:tc>
      </w:tr>
      <w:tr w14:paraId="53C2AFF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5700" w:type="dxa"/>
            <w:shd w:val="clear" w:color="auto" w:fill="E6E7E9"/>
            <w:vAlign w:val="top"/>
          </w:tcPr>
          <w:p w14:paraId="51DEA59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default"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7"/>
                <w:szCs w:val="17"/>
                <w:lang w:val="en-US" w:eastAsia="zh-CN"/>
              </w:rPr>
              <w:t xml:space="preserve">Antispasmodics </w:t>
            </w:r>
          </w:p>
          <w:p w14:paraId="151BC06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Atropine </w:t>
            </w:r>
          </w:p>
          <w:p w14:paraId="7301CF7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Clidinium-chlordiazepoxide </w:t>
            </w:r>
          </w:p>
          <w:p w14:paraId="7567F1C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Dicyclomine </w:t>
            </w:r>
          </w:p>
          <w:p w14:paraId="14E2419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Homatropine </w:t>
            </w:r>
          </w:p>
          <w:p w14:paraId="2EEFBDF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cs="Times New Roman"/>
                <w:sz w:val="17"/>
                <w:szCs w:val="17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Hyoscyamine </w:t>
            </w:r>
          </w:p>
          <w:p w14:paraId="047D4B7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170" w:firstLineChars="100"/>
              <w:textAlignment w:val="baseline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17"/>
                <w:szCs w:val="17"/>
                <w:lang w:val="en-US" w:eastAsia="zh-CN"/>
              </w:rPr>
              <w:t xml:space="preserve">Scopolamine </w:t>
            </w:r>
          </w:p>
        </w:tc>
      </w:tr>
      <w:tr w14:paraId="0A85C5E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700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745D245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AdvOT569473da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b/>
                <w:bCs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Skeletal muscle relaxants </w:t>
            </w:r>
          </w:p>
          <w:p w14:paraId="4C801A5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 xml:space="preserve">Cyclobenzaprine </w:t>
            </w:r>
          </w:p>
          <w:p w14:paraId="1C3F9DC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</w:pPr>
            <w:r>
              <w:rPr>
                <w:rFonts w:hint="default" w:ascii="Times New Roman" w:hAnsi="Times New Roman" w:eastAsia="AdvOT569473da" w:cs="Times New Roman"/>
                <w:snapToGrid w:val="0"/>
                <w:color w:val="000000"/>
                <w:kern w:val="0"/>
                <w:sz w:val="17"/>
                <w:szCs w:val="17"/>
                <w:lang w:val="en-US" w:eastAsia="zh-CN" w:bidi="ar"/>
              </w:rPr>
              <w:t>Orphenadrine</w:t>
            </w:r>
          </w:p>
        </w:tc>
      </w:tr>
    </w:tbl>
    <w:p w14:paraId="0FD9A425">
      <w:pPr>
        <w:pStyle w:val="2"/>
        <w:spacing w:before="19" w:line="215" w:lineRule="auto"/>
        <w:ind w:right="20"/>
        <w:rPr>
          <w:rFonts w:hint="default" w:ascii="Times New Roman" w:hAnsi="Times New Roman" w:eastAsia="宋体" w:cs="Times New Roman"/>
          <w:spacing w:val="2"/>
          <w:sz w:val="20"/>
          <w:szCs w:val="20"/>
          <w:lang w:val="en-US" w:eastAsia="zh-CN"/>
        </w:rPr>
      </w:pPr>
      <w:r>
        <w:rPr>
          <w:rFonts w:hint="eastAsia" w:eastAsia="宋体" w:cs="Times New Roman"/>
          <w:spacing w:val="2"/>
          <w:sz w:val="20"/>
          <w:szCs w:val="20"/>
          <w:lang w:val="en-US" w:eastAsia="zh-CN"/>
        </w:rPr>
        <w:t>TABLE 6 Drugs with strong anticholinergic properties.</w:t>
      </w:r>
    </w:p>
    <w:p w14:paraId="10FCCD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textAlignment w:val="baseline"/>
        <w:rPr>
          <w:sz w:val="15"/>
          <w:szCs w:val="15"/>
        </w:rPr>
      </w:pPr>
      <w:r>
        <w:rPr>
          <w:rFonts w:hint="default" w:ascii="Times New Roman" w:hAnsi="Times New Roman" w:eastAsia="Arial" w:cs="Times New Roman"/>
          <w:spacing w:val="2"/>
          <w:sz w:val="15"/>
          <w:szCs w:val="15"/>
        </w:rPr>
        <w:t>Note</w:t>
      </w:r>
      <w:r>
        <w:rPr>
          <w:rFonts w:hint="default" w:ascii="Times New Roman" w:hAnsi="Times New Roman" w:cs="Times New Roman"/>
          <w:spacing w:val="2"/>
          <w:sz w:val="15"/>
          <w:szCs w:val="15"/>
        </w:rPr>
        <w:t xml:space="preserve">: </w:t>
      </w:r>
      <w:r>
        <w:rPr>
          <w:spacing w:val="2"/>
          <w:sz w:val="15"/>
          <w:szCs w:val="15"/>
        </w:rPr>
        <w:t>This table is not a comprehensive</w:t>
      </w:r>
      <w:r>
        <w:rPr>
          <w:spacing w:val="21"/>
          <w:w w:val="101"/>
          <w:sz w:val="15"/>
          <w:szCs w:val="15"/>
        </w:rPr>
        <w:t xml:space="preserve"> </w:t>
      </w:r>
      <w:r>
        <w:rPr>
          <w:spacing w:val="2"/>
          <w:sz w:val="15"/>
          <w:szCs w:val="15"/>
        </w:rPr>
        <w:t>list</w:t>
      </w:r>
      <w:r>
        <w:rPr>
          <w:spacing w:val="7"/>
          <w:sz w:val="15"/>
          <w:szCs w:val="15"/>
        </w:rPr>
        <w:t xml:space="preserve"> </w:t>
      </w:r>
      <w:r>
        <w:rPr>
          <w:spacing w:val="2"/>
          <w:sz w:val="15"/>
          <w:szCs w:val="15"/>
        </w:rPr>
        <w:t>of all medications with</w:t>
      </w:r>
      <w:r>
        <w:rPr>
          <w:rFonts w:hint="eastAsia" w:eastAsia="宋体"/>
          <w:spacing w:val="2"/>
          <w:sz w:val="15"/>
          <w:szCs w:val="15"/>
          <w:lang w:val="en-US" w:eastAsia="zh-CN"/>
        </w:rPr>
        <w:t xml:space="preserve"> </w:t>
      </w:r>
      <w:r>
        <w:rPr>
          <w:spacing w:val="3"/>
          <w:sz w:val="15"/>
          <w:szCs w:val="15"/>
        </w:rPr>
        <w:t>anticholinergic properties.</w:t>
      </w:r>
    </w:p>
    <w:p w14:paraId="740DC84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textAlignment w:val="baseline"/>
        <w:rPr>
          <w:sz w:val="15"/>
          <w:szCs w:val="15"/>
        </w:rPr>
      </w:pPr>
      <w:r>
        <w:rPr>
          <w:spacing w:val="5"/>
          <w:position w:val="6"/>
          <w:sz w:val="15"/>
          <w:szCs w:val="15"/>
        </w:rPr>
        <w:t>a</w:t>
      </w:r>
      <w:r>
        <w:rPr>
          <w:spacing w:val="5"/>
          <w:sz w:val="15"/>
          <w:szCs w:val="15"/>
        </w:rPr>
        <w:t>Data on whether certa</w:t>
      </w:r>
      <w:r>
        <w:rPr>
          <w:spacing w:val="4"/>
          <w:sz w:val="15"/>
          <w:szCs w:val="15"/>
        </w:rPr>
        <w:t>in bladder antimuscarinics confer greater</w:t>
      </w:r>
      <w:r>
        <w:rPr>
          <w:sz w:val="15"/>
          <w:szCs w:val="15"/>
        </w:rPr>
        <w:t xml:space="preserve"> </w:t>
      </w:r>
      <w:r>
        <w:rPr>
          <w:spacing w:val="3"/>
          <w:sz w:val="15"/>
          <w:szCs w:val="15"/>
        </w:rPr>
        <w:t>adverse cognitive effects than others lack</w:t>
      </w:r>
      <w:r>
        <w:rPr>
          <w:spacing w:val="8"/>
          <w:sz w:val="15"/>
          <w:szCs w:val="15"/>
        </w:rPr>
        <w:t xml:space="preserve"> </w:t>
      </w:r>
      <w:r>
        <w:rPr>
          <w:spacing w:val="3"/>
          <w:sz w:val="15"/>
          <w:szCs w:val="15"/>
        </w:rPr>
        <w:t>c</w:t>
      </w:r>
      <w:r>
        <w:rPr>
          <w:spacing w:val="2"/>
          <w:sz w:val="15"/>
          <w:szCs w:val="15"/>
        </w:rPr>
        <w:t>onsistent</w:t>
      </w:r>
      <w:r>
        <w:rPr>
          <w:spacing w:val="8"/>
          <w:sz w:val="15"/>
          <w:szCs w:val="15"/>
        </w:rPr>
        <w:t xml:space="preserve"> </w:t>
      </w:r>
      <w:r>
        <w:rPr>
          <w:spacing w:val="2"/>
          <w:sz w:val="15"/>
          <w:szCs w:val="15"/>
        </w:rPr>
        <w:t>quality.</w:t>
      </w:r>
    </w:p>
    <w:p w14:paraId="7A14C7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left"/>
        <w:textAlignment w:val="baseline"/>
        <w:rPr>
          <w:sz w:val="15"/>
          <w:szCs w:val="15"/>
        </w:rPr>
      </w:pPr>
      <w:r>
        <w:rPr>
          <w:spacing w:val="2"/>
          <w:sz w:val="15"/>
          <w:szCs w:val="15"/>
        </w:rPr>
        <w:t>Oxybutynin has the best evidence for adverse</w:t>
      </w:r>
      <w:r>
        <w:rPr>
          <w:spacing w:val="12"/>
          <w:w w:val="101"/>
          <w:sz w:val="15"/>
          <w:szCs w:val="15"/>
        </w:rPr>
        <w:t xml:space="preserve"> </w:t>
      </w:r>
      <w:r>
        <w:rPr>
          <w:spacing w:val="2"/>
          <w:sz w:val="15"/>
          <w:szCs w:val="15"/>
        </w:rPr>
        <w:t>cognitive</w:t>
      </w:r>
      <w:r>
        <w:rPr>
          <w:spacing w:val="8"/>
          <w:sz w:val="15"/>
          <w:szCs w:val="15"/>
        </w:rPr>
        <w:t xml:space="preserve"> </w:t>
      </w:r>
      <w:r>
        <w:rPr>
          <w:spacing w:val="2"/>
          <w:sz w:val="15"/>
          <w:szCs w:val="15"/>
        </w:rPr>
        <w:t>effects.</w:t>
      </w:r>
      <w:r>
        <w:rPr>
          <w:sz w:val="15"/>
          <w:szCs w:val="15"/>
        </w:rPr>
        <w:t xml:space="preserve"> </w:t>
      </w:r>
      <w:r>
        <w:rPr>
          <w:spacing w:val="4"/>
          <w:sz w:val="15"/>
          <w:szCs w:val="15"/>
        </w:rPr>
        <w:t xml:space="preserve">However, caution is warranted for all bladder </w:t>
      </w:r>
      <w:r>
        <w:rPr>
          <w:spacing w:val="3"/>
          <w:sz w:val="15"/>
          <w:szCs w:val="15"/>
        </w:rPr>
        <w:t>antimuscarinics</w:t>
      </w:r>
      <w:r>
        <w:rPr>
          <w:sz w:val="15"/>
          <w:szCs w:val="15"/>
        </w:rPr>
        <w:t xml:space="preserve">  </w:t>
      </w:r>
      <w:r>
        <w:rPr>
          <w:spacing w:val="3"/>
          <w:sz w:val="15"/>
          <w:szCs w:val="15"/>
        </w:rPr>
        <w:t>given their potential anticholinergic effects.</w:t>
      </w:r>
    </w:p>
    <w:p w14:paraId="35389683">
      <w:pPr>
        <w:bidi w:val="0"/>
        <w:jc w:val="both"/>
      </w:pPr>
    </w:p>
    <w:sectPr>
      <w:type w:val="continuous"/>
      <w:pgSz w:w="11906" w:h="15648"/>
      <w:pgMar w:top="400" w:right="231" w:bottom="400" w:left="912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equalWidth="0" w:num="2">
        <w:col w:w="5042" w:space="0"/>
        <w:col w:w="57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vOT569473d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dvOTc022ae45.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03676dda.B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f2679e53.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dvOT8608a8d1+2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608a8d1+2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089F5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44E55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F0A2274"/>
    <w:rsid w:val="1FB73D7F"/>
    <w:rsid w:val="2B6B3A55"/>
    <w:rsid w:val="5CA534A1"/>
    <w:rsid w:val="7B9C7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2189</Words>
  <Characters>14872</Characters>
  <TotalTime>139</TotalTime>
  <ScaleCrop>false</ScaleCrop>
  <LinksUpToDate>false</LinksUpToDate>
  <CharactersWithSpaces>17329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2025-04-20T00:22:00Z</dcterms:created>
  <dc:creator>PC</dc:creator>
  <cp:lastModifiedBy>小荒</cp:lastModifiedBy>
  <dcterms:modified xsi:type="dcterms:W3CDTF">2025-04-20T11:23:54Z</dcterms:modified>
  <dc:subject>J American Geriatrics Society 0.0</dc:subject>
  <dc:title>American Geriatrics Society 2023 updated AGS Beers Criteria® for potentially inappropriate medication use in older adults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2025-04-20T00:22:47Z</vt:filetime>
  </property>
  <property fmtid="{D5CDD505-2E9C-101B-9397-08002B2CF9AE}" pid="4" name="KSOTemplateDocerSaveRecord">
    <vt:lpwstr>eyJoZGlkIjoiZDZlMDQyN2U4NmFlYWE3MGFhOGU0MjU2MzEwZWNmYzciLCJ1c2VySWQiOiI1NTI1ODkyODQifQ==</vt:lpwstr>
  </property>
  <property fmtid="{D5CDD505-2E9C-101B-9397-08002B2CF9AE}" pid="5" name="KSOProductBuildVer">
    <vt:lpwstr>2052-12.1.0.20784</vt:lpwstr>
  </property>
  <property fmtid="{D5CDD505-2E9C-101B-9397-08002B2CF9AE}" pid="6" name="ICV">
    <vt:lpwstr>6EF21ECD96F14016974685F5D05097BA_13</vt:lpwstr>
  </property>
</Properties>
</file>