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6EDA2" w14:textId="3D92F301" w:rsidR="005C0857" w:rsidRDefault="005C0857" w:rsidP="005C0857">
      <w:pPr>
        <w:pStyle w:val="Header"/>
        <w:rPr>
          <w:sz w:val="20"/>
          <w:szCs w:val="20"/>
        </w:rPr>
      </w:pPr>
      <w:r w:rsidRPr="005C0857">
        <w:rPr>
          <w:b/>
          <w:bCs/>
          <w:sz w:val="20"/>
          <w:szCs w:val="20"/>
        </w:rPr>
        <w:t>Title:</w:t>
      </w:r>
      <w:r w:rsidRPr="005C0857">
        <w:rPr>
          <w:sz w:val="20"/>
          <w:szCs w:val="20"/>
        </w:rPr>
        <w:t xml:space="preserve"> </w:t>
      </w:r>
      <w:r w:rsidRPr="007277A8">
        <w:rPr>
          <w:sz w:val="20"/>
          <w:szCs w:val="20"/>
        </w:rPr>
        <w:t>Regional Research Priorities for Medication Safety and Pharmacovigilance in Gulf Cooperation Council Countries: A Modified Delphi Consensus Study</w:t>
      </w:r>
    </w:p>
    <w:p w14:paraId="2FF72FCD" w14:textId="0FB4910E" w:rsidR="005C0857" w:rsidRDefault="005C0857" w:rsidP="005C0857">
      <w:pPr>
        <w:pStyle w:val="Header"/>
        <w:rPr>
          <w:sz w:val="20"/>
          <w:szCs w:val="20"/>
        </w:rPr>
      </w:pPr>
      <w:r w:rsidRPr="005C0857">
        <w:rPr>
          <w:b/>
          <w:bCs/>
          <w:sz w:val="20"/>
          <w:szCs w:val="20"/>
        </w:rPr>
        <w:t>Journal Name:</w:t>
      </w:r>
      <w:r>
        <w:rPr>
          <w:sz w:val="20"/>
          <w:szCs w:val="20"/>
        </w:rPr>
        <w:t xml:space="preserve"> </w:t>
      </w:r>
      <w:r w:rsidR="009B7D80">
        <w:rPr>
          <w:sz w:val="20"/>
          <w:szCs w:val="20"/>
        </w:rPr>
        <w:t>Saudi Pharmaceutical Journal.</w:t>
      </w:r>
      <w:r>
        <w:rPr>
          <w:sz w:val="20"/>
          <w:szCs w:val="20"/>
        </w:rPr>
        <w:t xml:space="preserve"> </w:t>
      </w:r>
    </w:p>
    <w:p w14:paraId="38F19E0B" w14:textId="77777777" w:rsidR="005C0857" w:rsidRPr="005C0857" w:rsidRDefault="005C0857" w:rsidP="005C0857">
      <w:pPr>
        <w:pStyle w:val="Header"/>
        <w:rPr>
          <w:b/>
          <w:bCs/>
          <w:sz w:val="20"/>
          <w:szCs w:val="20"/>
        </w:rPr>
      </w:pPr>
      <w:r w:rsidRPr="005C0857">
        <w:rPr>
          <w:b/>
          <w:bCs/>
          <w:sz w:val="20"/>
          <w:szCs w:val="20"/>
        </w:rPr>
        <w:t xml:space="preserve">Authors Names and affiliations: </w:t>
      </w:r>
    </w:p>
    <w:p w14:paraId="109D494C" w14:textId="73E030E9" w:rsidR="005C0857" w:rsidRPr="005C0857" w:rsidRDefault="005C0857" w:rsidP="005C0857">
      <w:pPr>
        <w:spacing w:line="276" w:lineRule="auto"/>
        <w:rPr>
          <w:rFonts w:asciiTheme="majorBidi" w:hAnsiTheme="majorBidi" w:cstheme="majorBidi"/>
          <w:sz w:val="20"/>
          <w:szCs w:val="20"/>
          <w:shd w:val="clear" w:color="auto" w:fill="FFFFFF"/>
        </w:rPr>
      </w:pPr>
      <w:r w:rsidRPr="007277A8">
        <w:rPr>
          <w:rFonts w:asciiTheme="majorBidi" w:hAnsiTheme="majorBidi" w:cstheme="majorBidi"/>
          <w:sz w:val="20"/>
          <w:szCs w:val="20"/>
        </w:rPr>
        <w:t>Ghadah A. Assiri</w:t>
      </w:r>
      <w:r w:rsidRPr="007277A8">
        <w:rPr>
          <w:rFonts w:asciiTheme="majorBidi" w:hAnsiTheme="majorBidi" w:cstheme="majorBidi"/>
          <w:sz w:val="20"/>
          <w:szCs w:val="20"/>
          <w:vertAlign w:val="superscript"/>
        </w:rPr>
        <w:t>1*</w:t>
      </w:r>
      <w:r w:rsidRPr="007277A8">
        <w:rPr>
          <w:rFonts w:asciiTheme="majorBidi" w:hAnsiTheme="majorBidi" w:cstheme="majorBidi"/>
          <w:sz w:val="20"/>
          <w:szCs w:val="20"/>
        </w:rPr>
        <w:t>, Wael Y. Khawagi</w:t>
      </w:r>
      <w:r w:rsidRPr="007277A8">
        <w:rPr>
          <w:rFonts w:asciiTheme="majorBidi" w:hAnsiTheme="majorBidi" w:cstheme="majorBidi"/>
          <w:sz w:val="20"/>
          <w:szCs w:val="20"/>
          <w:vertAlign w:val="superscript"/>
        </w:rPr>
        <w:t>2*</w:t>
      </w:r>
      <w:r w:rsidRPr="007277A8">
        <w:rPr>
          <w:rFonts w:asciiTheme="majorBidi" w:hAnsiTheme="majorBidi" w:cstheme="majorBidi"/>
          <w:sz w:val="20"/>
          <w:szCs w:val="20"/>
        </w:rPr>
        <w:t xml:space="preserve">, </w:t>
      </w:r>
      <w:r w:rsidRPr="00CF6854">
        <w:rPr>
          <w:rFonts w:asciiTheme="majorBidi" w:hAnsiTheme="majorBidi" w:cstheme="majorBidi"/>
          <w:sz w:val="20"/>
          <w:szCs w:val="20"/>
        </w:rPr>
        <w:t>Huda Alewairdhi</w:t>
      </w:r>
      <w:r w:rsidRPr="00CF6854">
        <w:rPr>
          <w:rFonts w:asciiTheme="majorBidi" w:hAnsiTheme="majorBidi" w:cstheme="majorBidi"/>
          <w:sz w:val="20"/>
          <w:szCs w:val="20"/>
          <w:vertAlign w:val="superscript"/>
        </w:rPr>
        <w:t>1</w:t>
      </w:r>
      <w:r w:rsidRPr="00CF6854">
        <w:rPr>
          <w:rFonts w:asciiTheme="majorBidi" w:hAnsiTheme="majorBidi" w:cstheme="majorBidi"/>
          <w:sz w:val="20"/>
          <w:szCs w:val="20"/>
        </w:rPr>
        <w:t xml:space="preserve">, </w:t>
      </w:r>
      <w:r w:rsidR="0084480D" w:rsidRPr="007277A8">
        <w:rPr>
          <w:rFonts w:asciiTheme="majorBidi" w:hAnsiTheme="majorBidi" w:cstheme="majorBidi"/>
          <w:sz w:val="20"/>
          <w:szCs w:val="20"/>
        </w:rPr>
        <w:t xml:space="preserve">Fatema A. </w:t>
      </w:r>
      <w:proofErr w:type="spellStart"/>
      <w:r w:rsidR="0084480D" w:rsidRPr="007277A8">
        <w:rPr>
          <w:rFonts w:asciiTheme="majorBidi" w:hAnsiTheme="majorBidi" w:cstheme="majorBidi"/>
          <w:sz w:val="20"/>
          <w:szCs w:val="20"/>
        </w:rPr>
        <w:t>Alqenae</w:t>
      </w:r>
      <w:proofErr w:type="spellEnd"/>
      <w:r w:rsidR="0084480D" w:rsidRPr="007277A8">
        <w:rPr>
          <w:rFonts w:asciiTheme="majorBidi" w:hAnsiTheme="majorBidi" w:cstheme="majorBidi"/>
          <w:sz w:val="20"/>
          <w:szCs w:val="20"/>
          <w:vertAlign w:val="superscript"/>
        </w:rPr>
        <w:t xml:space="preserve"> </w:t>
      </w:r>
      <w:r w:rsidR="0084480D" w:rsidRPr="0084480D">
        <w:rPr>
          <w:rFonts w:asciiTheme="majorBidi" w:hAnsiTheme="majorBidi" w:cstheme="majorBidi"/>
          <w:sz w:val="20"/>
          <w:szCs w:val="20"/>
          <w:vertAlign w:val="superscript"/>
        </w:rPr>
        <w:t>3</w:t>
      </w:r>
      <w:r w:rsidR="0084480D">
        <w:rPr>
          <w:rFonts w:asciiTheme="majorBidi" w:hAnsiTheme="majorBidi" w:cstheme="majorBidi"/>
          <w:sz w:val="20"/>
          <w:szCs w:val="20"/>
        </w:rPr>
        <w:t xml:space="preserve">, </w:t>
      </w:r>
      <w:r w:rsidRPr="0084480D">
        <w:rPr>
          <w:rFonts w:asciiTheme="majorBidi" w:hAnsiTheme="majorBidi" w:cstheme="majorBidi"/>
          <w:sz w:val="20"/>
          <w:szCs w:val="20"/>
        </w:rPr>
        <w:t>Douha</w:t>
      </w:r>
      <w:r w:rsidRPr="00CF6854">
        <w:rPr>
          <w:rFonts w:asciiTheme="majorBidi" w:hAnsiTheme="majorBidi" w:cstheme="majorBidi"/>
          <w:sz w:val="20"/>
          <w:szCs w:val="20"/>
        </w:rPr>
        <w:t xml:space="preserve"> F. Bannan</w:t>
      </w:r>
      <w:r w:rsidRPr="00CF6854">
        <w:rPr>
          <w:rFonts w:asciiTheme="majorBidi" w:hAnsiTheme="majorBidi" w:cstheme="majorBidi"/>
          <w:sz w:val="20"/>
          <w:szCs w:val="20"/>
          <w:vertAlign w:val="superscript"/>
        </w:rPr>
        <w:t>4</w:t>
      </w:r>
      <w:r w:rsidRPr="00CF6854">
        <w:rPr>
          <w:rFonts w:asciiTheme="majorBidi" w:hAnsiTheme="majorBidi" w:cstheme="majorBidi"/>
          <w:sz w:val="20"/>
          <w:szCs w:val="20"/>
        </w:rPr>
        <w:t>, Abdullah A. Alshehri</w:t>
      </w:r>
      <w:r w:rsidRPr="00CF6854">
        <w:rPr>
          <w:rFonts w:asciiTheme="majorBidi" w:hAnsiTheme="majorBidi" w:cstheme="majorBidi"/>
          <w:sz w:val="20"/>
          <w:szCs w:val="20"/>
          <w:vertAlign w:val="superscript"/>
        </w:rPr>
        <w:t>2</w:t>
      </w:r>
      <w:r w:rsidRPr="00CF6854">
        <w:rPr>
          <w:rFonts w:asciiTheme="majorBidi" w:hAnsiTheme="majorBidi" w:cstheme="majorBidi"/>
          <w:sz w:val="20"/>
          <w:szCs w:val="20"/>
        </w:rPr>
        <w:t>, Anas Hamad</w:t>
      </w:r>
      <w:r w:rsidRPr="00CF6854">
        <w:rPr>
          <w:rFonts w:asciiTheme="majorBidi" w:hAnsiTheme="majorBidi" w:cstheme="majorBidi"/>
          <w:sz w:val="20"/>
          <w:szCs w:val="20"/>
          <w:vertAlign w:val="superscript"/>
        </w:rPr>
        <w:t>5,6</w:t>
      </w:r>
      <w:r w:rsidRPr="00CF6854">
        <w:rPr>
          <w:rFonts w:asciiTheme="majorBidi" w:hAnsiTheme="majorBidi" w:cstheme="majorBidi"/>
          <w:sz w:val="20"/>
          <w:szCs w:val="20"/>
        </w:rPr>
        <w:t>, Fatma Alraisi,</w:t>
      </w:r>
      <w:r w:rsidRPr="00CF6854">
        <w:rPr>
          <w:rFonts w:asciiTheme="majorBidi" w:hAnsiTheme="majorBidi" w:cstheme="majorBidi"/>
          <w:sz w:val="20"/>
          <w:szCs w:val="20"/>
          <w:vertAlign w:val="superscript"/>
        </w:rPr>
        <w:t>7</w:t>
      </w:r>
      <w:r w:rsidRPr="007277A8">
        <w:rPr>
          <w:rFonts w:asciiTheme="majorBidi" w:hAnsiTheme="majorBidi" w:cstheme="majorBidi"/>
          <w:sz w:val="20"/>
          <w:szCs w:val="20"/>
        </w:rPr>
        <w:t xml:space="preserve"> Ghadah H. Alshehri</w:t>
      </w:r>
      <w:r w:rsidRPr="007277A8">
        <w:rPr>
          <w:rFonts w:asciiTheme="majorBidi" w:hAnsiTheme="majorBidi" w:cstheme="majorBidi"/>
          <w:sz w:val="20"/>
          <w:szCs w:val="20"/>
          <w:vertAlign w:val="superscript"/>
        </w:rPr>
        <w:t>8</w:t>
      </w:r>
      <w:r w:rsidRPr="007277A8">
        <w:rPr>
          <w:rFonts w:asciiTheme="majorBidi" w:hAnsiTheme="majorBidi" w:cstheme="majorBidi"/>
          <w:sz w:val="20"/>
          <w:szCs w:val="20"/>
        </w:rPr>
        <w:t>.</w:t>
      </w:r>
    </w:p>
    <w:p w14:paraId="7D11927E" w14:textId="77777777" w:rsidR="005C0857" w:rsidRPr="007277A8" w:rsidRDefault="005C0857" w:rsidP="005C0857">
      <w:pPr>
        <w:spacing w:line="276" w:lineRule="auto"/>
        <w:rPr>
          <w:rFonts w:asciiTheme="majorBidi" w:hAnsiTheme="majorBidi" w:cstheme="majorBidi"/>
          <w:sz w:val="20"/>
          <w:szCs w:val="20"/>
        </w:rPr>
      </w:pPr>
      <w:r w:rsidRPr="007277A8">
        <w:rPr>
          <w:rFonts w:asciiTheme="majorBidi" w:hAnsiTheme="majorBidi" w:cstheme="majorBidi"/>
          <w:sz w:val="20"/>
          <w:szCs w:val="20"/>
          <w:vertAlign w:val="superscript"/>
        </w:rPr>
        <w:t>1</w:t>
      </w:r>
      <w:r w:rsidRPr="007277A8">
        <w:rPr>
          <w:rFonts w:asciiTheme="majorBidi" w:hAnsiTheme="majorBidi" w:cstheme="majorBidi"/>
          <w:sz w:val="20"/>
          <w:szCs w:val="20"/>
        </w:rPr>
        <w:t>Department of Clinical Pharmacy, College of Pharmacy, King Saud University, Riyadh, Saudi Arabia.</w:t>
      </w:r>
    </w:p>
    <w:p w14:paraId="262DDA38" w14:textId="77777777" w:rsidR="005C0857" w:rsidRPr="007277A8" w:rsidRDefault="005C0857" w:rsidP="005C0857">
      <w:pPr>
        <w:spacing w:line="276" w:lineRule="auto"/>
        <w:rPr>
          <w:rFonts w:asciiTheme="majorBidi" w:hAnsiTheme="majorBidi" w:cstheme="majorBidi"/>
          <w:sz w:val="20"/>
          <w:szCs w:val="20"/>
        </w:rPr>
      </w:pPr>
      <w:r w:rsidRPr="007277A8">
        <w:rPr>
          <w:rFonts w:asciiTheme="majorBidi" w:hAnsiTheme="majorBidi" w:cstheme="majorBidi"/>
          <w:sz w:val="20"/>
          <w:szCs w:val="20"/>
          <w:vertAlign w:val="superscript"/>
        </w:rPr>
        <w:t>2</w:t>
      </w:r>
      <w:r w:rsidRPr="007277A8">
        <w:rPr>
          <w:rFonts w:asciiTheme="majorBidi" w:hAnsiTheme="majorBidi" w:cstheme="majorBidi"/>
          <w:sz w:val="20"/>
          <w:szCs w:val="20"/>
        </w:rPr>
        <w:t>Department of Clinical Pharmacy, College of Pharmacy, Taif University, Taif 21944, Saudi Arabia</w:t>
      </w:r>
    </w:p>
    <w:p w14:paraId="4819664B" w14:textId="77777777" w:rsidR="005C0857" w:rsidRPr="007277A8" w:rsidRDefault="005C0857" w:rsidP="005C0857">
      <w:pPr>
        <w:spacing w:line="276" w:lineRule="auto"/>
        <w:rPr>
          <w:rFonts w:asciiTheme="majorBidi" w:hAnsiTheme="majorBidi" w:cstheme="majorBidi"/>
          <w:sz w:val="20"/>
          <w:szCs w:val="20"/>
        </w:rPr>
      </w:pPr>
      <w:r w:rsidRPr="007277A8">
        <w:rPr>
          <w:rFonts w:asciiTheme="majorBidi" w:hAnsiTheme="majorBidi" w:cstheme="majorBidi"/>
          <w:sz w:val="20"/>
          <w:szCs w:val="20"/>
          <w:vertAlign w:val="superscript"/>
        </w:rPr>
        <w:t>3</w:t>
      </w:r>
      <w:r w:rsidRPr="007277A8">
        <w:rPr>
          <w:rFonts w:asciiTheme="majorBidi" w:hAnsiTheme="majorBidi" w:cstheme="majorBidi"/>
          <w:sz w:val="20"/>
          <w:szCs w:val="20"/>
        </w:rPr>
        <w:t>Ministry of Health, Kuwait City, Kuwait</w:t>
      </w:r>
    </w:p>
    <w:p w14:paraId="11761DD2" w14:textId="77777777" w:rsidR="005C0857" w:rsidRPr="007277A8" w:rsidRDefault="005C0857" w:rsidP="005C0857">
      <w:pPr>
        <w:spacing w:line="276" w:lineRule="auto"/>
        <w:rPr>
          <w:rFonts w:asciiTheme="majorBidi" w:hAnsiTheme="majorBidi" w:cstheme="majorBidi"/>
          <w:sz w:val="20"/>
          <w:szCs w:val="20"/>
        </w:rPr>
      </w:pPr>
      <w:r w:rsidRPr="007277A8">
        <w:rPr>
          <w:rFonts w:asciiTheme="majorBidi" w:hAnsiTheme="majorBidi" w:cstheme="majorBidi"/>
          <w:sz w:val="20"/>
          <w:szCs w:val="20"/>
          <w:vertAlign w:val="superscript"/>
        </w:rPr>
        <w:t>4</w:t>
      </w:r>
      <w:r w:rsidRPr="007277A8">
        <w:rPr>
          <w:rFonts w:asciiTheme="majorBidi" w:hAnsiTheme="majorBidi" w:cstheme="majorBidi"/>
          <w:sz w:val="20"/>
          <w:szCs w:val="20"/>
        </w:rPr>
        <w:t xml:space="preserve">Department of Pharmacy Practice, Faculty of Pharmacy, King Abdulaziz University, Jeddah, Saudi Arabia. </w:t>
      </w:r>
    </w:p>
    <w:p w14:paraId="7B62BB35" w14:textId="1FF4440E" w:rsidR="005C0857" w:rsidRPr="00D03185" w:rsidRDefault="005C0857" w:rsidP="00D03185">
      <w:pPr>
        <w:spacing w:line="276" w:lineRule="auto"/>
        <w:rPr>
          <w:rFonts w:asciiTheme="majorBidi" w:hAnsiTheme="majorBidi" w:cstheme="majorBidi"/>
          <w:sz w:val="20"/>
          <w:szCs w:val="20"/>
          <w:lang w:val="en-AE"/>
        </w:rPr>
      </w:pPr>
      <w:r w:rsidRPr="007277A8">
        <w:rPr>
          <w:rFonts w:asciiTheme="majorBidi" w:hAnsiTheme="majorBidi" w:cstheme="majorBidi"/>
          <w:sz w:val="20"/>
          <w:szCs w:val="20"/>
          <w:vertAlign w:val="superscript"/>
        </w:rPr>
        <w:t>5</w:t>
      </w:r>
      <w:r w:rsidR="00D03185" w:rsidRPr="00D03185">
        <w:rPr>
          <w:rFonts w:asciiTheme="majorBidi" w:hAnsiTheme="majorBidi" w:cstheme="majorBidi"/>
          <w:sz w:val="20"/>
          <w:szCs w:val="20"/>
          <w:lang w:val="en-AE"/>
        </w:rPr>
        <w:t>Drug Supply Department, Hamad Medical Corporation, Doha, Qatar</w:t>
      </w:r>
    </w:p>
    <w:p w14:paraId="15B4C9C1" w14:textId="77777777" w:rsidR="005C0857" w:rsidRPr="007277A8" w:rsidRDefault="005C0857" w:rsidP="005C0857">
      <w:pPr>
        <w:spacing w:line="276" w:lineRule="auto"/>
        <w:rPr>
          <w:rFonts w:asciiTheme="majorBidi" w:hAnsiTheme="majorBidi" w:cstheme="majorBidi"/>
          <w:sz w:val="20"/>
          <w:szCs w:val="20"/>
        </w:rPr>
      </w:pPr>
      <w:r w:rsidRPr="007277A8">
        <w:rPr>
          <w:rFonts w:asciiTheme="majorBidi" w:hAnsiTheme="majorBidi" w:cstheme="majorBidi"/>
          <w:sz w:val="20"/>
          <w:szCs w:val="20"/>
          <w:vertAlign w:val="superscript"/>
        </w:rPr>
        <w:t>6</w:t>
      </w:r>
      <w:r w:rsidRPr="007277A8">
        <w:rPr>
          <w:rFonts w:asciiTheme="majorBidi" w:hAnsiTheme="majorBidi" w:cstheme="majorBidi"/>
          <w:sz w:val="20"/>
          <w:szCs w:val="20"/>
        </w:rPr>
        <w:t>College of Pharmacy, QU Health Sector, Qatar University, Doha, Qatar</w:t>
      </w:r>
    </w:p>
    <w:p w14:paraId="53ACC15C" w14:textId="77777777" w:rsidR="005C0857" w:rsidRPr="007277A8" w:rsidRDefault="005C0857" w:rsidP="005C0857">
      <w:pPr>
        <w:spacing w:line="276" w:lineRule="auto"/>
        <w:rPr>
          <w:rFonts w:asciiTheme="majorBidi" w:hAnsiTheme="majorBidi" w:cstheme="majorBidi"/>
          <w:sz w:val="20"/>
          <w:szCs w:val="20"/>
        </w:rPr>
      </w:pPr>
      <w:r w:rsidRPr="007277A8">
        <w:rPr>
          <w:rFonts w:asciiTheme="majorBidi" w:hAnsiTheme="majorBidi" w:cstheme="majorBidi"/>
          <w:sz w:val="20"/>
          <w:szCs w:val="20"/>
          <w:vertAlign w:val="superscript"/>
        </w:rPr>
        <w:t>7</w:t>
      </w:r>
      <w:r w:rsidRPr="007277A8">
        <w:rPr>
          <w:rFonts w:asciiTheme="majorBidi" w:hAnsiTheme="majorBidi" w:cstheme="majorBidi"/>
          <w:sz w:val="20"/>
          <w:szCs w:val="20"/>
        </w:rPr>
        <w:t>Oman College of Health Sciences, Muscat, Oman</w:t>
      </w:r>
    </w:p>
    <w:p w14:paraId="2582D4DE" w14:textId="24EA3AE3" w:rsidR="005C0857" w:rsidRPr="007277A8" w:rsidRDefault="005C0857" w:rsidP="005C0857">
      <w:pPr>
        <w:spacing w:line="276" w:lineRule="auto"/>
        <w:rPr>
          <w:rFonts w:asciiTheme="majorBidi" w:hAnsiTheme="majorBidi" w:cstheme="majorBidi"/>
          <w:sz w:val="20"/>
          <w:szCs w:val="20"/>
        </w:rPr>
      </w:pPr>
      <w:r w:rsidRPr="007277A8">
        <w:rPr>
          <w:rFonts w:asciiTheme="majorBidi" w:hAnsiTheme="majorBidi" w:cstheme="majorBidi"/>
          <w:sz w:val="20"/>
          <w:szCs w:val="20"/>
          <w:vertAlign w:val="superscript"/>
        </w:rPr>
        <w:t>8</w:t>
      </w:r>
      <w:r w:rsidRPr="007277A8">
        <w:rPr>
          <w:rFonts w:asciiTheme="majorBidi" w:hAnsiTheme="majorBidi" w:cstheme="majorBidi"/>
          <w:sz w:val="20"/>
          <w:szCs w:val="20"/>
        </w:rPr>
        <w:t>Department of Pharmacy Practice, College of Pharmacy, Princess Nourah bint Abdulrahman University, Riyadh, Saudi Arabia.</w:t>
      </w:r>
    </w:p>
    <w:p w14:paraId="272D1873" w14:textId="77777777" w:rsidR="005C0857" w:rsidRPr="007277A8" w:rsidRDefault="005C0857" w:rsidP="005C0857">
      <w:pPr>
        <w:spacing w:line="276" w:lineRule="auto"/>
        <w:rPr>
          <w:rFonts w:asciiTheme="majorBidi" w:hAnsiTheme="majorBidi" w:cstheme="majorBidi"/>
          <w:color w:val="000000" w:themeColor="text1"/>
          <w:sz w:val="20"/>
          <w:szCs w:val="20"/>
          <w:shd w:val="clear" w:color="auto" w:fill="FFFFFF"/>
        </w:rPr>
      </w:pPr>
    </w:p>
    <w:p w14:paraId="080FB86A" w14:textId="77777777" w:rsidR="005C0857" w:rsidRPr="007277A8" w:rsidRDefault="005C0857" w:rsidP="005C0857">
      <w:pPr>
        <w:spacing w:line="276" w:lineRule="auto"/>
        <w:rPr>
          <w:rFonts w:asciiTheme="majorBidi" w:hAnsiTheme="majorBidi" w:cstheme="majorBidi"/>
          <w:color w:val="000000" w:themeColor="text1"/>
          <w:sz w:val="20"/>
          <w:szCs w:val="20"/>
          <w:shd w:val="clear" w:color="auto" w:fill="FFFFFF"/>
        </w:rPr>
      </w:pPr>
      <w:r w:rsidRPr="007277A8">
        <w:rPr>
          <w:rFonts w:asciiTheme="majorBidi" w:hAnsiTheme="majorBidi" w:cstheme="majorBidi"/>
          <w:color w:val="000000" w:themeColor="text1"/>
          <w:sz w:val="20"/>
          <w:szCs w:val="20"/>
          <w:shd w:val="clear" w:color="auto" w:fill="FFFFFF"/>
        </w:rPr>
        <w:t xml:space="preserve">*Dr. Ghadah Assiri and Dr. Wael Y. </w:t>
      </w:r>
      <w:proofErr w:type="spellStart"/>
      <w:r w:rsidRPr="007277A8">
        <w:rPr>
          <w:rFonts w:asciiTheme="majorBidi" w:hAnsiTheme="majorBidi" w:cstheme="majorBidi"/>
          <w:color w:val="000000" w:themeColor="text1"/>
          <w:sz w:val="20"/>
          <w:szCs w:val="20"/>
          <w:shd w:val="clear" w:color="auto" w:fill="FFFFFF"/>
        </w:rPr>
        <w:t>Khawagi</w:t>
      </w:r>
      <w:proofErr w:type="spellEnd"/>
      <w:r w:rsidRPr="007277A8">
        <w:rPr>
          <w:rFonts w:asciiTheme="majorBidi" w:hAnsiTheme="majorBidi" w:cstheme="majorBidi"/>
          <w:color w:val="000000" w:themeColor="text1"/>
          <w:sz w:val="20"/>
          <w:szCs w:val="20"/>
          <w:shd w:val="clear" w:color="auto" w:fill="FFFFFF"/>
        </w:rPr>
        <w:t xml:space="preserve"> contributed equally to this work. </w:t>
      </w:r>
    </w:p>
    <w:p w14:paraId="5E227CAB" w14:textId="77777777" w:rsidR="005C0857" w:rsidRPr="007277A8" w:rsidRDefault="005C0857" w:rsidP="005C0857">
      <w:pPr>
        <w:spacing w:line="276" w:lineRule="auto"/>
        <w:rPr>
          <w:rFonts w:asciiTheme="majorBidi" w:hAnsiTheme="majorBidi" w:cstheme="majorBidi"/>
          <w:color w:val="000000" w:themeColor="text1"/>
          <w:sz w:val="20"/>
          <w:szCs w:val="20"/>
          <w:shd w:val="clear" w:color="auto" w:fill="FFFFFF"/>
        </w:rPr>
      </w:pPr>
    </w:p>
    <w:p w14:paraId="6C1594DE" w14:textId="1DC5679B" w:rsidR="005C0857" w:rsidRPr="007277A8" w:rsidRDefault="005C0857" w:rsidP="005C0857">
      <w:pPr>
        <w:spacing w:line="276" w:lineRule="auto"/>
        <w:rPr>
          <w:rFonts w:asciiTheme="majorBidi" w:hAnsiTheme="majorBidi" w:cstheme="majorBidi"/>
          <w:sz w:val="20"/>
          <w:szCs w:val="20"/>
        </w:rPr>
      </w:pPr>
      <w:r w:rsidRPr="007277A8">
        <w:rPr>
          <w:rFonts w:asciiTheme="majorBidi" w:hAnsiTheme="majorBidi" w:cstheme="majorBidi"/>
          <w:color w:val="000000" w:themeColor="text1"/>
          <w:sz w:val="20"/>
          <w:szCs w:val="20"/>
          <w:shd w:val="clear" w:color="auto" w:fill="FFFFFF"/>
        </w:rPr>
        <w:t xml:space="preserve">Corresponds to: </w:t>
      </w:r>
      <w:r w:rsidRPr="007277A8">
        <w:rPr>
          <w:rStyle w:val="institution"/>
          <w:rFonts w:asciiTheme="majorBidi" w:eastAsiaTheme="majorEastAsia" w:hAnsiTheme="majorBidi" w:cstheme="majorBidi"/>
          <w:sz w:val="20"/>
          <w:szCs w:val="20"/>
        </w:rPr>
        <w:t xml:space="preserve">Ghadah H. Alshehri. </w:t>
      </w:r>
      <w:hyperlink r:id="rId6" w:history="1">
        <w:r w:rsidRPr="007277A8">
          <w:rPr>
            <w:rStyle w:val="Hyperlink"/>
            <w:rFonts w:asciiTheme="majorBidi" w:eastAsiaTheme="majorEastAsia" w:hAnsiTheme="majorBidi" w:cstheme="majorBidi"/>
            <w:sz w:val="20"/>
            <w:szCs w:val="20"/>
          </w:rPr>
          <w:t>ghALShehri@pnu.edu.sa</w:t>
        </w:r>
      </w:hyperlink>
      <w:r w:rsidRPr="007277A8">
        <w:rPr>
          <w:rFonts w:asciiTheme="majorBidi" w:hAnsiTheme="majorBidi" w:cstheme="majorBidi"/>
          <w:sz w:val="20"/>
          <w:szCs w:val="20"/>
        </w:rPr>
        <w:t xml:space="preserve">. ORCID: </w:t>
      </w:r>
      <w:r w:rsidRPr="007277A8">
        <w:rPr>
          <w:rStyle w:val="normaltextrun"/>
          <w:sz w:val="20"/>
          <w:szCs w:val="20"/>
        </w:rPr>
        <w:t>0000-0001-7807-4470</w:t>
      </w:r>
      <w:r w:rsidR="00CF6854">
        <w:rPr>
          <w:rStyle w:val="normaltextrun"/>
          <w:sz w:val="20"/>
          <w:szCs w:val="20"/>
        </w:rPr>
        <w:t>.</w:t>
      </w:r>
    </w:p>
    <w:p w14:paraId="15F06629" w14:textId="77777777" w:rsidR="005C0857" w:rsidRDefault="005C0857">
      <w:pPr>
        <w:rPr>
          <w:b/>
          <w:bCs/>
          <w:i/>
          <w:iCs/>
          <w:color w:val="000000" w:themeColor="text1"/>
          <w:sz w:val="20"/>
          <w:szCs w:val="20"/>
        </w:rPr>
      </w:pPr>
      <w:r>
        <w:rPr>
          <w:b/>
          <w:bCs/>
          <w:color w:val="000000" w:themeColor="text1"/>
          <w:sz w:val="20"/>
          <w:szCs w:val="20"/>
        </w:rPr>
        <w:br w:type="page"/>
      </w:r>
    </w:p>
    <w:p w14:paraId="62DCE6C0" w14:textId="3CC2BD99" w:rsidR="003A4D9A" w:rsidRPr="000A3D11" w:rsidRDefault="003A4D9A" w:rsidP="003A4D9A">
      <w:pPr>
        <w:pStyle w:val="Caption"/>
        <w:keepNext/>
        <w:spacing w:after="0"/>
        <w:rPr>
          <w:b/>
          <w:bCs/>
          <w:color w:val="000000" w:themeColor="text1"/>
          <w:sz w:val="20"/>
          <w:szCs w:val="20"/>
        </w:rPr>
      </w:pPr>
      <w:r w:rsidRPr="000A3D11">
        <w:rPr>
          <w:b/>
          <w:bCs/>
          <w:color w:val="000000" w:themeColor="text1"/>
          <w:sz w:val="20"/>
          <w:szCs w:val="20"/>
        </w:rPr>
        <w:lastRenderedPageBreak/>
        <w:t>Table</w:t>
      </w:r>
      <w:r w:rsidR="00481A55" w:rsidRPr="000A3D11">
        <w:rPr>
          <w:b/>
          <w:bCs/>
          <w:color w:val="000000" w:themeColor="text1"/>
          <w:sz w:val="20"/>
          <w:szCs w:val="20"/>
        </w:rPr>
        <w:t xml:space="preserve"> S2</w:t>
      </w:r>
      <w:r w:rsidRPr="000A3D11">
        <w:rPr>
          <w:b/>
          <w:bCs/>
          <w:color w:val="000000" w:themeColor="text1"/>
          <w:sz w:val="20"/>
          <w:szCs w:val="20"/>
        </w:rPr>
        <w:t>: Delphi Round 1 and Round 2 Ratings for Medication Safety Research Priorities (n = 38).</w:t>
      </w:r>
    </w:p>
    <w:tbl>
      <w:tblPr>
        <w:tblStyle w:val="TableGrid"/>
        <w:tblW w:w="14459" w:type="dxa"/>
        <w:tblInd w:w="-289" w:type="dxa"/>
        <w:tblLayout w:type="fixed"/>
        <w:tblLook w:val="04A0" w:firstRow="1" w:lastRow="0" w:firstColumn="1" w:lastColumn="0" w:noHBand="0" w:noVBand="1"/>
      </w:tblPr>
      <w:tblGrid>
        <w:gridCol w:w="547"/>
        <w:gridCol w:w="6258"/>
        <w:gridCol w:w="992"/>
        <w:gridCol w:w="851"/>
        <w:gridCol w:w="850"/>
        <w:gridCol w:w="1134"/>
        <w:gridCol w:w="992"/>
        <w:gridCol w:w="851"/>
        <w:gridCol w:w="850"/>
        <w:gridCol w:w="1134"/>
      </w:tblGrid>
      <w:tr w:rsidR="000A3D11" w:rsidRPr="00963A5A" w14:paraId="2BB959B1" w14:textId="77777777" w:rsidTr="006512DC">
        <w:trPr>
          <w:trHeight w:val="283"/>
        </w:trPr>
        <w:tc>
          <w:tcPr>
            <w:tcW w:w="6805" w:type="dxa"/>
            <w:gridSpan w:val="2"/>
            <w:vMerge w:val="restart"/>
            <w:noWrap/>
            <w:vAlign w:val="center"/>
            <w:hideMark/>
          </w:tcPr>
          <w:p w14:paraId="793427D5" w14:textId="08E5EEEF" w:rsidR="000A3D11" w:rsidRPr="00963A5A" w:rsidRDefault="000A3D11" w:rsidP="00A00E90">
            <w:pPr>
              <w:spacing w:line="276" w:lineRule="auto"/>
              <w:jc w:val="center"/>
              <w:rPr>
                <w:rFonts w:asciiTheme="majorBidi" w:hAnsiTheme="majorBidi" w:cstheme="majorBidi"/>
                <w:sz w:val="20"/>
                <w:szCs w:val="20"/>
              </w:rPr>
            </w:pPr>
            <w:r w:rsidRPr="00963A5A">
              <w:rPr>
                <w:rFonts w:asciiTheme="majorBidi" w:hAnsiTheme="majorBidi" w:cstheme="majorBidi"/>
                <w:b/>
                <w:bCs/>
                <w:sz w:val="20"/>
                <w:szCs w:val="20"/>
              </w:rPr>
              <w:t>Medication safety research priority</w:t>
            </w:r>
          </w:p>
        </w:tc>
        <w:tc>
          <w:tcPr>
            <w:tcW w:w="3827" w:type="dxa"/>
            <w:gridSpan w:val="4"/>
            <w:noWrap/>
            <w:vAlign w:val="center"/>
            <w:hideMark/>
          </w:tcPr>
          <w:p w14:paraId="60E8FD41" w14:textId="77777777" w:rsidR="000A3D11" w:rsidRPr="000A0886" w:rsidRDefault="000A3D11" w:rsidP="00A00E90">
            <w:pPr>
              <w:spacing w:line="276" w:lineRule="auto"/>
              <w:jc w:val="center"/>
              <w:rPr>
                <w:rFonts w:asciiTheme="majorBidi" w:hAnsiTheme="majorBidi" w:cstheme="majorBidi"/>
                <w:b/>
                <w:bCs/>
                <w:color w:val="000000"/>
                <w:sz w:val="20"/>
                <w:szCs w:val="20"/>
              </w:rPr>
            </w:pPr>
            <w:r w:rsidRPr="000A0886">
              <w:rPr>
                <w:rFonts w:asciiTheme="majorBidi" w:hAnsiTheme="majorBidi" w:cstheme="majorBidi"/>
                <w:b/>
                <w:bCs/>
                <w:color w:val="000000"/>
                <w:sz w:val="20"/>
                <w:szCs w:val="20"/>
              </w:rPr>
              <w:t>Round 1</w:t>
            </w:r>
          </w:p>
        </w:tc>
        <w:tc>
          <w:tcPr>
            <w:tcW w:w="3827" w:type="dxa"/>
            <w:gridSpan w:val="4"/>
            <w:noWrap/>
            <w:vAlign w:val="center"/>
            <w:hideMark/>
          </w:tcPr>
          <w:p w14:paraId="65488F96" w14:textId="77777777" w:rsidR="000A3D11" w:rsidRPr="000A0886" w:rsidRDefault="000A3D11" w:rsidP="00A00E90">
            <w:pPr>
              <w:spacing w:line="276" w:lineRule="auto"/>
              <w:jc w:val="center"/>
              <w:rPr>
                <w:rFonts w:asciiTheme="majorBidi" w:hAnsiTheme="majorBidi" w:cstheme="majorBidi"/>
                <w:b/>
                <w:bCs/>
                <w:color w:val="000000"/>
                <w:sz w:val="20"/>
                <w:szCs w:val="20"/>
              </w:rPr>
            </w:pPr>
            <w:r w:rsidRPr="000A0886">
              <w:rPr>
                <w:rFonts w:asciiTheme="majorBidi" w:hAnsiTheme="majorBidi" w:cstheme="majorBidi"/>
                <w:b/>
                <w:bCs/>
                <w:color w:val="000000"/>
                <w:sz w:val="20"/>
                <w:szCs w:val="20"/>
              </w:rPr>
              <w:t>Round 2</w:t>
            </w:r>
          </w:p>
        </w:tc>
      </w:tr>
      <w:tr w:rsidR="000A3D11" w:rsidRPr="00963A5A" w14:paraId="37352E02" w14:textId="77777777" w:rsidTr="006512DC">
        <w:trPr>
          <w:trHeight w:val="283"/>
        </w:trPr>
        <w:tc>
          <w:tcPr>
            <w:tcW w:w="6805" w:type="dxa"/>
            <w:gridSpan w:val="2"/>
            <w:vMerge/>
            <w:noWrap/>
            <w:vAlign w:val="center"/>
            <w:hideMark/>
          </w:tcPr>
          <w:p w14:paraId="5EC5A6D3" w14:textId="63256C80" w:rsidR="000A3D11" w:rsidRPr="00963A5A" w:rsidRDefault="000A3D11" w:rsidP="00A00E90">
            <w:pPr>
              <w:spacing w:line="276" w:lineRule="auto"/>
              <w:jc w:val="center"/>
              <w:rPr>
                <w:rFonts w:asciiTheme="majorBidi" w:hAnsiTheme="majorBidi" w:cstheme="majorBidi"/>
                <w:sz w:val="20"/>
                <w:szCs w:val="20"/>
              </w:rPr>
            </w:pPr>
          </w:p>
        </w:tc>
        <w:tc>
          <w:tcPr>
            <w:tcW w:w="992" w:type="dxa"/>
            <w:noWrap/>
            <w:vAlign w:val="center"/>
            <w:hideMark/>
          </w:tcPr>
          <w:p w14:paraId="5F9DC9F0" w14:textId="77777777" w:rsidR="000A3D11" w:rsidRPr="00963A5A" w:rsidRDefault="000A3D11"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Median (IQR)</w:t>
            </w:r>
          </w:p>
        </w:tc>
        <w:tc>
          <w:tcPr>
            <w:tcW w:w="851" w:type="dxa"/>
            <w:noWrap/>
            <w:vAlign w:val="center"/>
            <w:hideMark/>
          </w:tcPr>
          <w:p w14:paraId="4358E6F6" w14:textId="77777777" w:rsidR="000A3D11" w:rsidRPr="00963A5A" w:rsidRDefault="000A3D11"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7-9</w:t>
            </w:r>
            <w:r>
              <w:rPr>
                <w:rFonts w:asciiTheme="majorBidi" w:hAnsiTheme="majorBidi" w:cstheme="majorBidi"/>
                <w:color w:val="000000"/>
                <w:sz w:val="20"/>
                <w:szCs w:val="20"/>
              </w:rPr>
              <w:t xml:space="preserve"> (%)</w:t>
            </w:r>
          </w:p>
        </w:tc>
        <w:tc>
          <w:tcPr>
            <w:tcW w:w="850" w:type="dxa"/>
            <w:noWrap/>
            <w:vAlign w:val="center"/>
            <w:hideMark/>
          </w:tcPr>
          <w:p w14:paraId="44A13EFD" w14:textId="77777777" w:rsidR="000A3D11" w:rsidRPr="00963A5A" w:rsidRDefault="000A3D11"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1-3</w:t>
            </w:r>
            <w:r>
              <w:rPr>
                <w:rFonts w:asciiTheme="majorBidi" w:hAnsiTheme="majorBidi" w:cstheme="majorBidi"/>
                <w:color w:val="000000"/>
                <w:sz w:val="20"/>
                <w:szCs w:val="20"/>
              </w:rPr>
              <w:t xml:space="preserve"> (%)</w:t>
            </w:r>
          </w:p>
        </w:tc>
        <w:tc>
          <w:tcPr>
            <w:tcW w:w="1134" w:type="dxa"/>
            <w:noWrap/>
            <w:vAlign w:val="center"/>
            <w:hideMark/>
          </w:tcPr>
          <w:p w14:paraId="78FA3EA8" w14:textId="77777777" w:rsidR="000A3D11" w:rsidRPr="00963A5A" w:rsidRDefault="000A3D11"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Consensus</w:t>
            </w:r>
          </w:p>
        </w:tc>
        <w:tc>
          <w:tcPr>
            <w:tcW w:w="992" w:type="dxa"/>
            <w:noWrap/>
            <w:vAlign w:val="center"/>
            <w:hideMark/>
          </w:tcPr>
          <w:p w14:paraId="3342AF90" w14:textId="77777777" w:rsidR="000A3D11" w:rsidRPr="00963A5A" w:rsidRDefault="000A3D11"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Median (IQR)</w:t>
            </w:r>
          </w:p>
        </w:tc>
        <w:tc>
          <w:tcPr>
            <w:tcW w:w="851" w:type="dxa"/>
            <w:noWrap/>
            <w:vAlign w:val="center"/>
            <w:hideMark/>
          </w:tcPr>
          <w:p w14:paraId="2055FCF5" w14:textId="77777777" w:rsidR="000A3D11" w:rsidRPr="00963A5A" w:rsidRDefault="000A3D11"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7-9</w:t>
            </w:r>
            <w:r>
              <w:rPr>
                <w:rFonts w:asciiTheme="majorBidi" w:hAnsiTheme="majorBidi" w:cstheme="majorBidi"/>
                <w:color w:val="000000"/>
                <w:sz w:val="20"/>
                <w:szCs w:val="20"/>
              </w:rPr>
              <w:t xml:space="preserve"> (%)</w:t>
            </w:r>
          </w:p>
        </w:tc>
        <w:tc>
          <w:tcPr>
            <w:tcW w:w="850" w:type="dxa"/>
            <w:noWrap/>
            <w:vAlign w:val="center"/>
            <w:hideMark/>
          </w:tcPr>
          <w:p w14:paraId="1DD60E16" w14:textId="77777777" w:rsidR="000A3D11" w:rsidRPr="00963A5A" w:rsidRDefault="000A3D11"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1-3</w:t>
            </w:r>
            <w:r>
              <w:rPr>
                <w:rFonts w:asciiTheme="majorBidi" w:hAnsiTheme="majorBidi" w:cstheme="majorBidi"/>
                <w:color w:val="000000"/>
                <w:sz w:val="20"/>
                <w:szCs w:val="20"/>
              </w:rPr>
              <w:t xml:space="preserve"> (%)</w:t>
            </w:r>
          </w:p>
        </w:tc>
        <w:tc>
          <w:tcPr>
            <w:tcW w:w="1134" w:type="dxa"/>
            <w:noWrap/>
            <w:vAlign w:val="center"/>
            <w:hideMark/>
          </w:tcPr>
          <w:p w14:paraId="37E7159E" w14:textId="77777777" w:rsidR="000A3D11" w:rsidRPr="00963A5A" w:rsidRDefault="000A3D11"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Consensus</w:t>
            </w:r>
          </w:p>
        </w:tc>
      </w:tr>
      <w:tr w:rsidR="003A4D9A" w:rsidRPr="00963A5A" w14:paraId="19175395" w14:textId="77777777" w:rsidTr="00A00E90">
        <w:trPr>
          <w:trHeight w:val="283"/>
        </w:trPr>
        <w:tc>
          <w:tcPr>
            <w:tcW w:w="547" w:type="dxa"/>
            <w:noWrap/>
            <w:vAlign w:val="center"/>
            <w:hideMark/>
          </w:tcPr>
          <w:p w14:paraId="0E32D3E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w:t>
            </w:r>
          </w:p>
        </w:tc>
        <w:tc>
          <w:tcPr>
            <w:tcW w:w="6258" w:type="dxa"/>
            <w:noWrap/>
            <w:vAlign w:val="center"/>
            <w:hideMark/>
          </w:tcPr>
          <w:p w14:paraId="4EF70759"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the prevalence and consequences of inappropriate polypharmacy and develop strategies to minimize harm and improve health outcomes.</w:t>
            </w:r>
          </w:p>
        </w:tc>
        <w:tc>
          <w:tcPr>
            <w:tcW w:w="992" w:type="dxa"/>
            <w:noWrap/>
            <w:vAlign w:val="center"/>
            <w:hideMark/>
          </w:tcPr>
          <w:p w14:paraId="75E1CC6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726B7AE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97.3%</w:t>
            </w:r>
          </w:p>
        </w:tc>
        <w:tc>
          <w:tcPr>
            <w:tcW w:w="850" w:type="dxa"/>
            <w:noWrap/>
            <w:vAlign w:val="center"/>
            <w:hideMark/>
          </w:tcPr>
          <w:p w14:paraId="2057214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49A4522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3FF1305C"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22D9131D"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7CBF0344"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46ED4FB3"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66B4A278" w14:textId="77777777" w:rsidTr="00A00E90">
        <w:trPr>
          <w:trHeight w:val="283"/>
        </w:trPr>
        <w:tc>
          <w:tcPr>
            <w:tcW w:w="547" w:type="dxa"/>
            <w:noWrap/>
            <w:vAlign w:val="center"/>
            <w:hideMark/>
          </w:tcPr>
          <w:p w14:paraId="2EEE2E8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w:t>
            </w:r>
          </w:p>
        </w:tc>
        <w:tc>
          <w:tcPr>
            <w:tcW w:w="6258" w:type="dxa"/>
            <w:noWrap/>
            <w:vAlign w:val="center"/>
            <w:hideMark/>
          </w:tcPr>
          <w:p w14:paraId="027BE21D"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and prioritize human factors, ergonomics, and error proof design in healthcare settings that contribute to safe medication practices.</w:t>
            </w:r>
          </w:p>
        </w:tc>
        <w:tc>
          <w:tcPr>
            <w:tcW w:w="992" w:type="dxa"/>
            <w:noWrap/>
            <w:vAlign w:val="center"/>
            <w:hideMark/>
          </w:tcPr>
          <w:p w14:paraId="659E29A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7FB1EC6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97.2%</w:t>
            </w:r>
          </w:p>
        </w:tc>
        <w:tc>
          <w:tcPr>
            <w:tcW w:w="850" w:type="dxa"/>
            <w:noWrap/>
            <w:vAlign w:val="center"/>
            <w:hideMark/>
          </w:tcPr>
          <w:p w14:paraId="67C7F7D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7D7D23F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44D9A188"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6C16C056"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3FDD8C97"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316765AE"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47CB54DA" w14:textId="77777777" w:rsidTr="00A00E90">
        <w:trPr>
          <w:trHeight w:val="283"/>
        </w:trPr>
        <w:tc>
          <w:tcPr>
            <w:tcW w:w="547" w:type="dxa"/>
            <w:noWrap/>
            <w:vAlign w:val="center"/>
            <w:hideMark/>
          </w:tcPr>
          <w:p w14:paraId="3AC9C2C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w:t>
            </w:r>
          </w:p>
        </w:tc>
        <w:tc>
          <w:tcPr>
            <w:tcW w:w="6258" w:type="dxa"/>
            <w:noWrap/>
            <w:vAlign w:val="center"/>
            <w:hideMark/>
          </w:tcPr>
          <w:p w14:paraId="6941A5A1"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the most frequent medication errors made by patients at home and evaluate strategies to prevent these errors.</w:t>
            </w:r>
          </w:p>
        </w:tc>
        <w:tc>
          <w:tcPr>
            <w:tcW w:w="992" w:type="dxa"/>
            <w:noWrap/>
            <w:vAlign w:val="center"/>
            <w:hideMark/>
          </w:tcPr>
          <w:p w14:paraId="167BF5D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2C92351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92.1%</w:t>
            </w:r>
          </w:p>
        </w:tc>
        <w:tc>
          <w:tcPr>
            <w:tcW w:w="850" w:type="dxa"/>
            <w:noWrap/>
            <w:vAlign w:val="center"/>
            <w:hideMark/>
          </w:tcPr>
          <w:p w14:paraId="000B3E8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4A6A50A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6BA401EF"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0DEB2650"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1129818A"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005B40A3"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172D968D" w14:textId="77777777" w:rsidTr="00A00E90">
        <w:trPr>
          <w:trHeight w:val="283"/>
        </w:trPr>
        <w:tc>
          <w:tcPr>
            <w:tcW w:w="547" w:type="dxa"/>
            <w:noWrap/>
            <w:vAlign w:val="center"/>
            <w:hideMark/>
          </w:tcPr>
          <w:p w14:paraId="5E830C6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w:t>
            </w:r>
          </w:p>
        </w:tc>
        <w:tc>
          <w:tcPr>
            <w:tcW w:w="6258" w:type="dxa"/>
            <w:noWrap/>
            <w:vAlign w:val="center"/>
            <w:hideMark/>
          </w:tcPr>
          <w:p w14:paraId="647FD882"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patient groups and disease types that correlate with a higher risk of medication related errors and determine the benefit of routine medication reviews and reconciliation for these groups related errors and determine the benefit of routine medication reviews and reconciliation for these groups.</w:t>
            </w:r>
          </w:p>
        </w:tc>
        <w:tc>
          <w:tcPr>
            <w:tcW w:w="992" w:type="dxa"/>
            <w:noWrap/>
            <w:vAlign w:val="center"/>
            <w:hideMark/>
          </w:tcPr>
          <w:p w14:paraId="17A1CE3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356FF4E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89.5%</w:t>
            </w:r>
          </w:p>
        </w:tc>
        <w:tc>
          <w:tcPr>
            <w:tcW w:w="850" w:type="dxa"/>
            <w:noWrap/>
            <w:vAlign w:val="center"/>
            <w:hideMark/>
          </w:tcPr>
          <w:p w14:paraId="2313509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370737F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2AFB2F1D"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014B3558"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3D4A2139"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5FE960A5"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7B7470AF" w14:textId="77777777" w:rsidTr="00A00E90">
        <w:trPr>
          <w:trHeight w:val="283"/>
        </w:trPr>
        <w:tc>
          <w:tcPr>
            <w:tcW w:w="547" w:type="dxa"/>
            <w:noWrap/>
            <w:vAlign w:val="center"/>
            <w:hideMark/>
          </w:tcPr>
          <w:p w14:paraId="4AF5555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w:t>
            </w:r>
          </w:p>
        </w:tc>
        <w:tc>
          <w:tcPr>
            <w:tcW w:w="6258" w:type="dxa"/>
            <w:noWrap/>
            <w:vAlign w:val="center"/>
            <w:hideMark/>
          </w:tcPr>
          <w:p w14:paraId="40D70A2C"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evaluate the role of community pharmacists in safe medication practices, including annual medication reviews, and assess the impact of providing patient therapy information to reduce medication errors.</w:t>
            </w:r>
          </w:p>
        </w:tc>
        <w:tc>
          <w:tcPr>
            <w:tcW w:w="992" w:type="dxa"/>
            <w:noWrap/>
            <w:vAlign w:val="center"/>
            <w:hideMark/>
          </w:tcPr>
          <w:p w14:paraId="14AE1C9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768BA83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89.5%</w:t>
            </w:r>
          </w:p>
        </w:tc>
        <w:tc>
          <w:tcPr>
            <w:tcW w:w="850" w:type="dxa"/>
            <w:noWrap/>
            <w:vAlign w:val="center"/>
            <w:hideMark/>
          </w:tcPr>
          <w:p w14:paraId="66C049B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79DA1E9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3FD490E0"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58C6AB54"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58A79A11"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30CE753D"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586F4F62" w14:textId="77777777" w:rsidTr="00A00E90">
        <w:trPr>
          <w:trHeight w:val="283"/>
        </w:trPr>
        <w:tc>
          <w:tcPr>
            <w:tcW w:w="547" w:type="dxa"/>
            <w:noWrap/>
            <w:vAlign w:val="center"/>
            <w:hideMark/>
          </w:tcPr>
          <w:p w14:paraId="3D13ED6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6</w:t>
            </w:r>
          </w:p>
        </w:tc>
        <w:tc>
          <w:tcPr>
            <w:tcW w:w="6258" w:type="dxa"/>
            <w:noWrap/>
            <w:vAlign w:val="center"/>
            <w:hideMark/>
          </w:tcPr>
          <w:p w14:paraId="408642D5"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examine the role of IT and AI, including decision support tools and electronic prescribing systems, in enhancing medication safety, optimizing decision support alerts, and assisting clinicians in safe prescription practices.</w:t>
            </w:r>
          </w:p>
        </w:tc>
        <w:tc>
          <w:tcPr>
            <w:tcW w:w="992" w:type="dxa"/>
            <w:noWrap/>
            <w:vAlign w:val="center"/>
            <w:hideMark/>
          </w:tcPr>
          <w:p w14:paraId="79BEBFB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(0)</w:t>
            </w:r>
          </w:p>
        </w:tc>
        <w:tc>
          <w:tcPr>
            <w:tcW w:w="851" w:type="dxa"/>
            <w:noWrap/>
            <w:vAlign w:val="center"/>
            <w:hideMark/>
          </w:tcPr>
          <w:p w14:paraId="25CEB81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89.5%</w:t>
            </w:r>
          </w:p>
        </w:tc>
        <w:tc>
          <w:tcPr>
            <w:tcW w:w="850" w:type="dxa"/>
            <w:noWrap/>
            <w:vAlign w:val="center"/>
            <w:hideMark/>
          </w:tcPr>
          <w:p w14:paraId="0679ED2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0E8BC8F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23AA40E4"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55884065"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671B4D2A"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1D6C225F"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0475E094" w14:textId="77777777" w:rsidTr="00A00E90">
        <w:trPr>
          <w:trHeight w:val="283"/>
        </w:trPr>
        <w:tc>
          <w:tcPr>
            <w:tcW w:w="547" w:type="dxa"/>
            <w:noWrap/>
            <w:vAlign w:val="center"/>
            <w:hideMark/>
          </w:tcPr>
          <w:p w14:paraId="4145374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w:t>
            </w:r>
          </w:p>
        </w:tc>
        <w:tc>
          <w:tcPr>
            <w:tcW w:w="6258" w:type="dxa"/>
            <w:noWrap/>
            <w:vAlign w:val="center"/>
            <w:hideMark/>
          </w:tcPr>
          <w:p w14:paraId="176635A6"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the prevalence and magnitude of severe drug interactions due to polypharmacy in elderly people</w:t>
            </w:r>
          </w:p>
        </w:tc>
        <w:tc>
          <w:tcPr>
            <w:tcW w:w="992" w:type="dxa"/>
            <w:noWrap/>
            <w:vAlign w:val="center"/>
            <w:hideMark/>
          </w:tcPr>
          <w:p w14:paraId="4724E42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6D5113D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89.2%</w:t>
            </w:r>
          </w:p>
        </w:tc>
        <w:tc>
          <w:tcPr>
            <w:tcW w:w="850" w:type="dxa"/>
            <w:noWrap/>
            <w:vAlign w:val="center"/>
            <w:hideMark/>
          </w:tcPr>
          <w:p w14:paraId="5A72117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6515DD3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12D4B45E"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051839C4"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0D6CCFD9"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226E81CA"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40C07C84" w14:textId="77777777" w:rsidTr="00A00E90">
        <w:trPr>
          <w:trHeight w:val="283"/>
        </w:trPr>
        <w:tc>
          <w:tcPr>
            <w:tcW w:w="547" w:type="dxa"/>
            <w:noWrap/>
            <w:vAlign w:val="center"/>
            <w:hideMark/>
          </w:tcPr>
          <w:p w14:paraId="3935381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w:t>
            </w:r>
          </w:p>
        </w:tc>
        <w:tc>
          <w:tcPr>
            <w:tcW w:w="6258" w:type="dxa"/>
            <w:noWrap/>
            <w:vAlign w:val="center"/>
            <w:hideMark/>
          </w:tcPr>
          <w:p w14:paraId="49B608F9"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explore patient perspectives on their role in medication management during transitions of care and identify strategies, barriers, and facilitators to improve patient engagement in medication management.</w:t>
            </w:r>
          </w:p>
        </w:tc>
        <w:tc>
          <w:tcPr>
            <w:tcW w:w="992" w:type="dxa"/>
            <w:noWrap/>
            <w:vAlign w:val="center"/>
            <w:hideMark/>
          </w:tcPr>
          <w:p w14:paraId="678315E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2AEBB91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86.8%</w:t>
            </w:r>
          </w:p>
        </w:tc>
        <w:tc>
          <w:tcPr>
            <w:tcW w:w="850" w:type="dxa"/>
            <w:noWrap/>
            <w:vAlign w:val="center"/>
            <w:hideMark/>
          </w:tcPr>
          <w:p w14:paraId="3027E14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04FB00D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2C5B3475"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41F840E0"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6BDD9914"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2F468DF3"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28B977E4" w14:textId="77777777" w:rsidTr="00A00E90">
        <w:trPr>
          <w:trHeight w:val="283"/>
        </w:trPr>
        <w:tc>
          <w:tcPr>
            <w:tcW w:w="547" w:type="dxa"/>
            <w:noWrap/>
            <w:vAlign w:val="center"/>
            <w:hideMark/>
          </w:tcPr>
          <w:p w14:paraId="3375BA9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w:t>
            </w:r>
          </w:p>
        </w:tc>
        <w:tc>
          <w:tcPr>
            <w:tcW w:w="6258" w:type="dxa"/>
            <w:noWrap/>
            <w:vAlign w:val="center"/>
            <w:hideMark/>
          </w:tcPr>
          <w:p w14:paraId="4684A04E"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implement and evaluate interventions and WHO recommendations to ensure the correct dosage and safety of medications for pediatric patients.</w:t>
            </w:r>
          </w:p>
        </w:tc>
        <w:tc>
          <w:tcPr>
            <w:tcW w:w="992" w:type="dxa"/>
            <w:noWrap/>
            <w:vAlign w:val="center"/>
            <w:hideMark/>
          </w:tcPr>
          <w:p w14:paraId="69069B9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3D8ACB3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86.8%</w:t>
            </w:r>
          </w:p>
        </w:tc>
        <w:tc>
          <w:tcPr>
            <w:tcW w:w="850" w:type="dxa"/>
            <w:noWrap/>
            <w:vAlign w:val="center"/>
            <w:hideMark/>
          </w:tcPr>
          <w:p w14:paraId="10A3BA8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74379EF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14D94B7C"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6F3195E8"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5C50D885"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248F4E3E"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38D2DE53" w14:textId="77777777" w:rsidTr="00A00E90">
        <w:trPr>
          <w:trHeight w:val="283"/>
        </w:trPr>
        <w:tc>
          <w:tcPr>
            <w:tcW w:w="547" w:type="dxa"/>
            <w:noWrap/>
            <w:vAlign w:val="center"/>
            <w:hideMark/>
          </w:tcPr>
          <w:p w14:paraId="6E3937B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10</w:t>
            </w:r>
          </w:p>
        </w:tc>
        <w:tc>
          <w:tcPr>
            <w:tcW w:w="6258" w:type="dxa"/>
            <w:noWrap/>
            <w:vAlign w:val="center"/>
            <w:hideMark/>
          </w:tcPr>
          <w:p w14:paraId="241BA281"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the impact of current prescription and medication use patterns during pregnancy on adverse birth outcomes in GCC countries.</w:t>
            </w:r>
          </w:p>
        </w:tc>
        <w:tc>
          <w:tcPr>
            <w:tcW w:w="992" w:type="dxa"/>
            <w:noWrap/>
            <w:vAlign w:val="center"/>
            <w:hideMark/>
          </w:tcPr>
          <w:p w14:paraId="5335F0B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5760DC7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86.8%</w:t>
            </w:r>
          </w:p>
        </w:tc>
        <w:tc>
          <w:tcPr>
            <w:tcW w:w="850" w:type="dxa"/>
            <w:noWrap/>
            <w:vAlign w:val="center"/>
            <w:hideMark/>
          </w:tcPr>
          <w:p w14:paraId="39F5E93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29FFC63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54649F92"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334A9196"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4EBFF066"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347648C8"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7E0F7F73" w14:textId="77777777" w:rsidTr="00A00E90">
        <w:trPr>
          <w:trHeight w:val="283"/>
        </w:trPr>
        <w:tc>
          <w:tcPr>
            <w:tcW w:w="547" w:type="dxa"/>
            <w:noWrap/>
            <w:vAlign w:val="center"/>
            <w:hideMark/>
          </w:tcPr>
          <w:p w14:paraId="0CA7DC7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11</w:t>
            </w:r>
          </w:p>
        </w:tc>
        <w:tc>
          <w:tcPr>
            <w:tcW w:w="6258" w:type="dxa"/>
            <w:noWrap/>
            <w:vAlign w:val="center"/>
            <w:hideMark/>
          </w:tcPr>
          <w:p w14:paraId="1EC076B4"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raise awareness among Ministries of Health and healthcare leaders about the importance of medication safety in primary care.</w:t>
            </w:r>
          </w:p>
        </w:tc>
        <w:tc>
          <w:tcPr>
            <w:tcW w:w="992" w:type="dxa"/>
            <w:noWrap/>
            <w:vAlign w:val="center"/>
            <w:hideMark/>
          </w:tcPr>
          <w:p w14:paraId="58968BD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227F96A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86.8%</w:t>
            </w:r>
          </w:p>
        </w:tc>
        <w:tc>
          <w:tcPr>
            <w:tcW w:w="850" w:type="dxa"/>
            <w:noWrap/>
            <w:vAlign w:val="center"/>
            <w:hideMark/>
          </w:tcPr>
          <w:p w14:paraId="13C2DBC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3575749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7605EFBC"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5CCAF24F"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70BEBA01"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5FF2BB7C"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6B18F53E" w14:textId="77777777" w:rsidTr="00A00E90">
        <w:trPr>
          <w:trHeight w:val="283"/>
        </w:trPr>
        <w:tc>
          <w:tcPr>
            <w:tcW w:w="547" w:type="dxa"/>
            <w:noWrap/>
            <w:vAlign w:val="center"/>
            <w:hideMark/>
          </w:tcPr>
          <w:p w14:paraId="3399653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lastRenderedPageBreak/>
              <w:t>12</w:t>
            </w:r>
          </w:p>
        </w:tc>
        <w:tc>
          <w:tcPr>
            <w:tcW w:w="6258" w:type="dxa"/>
            <w:noWrap/>
            <w:vAlign w:val="center"/>
            <w:hideMark/>
          </w:tcPr>
          <w:p w14:paraId="1ECC2A46"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the prevalence and burden of medication errors, adverse drug events, and serious medication related harm in primary care in GCC countries and their geographical variation</w:t>
            </w:r>
          </w:p>
        </w:tc>
        <w:tc>
          <w:tcPr>
            <w:tcW w:w="992" w:type="dxa"/>
            <w:noWrap/>
            <w:vAlign w:val="center"/>
            <w:hideMark/>
          </w:tcPr>
          <w:p w14:paraId="197E839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258C031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86.8%</w:t>
            </w:r>
          </w:p>
        </w:tc>
        <w:tc>
          <w:tcPr>
            <w:tcW w:w="850" w:type="dxa"/>
            <w:noWrap/>
            <w:vAlign w:val="center"/>
            <w:hideMark/>
          </w:tcPr>
          <w:p w14:paraId="07604AA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141C975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27E71164"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6692FDEC"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30242359"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756CD449"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26807535" w14:textId="77777777" w:rsidTr="00A00E90">
        <w:trPr>
          <w:trHeight w:val="283"/>
        </w:trPr>
        <w:tc>
          <w:tcPr>
            <w:tcW w:w="547" w:type="dxa"/>
            <w:noWrap/>
            <w:vAlign w:val="center"/>
            <w:hideMark/>
          </w:tcPr>
          <w:p w14:paraId="37854E2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13</w:t>
            </w:r>
          </w:p>
        </w:tc>
        <w:tc>
          <w:tcPr>
            <w:tcW w:w="6258" w:type="dxa"/>
            <w:noWrap/>
            <w:vAlign w:val="center"/>
            <w:hideMark/>
          </w:tcPr>
          <w:p w14:paraId="1012EC2F"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conduct a study investigating the types of medication related harm that occur in transitions between hospitals and primary care settings</w:t>
            </w:r>
          </w:p>
        </w:tc>
        <w:tc>
          <w:tcPr>
            <w:tcW w:w="992" w:type="dxa"/>
            <w:noWrap/>
            <w:vAlign w:val="center"/>
            <w:hideMark/>
          </w:tcPr>
          <w:p w14:paraId="40FB704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090F769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86.8%</w:t>
            </w:r>
          </w:p>
        </w:tc>
        <w:tc>
          <w:tcPr>
            <w:tcW w:w="850" w:type="dxa"/>
            <w:noWrap/>
            <w:vAlign w:val="center"/>
            <w:hideMark/>
          </w:tcPr>
          <w:p w14:paraId="3146339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6D34DC9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1FFED543"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0E482783"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01207A9A"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560C074A"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331E4FE8" w14:textId="77777777" w:rsidTr="00A00E90">
        <w:trPr>
          <w:trHeight w:val="283"/>
        </w:trPr>
        <w:tc>
          <w:tcPr>
            <w:tcW w:w="547" w:type="dxa"/>
            <w:noWrap/>
            <w:vAlign w:val="center"/>
            <w:hideMark/>
          </w:tcPr>
          <w:p w14:paraId="291D309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14</w:t>
            </w:r>
          </w:p>
        </w:tc>
        <w:tc>
          <w:tcPr>
            <w:tcW w:w="6258" w:type="dxa"/>
            <w:noWrap/>
            <w:vAlign w:val="center"/>
            <w:hideMark/>
          </w:tcPr>
          <w:p w14:paraId="5FDE15DA"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the effectiveness of healthcare professionals and trained workforce configurations in preventing and reducing medication errors.</w:t>
            </w:r>
          </w:p>
        </w:tc>
        <w:tc>
          <w:tcPr>
            <w:tcW w:w="992" w:type="dxa"/>
            <w:noWrap/>
            <w:vAlign w:val="center"/>
            <w:hideMark/>
          </w:tcPr>
          <w:p w14:paraId="65F935D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24937DA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85.3%</w:t>
            </w:r>
          </w:p>
        </w:tc>
        <w:tc>
          <w:tcPr>
            <w:tcW w:w="850" w:type="dxa"/>
            <w:noWrap/>
            <w:vAlign w:val="center"/>
            <w:hideMark/>
          </w:tcPr>
          <w:p w14:paraId="494855D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2.9%</w:t>
            </w:r>
          </w:p>
        </w:tc>
        <w:tc>
          <w:tcPr>
            <w:tcW w:w="1134" w:type="dxa"/>
            <w:noWrap/>
            <w:vAlign w:val="center"/>
            <w:hideMark/>
          </w:tcPr>
          <w:p w14:paraId="77131C8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333B7DE8"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0C59ECC0"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70DC2F74"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4A156DB3"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444B4947" w14:textId="77777777" w:rsidTr="00A00E90">
        <w:trPr>
          <w:trHeight w:val="283"/>
        </w:trPr>
        <w:tc>
          <w:tcPr>
            <w:tcW w:w="547" w:type="dxa"/>
            <w:noWrap/>
            <w:vAlign w:val="center"/>
            <w:hideMark/>
          </w:tcPr>
          <w:p w14:paraId="2CEC55F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15</w:t>
            </w:r>
          </w:p>
        </w:tc>
        <w:tc>
          <w:tcPr>
            <w:tcW w:w="6258" w:type="dxa"/>
            <w:noWrap/>
            <w:vAlign w:val="center"/>
            <w:hideMark/>
          </w:tcPr>
          <w:p w14:paraId="01ABBB88"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 xml:space="preserve">To identify and assess effective and sustainable educational tools (e.g., digital tools, workshops) for healthcare professionals to provide information about the safe use of medications </w:t>
            </w:r>
            <w:proofErr w:type="gramStart"/>
            <w:r w:rsidRPr="00963A5A">
              <w:rPr>
                <w:rFonts w:asciiTheme="majorBidi" w:hAnsiTheme="majorBidi" w:cstheme="majorBidi"/>
                <w:color w:val="000000"/>
                <w:sz w:val="20"/>
                <w:szCs w:val="20"/>
              </w:rPr>
              <w:t>to</w:t>
            </w:r>
            <w:proofErr w:type="gramEnd"/>
            <w:r w:rsidRPr="00963A5A">
              <w:rPr>
                <w:rFonts w:asciiTheme="majorBidi" w:hAnsiTheme="majorBidi" w:cstheme="majorBidi"/>
                <w:color w:val="000000"/>
                <w:sz w:val="20"/>
                <w:szCs w:val="20"/>
              </w:rPr>
              <w:t xml:space="preserve"> patients and caregivers.</w:t>
            </w:r>
          </w:p>
        </w:tc>
        <w:tc>
          <w:tcPr>
            <w:tcW w:w="992" w:type="dxa"/>
            <w:noWrap/>
            <w:vAlign w:val="center"/>
            <w:hideMark/>
          </w:tcPr>
          <w:p w14:paraId="3446041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7D18666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84.2%</w:t>
            </w:r>
          </w:p>
        </w:tc>
        <w:tc>
          <w:tcPr>
            <w:tcW w:w="850" w:type="dxa"/>
            <w:noWrap/>
            <w:vAlign w:val="center"/>
            <w:hideMark/>
          </w:tcPr>
          <w:p w14:paraId="2C1CC7F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673147F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68A3CA9D"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6EA0E617"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2DA7E044"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1C53575D"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0FE60DAD" w14:textId="77777777" w:rsidTr="00A00E90">
        <w:trPr>
          <w:trHeight w:val="283"/>
        </w:trPr>
        <w:tc>
          <w:tcPr>
            <w:tcW w:w="547" w:type="dxa"/>
            <w:noWrap/>
            <w:vAlign w:val="center"/>
            <w:hideMark/>
          </w:tcPr>
          <w:p w14:paraId="1746EF0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16</w:t>
            </w:r>
          </w:p>
        </w:tc>
        <w:tc>
          <w:tcPr>
            <w:tcW w:w="6258" w:type="dxa"/>
            <w:noWrap/>
            <w:vAlign w:val="center"/>
            <w:hideMark/>
          </w:tcPr>
          <w:p w14:paraId="174BB469"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examine ambulatory practice prescribing and which types of medications, or combinations of medications, carry a high risk of safety problems in patients</w:t>
            </w:r>
          </w:p>
        </w:tc>
        <w:tc>
          <w:tcPr>
            <w:tcW w:w="992" w:type="dxa"/>
            <w:noWrap/>
            <w:vAlign w:val="center"/>
            <w:hideMark/>
          </w:tcPr>
          <w:p w14:paraId="4E54D8B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280AC3A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84.2%</w:t>
            </w:r>
          </w:p>
        </w:tc>
        <w:tc>
          <w:tcPr>
            <w:tcW w:w="850" w:type="dxa"/>
            <w:noWrap/>
            <w:vAlign w:val="center"/>
            <w:hideMark/>
          </w:tcPr>
          <w:p w14:paraId="4000384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637BE37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22D3419A"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1D8868D8"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152AED47"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2ADD8939"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32B10EB8" w14:textId="77777777" w:rsidTr="00A00E90">
        <w:trPr>
          <w:trHeight w:val="283"/>
        </w:trPr>
        <w:tc>
          <w:tcPr>
            <w:tcW w:w="547" w:type="dxa"/>
            <w:noWrap/>
            <w:vAlign w:val="center"/>
            <w:hideMark/>
          </w:tcPr>
          <w:p w14:paraId="07A761A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17</w:t>
            </w:r>
          </w:p>
        </w:tc>
        <w:tc>
          <w:tcPr>
            <w:tcW w:w="6258" w:type="dxa"/>
            <w:noWrap/>
            <w:vAlign w:val="center"/>
            <w:hideMark/>
          </w:tcPr>
          <w:p w14:paraId="3B59A878"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the enablers and barriers in identifying serious medication related harm in GCC countries</w:t>
            </w:r>
          </w:p>
        </w:tc>
        <w:tc>
          <w:tcPr>
            <w:tcW w:w="992" w:type="dxa"/>
            <w:noWrap/>
            <w:vAlign w:val="center"/>
            <w:hideMark/>
          </w:tcPr>
          <w:p w14:paraId="79A0DFE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2BBA98B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84.2%</w:t>
            </w:r>
          </w:p>
        </w:tc>
        <w:tc>
          <w:tcPr>
            <w:tcW w:w="850" w:type="dxa"/>
            <w:noWrap/>
            <w:vAlign w:val="center"/>
            <w:hideMark/>
          </w:tcPr>
          <w:p w14:paraId="3082027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06A67D5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3C22EC63"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22D368E2"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236B748E"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6C6325E1"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6370576B" w14:textId="77777777" w:rsidTr="00A00E90">
        <w:trPr>
          <w:trHeight w:val="283"/>
        </w:trPr>
        <w:tc>
          <w:tcPr>
            <w:tcW w:w="547" w:type="dxa"/>
            <w:noWrap/>
            <w:vAlign w:val="center"/>
            <w:hideMark/>
          </w:tcPr>
          <w:p w14:paraId="4D8E649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18</w:t>
            </w:r>
          </w:p>
        </w:tc>
        <w:tc>
          <w:tcPr>
            <w:tcW w:w="6258" w:type="dxa"/>
            <w:noWrap/>
            <w:vAlign w:val="center"/>
            <w:hideMark/>
          </w:tcPr>
          <w:p w14:paraId="6AB4B93C"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evaluate the effectiveness of interventions aimed at improving medication safety during transitions of care, including medication reconciliation, effective communication strategies, and technology assisted systems.</w:t>
            </w:r>
          </w:p>
        </w:tc>
        <w:tc>
          <w:tcPr>
            <w:tcW w:w="992" w:type="dxa"/>
            <w:noWrap/>
            <w:vAlign w:val="center"/>
            <w:hideMark/>
          </w:tcPr>
          <w:p w14:paraId="3233133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6C758F8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84.2%</w:t>
            </w:r>
          </w:p>
        </w:tc>
        <w:tc>
          <w:tcPr>
            <w:tcW w:w="850" w:type="dxa"/>
            <w:noWrap/>
            <w:vAlign w:val="center"/>
            <w:hideMark/>
          </w:tcPr>
          <w:p w14:paraId="750F363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63A064B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1B441D31"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1F20A570"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42777BD9"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7CD71C94"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6348189D" w14:textId="77777777" w:rsidTr="00A00E90">
        <w:trPr>
          <w:trHeight w:val="283"/>
        </w:trPr>
        <w:tc>
          <w:tcPr>
            <w:tcW w:w="547" w:type="dxa"/>
            <w:noWrap/>
            <w:vAlign w:val="center"/>
            <w:hideMark/>
          </w:tcPr>
          <w:p w14:paraId="67D6953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19</w:t>
            </w:r>
          </w:p>
        </w:tc>
        <w:tc>
          <w:tcPr>
            <w:tcW w:w="6258" w:type="dxa"/>
            <w:noWrap/>
            <w:vAlign w:val="center"/>
            <w:hideMark/>
          </w:tcPr>
          <w:p w14:paraId="2E28182F"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 xml:space="preserve">To assess the cost effectiveness of different evidence-based interventions to reduce, eliminate, or ameliorate medication </w:t>
            </w:r>
            <w:proofErr w:type="gramStart"/>
            <w:r w:rsidRPr="00963A5A">
              <w:rPr>
                <w:rFonts w:asciiTheme="majorBidi" w:hAnsiTheme="majorBidi" w:cstheme="majorBidi"/>
                <w:color w:val="000000"/>
                <w:sz w:val="20"/>
                <w:szCs w:val="20"/>
              </w:rPr>
              <w:t>related</w:t>
            </w:r>
            <w:proofErr w:type="gramEnd"/>
            <w:r w:rsidRPr="00963A5A">
              <w:rPr>
                <w:rFonts w:asciiTheme="majorBidi" w:hAnsiTheme="majorBidi" w:cstheme="majorBidi"/>
                <w:color w:val="000000"/>
                <w:sz w:val="20"/>
                <w:szCs w:val="20"/>
              </w:rPr>
              <w:t xml:space="preserve"> patient harm</w:t>
            </w:r>
          </w:p>
        </w:tc>
        <w:tc>
          <w:tcPr>
            <w:tcW w:w="992" w:type="dxa"/>
            <w:noWrap/>
            <w:vAlign w:val="center"/>
            <w:hideMark/>
          </w:tcPr>
          <w:p w14:paraId="5334807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20303FD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83.3%</w:t>
            </w:r>
          </w:p>
        </w:tc>
        <w:tc>
          <w:tcPr>
            <w:tcW w:w="850" w:type="dxa"/>
            <w:noWrap/>
            <w:vAlign w:val="center"/>
            <w:hideMark/>
          </w:tcPr>
          <w:p w14:paraId="760D542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78620F1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64EADF84"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218DC144"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563C2046"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5BAEFDB6"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254C4DFF" w14:textId="77777777" w:rsidTr="00A00E90">
        <w:trPr>
          <w:trHeight w:val="283"/>
        </w:trPr>
        <w:tc>
          <w:tcPr>
            <w:tcW w:w="547" w:type="dxa"/>
            <w:noWrap/>
            <w:vAlign w:val="center"/>
            <w:hideMark/>
          </w:tcPr>
          <w:p w14:paraId="5FE535A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20</w:t>
            </w:r>
          </w:p>
        </w:tc>
        <w:tc>
          <w:tcPr>
            <w:tcW w:w="6258" w:type="dxa"/>
            <w:noWrap/>
            <w:vAlign w:val="center"/>
            <w:hideMark/>
          </w:tcPr>
          <w:p w14:paraId="7747E962"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investigate the prevalence and impact of medication errors related to extemporaneous compounding for pediatric patients and strategies to mitigate these risks.</w:t>
            </w:r>
          </w:p>
        </w:tc>
        <w:tc>
          <w:tcPr>
            <w:tcW w:w="992" w:type="dxa"/>
            <w:noWrap/>
            <w:vAlign w:val="center"/>
            <w:hideMark/>
          </w:tcPr>
          <w:p w14:paraId="1CD14AC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242E05E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82.9%</w:t>
            </w:r>
          </w:p>
        </w:tc>
        <w:tc>
          <w:tcPr>
            <w:tcW w:w="850" w:type="dxa"/>
            <w:noWrap/>
            <w:vAlign w:val="center"/>
            <w:hideMark/>
          </w:tcPr>
          <w:p w14:paraId="14A5AB2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32A3425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3C3501A3"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588C919F"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23BB5E93"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6627F0C3"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1C820B57" w14:textId="77777777" w:rsidTr="00A00E90">
        <w:trPr>
          <w:trHeight w:val="283"/>
        </w:trPr>
        <w:tc>
          <w:tcPr>
            <w:tcW w:w="547" w:type="dxa"/>
            <w:noWrap/>
            <w:vAlign w:val="center"/>
            <w:hideMark/>
          </w:tcPr>
          <w:p w14:paraId="7B58EB5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21</w:t>
            </w:r>
          </w:p>
        </w:tc>
        <w:tc>
          <w:tcPr>
            <w:tcW w:w="6258" w:type="dxa"/>
            <w:noWrap/>
            <w:vAlign w:val="center"/>
            <w:hideMark/>
          </w:tcPr>
          <w:p w14:paraId="1D49D2FC"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the challenges and resources required for effective patient and caregiver involvement in improving medication safety and strategies to enhance engagement among patients and their families.</w:t>
            </w:r>
          </w:p>
        </w:tc>
        <w:tc>
          <w:tcPr>
            <w:tcW w:w="992" w:type="dxa"/>
            <w:noWrap/>
            <w:vAlign w:val="center"/>
            <w:hideMark/>
          </w:tcPr>
          <w:p w14:paraId="342FC79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2809C97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81.6%</w:t>
            </w:r>
          </w:p>
        </w:tc>
        <w:tc>
          <w:tcPr>
            <w:tcW w:w="850" w:type="dxa"/>
            <w:noWrap/>
            <w:vAlign w:val="center"/>
            <w:hideMark/>
          </w:tcPr>
          <w:p w14:paraId="1A82EEF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2C16429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6D045711"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5A8D0F53"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7091CF92"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24D50DE0"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4CAF2EAB" w14:textId="77777777" w:rsidTr="00A00E90">
        <w:trPr>
          <w:trHeight w:val="283"/>
        </w:trPr>
        <w:tc>
          <w:tcPr>
            <w:tcW w:w="547" w:type="dxa"/>
            <w:noWrap/>
            <w:vAlign w:val="center"/>
            <w:hideMark/>
          </w:tcPr>
          <w:p w14:paraId="43F9CE9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22</w:t>
            </w:r>
          </w:p>
        </w:tc>
        <w:tc>
          <w:tcPr>
            <w:tcW w:w="6258" w:type="dxa"/>
            <w:noWrap/>
            <w:vAlign w:val="center"/>
            <w:hideMark/>
          </w:tcPr>
          <w:p w14:paraId="6177435B"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factors influencing medication adherence from both patient and healthcare professional perspectives.</w:t>
            </w:r>
          </w:p>
        </w:tc>
        <w:tc>
          <w:tcPr>
            <w:tcW w:w="992" w:type="dxa"/>
            <w:noWrap/>
            <w:vAlign w:val="center"/>
            <w:hideMark/>
          </w:tcPr>
          <w:p w14:paraId="375FE55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74EEB21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81.6%</w:t>
            </w:r>
          </w:p>
        </w:tc>
        <w:tc>
          <w:tcPr>
            <w:tcW w:w="850" w:type="dxa"/>
            <w:noWrap/>
            <w:vAlign w:val="center"/>
            <w:hideMark/>
          </w:tcPr>
          <w:p w14:paraId="04331AF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379F0E7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6BFB9C30"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2EA3C1EB"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5B531E2D"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1EB97AF8"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2D1B2E2F" w14:textId="77777777" w:rsidTr="00A00E90">
        <w:trPr>
          <w:trHeight w:val="283"/>
        </w:trPr>
        <w:tc>
          <w:tcPr>
            <w:tcW w:w="547" w:type="dxa"/>
            <w:noWrap/>
            <w:vAlign w:val="center"/>
            <w:hideMark/>
          </w:tcPr>
          <w:p w14:paraId="779E474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23</w:t>
            </w:r>
          </w:p>
        </w:tc>
        <w:tc>
          <w:tcPr>
            <w:tcW w:w="6258" w:type="dxa"/>
            <w:noWrap/>
            <w:vAlign w:val="center"/>
            <w:hideMark/>
          </w:tcPr>
          <w:p w14:paraId="0E20B9D2"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conduct studies across primary care facilities to assess medication safety and explore strategies for improvement.</w:t>
            </w:r>
          </w:p>
        </w:tc>
        <w:tc>
          <w:tcPr>
            <w:tcW w:w="992" w:type="dxa"/>
            <w:noWrap/>
            <w:vAlign w:val="center"/>
            <w:hideMark/>
          </w:tcPr>
          <w:p w14:paraId="1885771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5336AA5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81.6%</w:t>
            </w:r>
          </w:p>
        </w:tc>
        <w:tc>
          <w:tcPr>
            <w:tcW w:w="850" w:type="dxa"/>
            <w:noWrap/>
            <w:vAlign w:val="center"/>
            <w:hideMark/>
          </w:tcPr>
          <w:p w14:paraId="73317E2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5.3%</w:t>
            </w:r>
          </w:p>
        </w:tc>
        <w:tc>
          <w:tcPr>
            <w:tcW w:w="1134" w:type="dxa"/>
            <w:noWrap/>
            <w:vAlign w:val="center"/>
            <w:hideMark/>
          </w:tcPr>
          <w:p w14:paraId="4CC29BD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60E1DED3"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542E1C51"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08013D33"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329584FA"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16156FAC" w14:textId="77777777" w:rsidTr="00A00E90">
        <w:trPr>
          <w:trHeight w:val="283"/>
        </w:trPr>
        <w:tc>
          <w:tcPr>
            <w:tcW w:w="547" w:type="dxa"/>
            <w:noWrap/>
            <w:vAlign w:val="center"/>
            <w:hideMark/>
          </w:tcPr>
          <w:p w14:paraId="06C77FD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lastRenderedPageBreak/>
              <w:t>24</w:t>
            </w:r>
          </w:p>
        </w:tc>
        <w:tc>
          <w:tcPr>
            <w:tcW w:w="6258" w:type="dxa"/>
            <w:noWrap/>
            <w:vAlign w:val="center"/>
            <w:hideMark/>
          </w:tcPr>
          <w:p w14:paraId="2E81235E"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the prevalence and burden of medication errors, adverse drug events, and serious medication related harm in hospitals in GCC countries and their geographical variation</w:t>
            </w:r>
          </w:p>
        </w:tc>
        <w:tc>
          <w:tcPr>
            <w:tcW w:w="992" w:type="dxa"/>
            <w:noWrap/>
            <w:vAlign w:val="center"/>
            <w:hideMark/>
          </w:tcPr>
          <w:p w14:paraId="2B369E1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695AF8F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81.6%</w:t>
            </w:r>
          </w:p>
        </w:tc>
        <w:tc>
          <w:tcPr>
            <w:tcW w:w="850" w:type="dxa"/>
            <w:noWrap/>
            <w:vAlign w:val="center"/>
            <w:hideMark/>
          </w:tcPr>
          <w:p w14:paraId="620E398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56C1DE6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667E5156"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17033F5D"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72A29492"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622A914F"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40115526" w14:textId="77777777" w:rsidTr="00A00E90">
        <w:trPr>
          <w:trHeight w:val="283"/>
        </w:trPr>
        <w:tc>
          <w:tcPr>
            <w:tcW w:w="547" w:type="dxa"/>
            <w:noWrap/>
            <w:vAlign w:val="center"/>
            <w:hideMark/>
          </w:tcPr>
          <w:p w14:paraId="4F69E98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25</w:t>
            </w:r>
          </w:p>
        </w:tc>
        <w:tc>
          <w:tcPr>
            <w:tcW w:w="6258" w:type="dxa"/>
            <w:noWrap/>
            <w:vAlign w:val="center"/>
            <w:hideMark/>
          </w:tcPr>
          <w:p w14:paraId="2D2FF9C4"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examine barriers and enhance medication error reporting and learning systems, focusing on successful interventions in GCC countries.</w:t>
            </w:r>
          </w:p>
        </w:tc>
        <w:tc>
          <w:tcPr>
            <w:tcW w:w="992" w:type="dxa"/>
            <w:noWrap/>
            <w:vAlign w:val="center"/>
            <w:hideMark/>
          </w:tcPr>
          <w:p w14:paraId="248DB05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(1)</w:t>
            </w:r>
          </w:p>
        </w:tc>
        <w:tc>
          <w:tcPr>
            <w:tcW w:w="851" w:type="dxa"/>
            <w:noWrap/>
            <w:vAlign w:val="center"/>
            <w:hideMark/>
          </w:tcPr>
          <w:p w14:paraId="6AB3C9A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81.6%</w:t>
            </w:r>
          </w:p>
        </w:tc>
        <w:tc>
          <w:tcPr>
            <w:tcW w:w="850" w:type="dxa"/>
            <w:noWrap/>
            <w:vAlign w:val="center"/>
            <w:hideMark/>
          </w:tcPr>
          <w:p w14:paraId="0E4C252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1A38F01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155FE71F"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1B32434A"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724C3C1B"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71AAC9EC"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4FC393B2" w14:textId="77777777" w:rsidTr="00A00E90">
        <w:trPr>
          <w:trHeight w:val="283"/>
        </w:trPr>
        <w:tc>
          <w:tcPr>
            <w:tcW w:w="547" w:type="dxa"/>
            <w:noWrap/>
            <w:vAlign w:val="center"/>
            <w:hideMark/>
          </w:tcPr>
          <w:p w14:paraId="73FC7AB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6258" w:type="dxa"/>
            <w:noWrap/>
            <w:vAlign w:val="center"/>
            <w:hideMark/>
          </w:tcPr>
          <w:p w14:paraId="37FD2F4D"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investigate the perceived causes of unsafe medication practices and evaluate differences in contributing factors across healthcare levels (primary, secondary, tertiary) and systems.</w:t>
            </w:r>
          </w:p>
        </w:tc>
        <w:tc>
          <w:tcPr>
            <w:tcW w:w="992" w:type="dxa"/>
            <w:noWrap/>
            <w:vAlign w:val="center"/>
            <w:hideMark/>
          </w:tcPr>
          <w:p w14:paraId="070C6F0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030BE8B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81.6%</w:t>
            </w:r>
          </w:p>
        </w:tc>
        <w:tc>
          <w:tcPr>
            <w:tcW w:w="850" w:type="dxa"/>
            <w:noWrap/>
            <w:vAlign w:val="center"/>
            <w:hideMark/>
          </w:tcPr>
          <w:p w14:paraId="7AEA618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0CAD789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75F79736"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3670DD77"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22ECF8F9"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78181AA8"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3B40792C" w14:textId="77777777" w:rsidTr="00A00E90">
        <w:trPr>
          <w:trHeight w:val="283"/>
        </w:trPr>
        <w:tc>
          <w:tcPr>
            <w:tcW w:w="547" w:type="dxa"/>
            <w:noWrap/>
            <w:vAlign w:val="center"/>
            <w:hideMark/>
          </w:tcPr>
          <w:p w14:paraId="1D05E67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27</w:t>
            </w:r>
          </w:p>
        </w:tc>
        <w:tc>
          <w:tcPr>
            <w:tcW w:w="6258" w:type="dxa"/>
            <w:noWrap/>
            <w:vAlign w:val="center"/>
            <w:hideMark/>
          </w:tcPr>
          <w:p w14:paraId="06670BB2"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determine the extent of harm caused by substandard, spurious, falsified, and counterfeit medicines (SSFFCs) and develop strategies to reduce their prevalence in GCC countries.</w:t>
            </w:r>
          </w:p>
        </w:tc>
        <w:tc>
          <w:tcPr>
            <w:tcW w:w="992" w:type="dxa"/>
            <w:noWrap/>
            <w:vAlign w:val="center"/>
            <w:hideMark/>
          </w:tcPr>
          <w:p w14:paraId="3A38627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2025341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81.3%</w:t>
            </w:r>
          </w:p>
        </w:tc>
        <w:tc>
          <w:tcPr>
            <w:tcW w:w="850" w:type="dxa"/>
            <w:noWrap/>
            <w:vAlign w:val="center"/>
            <w:hideMark/>
          </w:tcPr>
          <w:p w14:paraId="4E4B075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9.4%</w:t>
            </w:r>
          </w:p>
        </w:tc>
        <w:tc>
          <w:tcPr>
            <w:tcW w:w="1134" w:type="dxa"/>
            <w:noWrap/>
            <w:vAlign w:val="center"/>
            <w:hideMark/>
          </w:tcPr>
          <w:p w14:paraId="2F65003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50C67B53"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6975F937"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6DE6998E"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429DCFFA"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68C24D0F" w14:textId="77777777" w:rsidTr="00A00E90">
        <w:trPr>
          <w:trHeight w:val="283"/>
        </w:trPr>
        <w:tc>
          <w:tcPr>
            <w:tcW w:w="547" w:type="dxa"/>
            <w:noWrap/>
            <w:vAlign w:val="center"/>
            <w:hideMark/>
          </w:tcPr>
          <w:p w14:paraId="33754E2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28</w:t>
            </w:r>
          </w:p>
        </w:tc>
        <w:tc>
          <w:tcPr>
            <w:tcW w:w="6258" w:type="dxa"/>
            <w:noWrap/>
            <w:vAlign w:val="center"/>
            <w:hideMark/>
          </w:tcPr>
          <w:p w14:paraId="3644C8E0"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factors influencing patient decision making about polypharmacy and develop decision aids to help patients participate in discussions around managing multiple medications.</w:t>
            </w:r>
          </w:p>
        </w:tc>
        <w:tc>
          <w:tcPr>
            <w:tcW w:w="992" w:type="dxa"/>
            <w:noWrap/>
            <w:vAlign w:val="center"/>
            <w:hideMark/>
          </w:tcPr>
          <w:p w14:paraId="07DAF98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76A3030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81.1%</w:t>
            </w:r>
          </w:p>
        </w:tc>
        <w:tc>
          <w:tcPr>
            <w:tcW w:w="850" w:type="dxa"/>
            <w:noWrap/>
            <w:vAlign w:val="center"/>
            <w:hideMark/>
          </w:tcPr>
          <w:p w14:paraId="66B75D8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238D1E4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77CF4FC6"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673451CB"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5D32C41E"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7F9A97E6"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0AD93175" w14:textId="77777777" w:rsidTr="00A00E90">
        <w:trPr>
          <w:trHeight w:val="283"/>
        </w:trPr>
        <w:tc>
          <w:tcPr>
            <w:tcW w:w="547" w:type="dxa"/>
            <w:noWrap/>
            <w:vAlign w:val="center"/>
            <w:hideMark/>
          </w:tcPr>
          <w:p w14:paraId="0113380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29</w:t>
            </w:r>
          </w:p>
        </w:tc>
        <w:tc>
          <w:tcPr>
            <w:tcW w:w="6258" w:type="dxa"/>
            <w:noWrap/>
            <w:vAlign w:val="center"/>
            <w:hideMark/>
          </w:tcPr>
          <w:p w14:paraId="595A3160"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evaluate the role of medication dispensing technology (e.g., automated dispensing cabinets) in reducing medication errors.</w:t>
            </w:r>
          </w:p>
        </w:tc>
        <w:tc>
          <w:tcPr>
            <w:tcW w:w="992" w:type="dxa"/>
            <w:noWrap/>
            <w:vAlign w:val="center"/>
            <w:hideMark/>
          </w:tcPr>
          <w:p w14:paraId="742503D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(1)</w:t>
            </w:r>
          </w:p>
        </w:tc>
        <w:tc>
          <w:tcPr>
            <w:tcW w:w="851" w:type="dxa"/>
            <w:noWrap/>
            <w:vAlign w:val="center"/>
            <w:hideMark/>
          </w:tcPr>
          <w:p w14:paraId="4B1258B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80.6%</w:t>
            </w:r>
          </w:p>
        </w:tc>
        <w:tc>
          <w:tcPr>
            <w:tcW w:w="850" w:type="dxa"/>
            <w:noWrap/>
            <w:vAlign w:val="center"/>
            <w:hideMark/>
          </w:tcPr>
          <w:p w14:paraId="19E1D16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2.8%</w:t>
            </w:r>
          </w:p>
        </w:tc>
        <w:tc>
          <w:tcPr>
            <w:tcW w:w="1134" w:type="dxa"/>
            <w:noWrap/>
            <w:vAlign w:val="center"/>
            <w:hideMark/>
          </w:tcPr>
          <w:p w14:paraId="072A1D8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75BA983B"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126EFC62"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46D4F346"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72859CB1"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333E0990" w14:textId="77777777" w:rsidTr="00A00E90">
        <w:trPr>
          <w:trHeight w:val="283"/>
        </w:trPr>
        <w:tc>
          <w:tcPr>
            <w:tcW w:w="547" w:type="dxa"/>
            <w:noWrap/>
            <w:vAlign w:val="center"/>
            <w:hideMark/>
          </w:tcPr>
          <w:p w14:paraId="494B126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30</w:t>
            </w:r>
          </w:p>
        </w:tc>
        <w:tc>
          <w:tcPr>
            <w:tcW w:w="6258" w:type="dxa"/>
            <w:noWrap/>
            <w:vAlign w:val="center"/>
            <w:hideMark/>
          </w:tcPr>
          <w:p w14:paraId="600E868F"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design technology assisted medication administration systems to reduce medication errors, e.g., two tier level identification</w:t>
            </w:r>
          </w:p>
        </w:tc>
        <w:tc>
          <w:tcPr>
            <w:tcW w:w="992" w:type="dxa"/>
            <w:noWrap/>
            <w:vAlign w:val="center"/>
            <w:hideMark/>
          </w:tcPr>
          <w:p w14:paraId="284D072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2E18FA0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80.6%</w:t>
            </w:r>
          </w:p>
        </w:tc>
        <w:tc>
          <w:tcPr>
            <w:tcW w:w="850" w:type="dxa"/>
            <w:noWrap/>
            <w:vAlign w:val="center"/>
            <w:hideMark/>
          </w:tcPr>
          <w:p w14:paraId="0F3DA11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5.6%</w:t>
            </w:r>
          </w:p>
        </w:tc>
        <w:tc>
          <w:tcPr>
            <w:tcW w:w="1134" w:type="dxa"/>
            <w:noWrap/>
            <w:vAlign w:val="center"/>
            <w:hideMark/>
          </w:tcPr>
          <w:p w14:paraId="4A5A879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c>
          <w:tcPr>
            <w:tcW w:w="992" w:type="dxa"/>
            <w:noWrap/>
            <w:vAlign w:val="center"/>
            <w:hideMark/>
          </w:tcPr>
          <w:p w14:paraId="0E106C39" w14:textId="77777777" w:rsidR="003A4D9A" w:rsidRPr="00963A5A" w:rsidRDefault="003A4D9A" w:rsidP="00A00E90">
            <w:pPr>
              <w:spacing w:line="276" w:lineRule="auto"/>
              <w:jc w:val="center"/>
              <w:rPr>
                <w:rFonts w:asciiTheme="majorBidi" w:hAnsiTheme="majorBidi" w:cstheme="majorBidi"/>
                <w:color w:val="000000"/>
                <w:sz w:val="20"/>
                <w:szCs w:val="20"/>
              </w:rPr>
            </w:pPr>
          </w:p>
        </w:tc>
        <w:tc>
          <w:tcPr>
            <w:tcW w:w="851" w:type="dxa"/>
            <w:noWrap/>
            <w:vAlign w:val="center"/>
            <w:hideMark/>
          </w:tcPr>
          <w:p w14:paraId="27147B4F" w14:textId="77777777" w:rsidR="003A4D9A" w:rsidRPr="00963A5A" w:rsidRDefault="003A4D9A" w:rsidP="00A00E90">
            <w:pPr>
              <w:spacing w:line="276" w:lineRule="auto"/>
              <w:jc w:val="center"/>
              <w:rPr>
                <w:rFonts w:asciiTheme="majorBidi" w:hAnsiTheme="majorBidi" w:cstheme="majorBidi"/>
                <w:sz w:val="20"/>
                <w:szCs w:val="20"/>
              </w:rPr>
            </w:pPr>
          </w:p>
        </w:tc>
        <w:tc>
          <w:tcPr>
            <w:tcW w:w="850" w:type="dxa"/>
            <w:noWrap/>
            <w:vAlign w:val="center"/>
            <w:hideMark/>
          </w:tcPr>
          <w:p w14:paraId="57CB4CCE" w14:textId="77777777" w:rsidR="003A4D9A" w:rsidRPr="00963A5A" w:rsidRDefault="003A4D9A" w:rsidP="00A00E90">
            <w:pPr>
              <w:spacing w:line="276" w:lineRule="auto"/>
              <w:jc w:val="center"/>
              <w:rPr>
                <w:rFonts w:asciiTheme="majorBidi" w:hAnsiTheme="majorBidi" w:cstheme="majorBidi"/>
                <w:sz w:val="20"/>
                <w:szCs w:val="20"/>
              </w:rPr>
            </w:pPr>
          </w:p>
        </w:tc>
        <w:tc>
          <w:tcPr>
            <w:tcW w:w="1134" w:type="dxa"/>
            <w:noWrap/>
            <w:vAlign w:val="center"/>
            <w:hideMark/>
          </w:tcPr>
          <w:p w14:paraId="2D4E6323" w14:textId="77777777" w:rsidR="003A4D9A" w:rsidRPr="00963A5A" w:rsidRDefault="003A4D9A" w:rsidP="00A00E90">
            <w:pPr>
              <w:spacing w:line="276" w:lineRule="auto"/>
              <w:jc w:val="center"/>
              <w:rPr>
                <w:rFonts w:asciiTheme="majorBidi" w:hAnsiTheme="majorBidi" w:cstheme="majorBidi"/>
                <w:sz w:val="20"/>
                <w:szCs w:val="20"/>
              </w:rPr>
            </w:pPr>
          </w:p>
        </w:tc>
      </w:tr>
      <w:tr w:rsidR="003A4D9A" w:rsidRPr="00963A5A" w14:paraId="197D394B" w14:textId="77777777" w:rsidTr="00A00E90">
        <w:trPr>
          <w:trHeight w:val="283"/>
        </w:trPr>
        <w:tc>
          <w:tcPr>
            <w:tcW w:w="547" w:type="dxa"/>
            <w:noWrap/>
            <w:vAlign w:val="center"/>
            <w:hideMark/>
          </w:tcPr>
          <w:p w14:paraId="6E01969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31</w:t>
            </w:r>
          </w:p>
        </w:tc>
        <w:tc>
          <w:tcPr>
            <w:tcW w:w="6258" w:type="dxa"/>
            <w:noWrap/>
            <w:vAlign w:val="center"/>
            <w:hideMark/>
          </w:tcPr>
          <w:p w14:paraId="4DFB821D"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study the effectiveness of patient user strategies (such as e-health, digital health tools, and patient information services) in promoting safe medication use and improving medication adherence.</w:t>
            </w:r>
          </w:p>
        </w:tc>
        <w:tc>
          <w:tcPr>
            <w:tcW w:w="992" w:type="dxa"/>
            <w:noWrap/>
            <w:vAlign w:val="center"/>
            <w:hideMark/>
          </w:tcPr>
          <w:p w14:paraId="44BB693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(3)</w:t>
            </w:r>
          </w:p>
        </w:tc>
        <w:tc>
          <w:tcPr>
            <w:tcW w:w="851" w:type="dxa"/>
            <w:noWrap/>
            <w:vAlign w:val="center"/>
            <w:hideMark/>
          </w:tcPr>
          <w:p w14:paraId="64C0B5F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71.1%</w:t>
            </w:r>
          </w:p>
        </w:tc>
        <w:tc>
          <w:tcPr>
            <w:tcW w:w="850" w:type="dxa"/>
            <w:noWrap/>
            <w:vAlign w:val="center"/>
            <w:hideMark/>
          </w:tcPr>
          <w:p w14:paraId="501224D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631C30F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4B8F139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4AEECFC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94.7%</w:t>
            </w:r>
          </w:p>
        </w:tc>
        <w:tc>
          <w:tcPr>
            <w:tcW w:w="850" w:type="dxa"/>
            <w:noWrap/>
            <w:vAlign w:val="center"/>
            <w:hideMark/>
          </w:tcPr>
          <w:p w14:paraId="46A7172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132F528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r>
      <w:tr w:rsidR="003A4D9A" w:rsidRPr="00963A5A" w14:paraId="5B2D83BA" w14:textId="77777777" w:rsidTr="00A00E90">
        <w:trPr>
          <w:trHeight w:val="283"/>
        </w:trPr>
        <w:tc>
          <w:tcPr>
            <w:tcW w:w="547" w:type="dxa"/>
            <w:noWrap/>
            <w:vAlign w:val="center"/>
            <w:hideMark/>
          </w:tcPr>
          <w:p w14:paraId="740BB39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32</w:t>
            </w:r>
          </w:p>
        </w:tc>
        <w:tc>
          <w:tcPr>
            <w:tcW w:w="6258" w:type="dxa"/>
            <w:noWrap/>
            <w:vAlign w:val="center"/>
            <w:hideMark/>
          </w:tcPr>
          <w:p w14:paraId="7FF543F3"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study national policies and strategies for medication safety and their impact on reducing medication errors and improving patient outcomes across GCC countries.</w:t>
            </w:r>
          </w:p>
        </w:tc>
        <w:tc>
          <w:tcPr>
            <w:tcW w:w="992" w:type="dxa"/>
            <w:noWrap/>
            <w:vAlign w:val="center"/>
            <w:hideMark/>
          </w:tcPr>
          <w:p w14:paraId="7F3CC5F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5983D5A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76.3%</w:t>
            </w:r>
          </w:p>
        </w:tc>
        <w:tc>
          <w:tcPr>
            <w:tcW w:w="850" w:type="dxa"/>
            <w:noWrap/>
            <w:vAlign w:val="center"/>
            <w:hideMark/>
          </w:tcPr>
          <w:p w14:paraId="31A8F6D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3A1230E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66EBF55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05303DD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86.8%</w:t>
            </w:r>
          </w:p>
        </w:tc>
        <w:tc>
          <w:tcPr>
            <w:tcW w:w="850" w:type="dxa"/>
            <w:noWrap/>
            <w:vAlign w:val="center"/>
            <w:hideMark/>
          </w:tcPr>
          <w:p w14:paraId="26C100C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55488BF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r>
      <w:tr w:rsidR="003A4D9A" w:rsidRPr="00963A5A" w14:paraId="5473B8FF" w14:textId="77777777" w:rsidTr="00A00E90">
        <w:trPr>
          <w:trHeight w:val="283"/>
        </w:trPr>
        <w:tc>
          <w:tcPr>
            <w:tcW w:w="547" w:type="dxa"/>
            <w:noWrap/>
            <w:vAlign w:val="center"/>
            <w:hideMark/>
          </w:tcPr>
          <w:p w14:paraId="7C2354F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33</w:t>
            </w:r>
          </w:p>
        </w:tc>
        <w:tc>
          <w:tcPr>
            <w:tcW w:w="6258" w:type="dxa"/>
            <w:noWrap/>
            <w:vAlign w:val="center"/>
            <w:hideMark/>
          </w:tcPr>
          <w:p w14:paraId="727FF5ED"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the prevalence and causes of medication administration errors and adverse drug events</w:t>
            </w:r>
          </w:p>
        </w:tc>
        <w:tc>
          <w:tcPr>
            <w:tcW w:w="992" w:type="dxa"/>
            <w:noWrap/>
            <w:vAlign w:val="center"/>
            <w:hideMark/>
          </w:tcPr>
          <w:p w14:paraId="320A6FB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556CD1F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4ABFCEB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5.3%</w:t>
            </w:r>
          </w:p>
        </w:tc>
        <w:tc>
          <w:tcPr>
            <w:tcW w:w="1134" w:type="dxa"/>
            <w:noWrap/>
            <w:vAlign w:val="center"/>
            <w:hideMark/>
          </w:tcPr>
          <w:p w14:paraId="3B692D9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4D07237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(1)</w:t>
            </w:r>
          </w:p>
        </w:tc>
        <w:tc>
          <w:tcPr>
            <w:tcW w:w="851" w:type="dxa"/>
            <w:noWrap/>
            <w:vAlign w:val="center"/>
            <w:hideMark/>
          </w:tcPr>
          <w:p w14:paraId="25E97B9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84.2%</w:t>
            </w:r>
          </w:p>
        </w:tc>
        <w:tc>
          <w:tcPr>
            <w:tcW w:w="850" w:type="dxa"/>
            <w:noWrap/>
            <w:vAlign w:val="center"/>
            <w:hideMark/>
          </w:tcPr>
          <w:p w14:paraId="0937B33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38E2160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r>
      <w:tr w:rsidR="003A4D9A" w:rsidRPr="00963A5A" w14:paraId="12F26C9F" w14:textId="77777777" w:rsidTr="00A00E90">
        <w:trPr>
          <w:trHeight w:val="283"/>
        </w:trPr>
        <w:tc>
          <w:tcPr>
            <w:tcW w:w="547" w:type="dxa"/>
            <w:noWrap/>
            <w:vAlign w:val="center"/>
            <w:hideMark/>
          </w:tcPr>
          <w:p w14:paraId="768D002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34</w:t>
            </w:r>
          </w:p>
        </w:tc>
        <w:tc>
          <w:tcPr>
            <w:tcW w:w="6258" w:type="dxa"/>
            <w:noWrap/>
            <w:vAlign w:val="center"/>
            <w:hideMark/>
          </w:tcPr>
          <w:p w14:paraId="1A4BB921"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the challenges and opportunities for healthcare professionals and the healthcare system to improve medication safety in transitions of care</w:t>
            </w:r>
          </w:p>
        </w:tc>
        <w:tc>
          <w:tcPr>
            <w:tcW w:w="992" w:type="dxa"/>
            <w:noWrap/>
            <w:vAlign w:val="center"/>
            <w:hideMark/>
          </w:tcPr>
          <w:p w14:paraId="6609DC4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2353D5C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623DDCA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7A47FCC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36B9BBB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0E62DF0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84.2%</w:t>
            </w:r>
          </w:p>
        </w:tc>
        <w:tc>
          <w:tcPr>
            <w:tcW w:w="850" w:type="dxa"/>
            <w:noWrap/>
            <w:vAlign w:val="center"/>
            <w:hideMark/>
          </w:tcPr>
          <w:p w14:paraId="0211F17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0568723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r>
      <w:tr w:rsidR="003A4D9A" w:rsidRPr="00963A5A" w14:paraId="3978A622" w14:textId="77777777" w:rsidTr="00A00E90">
        <w:trPr>
          <w:trHeight w:val="283"/>
        </w:trPr>
        <w:tc>
          <w:tcPr>
            <w:tcW w:w="547" w:type="dxa"/>
            <w:noWrap/>
            <w:vAlign w:val="center"/>
            <w:hideMark/>
          </w:tcPr>
          <w:p w14:paraId="793DC28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35</w:t>
            </w:r>
          </w:p>
        </w:tc>
        <w:tc>
          <w:tcPr>
            <w:tcW w:w="6258" w:type="dxa"/>
            <w:noWrap/>
            <w:vAlign w:val="center"/>
            <w:hideMark/>
          </w:tcPr>
          <w:p w14:paraId="515D9205"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 xml:space="preserve">To identify strategies to prevent inappropriate </w:t>
            </w:r>
            <w:proofErr w:type="spellStart"/>
            <w:r w:rsidRPr="00963A5A">
              <w:rPr>
                <w:rFonts w:asciiTheme="majorBidi" w:hAnsiTheme="majorBidi" w:cstheme="majorBidi"/>
                <w:color w:val="000000"/>
                <w:sz w:val="20"/>
                <w:szCs w:val="20"/>
              </w:rPr>
              <w:t>self medication</w:t>
            </w:r>
            <w:proofErr w:type="spellEnd"/>
            <w:r w:rsidRPr="00963A5A">
              <w:rPr>
                <w:rFonts w:asciiTheme="majorBidi" w:hAnsiTheme="majorBidi" w:cstheme="majorBidi"/>
                <w:color w:val="000000"/>
                <w:sz w:val="20"/>
                <w:szCs w:val="20"/>
              </w:rPr>
              <w:t xml:space="preserve"> with antibiotics.</w:t>
            </w:r>
          </w:p>
        </w:tc>
        <w:tc>
          <w:tcPr>
            <w:tcW w:w="992" w:type="dxa"/>
            <w:noWrap/>
            <w:vAlign w:val="center"/>
            <w:hideMark/>
          </w:tcPr>
          <w:p w14:paraId="0DB7B68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5BE2951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76.3%</w:t>
            </w:r>
          </w:p>
        </w:tc>
        <w:tc>
          <w:tcPr>
            <w:tcW w:w="850" w:type="dxa"/>
            <w:noWrap/>
            <w:vAlign w:val="center"/>
            <w:hideMark/>
          </w:tcPr>
          <w:p w14:paraId="1E7F503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1535A0F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456D83D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1567B3F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81.6%</w:t>
            </w:r>
          </w:p>
        </w:tc>
        <w:tc>
          <w:tcPr>
            <w:tcW w:w="850" w:type="dxa"/>
            <w:noWrap/>
            <w:vAlign w:val="center"/>
            <w:hideMark/>
          </w:tcPr>
          <w:p w14:paraId="466FAA9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44EFAAC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Achieved</w:t>
            </w:r>
          </w:p>
        </w:tc>
      </w:tr>
      <w:tr w:rsidR="003A4D9A" w:rsidRPr="00963A5A" w14:paraId="6868572E" w14:textId="77777777" w:rsidTr="00A00E90">
        <w:trPr>
          <w:trHeight w:val="283"/>
        </w:trPr>
        <w:tc>
          <w:tcPr>
            <w:tcW w:w="547" w:type="dxa"/>
            <w:noWrap/>
            <w:vAlign w:val="center"/>
            <w:hideMark/>
          </w:tcPr>
          <w:p w14:paraId="648A458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lastRenderedPageBreak/>
              <w:t>36</w:t>
            </w:r>
          </w:p>
        </w:tc>
        <w:tc>
          <w:tcPr>
            <w:tcW w:w="6258" w:type="dxa"/>
            <w:noWrap/>
            <w:vAlign w:val="center"/>
            <w:hideMark/>
          </w:tcPr>
          <w:p w14:paraId="2799804B"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investigate the role of health communication strategies in supporting patients with limited language proficiency, health literacy, and education to take medications safely.</w:t>
            </w:r>
          </w:p>
        </w:tc>
        <w:tc>
          <w:tcPr>
            <w:tcW w:w="992" w:type="dxa"/>
            <w:noWrap/>
            <w:vAlign w:val="center"/>
            <w:hideMark/>
          </w:tcPr>
          <w:p w14:paraId="46DB7E9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6D9402F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624228E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1F27ECE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59B727B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627C59B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578BD74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2ACF291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5AB0516E" w14:textId="77777777" w:rsidTr="00A00E90">
        <w:trPr>
          <w:trHeight w:val="283"/>
        </w:trPr>
        <w:tc>
          <w:tcPr>
            <w:tcW w:w="547" w:type="dxa"/>
            <w:noWrap/>
            <w:vAlign w:val="center"/>
            <w:hideMark/>
          </w:tcPr>
          <w:p w14:paraId="05E57B4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37</w:t>
            </w:r>
          </w:p>
        </w:tc>
        <w:tc>
          <w:tcPr>
            <w:tcW w:w="6258" w:type="dxa"/>
            <w:noWrap/>
            <w:vAlign w:val="center"/>
            <w:hideMark/>
          </w:tcPr>
          <w:p w14:paraId="4FB6CDB2"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build methodological capacity in GCC countries to improve pharmacoepidemiologic research practices</w:t>
            </w:r>
          </w:p>
        </w:tc>
        <w:tc>
          <w:tcPr>
            <w:tcW w:w="992" w:type="dxa"/>
            <w:noWrap/>
            <w:vAlign w:val="center"/>
            <w:hideMark/>
          </w:tcPr>
          <w:p w14:paraId="32FE186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58FA1E9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78.4%</w:t>
            </w:r>
          </w:p>
        </w:tc>
        <w:tc>
          <w:tcPr>
            <w:tcW w:w="850" w:type="dxa"/>
            <w:noWrap/>
            <w:vAlign w:val="center"/>
            <w:hideMark/>
          </w:tcPr>
          <w:p w14:paraId="0E74B9D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2F0B047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54B61C8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6971005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2F27FF2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5.3%</w:t>
            </w:r>
          </w:p>
        </w:tc>
        <w:tc>
          <w:tcPr>
            <w:tcW w:w="1134" w:type="dxa"/>
            <w:noWrap/>
            <w:vAlign w:val="center"/>
            <w:hideMark/>
          </w:tcPr>
          <w:p w14:paraId="2C73347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55100906" w14:textId="77777777" w:rsidTr="00A00E90">
        <w:trPr>
          <w:trHeight w:val="283"/>
        </w:trPr>
        <w:tc>
          <w:tcPr>
            <w:tcW w:w="547" w:type="dxa"/>
            <w:noWrap/>
            <w:vAlign w:val="center"/>
            <w:hideMark/>
          </w:tcPr>
          <w:p w14:paraId="3930DC8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38</w:t>
            </w:r>
          </w:p>
        </w:tc>
        <w:tc>
          <w:tcPr>
            <w:tcW w:w="6258" w:type="dxa"/>
            <w:noWrap/>
            <w:vAlign w:val="center"/>
            <w:hideMark/>
          </w:tcPr>
          <w:p w14:paraId="2287F7CA"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evaluate the impact of programs designed to increase patient involvement in medication safety, including patient counselling and engagement in their own care, on reducing medication related harm.</w:t>
            </w:r>
          </w:p>
        </w:tc>
        <w:tc>
          <w:tcPr>
            <w:tcW w:w="992" w:type="dxa"/>
            <w:noWrap/>
            <w:vAlign w:val="center"/>
            <w:hideMark/>
          </w:tcPr>
          <w:p w14:paraId="5539B95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2287A72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73.7%</w:t>
            </w:r>
          </w:p>
        </w:tc>
        <w:tc>
          <w:tcPr>
            <w:tcW w:w="850" w:type="dxa"/>
            <w:noWrap/>
            <w:vAlign w:val="center"/>
            <w:hideMark/>
          </w:tcPr>
          <w:p w14:paraId="492462A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13E87DB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592B133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648E1BD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3ACF240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37A521D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22E0DA36" w14:textId="77777777" w:rsidTr="00A00E90">
        <w:trPr>
          <w:trHeight w:val="283"/>
        </w:trPr>
        <w:tc>
          <w:tcPr>
            <w:tcW w:w="547" w:type="dxa"/>
            <w:noWrap/>
            <w:vAlign w:val="center"/>
            <w:hideMark/>
          </w:tcPr>
          <w:p w14:paraId="633715C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39</w:t>
            </w:r>
          </w:p>
        </w:tc>
        <w:tc>
          <w:tcPr>
            <w:tcW w:w="6258" w:type="dxa"/>
            <w:noWrap/>
            <w:vAlign w:val="center"/>
            <w:hideMark/>
          </w:tcPr>
          <w:p w14:paraId="534C4585"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investigate the best practices to prevent adverse drug reactions in people with previous medication related allergic reactions and hypersensitivities</w:t>
            </w:r>
          </w:p>
        </w:tc>
        <w:tc>
          <w:tcPr>
            <w:tcW w:w="992" w:type="dxa"/>
            <w:noWrap/>
            <w:vAlign w:val="center"/>
            <w:hideMark/>
          </w:tcPr>
          <w:p w14:paraId="3013D64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04116A1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2B20DD7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26DBD1A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5A07B85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7537709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76.3%</w:t>
            </w:r>
          </w:p>
        </w:tc>
        <w:tc>
          <w:tcPr>
            <w:tcW w:w="850" w:type="dxa"/>
            <w:noWrap/>
            <w:vAlign w:val="center"/>
            <w:hideMark/>
          </w:tcPr>
          <w:p w14:paraId="6AE7374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4340AAA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03923DFB" w14:textId="77777777" w:rsidTr="00A00E90">
        <w:trPr>
          <w:trHeight w:val="283"/>
        </w:trPr>
        <w:tc>
          <w:tcPr>
            <w:tcW w:w="547" w:type="dxa"/>
            <w:noWrap/>
            <w:vAlign w:val="center"/>
            <w:hideMark/>
          </w:tcPr>
          <w:p w14:paraId="27200CE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40</w:t>
            </w:r>
          </w:p>
        </w:tc>
        <w:tc>
          <w:tcPr>
            <w:tcW w:w="6258" w:type="dxa"/>
            <w:noWrap/>
            <w:vAlign w:val="center"/>
            <w:hideMark/>
          </w:tcPr>
          <w:p w14:paraId="139BD81B"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 xml:space="preserve">To assess the prevalence and magnitude of drug </w:t>
            </w:r>
            <w:proofErr w:type="spellStart"/>
            <w:r w:rsidRPr="00963A5A">
              <w:rPr>
                <w:rFonts w:asciiTheme="majorBidi" w:hAnsiTheme="majorBidi" w:cstheme="majorBidi"/>
                <w:color w:val="000000"/>
                <w:sz w:val="20"/>
                <w:szCs w:val="20"/>
              </w:rPr>
              <w:t>drug</w:t>
            </w:r>
            <w:proofErr w:type="spellEnd"/>
            <w:r w:rsidRPr="00963A5A">
              <w:rPr>
                <w:rFonts w:asciiTheme="majorBidi" w:hAnsiTheme="majorBidi" w:cstheme="majorBidi"/>
                <w:color w:val="000000"/>
                <w:sz w:val="20"/>
                <w:szCs w:val="20"/>
              </w:rPr>
              <w:t xml:space="preserve"> interactions where one of the interacting medicines is a prescription medicine and the other is a non-prescription medicine</w:t>
            </w:r>
          </w:p>
        </w:tc>
        <w:tc>
          <w:tcPr>
            <w:tcW w:w="992" w:type="dxa"/>
            <w:noWrap/>
            <w:vAlign w:val="center"/>
            <w:hideMark/>
          </w:tcPr>
          <w:p w14:paraId="5CBE43A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0A3607D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55D81A2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5E70097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0B28A02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(2)</w:t>
            </w:r>
          </w:p>
        </w:tc>
        <w:tc>
          <w:tcPr>
            <w:tcW w:w="851" w:type="dxa"/>
            <w:noWrap/>
            <w:vAlign w:val="center"/>
            <w:hideMark/>
          </w:tcPr>
          <w:p w14:paraId="3095DF2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71.1%</w:t>
            </w:r>
          </w:p>
        </w:tc>
        <w:tc>
          <w:tcPr>
            <w:tcW w:w="850" w:type="dxa"/>
            <w:noWrap/>
            <w:vAlign w:val="center"/>
            <w:hideMark/>
          </w:tcPr>
          <w:p w14:paraId="009E97D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5F34B1B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116259CD" w14:textId="77777777" w:rsidTr="00A00E90">
        <w:trPr>
          <w:trHeight w:val="283"/>
        </w:trPr>
        <w:tc>
          <w:tcPr>
            <w:tcW w:w="547" w:type="dxa"/>
            <w:noWrap/>
            <w:vAlign w:val="center"/>
            <w:hideMark/>
          </w:tcPr>
          <w:p w14:paraId="1C60813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41</w:t>
            </w:r>
          </w:p>
        </w:tc>
        <w:tc>
          <w:tcPr>
            <w:tcW w:w="6258" w:type="dxa"/>
            <w:noWrap/>
            <w:vAlign w:val="center"/>
            <w:hideMark/>
          </w:tcPr>
          <w:p w14:paraId="3D4A6D01"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begin policy research to improve the impact of post market surveillance systems, including how these systems differ across countries and how this affects medication safety</w:t>
            </w:r>
          </w:p>
        </w:tc>
        <w:tc>
          <w:tcPr>
            <w:tcW w:w="992" w:type="dxa"/>
            <w:noWrap/>
            <w:vAlign w:val="center"/>
            <w:hideMark/>
          </w:tcPr>
          <w:p w14:paraId="6B449E8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4282486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78.4%</w:t>
            </w:r>
          </w:p>
        </w:tc>
        <w:tc>
          <w:tcPr>
            <w:tcW w:w="850" w:type="dxa"/>
            <w:noWrap/>
            <w:vAlign w:val="center"/>
            <w:hideMark/>
          </w:tcPr>
          <w:p w14:paraId="1B1F990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8.1%</w:t>
            </w:r>
          </w:p>
        </w:tc>
        <w:tc>
          <w:tcPr>
            <w:tcW w:w="1134" w:type="dxa"/>
            <w:noWrap/>
            <w:vAlign w:val="center"/>
            <w:hideMark/>
          </w:tcPr>
          <w:p w14:paraId="263DF7E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325B733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(2)</w:t>
            </w:r>
          </w:p>
        </w:tc>
        <w:tc>
          <w:tcPr>
            <w:tcW w:w="851" w:type="dxa"/>
            <w:noWrap/>
            <w:vAlign w:val="center"/>
            <w:hideMark/>
          </w:tcPr>
          <w:p w14:paraId="7960D8B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71.1%</w:t>
            </w:r>
          </w:p>
        </w:tc>
        <w:tc>
          <w:tcPr>
            <w:tcW w:w="850" w:type="dxa"/>
            <w:noWrap/>
            <w:vAlign w:val="center"/>
            <w:hideMark/>
          </w:tcPr>
          <w:p w14:paraId="136660A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5997033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15C43CB6" w14:textId="77777777" w:rsidTr="00A00E90">
        <w:trPr>
          <w:trHeight w:val="283"/>
        </w:trPr>
        <w:tc>
          <w:tcPr>
            <w:tcW w:w="547" w:type="dxa"/>
            <w:noWrap/>
            <w:vAlign w:val="center"/>
            <w:hideMark/>
          </w:tcPr>
          <w:p w14:paraId="051BCFA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42</w:t>
            </w:r>
          </w:p>
        </w:tc>
        <w:tc>
          <w:tcPr>
            <w:tcW w:w="6258" w:type="dxa"/>
            <w:noWrap/>
            <w:vAlign w:val="center"/>
            <w:hideMark/>
          </w:tcPr>
          <w:p w14:paraId="16F9629B"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examine errors related to packaging design, such as lookalikes, and identify methods to improve and prevent these errors</w:t>
            </w:r>
          </w:p>
        </w:tc>
        <w:tc>
          <w:tcPr>
            <w:tcW w:w="992" w:type="dxa"/>
            <w:noWrap/>
            <w:vAlign w:val="center"/>
            <w:hideMark/>
          </w:tcPr>
          <w:p w14:paraId="7848853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112C401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78.4%</w:t>
            </w:r>
          </w:p>
        </w:tc>
        <w:tc>
          <w:tcPr>
            <w:tcW w:w="850" w:type="dxa"/>
            <w:noWrap/>
            <w:vAlign w:val="center"/>
            <w:hideMark/>
          </w:tcPr>
          <w:p w14:paraId="69A37E6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5.4%</w:t>
            </w:r>
          </w:p>
        </w:tc>
        <w:tc>
          <w:tcPr>
            <w:tcW w:w="1134" w:type="dxa"/>
            <w:noWrap/>
            <w:vAlign w:val="center"/>
            <w:hideMark/>
          </w:tcPr>
          <w:p w14:paraId="403543A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56706E4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(2)</w:t>
            </w:r>
          </w:p>
        </w:tc>
        <w:tc>
          <w:tcPr>
            <w:tcW w:w="851" w:type="dxa"/>
            <w:noWrap/>
            <w:vAlign w:val="center"/>
            <w:hideMark/>
          </w:tcPr>
          <w:p w14:paraId="3242634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70.3%</w:t>
            </w:r>
          </w:p>
        </w:tc>
        <w:tc>
          <w:tcPr>
            <w:tcW w:w="850" w:type="dxa"/>
            <w:noWrap/>
            <w:vAlign w:val="center"/>
            <w:hideMark/>
          </w:tcPr>
          <w:p w14:paraId="37E715A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2.7%</w:t>
            </w:r>
          </w:p>
        </w:tc>
        <w:tc>
          <w:tcPr>
            <w:tcW w:w="1134" w:type="dxa"/>
            <w:noWrap/>
            <w:vAlign w:val="center"/>
            <w:hideMark/>
          </w:tcPr>
          <w:p w14:paraId="3735608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1D8F983F" w14:textId="77777777" w:rsidTr="00A00E90">
        <w:trPr>
          <w:trHeight w:val="283"/>
        </w:trPr>
        <w:tc>
          <w:tcPr>
            <w:tcW w:w="547" w:type="dxa"/>
            <w:noWrap/>
            <w:vAlign w:val="center"/>
            <w:hideMark/>
          </w:tcPr>
          <w:p w14:paraId="2459D1A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43</w:t>
            </w:r>
          </w:p>
        </w:tc>
        <w:tc>
          <w:tcPr>
            <w:tcW w:w="6258" w:type="dxa"/>
            <w:noWrap/>
            <w:vAlign w:val="center"/>
            <w:hideMark/>
          </w:tcPr>
          <w:p w14:paraId="24CCF512"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identify weak links in the medication safety process chain and develop local strategies to address these issues.</w:t>
            </w:r>
          </w:p>
        </w:tc>
        <w:tc>
          <w:tcPr>
            <w:tcW w:w="992" w:type="dxa"/>
            <w:noWrap/>
            <w:vAlign w:val="center"/>
            <w:hideMark/>
          </w:tcPr>
          <w:p w14:paraId="65E2819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3D93483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75.0%</w:t>
            </w:r>
          </w:p>
        </w:tc>
        <w:tc>
          <w:tcPr>
            <w:tcW w:w="850" w:type="dxa"/>
            <w:noWrap/>
            <w:vAlign w:val="center"/>
            <w:hideMark/>
          </w:tcPr>
          <w:p w14:paraId="56463A3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2.8%</w:t>
            </w:r>
          </w:p>
        </w:tc>
        <w:tc>
          <w:tcPr>
            <w:tcW w:w="1134" w:type="dxa"/>
            <w:noWrap/>
            <w:vAlign w:val="center"/>
            <w:hideMark/>
          </w:tcPr>
          <w:p w14:paraId="5F3396A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5927ACF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(2)</w:t>
            </w:r>
          </w:p>
        </w:tc>
        <w:tc>
          <w:tcPr>
            <w:tcW w:w="851" w:type="dxa"/>
            <w:noWrap/>
            <w:vAlign w:val="center"/>
            <w:hideMark/>
          </w:tcPr>
          <w:p w14:paraId="62230B7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65.8%</w:t>
            </w:r>
          </w:p>
        </w:tc>
        <w:tc>
          <w:tcPr>
            <w:tcW w:w="850" w:type="dxa"/>
            <w:noWrap/>
            <w:vAlign w:val="center"/>
            <w:hideMark/>
          </w:tcPr>
          <w:p w14:paraId="757CCE7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5009A86F"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4C009325" w14:textId="77777777" w:rsidTr="00A00E90">
        <w:trPr>
          <w:trHeight w:val="283"/>
        </w:trPr>
        <w:tc>
          <w:tcPr>
            <w:tcW w:w="547" w:type="dxa"/>
            <w:noWrap/>
            <w:vAlign w:val="center"/>
            <w:hideMark/>
          </w:tcPr>
          <w:p w14:paraId="28D06E4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44</w:t>
            </w:r>
          </w:p>
        </w:tc>
        <w:tc>
          <w:tcPr>
            <w:tcW w:w="6258" w:type="dxa"/>
            <w:noWrap/>
            <w:vAlign w:val="center"/>
            <w:hideMark/>
          </w:tcPr>
          <w:p w14:paraId="5F232E8C"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develop and validate reliable, resource efficient indicators to assess and measure medication safety in GCC countries on an ongoing basis.</w:t>
            </w:r>
          </w:p>
        </w:tc>
        <w:tc>
          <w:tcPr>
            <w:tcW w:w="992" w:type="dxa"/>
            <w:noWrap/>
            <w:vAlign w:val="center"/>
            <w:hideMark/>
          </w:tcPr>
          <w:p w14:paraId="63BD96C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(4)</w:t>
            </w:r>
          </w:p>
        </w:tc>
        <w:tc>
          <w:tcPr>
            <w:tcW w:w="851" w:type="dxa"/>
            <w:noWrap/>
            <w:vAlign w:val="center"/>
            <w:hideMark/>
          </w:tcPr>
          <w:p w14:paraId="7B4D91E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67.6%</w:t>
            </w:r>
          </w:p>
        </w:tc>
        <w:tc>
          <w:tcPr>
            <w:tcW w:w="850" w:type="dxa"/>
            <w:noWrap/>
            <w:vAlign w:val="center"/>
            <w:hideMark/>
          </w:tcPr>
          <w:p w14:paraId="69E232D0"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5.4%</w:t>
            </w:r>
          </w:p>
        </w:tc>
        <w:tc>
          <w:tcPr>
            <w:tcW w:w="1134" w:type="dxa"/>
            <w:noWrap/>
            <w:vAlign w:val="center"/>
            <w:hideMark/>
          </w:tcPr>
          <w:p w14:paraId="25C439E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73EDC1F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(2)</w:t>
            </w:r>
          </w:p>
        </w:tc>
        <w:tc>
          <w:tcPr>
            <w:tcW w:w="851" w:type="dxa"/>
            <w:noWrap/>
            <w:vAlign w:val="center"/>
            <w:hideMark/>
          </w:tcPr>
          <w:p w14:paraId="0337B871"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63.2%</w:t>
            </w:r>
          </w:p>
        </w:tc>
        <w:tc>
          <w:tcPr>
            <w:tcW w:w="850" w:type="dxa"/>
            <w:noWrap/>
            <w:vAlign w:val="center"/>
            <w:hideMark/>
          </w:tcPr>
          <w:p w14:paraId="0BAB7D1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4CEA1A5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7574549A" w14:textId="77777777" w:rsidTr="00A00E90">
        <w:trPr>
          <w:trHeight w:val="283"/>
        </w:trPr>
        <w:tc>
          <w:tcPr>
            <w:tcW w:w="547" w:type="dxa"/>
            <w:noWrap/>
            <w:vAlign w:val="center"/>
            <w:hideMark/>
          </w:tcPr>
          <w:p w14:paraId="4D19DB6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45</w:t>
            </w:r>
          </w:p>
        </w:tc>
        <w:tc>
          <w:tcPr>
            <w:tcW w:w="6258" w:type="dxa"/>
            <w:noWrap/>
            <w:vAlign w:val="center"/>
            <w:hideMark/>
          </w:tcPr>
          <w:p w14:paraId="74035DB4"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the role of, and increase awareness among, regulators, manufacturers, and the pharmaceutical industry about reducing medication related harm</w:t>
            </w:r>
          </w:p>
        </w:tc>
        <w:tc>
          <w:tcPr>
            <w:tcW w:w="992" w:type="dxa"/>
            <w:noWrap/>
            <w:vAlign w:val="center"/>
            <w:hideMark/>
          </w:tcPr>
          <w:p w14:paraId="402EA75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9 (2)</w:t>
            </w:r>
          </w:p>
        </w:tc>
        <w:tc>
          <w:tcPr>
            <w:tcW w:w="851" w:type="dxa"/>
            <w:noWrap/>
            <w:vAlign w:val="center"/>
            <w:hideMark/>
          </w:tcPr>
          <w:p w14:paraId="58D5C20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77.1%</w:t>
            </w:r>
          </w:p>
        </w:tc>
        <w:tc>
          <w:tcPr>
            <w:tcW w:w="850" w:type="dxa"/>
            <w:noWrap/>
            <w:vAlign w:val="center"/>
            <w:hideMark/>
          </w:tcPr>
          <w:p w14:paraId="1B81DDE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5.7%</w:t>
            </w:r>
          </w:p>
        </w:tc>
        <w:tc>
          <w:tcPr>
            <w:tcW w:w="1134" w:type="dxa"/>
            <w:noWrap/>
            <w:vAlign w:val="center"/>
            <w:hideMark/>
          </w:tcPr>
          <w:p w14:paraId="602A28A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4C666AA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(2)</w:t>
            </w:r>
          </w:p>
        </w:tc>
        <w:tc>
          <w:tcPr>
            <w:tcW w:w="851" w:type="dxa"/>
            <w:noWrap/>
            <w:vAlign w:val="center"/>
            <w:hideMark/>
          </w:tcPr>
          <w:p w14:paraId="10177127"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57.9%</w:t>
            </w:r>
          </w:p>
        </w:tc>
        <w:tc>
          <w:tcPr>
            <w:tcW w:w="850" w:type="dxa"/>
            <w:noWrap/>
            <w:vAlign w:val="center"/>
            <w:hideMark/>
          </w:tcPr>
          <w:p w14:paraId="6E5C93C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5.3%</w:t>
            </w:r>
          </w:p>
        </w:tc>
        <w:tc>
          <w:tcPr>
            <w:tcW w:w="1134" w:type="dxa"/>
            <w:noWrap/>
            <w:vAlign w:val="center"/>
            <w:hideMark/>
          </w:tcPr>
          <w:p w14:paraId="709DEC0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12AE370B" w14:textId="77777777" w:rsidTr="00A00E90">
        <w:trPr>
          <w:trHeight w:val="283"/>
        </w:trPr>
        <w:tc>
          <w:tcPr>
            <w:tcW w:w="547" w:type="dxa"/>
            <w:noWrap/>
            <w:vAlign w:val="center"/>
            <w:hideMark/>
          </w:tcPr>
          <w:p w14:paraId="0ADEA19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46</w:t>
            </w:r>
          </w:p>
        </w:tc>
        <w:tc>
          <w:tcPr>
            <w:tcW w:w="6258" w:type="dxa"/>
            <w:noWrap/>
            <w:vAlign w:val="center"/>
            <w:hideMark/>
          </w:tcPr>
          <w:p w14:paraId="19E9EB42"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assess the prevalence and impact of non-approved and off label medication use and explore methods to reduce inappropriate prescribing practices.</w:t>
            </w:r>
          </w:p>
        </w:tc>
        <w:tc>
          <w:tcPr>
            <w:tcW w:w="992" w:type="dxa"/>
            <w:noWrap/>
            <w:vAlign w:val="center"/>
            <w:hideMark/>
          </w:tcPr>
          <w:p w14:paraId="3DF30ECE"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8 (1)</w:t>
            </w:r>
          </w:p>
        </w:tc>
        <w:tc>
          <w:tcPr>
            <w:tcW w:w="851" w:type="dxa"/>
            <w:noWrap/>
            <w:vAlign w:val="center"/>
            <w:hideMark/>
          </w:tcPr>
          <w:p w14:paraId="308BC7C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78.9%</w:t>
            </w:r>
          </w:p>
        </w:tc>
        <w:tc>
          <w:tcPr>
            <w:tcW w:w="850" w:type="dxa"/>
            <w:noWrap/>
            <w:vAlign w:val="center"/>
            <w:hideMark/>
          </w:tcPr>
          <w:p w14:paraId="7D7C206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2.6%</w:t>
            </w:r>
          </w:p>
        </w:tc>
        <w:tc>
          <w:tcPr>
            <w:tcW w:w="1134" w:type="dxa"/>
            <w:noWrap/>
            <w:vAlign w:val="center"/>
            <w:hideMark/>
          </w:tcPr>
          <w:p w14:paraId="1DF47DC4"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47899A6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(2)</w:t>
            </w:r>
          </w:p>
        </w:tc>
        <w:tc>
          <w:tcPr>
            <w:tcW w:w="851" w:type="dxa"/>
            <w:noWrap/>
            <w:vAlign w:val="center"/>
            <w:hideMark/>
          </w:tcPr>
          <w:p w14:paraId="04F51ED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55.3%</w:t>
            </w:r>
          </w:p>
        </w:tc>
        <w:tc>
          <w:tcPr>
            <w:tcW w:w="850" w:type="dxa"/>
            <w:noWrap/>
            <w:vAlign w:val="center"/>
            <w:hideMark/>
          </w:tcPr>
          <w:p w14:paraId="4AADB5AA"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0.0%</w:t>
            </w:r>
          </w:p>
        </w:tc>
        <w:tc>
          <w:tcPr>
            <w:tcW w:w="1134" w:type="dxa"/>
            <w:noWrap/>
            <w:vAlign w:val="center"/>
            <w:hideMark/>
          </w:tcPr>
          <w:p w14:paraId="051F0923"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r w:rsidR="003A4D9A" w:rsidRPr="00963A5A" w14:paraId="5E40C030" w14:textId="77777777" w:rsidTr="00A00E90">
        <w:trPr>
          <w:trHeight w:val="283"/>
        </w:trPr>
        <w:tc>
          <w:tcPr>
            <w:tcW w:w="547" w:type="dxa"/>
            <w:noWrap/>
            <w:vAlign w:val="center"/>
            <w:hideMark/>
          </w:tcPr>
          <w:p w14:paraId="408264BB"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47</w:t>
            </w:r>
          </w:p>
        </w:tc>
        <w:tc>
          <w:tcPr>
            <w:tcW w:w="6258" w:type="dxa"/>
            <w:noWrap/>
            <w:vAlign w:val="center"/>
            <w:hideMark/>
          </w:tcPr>
          <w:p w14:paraId="655F3B90" w14:textId="77777777" w:rsidR="003A4D9A" w:rsidRPr="00963A5A" w:rsidRDefault="003A4D9A" w:rsidP="00A00E90">
            <w:pPr>
              <w:spacing w:line="276" w:lineRule="auto"/>
              <w:rPr>
                <w:rFonts w:asciiTheme="majorBidi" w:hAnsiTheme="majorBidi" w:cstheme="majorBidi"/>
                <w:color w:val="000000"/>
                <w:sz w:val="20"/>
                <w:szCs w:val="20"/>
              </w:rPr>
            </w:pPr>
            <w:r w:rsidRPr="00963A5A">
              <w:rPr>
                <w:rFonts w:asciiTheme="majorBidi" w:hAnsiTheme="majorBidi" w:cstheme="majorBidi"/>
                <w:color w:val="000000"/>
                <w:sz w:val="20"/>
                <w:szCs w:val="20"/>
              </w:rPr>
              <w:t>To measure the moment, day of the week, and time of the day when medication errors are most likely to occur</w:t>
            </w:r>
          </w:p>
        </w:tc>
        <w:tc>
          <w:tcPr>
            <w:tcW w:w="992" w:type="dxa"/>
            <w:noWrap/>
            <w:vAlign w:val="center"/>
            <w:hideMark/>
          </w:tcPr>
          <w:p w14:paraId="117CF72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7 (3)</w:t>
            </w:r>
          </w:p>
        </w:tc>
        <w:tc>
          <w:tcPr>
            <w:tcW w:w="851" w:type="dxa"/>
            <w:noWrap/>
            <w:vAlign w:val="center"/>
            <w:hideMark/>
          </w:tcPr>
          <w:p w14:paraId="022265F8"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63.9%</w:t>
            </w:r>
          </w:p>
        </w:tc>
        <w:tc>
          <w:tcPr>
            <w:tcW w:w="850" w:type="dxa"/>
            <w:noWrap/>
            <w:vAlign w:val="center"/>
            <w:hideMark/>
          </w:tcPr>
          <w:p w14:paraId="7CAE838D"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11.1%</w:t>
            </w:r>
          </w:p>
        </w:tc>
        <w:tc>
          <w:tcPr>
            <w:tcW w:w="1134" w:type="dxa"/>
            <w:noWrap/>
            <w:vAlign w:val="center"/>
            <w:hideMark/>
          </w:tcPr>
          <w:p w14:paraId="4DF9BBB9"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c>
          <w:tcPr>
            <w:tcW w:w="992" w:type="dxa"/>
            <w:noWrap/>
            <w:vAlign w:val="center"/>
            <w:hideMark/>
          </w:tcPr>
          <w:p w14:paraId="00A39096"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6 (2)</w:t>
            </w:r>
          </w:p>
        </w:tc>
        <w:tc>
          <w:tcPr>
            <w:tcW w:w="851" w:type="dxa"/>
            <w:noWrap/>
            <w:vAlign w:val="center"/>
            <w:hideMark/>
          </w:tcPr>
          <w:p w14:paraId="1DEE7EF2"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45.7%</w:t>
            </w:r>
          </w:p>
        </w:tc>
        <w:tc>
          <w:tcPr>
            <w:tcW w:w="850" w:type="dxa"/>
            <w:noWrap/>
            <w:vAlign w:val="center"/>
            <w:hideMark/>
          </w:tcPr>
          <w:p w14:paraId="6188C315"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2.9%</w:t>
            </w:r>
          </w:p>
        </w:tc>
        <w:tc>
          <w:tcPr>
            <w:tcW w:w="1134" w:type="dxa"/>
            <w:noWrap/>
            <w:vAlign w:val="center"/>
            <w:hideMark/>
          </w:tcPr>
          <w:p w14:paraId="56B0F8AC" w14:textId="77777777" w:rsidR="003A4D9A" w:rsidRPr="00963A5A" w:rsidRDefault="003A4D9A" w:rsidP="00A00E90">
            <w:pPr>
              <w:spacing w:line="276" w:lineRule="auto"/>
              <w:jc w:val="center"/>
              <w:rPr>
                <w:rFonts w:asciiTheme="majorBidi" w:hAnsiTheme="majorBidi" w:cstheme="majorBidi"/>
                <w:color w:val="000000"/>
                <w:sz w:val="20"/>
                <w:szCs w:val="20"/>
              </w:rPr>
            </w:pPr>
            <w:r w:rsidRPr="00963A5A">
              <w:rPr>
                <w:rFonts w:asciiTheme="majorBidi" w:hAnsiTheme="majorBidi" w:cstheme="majorBidi"/>
                <w:color w:val="000000"/>
                <w:sz w:val="20"/>
                <w:szCs w:val="20"/>
              </w:rPr>
              <w:t>Not Achieved</w:t>
            </w:r>
          </w:p>
        </w:tc>
      </w:tr>
    </w:tbl>
    <w:p w14:paraId="7519EC3E" w14:textId="5FB14986" w:rsidR="003A4D9A" w:rsidRPr="002D43C8" w:rsidRDefault="003A4D9A" w:rsidP="003A4D9A">
      <w:pPr>
        <w:spacing w:line="276" w:lineRule="auto"/>
        <w:rPr>
          <w:rFonts w:asciiTheme="majorBidi" w:hAnsiTheme="majorBidi" w:cstheme="majorBidi"/>
        </w:rPr>
        <w:sectPr w:rsidR="003A4D9A" w:rsidRPr="002D43C8" w:rsidSect="00963A5A">
          <w:headerReference w:type="even" r:id="rId7"/>
          <w:headerReference w:type="first" r:id="rId8"/>
          <w:pgSz w:w="16838" w:h="11906" w:orient="landscape"/>
          <w:pgMar w:top="1440" w:right="1440" w:bottom="1440" w:left="1440" w:header="708" w:footer="708" w:gutter="0"/>
          <w:cols w:space="708"/>
          <w:docGrid w:linePitch="360"/>
        </w:sectPr>
      </w:pPr>
      <w:r>
        <w:rPr>
          <w:rStyle w:val="Emphasis"/>
          <w:rFonts w:eastAsiaTheme="majorEastAsia"/>
          <w:color w:val="000000"/>
        </w:rPr>
        <w:t>Consensus threshold: ≥80% agreement (scores 7–9) and &lt;15% disagreement (scores 1–3).</w:t>
      </w:r>
      <w:r>
        <w:rPr>
          <w:color w:val="000000"/>
        </w:rPr>
        <w:br/>
      </w:r>
      <w:r>
        <w:rPr>
          <w:rStyle w:val="Emphasis"/>
          <w:rFonts w:eastAsiaTheme="majorEastAsia"/>
          <w:color w:val="000000"/>
        </w:rPr>
        <w:t>Items not re-rated in Round 2 are left blank.</w:t>
      </w:r>
    </w:p>
    <w:p w14:paraId="2024156B" w14:textId="77777777" w:rsidR="00562538" w:rsidRDefault="00562538"/>
    <w:sectPr w:rsidR="00562538" w:rsidSect="003A4D9A">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8F57A" w14:textId="77777777" w:rsidR="003945EF" w:rsidRDefault="003945EF" w:rsidP="003A4D9A">
      <w:r>
        <w:separator/>
      </w:r>
    </w:p>
  </w:endnote>
  <w:endnote w:type="continuationSeparator" w:id="0">
    <w:p w14:paraId="777D41CB" w14:textId="77777777" w:rsidR="003945EF" w:rsidRDefault="003945EF" w:rsidP="003A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9ACDC" w14:textId="77777777" w:rsidR="003945EF" w:rsidRDefault="003945EF" w:rsidP="003A4D9A">
      <w:r>
        <w:separator/>
      </w:r>
    </w:p>
  </w:footnote>
  <w:footnote w:type="continuationSeparator" w:id="0">
    <w:p w14:paraId="31A15868" w14:textId="77777777" w:rsidR="003945EF" w:rsidRDefault="003945EF" w:rsidP="003A4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E358" w14:textId="3A31C1E7" w:rsidR="003A4D9A" w:rsidRDefault="003A4D9A">
    <w:pPr>
      <w:pStyle w:val="Header"/>
    </w:pPr>
    <w:r>
      <w:rPr>
        <w:noProof/>
        <w14:ligatures w14:val="standardContextual"/>
      </w:rPr>
      <mc:AlternateContent>
        <mc:Choice Requires="wps">
          <w:drawing>
            <wp:anchor distT="0" distB="0" distL="114300" distR="114300" simplePos="0" relativeHeight="251662336" behindDoc="1" locked="0" layoutInCell="1" allowOverlap="1" wp14:anchorId="21E89462" wp14:editId="4A9D8429">
              <wp:simplePos x="635" y="635"/>
              <wp:positionH relativeFrom="margin">
                <wp:align>center</wp:align>
              </wp:positionH>
              <wp:positionV relativeFrom="margin">
                <wp:align>center</wp:align>
              </wp:positionV>
              <wp:extent cx="443865" cy="443865"/>
              <wp:effectExtent l="0" t="495300" r="0" b="494030"/>
              <wp:wrapNone/>
              <wp:docPr id="49934273" name="Text Box 5" descr="مقيد |TU| Restricte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443865" cy="443865"/>
                      </a:xfrm>
                      <a:prstGeom prst="rect">
                        <a:avLst/>
                      </a:prstGeom>
                      <a:noFill/>
                      <a:ln>
                        <a:noFill/>
                      </a:ln>
                    </wps:spPr>
                    <wps:txbx>
                      <w:txbxContent>
                        <w:p w14:paraId="57582260" w14:textId="6B2B9A3C" w:rsidR="003A4D9A" w:rsidRPr="003A4D9A" w:rsidRDefault="003A4D9A" w:rsidP="003A4D9A">
                          <w:pPr>
                            <w:rPr>
                              <w:rFonts w:ascii="Calibri" w:eastAsia="Calibri" w:hAnsi="Calibri" w:cs="Calibri"/>
                              <w:noProof/>
                              <w:color w:val="FFFF00"/>
                              <w:sz w:val="28"/>
                              <w:szCs w:val="28"/>
                              <w14:textFill>
                                <w14:solidFill>
                                  <w14:srgbClr w14:val="FFFF00">
                                    <w14:alpha w14:val="50000"/>
                                  </w14:srgbClr>
                                </w14:solidFill>
                              </w14:textFill>
                            </w:rPr>
                          </w:pPr>
                          <w:r w:rsidRPr="003A4D9A">
                            <w:rPr>
                              <w:rFonts w:ascii="Calibri" w:eastAsia="Calibri" w:hAnsi="Calibri" w:cs="Calibri"/>
                              <w:noProof/>
                              <w:color w:val="FFFF00"/>
                              <w:sz w:val="28"/>
                              <w:szCs w:val="28"/>
                              <w:rtl/>
                              <w14:textFill>
                                <w14:solidFill>
                                  <w14:srgbClr w14:val="FFFF00">
                                    <w14:alpha w14:val="50000"/>
                                  </w14:srgbClr>
                                </w14:solidFill>
                              </w14:textFill>
                            </w:rPr>
                            <w:t>مقيد</w:t>
                          </w:r>
                          <w:r w:rsidRPr="003A4D9A">
                            <w:rPr>
                              <w:rFonts w:ascii="Calibri" w:eastAsia="Calibri" w:hAnsi="Calibri" w:cs="Calibri"/>
                              <w:noProof/>
                              <w:color w:val="FFFF00"/>
                              <w:sz w:val="28"/>
                              <w:szCs w:val="28"/>
                              <w14:textFill>
                                <w14:solidFill>
                                  <w14:srgbClr w14:val="FFFF00">
                                    <w14:alpha w14:val="50000"/>
                                  </w14:srgbClr>
                                </w14:solidFill>
                              </w14:textFill>
                            </w:rPr>
                            <w:t xml:space="preserve"> |TU|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1E89462" id="_x0000_t202" coordsize="21600,21600" o:spt="202" path="m,l,21600r21600,l21600,xe">
              <v:stroke joinstyle="miter"/>
              <v:path gradientshapeok="t" o:connecttype="rect"/>
            </v:shapetype>
            <v:shape id="Text Box 5" o:spid="_x0000_s1026" type="#_x0000_t202" alt="مقيد |TU| Restricted" style="position:absolute;margin-left:0;margin-top:0;width:34.95pt;height:34.9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" filled="f" stroked="f">
              <v:textbox style="mso-fit-shape-to-text:t" inset="0,0,0,0">
                <w:txbxContent>
                  <w:p w14:paraId="57582260" w14:textId="6B2B9A3C" w:rsidR="003A4D9A" w:rsidRPr="003A4D9A" w:rsidRDefault="003A4D9A" w:rsidP="003A4D9A">
                    <w:pPr>
                      <w:rPr>
                        <w:rFonts w:ascii="Calibri" w:eastAsia="Calibri" w:hAnsi="Calibri" w:cs="Calibri"/>
                        <w:noProof/>
                        <w:color w:val="FFFF00"/>
                        <w:sz w:val="28"/>
                        <w:szCs w:val="28"/>
                        <w14:textFill>
                          <w14:solidFill>
                            <w14:srgbClr w14:val="FFFF00">
                              <w14:alpha w14:val="50000"/>
                            </w14:srgbClr>
                          </w14:solidFill>
                        </w14:textFill>
                      </w:rPr>
                    </w:pPr>
                    <w:r w:rsidRPr="003A4D9A">
                      <w:rPr>
                        <w:rFonts w:ascii="Calibri" w:eastAsia="Calibri" w:hAnsi="Calibri" w:cs="Calibri"/>
                        <w:noProof/>
                        <w:color w:val="FFFF00"/>
                        <w:sz w:val="28"/>
                        <w:szCs w:val="28"/>
                        <w:rtl/>
                        <w14:textFill>
                          <w14:solidFill>
                            <w14:srgbClr w14:val="FFFF00">
                              <w14:alpha w14:val="50000"/>
                            </w14:srgbClr>
                          </w14:solidFill>
                        </w14:textFill>
                      </w:rPr>
                      <w:t>مقيد</w:t>
                    </w:r>
                    <w:r w:rsidRPr="003A4D9A">
                      <w:rPr>
                        <w:rFonts w:ascii="Calibri" w:eastAsia="Calibri" w:hAnsi="Calibri" w:cs="Calibri"/>
                        <w:noProof/>
                        <w:color w:val="FFFF00"/>
                        <w:sz w:val="28"/>
                        <w:szCs w:val="28"/>
                        <w14:textFill>
                          <w14:solidFill>
                            <w14:srgbClr w14:val="FFFF00">
                              <w14:alpha w14:val="50000"/>
                            </w14:srgbClr>
                          </w14:solidFill>
                        </w14:textFill>
                      </w:rPr>
                      <w:t xml:space="preserve"> |TU| Restricted</w:t>
                    </w:r>
                  </w:p>
                </w:txbxContent>
              </v:textbox>
              <w10:wrap anchorx="margin" anchory="margin"/>
            </v:shape>
          </w:pict>
        </mc:Fallback>
      </mc:AlternateContent>
    </w:r>
    <w:r>
      <w:rPr>
        <w:noProof/>
        <w14:ligatures w14:val="standardContextual"/>
      </w:rPr>
      <mc:AlternateContent>
        <mc:Choice Requires="wps">
          <w:drawing>
            <wp:anchor distT="0" distB="0" distL="0" distR="0" simplePos="0" relativeHeight="251659264" behindDoc="0" locked="0" layoutInCell="1" allowOverlap="1" wp14:anchorId="1A4B2E36" wp14:editId="36350FFF">
              <wp:simplePos x="635" y="635"/>
              <wp:positionH relativeFrom="page">
                <wp:align>center</wp:align>
              </wp:positionH>
              <wp:positionV relativeFrom="page">
                <wp:align>top</wp:align>
              </wp:positionV>
              <wp:extent cx="443865" cy="443865"/>
              <wp:effectExtent l="0" t="0" r="5080" b="4445"/>
              <wp:wrapNone/>
              <wp:docPr id="742083968" name="Text Box 2" descr="مقيد |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32962F" w14:textId="74B845FE" w:rsidR="003A4D9A" w:rsidRPr="003A4D9A" w:rsidRDefault="003A4D9A" w:rsidP="003A4D9A">
                          <w:pPr>
                            <w:rPr>
                              <w:rFonts w:ascii="Calibri" w:eastAsia="Calibri" w:hAnsi="Calibri" w:cs="Calibri"/>
                              <w:noProof/>
                              <w:color w:val="FFFF00"/>
                            </w:rPr>
                          </w:pPr>
                          <w:r w:rsidRPr="003A4D9A">
                            <w:rPr>
                              <w:rFonts w:ascii="Calibri" w:eastAsia="Calibri" w:hAnsi="Calibri" w:cs="Calibri"/>
                              <w:noProof/>
                              <w:color w:val="FFFF00"/>
                              <w:rtl/>
                            </w:rPr>
                            <w:t>مقيد</w:t>
                          </w:r>
                          <w:r w:rsidRPr="003A4D9A">
                            <w:rPr>
                              <w:rFonts w:ascii="Calibri" w:eastAsia="Calibri" w:hAnsi="Calibri" w:cs="Calibri"/>
                              <w:noProof/>
                              <w:color w:val="FFFF00"/>
                            </w:rPr>
                            <w:t xml:space="preserve">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A4B2E36" id="Text Box 2" o:spid="_x0000_s1027" type="#_x0000_t202" alt="مقيد | Restricted"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932962F" w14:textId="74B845FE" w:rsidR="003A4D9A" w:rsidRPr="003A4D9A" w:rsidRDefault="003A4D9A" w:rsidP="003A4D9A">
                    <w:pPr>
                      <w:rPr>
                        <w:rFonts w:ascii="Calibri" w:eastAsia="Calibri" w:hAnsi="Calibri" w:cs="Calibri"/>
                        <w:noProof/>
                        <w:color w:val="FFFF00"/>
                      </w:rPr>
                    </w:pPr>
                    <w:r w:rsidRPr="003A4D9A">
                      <w:rPr>
                        <w:rFonts w:ascii="Calibri" w:eastAsia="Calibri" w:hAnsi="Calibri" w:cs="Calibri"/>
                        <w:noProof/>
                        <w:color w:val="FFFF00"/>
                        <w:rtl/>
                      </w:rPr>
                      <w:t>مقيد</w:t>
                    </w:r>
                    <w:r w:rsidRPr="003A4D9A">
                      <w:rPr>
                        <w:rFonts w:ascii="Calibri" w:eastAsia="Calibri" w:hAnsi="Calibri" w:cs="Calibri"/>
                        <w:noProof/>
                        <w:color w:val="FFFF00"/>
                      </w:rPr>
                      <w:t xml:space="preserve"> |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CC58" w14:textId="01445CB4" w:rsidR="003A4D9A" w:rsidRDefault="003A4D9A">
    <w:pPr>
      <w:pStyle w:val="Header"/>
    </w:pPr>
    <w:r>
      <w:rPr>
        <w:noProof/>
        <w14:ligatures w14:val="standardContextual"/>
      </w:rPr>
      <mc:AlternateContent>
        <mc:Choice Requires="wps">
          <w:drawing>
            <wp:anchor distT="0" distB="0" distL="114300" distR="114300" simplePos="0" relativeHeight="251661312" behindDoc="1" locked="0" layoutInCell="1" allowOverlap="1" wp14:anchorId="36A50802" wp14:editId="7AFB6795">
              <wp:simplePos x="635" y="635"/>
              <wp:positionH relativeFrom="margin">
                <wp:align>center</wp:align>
              </wp:positionH>
              <wp:positionV relativeFrom="margin">
                <wp:align>center</wp:align>
              </wp:positionV>
              <wp:extent cx="443865" cy="443865"/>
              <wp:effectExtent l="0" t="495300" r="0" b="494030"/>
              <wp:wrapNone/>
              <wp:docPr id="146420768" name="Text Box 4" descr="مقيد |TU| Restricte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443865" cy="443865"/>
                      </a:xfrm>
                      <a:prstGeom prst="rect">
                        <a:avLst/>
                      </a:prstGeom>
                      <a:noFill/>
                      <a:ln>
                        <a:noFill/>
                      </a:ln>
                    </wps:spPr>
                    <wps:txbx>
                      <w:txbxContent>
                        <w:p w14:paraId="6573769A" w14:textId="1999CD10" w:rsidR="003A4D9A" w:rsidRPr="003A4D9A" w:rsidRDefault="003A4D9A" w:rsidP="003A4D9A">
                          <w:pPr>
                            <w:rPr>
                              <w:rFonts w:ascii="Calibri" w:eastAsia="Calibri" w:hAnsi="Calibri" w:cs="Calibri"/>
                              <w:noProof/>
                              <w:color w:val="FFFF00"/>
                              <w:sz w:val="28"/>
                              <w:szCs w:val="28"/>
                              <w14:textFill>
                                <w14:solidFill>
                                  <w14:srgbClr w14:val="FFFF00">
                                    <w14:alpha w14:val="50000"/>
                                  </w14:srgbClr>
                                </w14:solidFill>
                              </w14:textFill>
                            </w:rPr>
                          </w:pPr>
                          <w:r w:rsidRPr="003A4D9A">
                            <w:rPr>
                              <w:rFonts w:ascii="Calibri" w:eastAsia="Calibri" w:hAnsi="Calibri" w:cs="Calibri"/>
                              <w:noProof/>
                              <w:color w:val="FFFF00"/>
                              <w:sz w:val="28"/>
                              <w:szCs w:val="28"/>
                              <w:rtl/>
                              <w14:textFill>
                                <w14:solidFill>
                                  <w14:srgbClr w14:val="FFFF00">
                                    <w14:alpha w14:val="50000"/>
                                  </w14:srgbClr>
                                </w14:solidFill>
                              </w14:textFill>
                            </w:rPr>
                            <w:t>مقيد</w:t>
                          </w:r>
                          <w:r w:rsidRPr="003A4D9A">
                            <w:rPr>
                              <w:rFonts w:ascii="Calibri" w:eastAsia="Calibri" w:hAnsi="Calibri" w:cs="Calibri"/>
                              <w:noProof/>
                              <w:color w:val="FFFF00"/>
                              <w:sz w:val="28"/>
                              <w:szCs w:val="28"/>
                              <w14:textFill>
                                <w14:solidFill>
                                  <w14:srgbClr w14:val="FFFF00">
                                    <w14:alpha w14:val="50000"/>
                                  </w14:srgbClr>
                                </w14:solidFill>
                              </w14:textFill>
                            </w:rPr>
                            <w:t xml:space="preserve"> |TU|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6A50802" id="_x0000_t202" coordsize="21600,21600" o:spt="202" path="m,l,21600r21600,l21600,xe">
              <v:stroke joinstyle="miter"/>
              <v:path gradientshapeok="t" o:connecttype="rect"/>
            </v:shapetype>
            <v:shape id="Text Box 4" o:spid="_x0000_s1028" type="#_x0000_t202" alt="مقيد |TU| Restricted" style="position:absolute;margin-left:0;margin-top:0;width:34.95pt;height:34.95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" filled="f" stroked="f">
              <v:textbox style="mso-fit-shape-to-text:t" inset="0,0,0,0">
                <w:txbxContent>
                  <w:p w14:paraId="6573769A" w14:textId="1999CD10" w:rsidR="003A4D9A" w:rsidRPr="003A4D9A" w:rsidRDefault="003A4D9A" w:rsidP="003A4D9A">
                    <w:pPr>
                      <w:rPr>
                        <w:rFonts w:ascii="Calibri" w:eastAsia="Calibri" w:hAnsi="Calibri" w:cs="Calibri"/>
                        <w:noProof/>
                        <w:color w:val="FFFF00"/>
                        <w:sz w:val="28"/>
                        <w:szCs w:val="28"/>
                        <w14:textFill>
                          <w14:solidFill>
                            <w14:srgbClr w14:val="FFFF00">
                              <w14:alpha w14:val="50000"/>
                            </w14:srgbClr>
                          </w14:solidFill>
                        </w14:textFill>
                      </w:rPr>
                    </w:pPr>
                    <w:r w:rsidRPr="003A4D9A">
                      <w:rPr>
                        <w:rFonts w:ascii="Calibri" w:eastAsia="Calibri" w:hAnsi="Calibri" w:cs="Calibri"/>
                        <w:noProof/>
                        <w:color w:val="FFFF00"/>
                        <w:sz w:val="28"/>
                        <w:szCs w:val="28"/>
                        <w:rtl/>
                        <w14:textFill>
                          <w14:solidFill>
                            <w14:srgbClr w14:val="FFFF00">
                              <w14:alpha w14:val="50000"/>
                            </w14:srgbClr>
                          </w14:solidFill>
                        </w14:textFill>
                      </w:rPr>
                      <w:t>مقيد</w:t>
                    </w:r>
                    <w:r w:rsidRPr="003A4D9A">
                      <w:rPr>
                        <w:rFonts w:ascii="Calibri" w:eastAsia="Calibri" w:hAnsi="Calibri" w:cs="Calibri"/>
                        <w:noProof/>
                        <w:color w:val="FFFF00"/>
                        <w:sz w:val="28"/>
                        <w:szCs w:val="28"/>
                        <w14:textFill>
                          <w14:solidFill>
                            <w14:srgbClr w14:val="FFFF00">
                              <w14:alpha w14:val="50000"/>
                            </w14:srgbClr>
                          </w14:solidFill>
                        </w14:textFill>
                      </w:rPr>
                      <w:t xml:space="preserve"> |TU| Restricted</w:t>
                    </w:r>
                  </w:p>
                </w:txbxContent>
              </v:textbox>
              <w10:wrap anchorx="margin" anchory="margin"/>
            </v:shape>
          </w:pict>
        </mc:Fallback>
      </mc:AlternateContent>
    </w:r>
    <w:r>
      <w:rPr>
        <w:noProof/>
        <w14:ligatures w14:val="standardContextual"/>
      </w:rPr>
      <mc:AlternateContent>
        <mc:Choice Requires="wps">
          <w:drawing>
            <wp:anchor distT="0" distB="0" distL="0" distR="0" simplePos="0" relativeHeight="251658240" behindDoc="0" locked="0" layoutInCell="1" allowOverlap="1" wp14:anchorId="29A2CCB2" wp14:editId="25BC9F35">
              <wp:simplePos x="635" y="635"/>
              <wp:positionH relativeFrom="page">
                <wp:align>center</wp:align>
              </wp:positionH>
              <wp:positionV relativeFrom="page">
                <wp:align>top</wp:align>
              </wp:positionV>
              <wp:extent cx="443865" cy="443865"/>
              <wp:effectExtent l="0" t="0" r="5080" b="4445"/>
              <wp:wrapNone/>
              <wp:docPr id="55248862" name="Text Box 1" descr="مقيد |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46374F5" w14:textId="768A955F" w:rsidR="003A4D9A" w:rsidRPr="003A4D9A" w:rsidRDefault="003A4D9A" w:rsidP="003A4D9A">
                          <w:pPr>
                            <w:rPr>
                              <w:rFonts w:ascii="Calibri" w:eastAsia="Calibri" w:hAnsi="Calibri" w:cs="Calibri"/>
                              <w:noProof/>
                              <w:color w:val="FFFF00"/>
                            </w:rPr>
                          </w:pPr>
                          <w:r w:rsidRPr="003A4D9A">
                            <w:rPr>
                              <w:rFonts w:ascii="Calibri" w:eastAsia="Calibri" w:hAnsi="Calibri" w:cs="Calibri"/>
                              <w:noProof/>
                              <w:color w:val="FFFF00"/>
                              <w:rtl/>
                            </w:rPr>
                            <w:t>مقيد</w:t>
                          </w:r>
                          <w:r w:rsidRPr="003A4D9A">
                            <w:rPr>
                              <w:rFonts w:ascii="Calibri" w:eastAsia="Calibri" w:hAnsi="Calibri" w:cs="Calibri"/>
                              <w:noProof/>
                              <w:color w:val="FFFF00"/>
                            </w:rPr>
                            <w:t xml:space="preserve">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9A2CCB2" id="Text Box 1" o:spid="_x0000_s1029" type="#_x0000_t202" alt="مقيد | Restricted"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046374F5" w14:textId="768A955F" w:rsidR="003A4D9A" w:rsidRPr="003A4D9A" w:rsidRDefault="003A4D9A" w:rsidP="003A4D9A">
                    <w:pPr>
                      <w:rPr>
                        <w:rFonts w:ascii="Calibri" w:eastAsia="Calibri" w:hAnsi="Calibri" w:cs="Calibri"/>
                        <w:noProof/>
                        <w:color w:val="FFFF00"/>
                      </w:rPr>
                    </w:pPr>
                    <w:r w:rsidRPr="003A4D9A">
                      <w:rPr>
                        <w:rFonts w:ascii="Calibri" w:eastAsia="Calibri" w:hAnsi="Calibri" w:cs="Calibri"/>
                        <w:noProof/>
                        <w:color w:val="FFFF00"/>
                        <w:rtl/>
                      </w:rPr>
                      <w:t>مقيد</w:t>
                    </w:r>
                    <w:r w:rsidRPr="003A4D9A">
                      <w:rPr>
                        <w:rFonts w:ascii="Calibri" w:eastAsia="Calibri" w:hAnsi="Calibri" w:cs="Calibri"/>
                        <w:noProof/>
                        <w:color w:val="FFFF00"/>
                      </w:rPr>
                      <w:t xml:space="preserve"> | Restricted</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D9A"/>
    <w:rsid w:val="00007A4E"/>
    <w:rsid w:val="00011B11"/>
    <w:rsid w:val="000152C4"/>
    <w:rsid w:val="00023997"/>
    <w:rsid w:val="000252ED"/>
    <w:rsid w:val="00030DF3"/>
    <w:rsid w:val="000347DB"/>
    <w:rsid w:val="00042E0A"/>
    <w:rsid w:val="00047237"/>
    <w:rsid w:val="00047414"/>
    <w:rsid w:val="000500E0"/>
    <w:rsid w:val="0005182B"/>
    <w:rsid w:val="00056699"/>
    <w:rsid w:val="00056DE8"/>
    <w:rsid w:val="00082CC1"/>
    <w:rsid w:val="000835A4"/>
    <w:rsid w:val="000A0886"/>
    <w:rsid w:val="000A2855"/>
    <w:rsid w:val="000A3D11"/>
    <w:rsid w:val="000A58FD"/>
    <w:rsid w:val="000B42D6"/>
    <w:rsid w:val="000C7FBC"/>
    <w:rsid w:val="000D565F"/>
    <w:rsid w:val="000E1275"/>
    <w:rsid w:val="000F6F47"/>
    <w:rsid w:val="00107136"/>
    <w:rsid w:val="001157C8"/>
    <w:rsid w:val="001211A0"/>
    <w:rsid w:val="00121A77"/>
    <w:rsid w:val="0014292B"/>
    <w:rsid w:val="00152860"/>
    <w:rsid w:val="00154E32"/>
    <w:rsid w:val="001818A7"/>
    <w:rsid w:val="001857C7"/>
    <w:rsid w:val="001914F6"/>
    <w:rsid w:val="00192FCE"/>
    <w:rsid w:val="001978FB"/>
    <w:rsid w:val="001B4032"/>
    <w:rsid w:val="001C7613"/>
    <w:rsid w:val="001F2A6E"/>
    <w:rsid w:val="00204C78"/>
    <w:rsid w:val="002378FD"/>
    <w:rsid w:val="00240842"/>
    <w:rsid w:val="0026205C"/>
    <w:rsid w:val="00292DD2"/>
    <w:rsid w:val="0029688E"/>
    <w:rsid w:val="002A039F"/>
    <w:rsid w:val="002A0695"/>
    <w:rsid w:val="002A0B2C"/>
    <w:rsid w:val="002B1B53"/>
    <w:rsid w:val="002C334C"/>
    <w:rsid w:val="002C415A"/>
    <w:rsid w:val="002E36F3"/>
    <w:rsid w:val="002E6500"/>
    <w:rsid w:val="00303004"/>
    <w:rsid w:val="00303572"/>
    <w:rsid w:val="003127E0"/>
    <w:rsid w:val="003267D7"/>
    <w:rsid w:val="00333DBE"/>
    <w:rsid w:val="00346398"/>
    <w:rsid w:val="003818F3"/>
    <w:rsid w:val="00393A61"/>
    <w:rsid w:val="00393F24"/>
    <w:rsid w:val="003945EF"/>
    <w:rsid w:val="00396187"/>
    <w:rsid w:val="003A2640"/>
    <w:rsid w:val="003A4D9A"/>
    <w:rsid w:val="003E0C19"/>
    <w:rsid w:val="003E2A9B"/>
    <w:rsid w:val="003F12AB"/>
    <w:rsid w:val="00407E38"/>
    <w:rsid w:val="004273C6"/>
    <w:rsid w:val="00437063"/>
    <w:rsid w:val="00447693"/>
    <w:rsid w:val="00463919"/>
    <w:rsid w:val="00471EE3"/>
    <w:rsid w:val="00481A55"/>
    <w:rsid w:val="004B1D69"/>
    <w:rsid w:val="004C5A88"/>
    <w:rsid w:val="004E0BED"/>
    <w:rsid w:val="004F6155"/>
    <w:rsid w:val="0051344E"/>
    <w:rsid w:val="00522F33"/>
    <w:rsid w:val="00562538"/>
    <w:rsid w:val="005952B9"/>
    <w:rsid w:val="00597FC4"/>
    <w:rsid w:val="005B0372"/>
    <w:rsid w:val="005C0857"/>
    <w:rsid w:val="005F2956"/>
    <w:rsid w:val="0063627B"/>
    <w:rsid w:val="0063628F"/>
    <w:rsid w:val="00640006"/>
    <w:rsid w:val="00650E3A"/>
    <w:rsid w:val="00660DC2"/>
    <w:rsid w:val="006832A2"/>
    <w:rsid w:val="006C4E8B"/>
    <w:rsid w:val="006C7EAF"/>
    <w:rsid w:val="006D3972"/>
    <w:rsid w:val="00705108"/>
    <w:rsid w:val="007371AF"/>
    <w:rsid w:val="00740E70"/>
    <w:rsid w:val="00741682"/>
    <w:rsid w:val="007454AF"/>
    <w:rsid w:val="00757ED1"/>
    <w:rsid w:val="007711D9"/>
    <w:rsid w:val="00785130"/>
    <w:rsid w:val="007922FF"/>
    <w:rsid w:val="00797BFF"/>
    <w:rsid w:val="007A6D80"/>
    <w:rsid w:val="007C3F00"/>
    <w:rsid w:val="007D374B"/>
    <w:rsid w:val="007E5A32"/>
    <w:rsid w:val="007F53A6"/>
    <w:rsid w:val="00801AF2"/>
    <w:rsid w:val="0080240D"/>
    <w:rsid w:val="0081057C"/>
    <w:rsid w:val="00820056"/>
    <w:rsid w:val="00822077"/>
    <w:rsid w:val="00841A21"/>
    <w:rsid w:val="0084480D"/>
    <w:rsid w:val="00863772"/>
    <w:rsid w:val="00881A42"/>
    <w:rsid w:val="00881B87"/>
    <w:rsid w:val="008853B8"/>
    <w:rsid w:val="008971D4"/>
    <w:rsid w:val="008D6159"/>
    <w:rsid w:val="00921AC5"/>
    <w:rsid w:val="00950E07"/>
    <w:rsid w:val="00954984"/>
    <w:rsid w:val="009568C8"/>
    <w:rsid w:val="0096288F"/>
    <w:rsid w:val="009B7D80"/>
    <w:rsid w:val="009C680B"/>
    <w:rsid w:val="009E49F0"/>
    <w:rsid w:val="009F23CE"/>
    <w:rsid w:val="00A11F99"/>
    <w:rsid w:val="00A42150"/>
    <w:rsid w:val="00A817C2"/>
    <w:rsid w:val="00AB4325"/>
    <w:rsid w:val="00AC44E9"/>
    <w:rsid w:val="00AD68D0"/>
    <w:rsid w:val="00AE302E"/>
    <w:rsid w:val="00AF0BFB"/>
    <w:rsid w:val="00AF495F"/>
    <w:rsid w:val="00AF660E"/>
    <w:rsid w:val="00B0743F"/>
    <w:rsid w:val="00B24324"/>
    <w:rsid w:val="00B267CE"/>
    <w:rsid w:val="00B4112F"/>
    <w:rsid w:val="00B4168F"/>
    <w:rsid w:val="00BC2CE7"/>
    <w:rsid w:val="00BC7331"/>
    <w:rsid w:val="00BF799D"/>
    <w:rsid w:val="00C122F2"/>
    <w:rsid w:val="00C1399C"/>
    <w:rsid w:val="00C3780E"/>
    <w:rsid w:val="00C96304"/>
    <w:rsid w:val="00CC0978"/>
    <w:rsid w:val="00CC68BB"/>
    <w:rsid w:val="00CD168F"/>
    <w:rsid w:val="00CE4F27"/>
    <w:rsid w:val="00CE6579"/>
    <w:rsid w:val="00CE718F"/>
    <w:rsid w:val="00CF6854"/>
    <w:rsid w:val="00D03185"/>
    <w:rsid w:val="00D05A66"/>
    <w:rsid w:val="00D349C1"/>
    <w:rsid w:val="00D37E04"/>
    <w:rsid w:val="00D642A3"/>
    <w:rsid w:val="00D7540E"/>
    <w:rsid w:val="00D81DC8"/>
    <w:rsid w:val="00D9235B"/>
    <w:rsid w:val="00DC626B"/>
    <w:rsid w:val="00DD209B"/>
    <w:rsid w:val="00DD7F33"/>
    <w:rsid w:val="00DE7257"/>
    <w:rsid w:val="00DF1D89"/>
    <w:rsid w:val="00E275A1"/>
    <w:rsid w:val="00E46C5D"/>
    <w:rsid w:val="00EA6110"/>
    <w:rsid w:val="00EA7DAE"/>
    <w:rsid w:val="00EB241A"/>
    <w:rsid w:val="00EB65B3"/>
    <w:rsid w:val="00EC2CD2"/>
    <w:rsid w:val="00F14BFE"/>
    <w:rsid w:val="00F34DDA"/>
    <w:rsid w:val="00F405A8"/>
    <w:rsid w:val="00F4144B"/>
    <w:rsid w:val="00F60BE1"/>
    <w:rsid w:val="00F71148"/>
    <w:rsid w:val="00F719EE"/>
    <w:rsid w:val="00F77EED"/>
    <w:rsid w:val="00F82254"/>
    <w:rsid w:val="00F97805"/>
    <w:rsid w:val="00FB4148"/>
    <w:rsid w:val="00FB7943"/>
    <w:rsid w:val="00FC1F9B"/>
    <w:rsid w:val="00FC2A6E"/>
    <w:rsid w:val="00FD3380"/>
    <w:rsid w:val="00FD47D3"/>
    <w:rsid w:val="00FF13A7"/>
    <w:rsid w:val="00FF50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8DBE1"/>
  <w15:chartTrackingRefBased/>
  <w15:docId w15:val="{254E7054-61BF-FB47-9472-9FB99C984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D9A"/>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A4D9A"/>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A4D9A"/>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A4D9A"/>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A4D9A"/>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A4D9A"/>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A4D9A"/>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A4D9A"/>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A4D9A"/>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A4D9A"/>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D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D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D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D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D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D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D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D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D9A"/>
    <w:rPr>
      <w:rFonts w:eastAsiaTheme="majorEastAsia" w:cstheme="majorBidi"/>
      <w:color w:val="272727" w:themeColor="text1" w:themeTint="D8"/>
    </w:rPr>
  </w:style>
  <w:style w:type="paragraph" w:styleId="Title">
    <w:name w:val="Title"/>
    <w:basedOn w:val="Normal"/>
    <w:next w:val="Normal"/>
    <w:link w:val="TitleChar"/>
    <w:uiPriority w:val="10"/>
    <w:qFormat/>
    <w:rsid w:val="003A4D9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A4D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D9A"/>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A4D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D9A"/>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A4D9A"/>
    <w:rPr>
      <w:i/>
      <w:iCs/>
      <w:color w:val="404040" w:themeColor="text1" w:themeTint="BF"/>
    </w:rPr>
  </w:style>
  <w:style w:type="paragraph" w:styleId="ListParagraph">
    <w:name w:val="List Paragraph"/>
    <w:basedOn w:val="Normal"/>
    <w:uiPriority w:val="1"/>
    <w:qFormat/>
    <w:rsid w:val="003A4D9A"/>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A4D9A"/>
    <w:rPr>
      <w:i/>
      <w:iCs/>
      <w:color w:val="0F4761" w:themeColor="accent1" w:themeShade="BF"/>
    </w:rPr>
  </w:style>
  <w:style w:type="paragraph" w:styleId="IntenseQuote">
    <w:name w:val="Intense Quote"/>
    <w:basedOn w:val="Normal"/>
    <w:next w:val="Normal"/>
    <w:link w:val="IntenseQuoteChar"/>
    <w:uiPriority w:val="30"/>
    <w:qFormat/>
    <w:rsid w:val="003A4D9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A4D9A"/>
    <w:rPr>
      <w:i/>
      <w:iCs/>
      <w:color w:val="0F4761" w:themeColor="accent1" w:themeShade="BF"/>
    </w:rPr>
  </w:style>
  <w:style w:type="character" w:styleId="IntenseReference">
    <w:name w:val="Intense Reference"/>
    <w:basedOn w:val="DefaultParagraphFont"/>
    <w:uiPriority w:val="32"/>
    <w:qFormat/>
    <w:rsid w:val="003A4D9A"/>
    <w:rPr>
      <w:b/>
      <w:bCs/>
      <w:smallCaps/>
      <w:color w:val="0F4761" w:themeColor="accent1" w:themeShade="BF"/>
      <w:spacing w:val="5"/>
    </w:rPr>
  </w:style>
  <w:style w:type="character" w:styleId="Emphasis">
    <w:name w:val="Emphasis"/>
    <w:uiPriority w:val="20"/>
    <w:qFormat/>
    <w:rsid w:val="003A4D9A"/>
    <w:rPr>
      <w:i/>
      <w:iCs/>
    </w:rPr>
  </w:style>
  <w:style w:type="table" w:styleId="TableGrid">
    <w:name w:val="Table Grid"/>
    <w:basedOn w:val="TableNormal"/>
    <w:uiPriority w:val="39"/>
    <w:rsid w:val="003A4D9A"/>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A4D9A"/>
    <w:pPr>
      <w:spacing w:after="200"/>
    </w:pPr>
    <w:rPr>
      <w:i/>
      <w:iCs/>
      <w:color w:val="0E2841" w:themeColor="text2"/>
      <w:sz w:val="18"/>
      <w:szCs w:val="18"/>
    </w:rPr>
  </w:style>
  <w:style w:type="paragraph" w:styleId="Header">
    <w:name w:val="header"/>
    <w:basedOn w:val="Normal"/>
    <w:link w:val="HeaderChar"/>
    <w:uiPriority w:val="99"/>
    <w:unhideWhenUsed/>
    <w:rsid w:val="003A4D9A"/>
    <w:pPr>
      <w:tabs>
        <w:tab w:val="center" w:pos="4513"/>
        <w:tab w:val="right" w:pos="9026"/>
      </w:tabs>
    </w:pPr>
  </w:style>
  <w:style w:type="character" w:customStyle="1" w:styleId="HeaderChar">
    <w:name w:val="Header Char"/>
    <w:basedOn w:val="DefaultParagraphFont"/>
    <w:link w:val="Header"/>
    <w:uiPriority w:val="99"/>
    <w:rsid w:val="003A4D9A"/>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0A3D11"/>
    <w:pPr>
      <w:tabs>
        <w:tab w:val="center" w:pos="4680"/>
        <w:tab w:val="right" w:pos="9360"/>
      </w:tabs>
    </w:pPr>
  </w:style>
  <w:style w:type="character" w:customStyle="1" w:styleId="FooterChar">
    <w:name w:val="Footer Char"/>
    <w:basedOn w:val="DefaultParagraphFont"/>
    <w:link w:val="Footer"/>
    <w:uiPriority w:val="99"/>
    <w:rsid w:val="000A3D11"/>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5C0857"/>
    <w:rPr>
      <w:color w:val="0000FF"/>
      <w:u w:val="single"/>
    </w:rPr>
  </w:style>
  <w:style w:type="character" w:customStyle="1" w:styleId="institution">
    <w:name w:val="institution"/>
    <w:rsid w:val="005C0857"/>
  </w:style>
  <w:style w:type="character" w:customStyle="1" w:styleId="normaltextrun">
    <w:name w:val="normaltextrun"/>
    <w:basedOn w:val="DefaultParagraphFont"/>
    <w:rsid w:val="005C0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hALShehri@pnu.edu.s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7b842b-8c74-4f80-ad6f-ce4fa12d793c}" enabled="1" method="Standard" siteId="{e26bab4b-97e6-4754-b163-60f8237e8531}" contentBits="5"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1646</Words>
  <Characters>9388</Characters>
  <Application>Microsoft Office Word</Application>
  <DocSecurity>0</DocSecurity>
  <Lines>78</Lines>
  <Paragraphs>22</Paragraphs>
  <ScaleCrop>false</ScaleCrop>
  <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وائل يحيى علي خواجي</dc:creator>
  <cp:keywords/>
  <dc:description/>
  <cp:lastModifiedBy>Ghadah alshehri</cp:lastModifiedBy>
  <cp:revision>2</cp:revision>
  <dcterms:created xsi:type="dcterms:W3CDTF">2026-08-17T08:43:00Z</dcterms:created>
  <dcterms:modified xsi:type="dcterms:W3CDTF">2026-08-17T08:43:00Z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34b07de,2c3b4d80,6ec53b93</vt:lpwstr>
  </property>
  <property fmtid="{D5CDD505-2E9C-101B-9397-08002B2CF9AE}" pid="3" name="ClassificationContentMarkingHeaderFontProps">
    <vt:lpwstr>#ffff00,12,Calibri</vt:lpwstr>
  </property>
  <property fmtid="{D5CDD505-2E9C-101B-9397-08002B2CF9AE}" pid="4" name="ClassificationContentMarkingHeaderText">
    <vt:lpwstr>مقيد | Restricted</vt:lpwstr>
  </property>
  <property fmtid="{D5CDD505-2E9C-101B-9397-08002B2CF9AE}" pid="5" name="ClassificationWatermarkShapeIds">
    <vt:lpwstr>8ba3420,2f9efc1,19ca4c5a</vt:lpwstr>
  </property>
  <property fmtid="{D5CDD505-2E9C-101B-9397-08002B2CF9AE}" pid="6" name="ClassificationWatermarkFontProps">
    <vt:lpwstr>#ffff00,14,Calibri</vt:lpwstr>
  </property>
  <property fmtid="{D5CDD505-2E9C-101B-9397-08002B2CF9AE}" pid="7" name="ClassificationWatermarkText">
    <vt:lpwstr>مقيد |TU| Restricted</vt:lpwstr>
  </property>
</Properties>
</file>