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09B1D">
      <w:pPr>
        <w:spacing w:after="80"/>
        <w:rPr>
          <w:rFonts w:eastAsia="宋体"/>
          <w:b/>
          <w:sz w:val="24"/>
          <w:szCs w:val="24"/>
          <w:lang w:eastAsia="zh-CN"/>
        </w:rPr>
      </w:pPr>
      <w:r>
        <w:rPr>
          <w:rFonts w:hint="eastAsia" w:eastAsia="宋体"/>
          <w:b/>
          <w:sz w:val="24"/>
          <w:szCs w:val="24"/>
          <w:lang w:eastAsia="zh-CN"/>
        </w:rPr>
        <w:t>Supplementary Figure</w:t>
      </w:r>
    </w:p>
    <w:p w14:paraId="6C9BA171">
      <w:r>
        <w:t>The following supplementary figures are included to provide additional context and supporting evidence. These datasets were not functioned as central evidence for the fragrant TRPV3-agonist adjuvant concept but help contextualize keratinocyte-TRP biology in infection settings.</w:t>
      </w:r>
    </w:p>
    <w:p w14:paraId="298D5A32">
      <w:pPr>
        <w:spacing w:after="80"/>
        <w:rPr>
          <w:b/>
        </w:rPr>
      </w:pPr>
      <w:r>
        <w:rPr>
          <w:rFonts w:hint="eastAsia" w:eastAsia="宋体"/>
          <w:b/>
          <w:lang w:eastAsia="zh-CN"/>
        </w:rPr>
        <w:t>Supplementary</w:t>
      </w:r>
      <w:r>
        <w:rPr>
          <w:b/>
        </w:rPr>
        <w:t xml:space="preserve"> Fig. 1</w:t>
      </w:r>
    </w:p>
    <w:p w14:paraId="2ECA0A9B">
      <w:r>
        <w:rPr>
          <w:lang w:eastAsia="zh-CN"/>
        </w:rPr>
        <w:drawing>
          <wp:inline distT="0" distB="0" distL="114300" distR="114300">
            <wp:extent cx="5485130" cy="5991860"/>
            <wp:effectExtent l="0" t="0" r="1270" b="8890"/>
            <wp:docPr id="8" name="图片 8" descr="supp fi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 fig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599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59901">
      <w:pPr>
        <w:jc w:val="both"/>
        <w:rPr>
          <w:rStyle w:val="9"/>
          <w:rFonts w:eastAsia="宋体"/>
          <w:lang w:eastAsia="zh-CN"/>
        </w:rPr>
      </w:pPr>
      <w:r>
        <w:rPr>
          <w:rFonts w:eastAsia="宋体" w:cs="Times New Roman"/>
          <w:b/>
          <w:bCs/>
          <w:lang w:eastAsia="zh-CN"/>
        </w:rPr>
        <w:t xml:space="preserve">Supplementary </w:t>
      </w:r>
      <w:r>
        <w:rPr>
          <w:rFonts w:cs="Times New Roman"/>
          <w:b/>
          <w:bCs/>
        </w:rPr>
        <w:t>Fig</w:t>
      </w:r>
      <w:r>
        <w:rPr>
          <w:rFonts w:eastAsia="宋体" w:cs="Times New Roman"/>
          <w:b/>
          <w:bCs/>
          <w:lang w:eastAsia="zh-CN"/>
        </w:rPr>
        <w:t>.</w:t>
      </w:r>
      <w:r>
        <w:rPr>
          <w:rFonts w:cs="Times New Roman"/>
          <w:b/>
          <w:bCs/>
        </w:rPr>
        <w:t xml:space="preserve"> 1 | Fragrant TRPV3 agonists enhance humoral responses and rapidly induce cytokine transcripts in skin.</w:t>
      </w:r>
      <w:r>
        <w:rPr>
          <w:rFonts w:cs="Times New Roman"/>
        </w:rPr>
        <w:t xml:space="preserve"> </w:t>
      </w:r>
      <w:r>
        <w:rPr>
          <w:rStyle w:val="9"/>
          <w:rFonts w:eastAsia="宋体" w:cs="Times New Roman"/>
          <w:lang w:eastAsia="zh-CN"/>
        </w:rPr>
        <w:t>(a) Survival analysis with carvacrol (100 μg) adjuvant. (n = 4). (b) Evaluation of body weight changes induced by the carvacrol (100 μg) adjuvant. (n = 4, mean ± SEM). (c) Transcription levels of IL-18 in A431 cells at indicated time points after carvacrol incubation. (n = 3, mean ± SD). (d, e) The Addition CaCl</w:t>
      </w:r>
      <w:r>
        <w:rPr>
          <w:rStyle w:val="9"/>
          <w:rFonts w:eastAsia="宋体" w:cs="Times New Roman"/>
          <w:vertAlign w:val="subscript"/>
          <w:lang w:eastAsia="zh-CN"/>
        </w:rPr>
        <w:t>2</w:t>
      </w:r>
      <w:r>
        <w:rPr>
          <w:rStyle w:val="9"/>
          <w:rFonts w:eastAsia="宋体" w:cs="Times New Roman"/>
          <w:lang w:eastAsia="zh-CN"/>
        </w:rPr>
        <w:t xml:space="preserve"> in PBS buffer rescued the transcription of cytokines in A431 cells treated with carvacrol or camphor. (n = 3, mean ± SD). (f) Cytokine transcription analysis in A431 cells treated with carvacrol following addition of divalent cations to PBS buffer. (n = 3, mean ± SD). (g, h) Transcription levels of cytokines induced with Carvacrol or Camphor in WT and TRPV3-KO A431 cells. (n = 3, mean ± SD). (i) Mice were immunized via intranasal administration of OVA alone, or in combination with carvacrol (2 mg) or camphor (2 mg), and serum IgG levels were measured 10 days after a single booster immunization. (n = 3-5, mean ± SEM).</w:t>
      </w:r>
      <w:r>
        <w:rPr>
          <w:rFonts w:eastAsia="宋体" w:cs="Times New Roman"/>
          <w:lang w:eastAsia="zh-CN"/>
        </w:rPr>
        <w:t xml:space="preserve"> </w:t>
      </w:r>
      <w:r>
        <w:rPr>
          <w:rFonts w:cs="Times New Roman"/>
        </w:rPr>
        <w:t>Statistics computed by two-way ANOVA (</w:t>
      </w:r>
      <w:r>
        <w:rPr>
          <w:rFonts w:eastAsia="宋体" w:cs="Times New Roman"/>
          <w:lang w:eastAsia="zh-CN"/>
        </w:rPr>
        <w:t>b, d, e, g, h</w:t>
      </w:r>
      <w:r>
        <w:rPr>
          <w:rFonts w:cs="Times New Roman"/>
        </w:rPr>
        <w:t>)</w:t>
      </w:r>
      <w:r>
        <w:rPr>
          <w:rFonts w:eastAsia="宋体" w:cs="Times New Roman"/>
          <w:lang w:eastAsia="zh-CN"/>
        </w:rPr>
        <w:t xml:space="preserve"> and one</w:t>
      </w:r>
      <w:r>
        <w:rPr>
          <w:rFonts w:cs="Times New Roman"/>
        </w:rPr>
        <w:t>-way ANOVA (</w:t>
      </w:r>
      <w:r>
        <w:rPr>
          <w:rFonts w:eastAsia="宋体" w:cs="Times New Roman"/>
          <w:lang w:eastAsia="zh-CN"/>
        </w:rPr>
        <w:t>c, f, i</w:t>
      </w:r>
      <w:r>
        <w:rPr>
          <w:rFonts w:cs="Times New Roman"/>
        </w:rPr>
        <w:t>). ns, not significant.</w:t>
      </w:r>
      <w:r>
        <w:rPr>
          <w:rFonts w:eastAsia="宋体" w:cs="Times New Roman"/>
          <w:lang w:eastAsia="zh-CN"/>
        </w:rPr>
        <w:t xml:space="preserve"> Data are representative of at least three independent experiments.</w:t>
      </w:r>
    </w:p>
    <w:p w14:paraId="29CB73C9">
      <w:pPr>
        <w:spacing w:after="0"/>
        <w:rPr>
          <w:b/>
        </w:rPr>
      </w:pPr>
      <w:r>
        <w:rPr>
          <w:b/>
        </w:rPr>
        <w:br w:type="page"/>
      </w:r>
    </w:p>
    <w:p w14:paraId="7D25B73D">
      <w:pPr>
        <w:spacing w:after="80"/>
        <w:rPr>
          <w:rFonts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t>Supplementary</w:t>
      </w:r>
      <w:r>
        <w:rPr>
          <w:b/>
        </w:rPr>
        <w:t xml:space="preserve"> Fig. </w:t>
      </w:r>
      <w:r>
        <w:rPr>
          <w:rFonts w:hint="eastAsia" w:eastAsia="宋体"/>
          <w:b/>
          <w:lang w:eastAsia="zh-CN"/>
        </w:rPr>
        <w:t>2</w:t>
      </w:r>
    </w:p>
    <w:p w14:paraId="2AF39B78">
      <w:pPr>
        <w:rPr>
          <w:rFonts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480050" cy="6315075"/>
            <wp:effectExtent l="0" t="0" r="6350" b="9525"/>
            <wp:docPr id="9" name="图片 9" descr="supp fi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 fig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631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0B41">
      <w:pPr>
        <w:jc w:val="both"/>
        <w:rPr>
          <w:rStyle w:val="9"/>
          <w:rFonts w:eastAsia="宋体"/>
          <w:lang w:eastAsia="zh-CN"/>
        </w:rPr>
      </w:pPr>
      <w:r>
        <w:rPr>
          <w:rFonts w:eastAsia="宋体" w:cs="Times New Roman"/>
          <w:b/>
          <w:bCs/>
          <w:lang w:eastAsia="zh-CN"/>
        </w:rPr>
        <w:t xml:space="preserve">Supplementary </w:t>
      </w:r>
      <w:r>
        <w:rPr>
          <w:rFonts w:cs="Times New Roman"/>
          <w:b/>
          <w:bCs/>
        </w:rPr>
        <w:t>Fig</w:t>
      </w:r>
      <w:r>
        <w:rPr>
          <w:rFonts w:eastAsia="宋体" w:cs="Times New Roman"/>
          <w:b/>
          <w:bCs/>
          <w:lang w:eastAsia="zh-CN"/>
        </w:rPr>
        <w:t>.</w:t>
      </w:r>
      <w:r>
        <w:rPr>
          <w:rFonts w:cs="Times New Roman"/>
          <w:b/>
          <w:bCs/>
        </w:rPr>
        <w:t xml:space="preserve"> </w:t>
      </w:r>
      <w:r>
        <w:rPr>
          <w:rFonts w:eastAsia="宋体" w:cs="Times New Roman"/>
          <w:b/>
          <w:bCs/>
          <w:lang w:eastAsia="zh-CN"/>
        </w:rPr>
        <w:t>2</w:t>
      </w:r>
      <w:r>
        <w:rPr>
          <w:rFonts w:cs="Times New Roman"/>
          <w:b/>
          <w:bCs/>
        </w:rPr>
        <w:t xml:space="preserve"> | Fragrant TRPV3 agonists enhance humoral responses and rapidly induce cytokine transcripts in skin.</w:t>
      </w:r>
      <w:r>
        <w:rPr>
          <w:rFonts w:cs="Times New Roman"/>
        </w:rPr>
        <w:t xml:space="preserve"> </w:t>
      </w:r>
      <w:r>
        <w:rPr>
          <w:rStyle w:val="9"/>
          <w:rFonts w:eastAsia="宋体" w:cs="Times New Roman"/>
          <w:lang w:eastAsia="zh-CN"/>
        </w:rPr>
        <w:t xml:space="preserve">(a) </w:t>
      </w:r>
      <w:r>
        <w:rPr>
          <w:rFonts w:cs="Times New Roman"/>
          <w:lang w:eastAsia="zh"/>
        </w:rPr>
        <w:t xml:space="preserve">Transcription levels of </w:t>
      </w:r>
      <w:r>
        <w:rPr>
          <w:rFonts w:cs="Times New Roman"/>
        </w:rPr>
        <w:t>TRPV3</w:t>
      </w:r>
      <w:r>
        <w:rPr>
          <w:rFonts w:cs="Times New Roman"/>
          <w:lang w:eastAsia="zh"/>
        </w:rPr>
        <w:t xml:space="preserve"> in different </w:t>
      </w:r>
      <w:r>
        <w:rPr>
          <w:rFonts w:eastAsia="宋体" w:cs="Times New Roman"/>
          <w:lang w:eastAsia="zh-CN"/>
        </w:rPr>
        <w:t>cells</w:t>
      </w:r>
      <w:r>
        <w:rPr>
          <w:rFonts w:cs="Times New Roman"/>
          <w:lang w:eastAsia="zh"/>
        </w:rPr>
        <w:t xml:space="preserve"> (courtesy of the Human Protein Atlas, </w:t>
      </w:r>
      <w:r>
        <w:fldChar w:fldCharType="begin"/>
      </w:r>
      <w:r>
        <w:instrText xml:space="preserve"> HYPERLINK "https://www.proteinatlas.org" </w:instrText>
      </w:r>
      <w:r>
        <w:fldChar w:fldCharType="separate"/>
      </w:r>
      <w:r>
        <w:rPr>
          <w:rStyle w:val="8"/>
          <w:rFonts w:cs="Times New Roman"/>
          <w:color w:val="auto"/>
          <w:u w:val="none"/>
          <w:lang w:eastAsia="zh"/>
        </w:rPr>
        <w:t>www.proteinatlas.org</w:t>
      </w:r>
      <w:r>
        <w:rPr>
          <w:rStyle w:val="8"/>
          <w:rFonts w:cs="Times New Roman"/>
          <w:color w:val="auto"/>
          <w:u w:val="none"/>
          <w:lang w:eastAsia="zh"/>
        </w:rPr>
        <w:fldChar w:fldCharType="end"/>
      </w:r>
      <w:r>
        <w:rPr>
          <w:rFonts w:cs="Times New Roman"/>
          <w:lang w:eastAsia="zh"/>
        </w:rPr>
        <w:t>)</w:t>
      </w:r>
      <w:bookmarkStart w:id="0" w:name="_GoBack"/>
      <w:bookmarkEnd w:id="0"/>
      <w:r>
        <w:rPr>
          <w:rFonts w:eastAsia="宋体" w:cs="Times New Roman"/>
          <w:lang w:eastAsia="zh-CN"/>
        </w:rPr>
        <w:t xml:space="preserve">. (b, c) Bar plot showing the average expression levels of TRP family genes in keratinocytes from human and mouse skin, based on control groups from single-cell RNA sequencing (scRNA-seq) datasets used in this study. (d) TRPV3 Expression: HC vs. AD and HC vs. Pso. (e) TRPV3 Transcription in Carvacrol-Treated A431 Cells. </w:t>
      </w:r>
      <w:r>
        <w:rPr>
          <w:rStyle w:val="9"/>
          <w:rFonts w:eastAsia="宋体" w:cs="Times New Roman"/>
          <w:lang w:eastAsia="zh-CN"/>
        </w:rPr>
        <w:t>(n = 3, mean ± SD).</w:t>
      </w:r>
      <w:r>
        <w:rPr>
          <w:rFonts w:eastAsia="宋体" w:cs="Times New Roman"/>
          <w:lang w:eastAsia="zh-CN"/>
        </w:rPr>
        <w:t xml:space="preserve"> </w:t>
      </w:r>
      <w:r>
        <w:rPr>
          <w:rFonts w:cs="Times New Roman"/>
        </w:rPr>
        <w:t>(</w:t>
      </w:r>
      <w:r>
        <w:rPr>
          <w:rFonts w:eastAsia="宋体" w:cs="Times New Roman"/>
          <w:lang w:eastAsia="zh-CN"/>
        </w:rPr>
        <w:t>f</w:t>
      </w:r>
      <w:r>
        <w:rPr>
          <w:rFonts w:cs="Times New Roman"/>
        </w:rPr>
        <w:t xml:space="preserve">) Schematic illustration of the proposed </w:t>
      </w:r>
      <w:r>
        <w:rPr>
          <w:rFonts w:eastAsia="宋体" w:cs="Times New Roman"/>
          <w:lang w:eastAsia="zh-CN"/>
        </w:rPr>
        <w:t xml:space="preserve">Carvacrol/Camphor </w:t>
      </w:r>
      <w:r>
        <w:rPr>
          <w:rFonts w:cs="Times New Roman"/>
        </w:rPr>
        <w:t>TRPV3–IL-6/CCL20–Tfh/GCB signaling axis.</w:t>
      </w:r>
      <w:r>
        <w:rPr>
          <w:rFonts w:eastAsia="宋体" w:cs="Times New Roman"/>
          <w:lang w:eastAsia="zh-CN"/>
        </w:rPr>
        <w:t xml:space="preserve"> </w:t>
      </w:r>
      <w:r>
        <w:rPr>
          <w:rFonts w:cs="Times New Roman"/>
        </w:rPr>
        <w:t xml:space="preserve">Statistics computed by </w:t>
      </w:r>
      <w:r>
        <w:rPr>
          <w:rFonts w:eastAsia="宋体" w:cs="Times New Roman"/>
          <w:lang w:eastAsia="zh-CN"/>
        </w:rPr>
        <w:t>wilcox rank-sum test with BH adjustment (d) and unpaired t-test (e)</w:t>
      </w:r>
      <w:r>
        <w:rPr>
          <w:rFonts w:cs="Times New Roman"/>
        </w:rPr>
        <w:t>. ns, not significant.</w:t>
      </w:r>
    </w:p>
    <w:p w14:paraId="3CDCB373">
      <w:pPr>
        <w:spacing w:after="0"/>
        <w:rPr>
          <w:rFonts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br w:type="page"/>
      </w:r>
    </w:p>
    <w:p w14:paraId="79DD1FC3">
      <w:pPr>
        <w:spacing w:after="80"/>
        <w:rPr>
          <w:rFonts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t>Supplementary</w:t>
      </w:r>
      <w:r>
        <w:rPr>
          <w:b/>
        </w:rPr>
        <w:t xml:space="preserve"> Fig. </w:t>
      </w:r>
      <w:r>
        <w:rPr>
          <w:rFonts w:hint="eastAsia" w:eastAsia="宋体"/>
          <w:b/>
          <w:lang w:eastAsia="zh-CN"/>
        </w:rPr>
        <w:t>3</w:t>
      </w:r>
    </w:p>
    <w:p w14:paraId="331865A4">
      <w:pPr>
        <w:spacing w:after="80"/>
        <w:rPr>
          <w:rFonts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drawing>
          <wp:inline distT="0" distB="0" distL="114300" distR="114300">
            <wp:extent cx="5480050" cy="7790180"/>
            <wp:effectExtent l="0" t="0" r="6350" b="1270"/>
            <wp:docPr id="5" name="图片 5" descr="supp 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 fig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779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0A56">
      <w:pPr>
        <w:spacing w:after="80"/>
        <w:jc w:val="both"/>
        <w:rPr>
          <w:rFonts w:eastAsia="微软雅黑"/>
          <w:kern w:val="2"/>
        </w:rPr>
      </w:pPr>
      <w:r>
        <w:rPr>
          <w:rFonts w:eastAsia="宋体" w:cs="Times New Roman"/>
          <w:b/>
          <w:bCs/>
          <w:lang w:eastAsia="zh-CN"/>
        </w:rPr>
        <w:t xml:space="preserve">Supplementary </w:t>
      </w:r>
      <w:r>
        <w:rPr>
          <w:rFonts w:cs="Times New Roman"/>
          <w:b/>
          <w:bCs/>
        </w:rPr>
        <w:t>Fig</w:t>
      </w:r>
      <w:r>
        <w:rPr>
          <w:rFonts w:eastAsia="宋体" w:cs="Times New Roman"/>
          <w:b/>
          <w:bCs/>
          <w:lang w:eastAsia="zh-CN"/>
        </w:rPr>
        <w:t>.</w:t>
      </w:r>
      <w:r>
        <w:rPr>
          <w:rFonts w:cs="Times New Roman"/>
          <w:b/>
          <w:bCs/>
        </w:rPr>
        <w:t xml:space="preserve"> </w:t>
      </w:r>
      <w:r>
        <w:rPr>
          <w:rFonts w:eastAsia="宋体" w:cs="Times New Roman"/>
          <w:b/>
          <w:bCs/>
          <w:lang w:eastAsia="zh-CN"/>
        </w:rPr>
        <w:t>3</w:t>
      </w:r>
      <w:r>
        <w:rPr>
          <w:rFonts w:cs="Times New Roman"/>
          <w:b/>
          <w:bCs/>
        </w:rPr>
        <w:t xml:space="preserve"> | The Distinctiveness of Infection-Induced UPR.</w:t>
      </w:r>
      <w:r>
        <w:rPr>
          <w:rFonts w:eastAsia="宋体" w:cs="Times New Roman"/>
          <w:b/>
          <w:bCs/>
          <w:lang w:eastAsia="zh-CN"/>
        </w:rPr>
        <w:t xml:space="preserve"> </w:t>
      </w:r>
      <w:r>
        <w:rPr>
          <w:rFonts w:eastAsia="宋体" w:cs="Times New Roman"/>
          <w:lang w:eastAsia="zh-CN"/>
        </w:rPr>
        <w:t>(a)</w:t>
      </w:r>
      <w:r>
        <w:rPr>
          <w:rFonts w:cs="Times New Roman"/>
          <w:i/>
          <w:iCs/>
        </w:rPr>
        <w:t xml:space="preserve"> </w:t>
      </w:r>
      <w:r>
        <w:rPr>
          <w:rFonts w:cs="Times New Roman"/>
        </w:rPr>
        <w:t xml:space="preserve">The analysis of downstream effects in the UPR–PERK–eIF2α–ATF4 signaling pathway under various unfolded protein response (UPR) conditions. </w:t>
      </w:r>
      <w:r>
        <w:rPr>
          <w:rFonts w:eastAsia="宋体" w:cs="Times New Roman"/>
          <w:lang w:eastAsia="zh-CN"/>
        </w:rPr>
        <w:t>The tile map of the right panel shows involvement of respective gene (row) in indicated UPR associated-pathways</w:t>
      </w:r>
      <w:r>
        <w:rPr>
          <w:rFonts w:cs="Times New Roman"/>
        </w:rPr>
        <w:t xml:space="preserve"> </w:t>
      </w:r>
      <w:r>
        <w:rPr>
          <w:rFonts w:eastAsia="宋体" w:cs="Times New Roman"/>
          <w:lang w:eastAsia="zh-CN"/>
        </w:rPr>
        <w:t xml:space="preserve">(b) </w:t>
      </w:r>
      <w:r>
        <w:rPr>
          <w:rFonts w:cs="Times New Roman"/>
        </w:rPr>
        <w:t>Heatmap showing fold change of MVA pathway gene expression in WT and TRPV3-KO mouse primary keratinocytes after S. aureus infection. Right: Quantification of FPP in WT and TRPV3-KO mouse primary keratinocytes after S. aureus infection.</w:t>
      </w:r>
      <w:r>
        <w:rPr>
          <w:rFonts w:eastAsia="宋体" w:cs="Times New Roman"/>
          <w:lang w:eastAsia="zh-CN"/>
        </w:rPr>
        <w:t xml:space="preserve"> </w:t>
      </w:r>
      <w:r>
        <w:rPr>
          <w:rStyle w:val="9"/>
          <w:rFonts w:eastAsia="宋体" w:cs="Times New Roman"/>
          <w:lang w:eastAsia="zh-CN"/>
        </w:rPr>
        <w:t>(n = 5, mean ± SEM).</w:t>
      </w:r>
      <w:r>
        <w:rPr>
          <w:rFonts w:eastAsia="宋体" w:cs="Times New Roman"/>
          <w:lang w:eastAsia="zh-CN"/>
        </w:rPr>
        <w:t xml:space="preserve"> (c) </w:t>
      </w:r>
      <w:r>
        <w:rPr>
          <w:rFonts w:cs="Times New Roman"/>
        </w:rPr>
        <w:t>Heatmaps showing MVA pathway gene expression in HEK293 cells and human embryonic stem cells (hESCs) before and after thapsigargin treatment, based on publicly available transcriptomic datasets. Color scale represents z-score normalized expression levels. Data sources are indicated in the respective subtitles.</w:t>
      </w:r>
      <w:r>
        <w:rPr>
          <w:rFonts w:eastAsia="宋体" w:cs="Times New Roman"/>
          <w:lang w:eastAsia="zh-CN"/>
        </w:rPr>
        <w:t xml:space="preserve"> (d-f) Upregulated apoptosis, ROS, and ER stress pathway genes of TRPV3</w:t>
      </w:r>
      <w:r>
        <w:rPr>
          <w:rFonts w:eastAsia="宋体" w:cs="Times New Roman"/>
          <w:vertAlign w:val="superscript"/>
          <w:lang w:eastAsia="zh-CN"/>
        </w:rPr>
        <w:t>high</w:t>
      </w:r>
      <w:r>
        <w:rPr>
          <w:rFonts w:eastAsia="宋体" w:cs="Times New Roman"/>
          <w:lang w:eastAsia="zh-CN"/>
        </w:rPr>
        <w:t xml:space="preserve"> keratinocytes in PBS group and S. aureus-infected group. Color scale represents z-score normalized expression levels.</w:t>
      </w:r>
      <w:r>
        <w:rPr>
          <w:rFonts w:eastAsia="宋体" w:cs="Times New Roman"/>
          <w:kern w:val="2"/>
          <w:lang w:eastAsia="zh-CN"/>
        </w:rPr>
        <w:t xml:space="preserve"> </w:t>
      </w:r>
      <w:r>
        <w:rPr>
          <w:rFonts w:cs="Times New Roman"/>
          <w:kern w:val="2"/>
        </w:rPr>
        <w:t>Statistical significance was determined using two-way ANOVA (</w:t>
      </w:r>
      <w:r>
        <w:rPr>
          <w:rFonts w:eastAsia="宋体" w:cs="Times New Roman"/>
          <w:bCs/>
          <w:kern w:val="2"/>
          <w:lang w:eastAsia="zh-CN"/>
        </w:rPr>
        <w:t>b</w:t>
      </w:r>
      <w:r>
        <w:rPr>
          <w:rFonts w:cs="Times New Roman"/>
          <w:kern w:val="2"/>
        </w:rPr>
        <w:t>). ns, not significant</w:t>
      </w:r>
      <w:r>
        <w:rPr>
          <w:rFonts w:eastAsia="微软雅黑" w:cs="Times New Roman"/>
          <w:kern w:val="2"/>
        </w:rPr>
        <w:t>.</w:t>
      </w:r>
    </w:p>
    <w:p w14:paraId="7E996333">
      <w:pPr>
        <w:spacing w:after="80"/>
        <w:jc w:val="both"/>
        <w:rPr>
          <w:rFonts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br w:type="page"/>
      </w:r>
    </w:p>
    <w:p w14:paraId="5D7F9330">
      <w:pPr>
        <w:spacing w:after="80"/>
        <w:rPr>
          <w:rFonts w:eastAsia="宋体"/>
          <w:b/>
          <w:lang w:eastAsia="zh-CN"/>
        </w:rPr>
      </w:pPr>
      <w:r>
        <w:rPr>
          <w:rFonts w:hint="eastAsia" w:eastAsia="宋体"/>
          <w:b/>
          <w:lang w:eastAsia="zh-CN"/>
        </w:rPr>
        <w:t>Supplementary</w:t>
      </w:r>
      <w:r>
        <w:rPr>
          <w:b/>
        </w:rPr>
        <w:t xml:space="preserve"> Fig. </w:t>
      </w:r>
      <w:r>
        <w:rPr>
          <w:rFonts w:hint="eastAsia" w:eastAsia="宋体"/>
          <w:b/>
          <w:lang w:eastAsia="zh-CN"/>
        </w:rPr>
        <w:t>4</w:t>
      </w:r>
    </w:p>
    <w:p w14:paraId="023E756D">
      <w:pPr>
        <w:jc w:val="center"/>
      </w:pPr>
      <w:r>
        <w:rPr>
          <w:lang w:eastAsia="zh-CN"/>
        </w:rPr>
        <w:drawing>
          <wp:inline distT="0" distB="0" distL="114300" distR="114300">
            <wp:extent cx="5483860" cy="6716395"/>
            <wp:effectExtent l="0" t="0" r="2540" b="8255"/>
            <wp:docPr id="6" name="图片 6" descr="supp fi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 fig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671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B9A09">
      <w:pPr>
        <w:rPr>
          <w:rFonts w:eastAsia="宋体"/>
          <w:lang w:eastAsia="zh-CN"/>
        </w:rPr>
      </w:pPr>
      <w:r>
        <w:rPr>
          <w:rFonts w:eastAsia="宋体"/>
          <w:b/>
          <w:bCs/>
          <w:lang w:eastAsia="zh-CN"/>
        </w:rPr>
        <w:t xml:space="preserve">Supplementary </w:t>
      </w:r>
      <w:r>
        <w:rPr>
          <w:b/>
          <w:bCs/>
        </w:rPr>
        <w:t>Fig</w:t>
      </w:r>
      <w:r>
        <w:rPr>
          <w:rFonts w:eastAsia="宋体"/>
          <w:b/>
          <w:bCs/>
          <w:lang w:eastAsia="zh-CN"/>
        </w:rPr>
        <w:t>.</w:t>
      </w:r>
      <w:r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4</w:t>
      </w:r>
      <w:r>
        <w:rPr>
          <w:b/>
          <w:bCs/>
        </w:rPr>
        <w:t xml:space="preserve"> | T cell-associated scRNA-seq analyses in infected skin. </w:t>
      </w:r>
      <w:r>
        <w:rPr>
          <w:rFonts w:hint="eastAsia" w:eastAsia="宋体"/>
          <w:lang w:eastAsia="zh-CN"/>
        </w:rPr>
        <w:t>(a)</w:t>
      </w:r>
      <w:r>
        <w:t xml:space="preserve"> UMAP plot of cell types from mice skin 8</w:t>
      </w:r>
      <w:r>
        <w:rPr>
          <w:rFonts w:hint="eastAsia"/>
        </w:rPr>
        <w:t>-</w:t>
      </w:r>
      <w:r>
        <w:t xml:space="preserve">hpi of </w:t>
      </w:r>
      <w:r>
        <w:rPr>
          <w:i/>
          <w:iCs/>
        </w:rPr>
        <w:t>S. aureus</w:t>
      </w:r>
      <w:r>
        <w:t xml:space="preserve"> (Sa) and PBS control group. </w:t>
      </w:r>
      <w:r>
        <w:rPr>
          <w:rFonts w:hint="eastAsia" w:eastAsia="宋体"/>
          <w:lang w:eastAsia="zh-CN"/>
        </w:rPr>
        <w:t>(b)</w:t>
      </w:r>
      <w:r>
        <w:t xml:space="preserve"> Proportion of immune cell subtypes in </w:t>
      </w:r>
      <w:r>
        <w:rPr>
          <w:rFonts w:hint="eastAsia" w:eastAsia="宋体"/>
          <w:lang w:eastAsia="zh-CN"/>
        </w:rPr>
        <w:t>(a)</w:t>
      </w:r>
      <w:r>
        <w:t xml:space="preserve">. </w:t>
      </w:r>
      <w:r>
        <w:rPr>
          <w:rFonts w:hint="eastAsia" w:eastAsia="宋体"/>
          <w:lang w:eastAsia="zh-CN"/>
        </w:rPr>
        <w:t>(c)</w:t>
      </w:r>
      <w:r>
        <w:t xml:space="preserve"> Differential GO pathway enrichment of cell types from mice skin 8</w:t>
      </w:r>
      <w:r>
        <w:rPr>
          <w:rFonts w:hint="eastAsia"/>
        </w:rPr>
        <w:t>-</w:t>
      </w:r>
      <w:r>
        <w:t xml:space="preserve">hpi of Sa comparing to PBS control group. </w:t>
      </w:r>
      <w:r>
        <w:rPr>
          <w:rFonts w:hint="eastAsia" w:eastAsia="宋体"/>
          <w:lang w:eastAsia="zh-CN"/>
        </w:rPr>
        <w:t>(d)</w:t>
      </w:r>
      <w:r>
        <w:t xml:space="preserve"> Proportion of T cell subtypes in </w:t>
      </w:r>
      <w:r>
        <w:rPr>
          <w:rFonts w:hint="eastAsia" w:eastAsia="宋体"/>
          <w:lang w:eastAsia="zh-CN"/>
        </w:rPr>
        <w:t>(a)</w:t>
      </w:r>
      <w:r>
        <w:t>.</w:t>
      </w:r>
      <w:r>
        <w:rPr>
          <w:b/>
          <w:bCs/>
        </w:rPr>
        <w:t xml:space="preserve"> </w:t>
      </w:r>
      <w:r>
        <w:rPr>
          <w:rFonts w:hint="eastAsia" w:eastAsia="宋体"/>
          <w:lang w:eastAsia="zh-CN"/>
        </w:rPr>
        <w:t>(e)</w:t>
      </w:r>
      <w:r>
        <w:t xml:space="preserve"> Differential expression of T cell subset marker genes in respective T cell subtypes in </w:t>
      </w:r>
      <w:r>
        <w:rPr>
          <w:rFonts w:hint="eastAsia" w:eastAsia="宋体"/>
          <w:lang w:eastAsia="zh-CN"/>
        </w:rPr>
        <w:t>(a)</w:t>
      </w:r>
      <w:r>
        <w:t xml:space="preserve">. </w:t>
      </w:r>
      <w:r>
        <w:rPr>
          <w:rFonts w:hint="eastAsia" w:eastAsia="宋体"/>
          <w:lang w:eastAsia="zh-CN"/>
        </w:rPr>
        <w:t>(f)</w:t>
      </w:r>
      <w:r>
        <w:t xml:space="preserve"> UMAP plot of cell types from mice skin </w:t>
      </w:r>
      <w:r>
        <w:rPr>
          <w:rFonts w:hint="eastAsia"/>
        </w:rPr>
        <w:t>4-</w:t>
      </w:r>
      <w:r>
        <w:t xml:space="preserve">dpi of </w:t>
      </w:r>
      <w:r>
        <w:rPr>
          <w:i/>
          <w:iCs/>
        </w:rPr>
        <w:t>E. faecalis</w:t>
      </w:r>
      <w:r>
        <w:t xml:space="preserve"> and control group. </w:t>
      </w:r>
      <w:r>
        <w:rPr>
          <w:rFonts w:hint="eastAsia" w:eastAsia="宋体"/>
          <w:lang w:eastAsia="zh-CN"/>
        </w:rPr>
        <w:t>(g)</w:t>
      </w:r>
      <w:r>
        <w:t xml:space="preserve"> Proportion of immune cell subtypes in </w:t>
      </w:r>
      <w:r>
        <w:rPr>
          <w:rFonts w:hint="eastAsia" w:eastAsia="宋体"/>
          <w:lang w:eastAsia="zh-CN"/>
        </w:rPr>
        <w:t>(f)</w:t>
      </w:r>
      <w:r>
        <w:t>.</w:t>
      </w:r>
      <w:r>
        <w:rPr>
          <w:b/>
          <w:bCs/>
        </w:rPr>
        <w:t xml:space="preserve"> </w:t>
      </w:r>
      <w:r>
        <w:rPr>
          <w:rFonts w:eastAsia="宋体"/>
          <w:lang w:eastAsia="zh-CN"/>
        </w:rPr>
        <w:t>(</w:t>
      </w:r>
      <w:r>
        <w:rPr>
          <w:rFonts w:hint="eastAsia" w:eastAsia="宋体"/>
          <w:lang w:eastAsia="zh-CN"/>
        </w:rPr>
        <w:t>h)</w:t>
      </w:r>
      <w:r>
        <w:t xml:space="preserve"> Proportion of T cell subtypes in (</w:t>
      </w:r>
      <w:r>
        <w:rPr>
          <w:rFonts w:hint="eastAsia" w:eastAsia="宋体"/>
          <w:lang w:eastAsia="zh-CN"/>
        </w:rPr>
        <w:t>f</w:t>
      </w:r>
      <w:r>
        <w:t>).</w:t>
      </w:r>
      <w:r>
        <w:rPr>
          <w:b/>
          <w:bCs/>
        </w:rPr>
        <w:t xml:space="preserve"> </w:t>
      </w:r>
      <w:r>
        <w:rPr>
          <w:rFonts w:hint="eastAsia" w:eastAsia="宋体"/>
          <w:lang w:eastAsia="zh-CN"/>
        </w:rPr>
        <w:t>(i)</w:t>
      </w:r>
      <w:r>
        <w:t xml:space="preserve"> Differential expression of T cell subset marker genes in respective T cell subtypes in (</w:t>
      </w:r>
      <w:r>
        <w:rPr>
          <w:rFonts w:hint="eastAsia" w:eastAsia="宋体"/>
          <w:lang w:eastAsia="zh-CN"/>
        </w:rPr>
        <w:t>f</w:t>
      </w:r>
      <w:r>
        <w:t>).</w:t>
      </w:r>
      <w:r>
        <w:rPr>
          <w:rFonts w:hint="eastAsia"/>
        </w:rPr>
        <w:t xml:space="preserve"> </w:t>
      </w:r>
      <w:r>
        <w:rPr>
          <w:rFonts w:hint="eastAsia" w:eastAsia="宋体"/>
          <w:lang w:eastAsia="zh-CN"/>
        </w:rPr>
        <w:t xml:space="preserve">(j) </w:t>
      </w:r>
      <w:r>
        <w:rPr>
          <w:rFonts w:hint="eastAsia"/>
          <w:lang w:bidi="ar"/>
        </w:rPr>
        <w:t>D</w:t>
      </w:r>
      <w:r>
        <w:rPr>
          <w:lang w:bidi="ar"/>
        </w:rPr>
        <w:t xml:space="preserve">ifferential expression of </w:t>
      </w:r>
      <w:r>
        <w:rPr>
          <w:rFonts w:hint="eastAsia"/>
          <w:lang w:bidi="ar"/>
        </w:rPr>
        <w:t>C</w:t>
      </w:r>
      <w:r>
        <w:rPr>
          <w:rFonts w:hint="eastAsia"/>
        </w:rPr>
        <w:t>XCL</w:t>
      </w:r>
      <w:r>
        <w:rPr>
          <w:rFonts w:hint="eastAsia"/>
          <w:lang w:bidi="ar"/>
        </w:rPr>
        <w:t>12 in</w:t>
      </w:r>
      <w:r>
        <w:rPr>
          <w:lang w:bidi="ar"/>
        </w:rPr>
        <w:t xml:space="preserve"> cell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types</w:t>
      </w:r>
      <w:r>
        <w:rPr>
          <w:rFonts w:hint="eastAsia"/>
          <w:lang w:bidi="ar"/>
        </w:rPr>
        <w:t xml:space="preserve"> from </w:t>
      </w:r>
      <w:r>
        <w:rPr>
          <w:rFonts w:hint="eastAsia"/>
        </w:rPr>
        <w:t xml:space="preserve">8-hpi of </w:t>
      </w:r>
      <w:r>
        <w:rPr>
          <w:rFonts w:hint="eastAsia"/>
          <w:i/>
          <w:iCs/>
        </w:rPr>
        <w:t>S. aureus</w:t>
      </w:r>
      <w:r>
        <w:rPr>
          <w:rFonts w:hint="eastAsia"/>
        </w:rPr>
        <w:t xml:space="preserve"> (Sa) comparing to PBS control</w:t>
      </w:r>
      <w:r>
        <w:rPr>
          <w:lang w:bidi="ar"/>
        </w:rPr>
        <w:t xml:space="preserve">. </w:t>
      </w:r>
      <w:r>
        <w:rPr>
          <w:rFonts w:hint="eastAsia"/>
          <w:lang w:bidi="ar"/>
        </w:rPr>
        <w:t>D</w:t>
      </w:r>
      <w:r>
        <w:rPr>
          <w:lang w:bidi="ar"/>
        </w:rPr>
        <w:t xml:space="preserve">ot size represents adjusted </w:t>
      </w:r>
      <w:r>
        <w:rPr>
          <w:i/>
          <w:iCs/>
          <w:lang w:bidi="ar"/>
        </w:rPr>
        <w:t>P</w:t>
      </w:r>
      <w:r>
        <w:rPr>
          <w:rFonts w:hint="eastAsia"/>
          <w:lang w:bidi="ar"/>
        </w:rPr>
        <w:t xml:space="preserve"> </w:t>
      </w:r>
      <w:r>
        <w:rPr>
          <w:lang w:bidi="ar"/>
        </w:rPr>
        <w:t>value; colored according to log2 (fold-change) of gene expression.</w:t>
      </w:r>
      <w:r>
        <w:rPr>
          <w:rFonts w:hint="eastAsia" w:eastAsia="宋体"/>
          <w:lang w:eastAsia="zh-CN" w:bidi="ar"/>
        </w:rPr>
        <w:t xml:space="preserve"> Error bars represent 95% confidence interval.</w:t>
      </w:r>
      <w:r>
        <w:rPr>
          <w:rFonts w:hint="eastAsia"/>
          <w:lang w:bidi="ar"/>
        </w:rPr>
        <w:t xml:space="preserve"> </w:t>
      </w:r>
      <w:r>
        <w:rPr>
          <w:rFonts w:hint="eastAsia"/>
        </w:rPr>
        <w:t>Statistical significance was determined using two-sided Fisher exact test (b, d, g, h), Bonferroni-adjusted two-sided Wilcoxon rank sum test (e, i</w:t>
      </w:r>
      <w:r>
        <w:rPr>
          <w:rFonts w:hint="eastAsia" w:eastAsia="宋体"/>
          <w:lang w:eastAsia="zh-CN"/>
        </w:rPr>
        <w:t>, j</w:t>
      </w:r>
      <w:r>
        <w:rPr>
          <w:rFonts w:hint="eastAsia"/>
        </w:rPr>
        <w:t>), and BH-adjusted empirical permutation test (c). ns, not significant</w:t>
      </w:r>
      <w:r>
        <w:rPr>
          <w:rFonts w:hint="eastAsia" w:eastAsia="宋体"/>
          <w:lang w:eastAsia="zh-CN"/>
        </w:rPr>
        <w:t>.</w:t>
      </w:r>
    </w:p>
    <w:p w14:paraId="17946B7D">
      <w:pPr>
        <w:spacing w:after="240"/>
        <w:jc w:val="both"/>
      </w:pP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8EB9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71591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71591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350A5172-BA5A-42C8-A8E0-6F8FB8393C34}" w:val=" ADDIN NE.Ref.{350A5172-BA5A-42C8-A8E0-6F8FB8393C34}&lt;Citation&gt;&lt;Group&gt;&lt;References&gt;&lt;Item&gt;&lt;ID&gt;1708&lt;/ID&gt;&lt;UID&gt;{B23D2014-CE2D-43FF-B01B-D9B6E37EABE8}&lt;/UID&gt;&lt;Title&gt;Genome editing of TXNIP in human pluripotent stem cells for the generation of  hepatocyte-like cells and insulin-producing islet-like aggregates&lt;/Title&gt;&lt;Template&gt;Journal Article&lt;/Template&gt;&lt;Star&gt;0&lt;/Star&gt;&lt;Tag&gt;0&lt;/Tag&gt;&lt;Author&gt;Traini, L; Negueruela, J; Elvira, B; St-Pierre-Wijckmans, W; Vandenbempt, V; Buss, C E; Li, A; Pérez-Chávez, I; Ribeiro-Costa, F; Nunes, M; Messens, J; Ezeriņa, D; Hay, D C; Bansal, M; Gurzov, E N&lt;/Author&gt;&lt;Year&gt;2025&lt;/Year&gt;&lt;Details&gt;&lt;_accession_num&gt;40320524&lt;/_accession_num&gt;&lt;_author_adr&gt;Signal Transduction and Metabolism Laboratory, Université Libre de Bruxelles,  Route de Lennik 808, B-1070, Brussels, Belgium.; Signal Transduction and Metabolism Laboratory, Université Libre de Bruxelles,  Route de Lennik 808, B-1070, Brussels, Belgium.; Signal Transduction and Metabolism Laboratory, Université Libre de Bruxelles,  Route de Lennik 808, B-1070, Brussels, Belgium.; Signal Transduction and Metabolism Laboratory, Université Libre de Bruxelles,  Route de Lennik 808, B-1070, Brussels, Belgium.; Signal Transduction and Metabolism Laboratory, Université Libre de Bruxelles,  Route de Lennik 808, B-1070, Brussels, Belgium.; Signal Transduction and Metabolism Laboratory, Université Libre de Bruxelles,  Route de Lennik 808, B-1070, Brussels, Belgium.; Signal Transduction and Metabolism Laboratory, Université Libre de Bruxelles,  Route de Lennik 808, B-1070, Brussels, Belgium.; Signal Transduction and Metabolism Laboratory, Université Libre de Bruxelles,  Route de Lennik 808, B-1070, Brussels, Belgium.; VIB-VUB Center for Structural Biology, Vlaams Instituut Voor Biotechnologie,  B-1050, Brussels, Belgium.; Structural Biology Brussels, Vrije Universiteit Brussel, B-1050, Brussels,  Belgium.; Brussels Center for Redox Biology, Vrije Universiteit Brussel, B-1050, Brussels,  Belgium.; Signal Transduction and Metabolism Laboratory, Université Libre de Bruxelles,  Route de Lennik 808, B-1070, Brussels, Belgium.; Signal Transduction and Metabolism Laboratory, Université Libre de Bruxelles,  Route de Lennik 808, B-1070, Brussels, Belgium.; VIB-VUB Center for Structural Biology, Vlaams Instituut Voor Biotechnologie,  B-1050, Brussels, Belgium.; Structural Biology Brussels, Vrije Universiteit Brussel, B-1050, Brussels,  Belgium.; Brussels Center for Redox Biology, Vrije Universiteit Brussel, B-1050, Brussels,  Belgium.; VIB-VUB Center for Structural Biology, Vlaams Instituut Voor Biotechnologie,  B-1050, Brussels, Belgium.; Structural Biology Brussels, Vrije Universiteit Brussel, B-1050, Brussels,  Belgium.; Brussels Center for Redox Biology, Vrije Universiteit Brussel, B-1050, Brussels,  Belgium.; Institute for Regeneration and Repair, Centre for Regenerative Medicine,  University of Edinburgh, Edinburgh, EH16 4UU, UK.; Signal Transduction and Metabolism Laboratory, Université Libre de Bruxelles,  Route de Lennik 808, B-1070, Brussels, Belgium. mayank.bansal@ulb.be.; Signal Transduction and Metabolism Laboratory, Université Libre de Bruxelles,  Route de Lennik 808, B-1070, Brussels, Belgium. esteban.gurzov@ulb.be.&lt;/_author_adr&gt;&lt;_collection_scope&gt;SCIE&lt;/_collection_scope&gt;&lt;_created&gt;66043756&lt;/_created&gt;&lt;_date&gt;2025-05-04&lt;/_date&gt;&lt;_date_display&gt;2025 May 4&lt;/_date_display&gt;&lt;_doi&gt;10.1186/s13287-025-04314-5&lt;/_doi&gt;&lt;_impact_factor&gt;   7.500&lt;/_impact_factor&gt;&lt;_isbn&gt;1757-6512 (Electronic); 1757-6512 (Linking)&lt;/_isbn&gt;&lt;_issue&gt;1&lt;/_issue&gt;&lt;_journal&gt;Stem Cell Res Ther&lt;/_journal&gt;&lt;_keywords&gt;CRISPR-Cas12a; Hepatocyte-like cells; Stem cell-derived islets; Stem cells; TXNIP&lt;/_keywords&gt;&lt;_language&gt;eng&lt;/_language&gt;&lt;_modified&gt;66043756&lt;/_modified&gt;&lt;_ori_publication&gt;© 2025. The Author(s).&lt;/_ori_publication&gt;&lt;_pages&gt;225&lt;/_pages&gt;&lt;_social_category&gt;细胞与组织工程(2) &amp;amp; 细胞生物学(2) &amp;amp; 医学：研究与实验(2)&lt;/_social_category&gt;&lt;_subject_headings&gt;Humans; Animals; Mice; *Carrier Proteins/genetics/metabolism; *Gene Editing; Cell Differentiation; *Hepatocytes/metabolism/cytology; Mice, Inbred NOD; Male; Mice, SCID; Human Embryonic Stem Cells/metabolism/cytology; Female; Insulin/metabolism; *Thioredoxins/genetics/metabolism; *Insulin-Secreting Cells/metabolism/cytology; *Pluripotent Stem Cells/metabolism/cytology; Islets of Langerhans/metabolism/cytology&lt;/_subject_headings&gt;&lt;_tertiary_title&gt;Stem cell research &amp;amp; therapy&lt;/_tertiary_title&gt;&lt;_type_work&gt;Journal Article&lt;/_type_work&gt;&lt;_url&gt;http://www.ncbi.nlm.nih.gov/entrez/query.fcgi?cmd=Retrieve&amp;amp;db=pubmed&amp;amp;dopt=Abstract&amp;amp;list_uids=40320524&amp;amp;query_hl=1&lt;/_url&gt;&lt;_volume&gt;16&lt;/_volume&gt;&lt;/Details&gt;&lt;Extra&gt;&lt;DBUID&gt;{CBA33C2C-3452-48AB-A447-807165A81FA5}&lt;/DBUID&gt;&lt;/Extra&gt;&lt;/Item&gt;&lt;/References&gt;&lt;/Group&gt;&lt;/Citation&gt;_x000a_"/>
    <w:docVar w:name="NE.Ref{C7A135B1-A570-4FD7-A888-6242E3F6D19A}" w:val=" ADDIN NE.Ref.{C7A135B1-A570-4FD7-A888-6242E3F6D19A}&lt;Citation&gt;&lt;Group&gt;&lt;References&gt;&lt;Item&gt;&lt;ID&gt;841&lt;/ID&gt;&lt;UID&gt;{F7040790-45EC-4D11-B7C8-D2DD8332C507}&lt;/UID&gt;&lt;Title&gt;Proteomics. Tissue-based map of the human proteome&lt;/Title&gt;&lt;Template&gt;Journal Article&lt;/Template&gt;&lt;Star&gt;0&lt;/Star&gt;&lt;Tag&gt;0&lt;/Tag&gt;&lt;Author&gt;Uhlen, M; Fagerberg, L; Hallstrom, B M; Lindskog, C; Oksvold, P; Mardinoglu, A; Sivertsson, A; Kampf, C; Sjostedt, E; Asplund, A; Olsson, I; Edlund, K; Lundberg, E; Navani, S; Szigyarto, C A; Odeberg, J; Djureinovic, D; Takanen, J O; Hober, S; Alm, T; Edqvist, P H; Berling, H; Tegel, H; Mulder, J; Rockberg, J; Nilsson, P; Schwenk, J M; Hamsten, M; von Feilitzen, K; Forsberg, M; Persson, L; Johansson, F; Zwahlen, M; von Heijne, G; Nielsen, J; Ponten, F&lt;/Author&gt;&lt;Year&gt;2015&lt;/Year&gt;&lt;Details&gt;&lt;_accessed&gt;64406126&lt;/_accessed&gt;&lt;_accession_num&gt;25613900&lt;/_accession_num&gt;&lt;_author_adr&gt;Science for Life Laboratory, KTH-Royal Institute of Technology, SE-171 21 Stockholm, Sweden. Department of Proteomics, KTH-Royal Institute of Technology, SE-106 91 Stockholm, Sweden. Novo Nordisk Foundation Center for Biosustainability, Technical University of Denmark, DK-2970 Horsholm, Denmark. mathias.uhlen@scilifelab.se.; Science for Life Laboratory, KTH-Royal Institute of Technology, SE-171 21 Stockholm, Sweden.; Science for Life Laboratory, KTH-Royal Institute of Technology, SE-171 21 Stockholm, Sweden. Department of Proteomics, KTH-Royal Institute of Technology, SE-106 91 Stockholm, Sweden.; Department of Immunology, Genetics and Pathology, Science for Life Laboratory, Uppsala University, SE-751 85 Uppsala, Sweden.; Science for Life Laboratory, KTH-Royal Institute of Technology, SE-171 21 Stockholm, Sweden.; Department of Chemical and Biological Engineering, Chalmers University of Technology, SE-412 96 Gothenburg, Sweden.; Science for Life Laboratory, KTH-Royal Institute of Technology, SE-171 21 Stockholm, Sweden.; Department of Immunology, Genetics and Pathology, Science for Life Laboratory, Uppsala University, SE-751 85 Uppsala, Sweden.; Science for Life Laboratory, KTH-Royal Institute of Technology, SE-171 21 Stockholm, Sweden. Department of Immunology, Genetics and Pathology, Science for  Life Laboratory, Uppsala University, SE-751 85 Uppsala, Sweden.; Department of Immunology, Genetics and Pathology, Science for Life Laboratory, Uppsala University, SE-751 85 Uppsala, Sweden.; Department of Immunology, Genetics and Pathology, Science for Life Laboratory, Uppsala University, SE-751 85 Uppsala, Sweden.; Leibniz Research Centre for Working Environment and Human Factors (IfADo) at Dortmund TU, D-44139 Dortmund, Germany.; Science for Life Laboratory, KTH-Royal Institute of Technology, SE-171 21 Stockholm, Sweden.; Lab Surgpath, Mumbai, India.; Department of Proteomics, KTH-Royal Institute of Technology, SE-106 91 Stockholm, Sweden.; Science for Life Laboratory, KTH-Royal Institute of Technology, SE-171 21 Stockholm, Sweden.; Department of Immunology, Genetics and Pathology, Science for Life Laboratory, Uppsala University, SE-751 85 Uppsala, Sweden.; Department of Proteomics, KTH-Royal Institute of Technology, SE-106 91 Stockholm, Sweden.; Department of Proteomics, KTH-Royal Institute of Technology, SE-106 91 Stockholm, Sweden.; Science for Life Laboratory, KTH-Royal Institute of Technology, SE-171 21 Stockholm, Sweden.; Department of Immunology, Genetics and Pathology, Science for Life Laboratory, Uppsala University, SE-751 85 Uppsala, Sweden.; Department of Proteomics, KTH-Royal Institute of Technology, SE-106 91 Stockholm, Sweden.; Department of Proteomics, KTH-Royal Institute of Technology, SE-106 91 Stockholm, Sweden.; Science for Life Laboratory, Department of Neuroscience, Karolinska Institute, SE-171 77 Stockholm, Sweden.; Department of Proteomics, KTH-Royal Institute of Technology, SE-106 91 Stockholm, Sweden.; Science for Life Laboratory, KTH-Royal Institute of Technology, SE-171 21 Stockholm, Sweden.; Science for Life Laboratory, KTH-Royal Institute of Technology, SE-171 21 Stockholm, Sweden.; Department of Proteomics, KTH-Royal Institute of Technology, SE-106 91 Stockholm, Sweden.; Science for Life Laboratory, KTH-Royal Institute of Technology, SE-171 21 Stockholm, Sweden.; Science for Life Laboratory, KTH-Royal Institute of Technology, SE-171 21 Stockholm, Sweden.; Science for Life Laboratory, KTH-Royal Institute of Technology, SE-171 21 Stockholm, Sweden.; Science for Life Laboratory, KTH-Royal Institute of Technology, SE-171 21 Stockholm, Sweden.; Science for Life Laboratory, KTH-Royal Institute of Technology, SE-171 21 Stockholm, Sweden.; Center for Biomembrane Research, Department of Biochemistry and Biophysics, Stockholm University, Stockholm, Sweden.; Novo Nordisk Foundation Center for Biosustainability, Technical University of Denmark, DK-2970 Horsholm, Denmark. Department of Chemical and Biological Engineering, Chalmers University of Technology, SE-412 96 Gothenburg, Sweden.; Department of Immunology, Genetics and Pathology, Science for Life Laboratory, Uppsala University, SE-751 85 Uppsala, Sweden.&lt;/_author_adr&gt;&lt;_collection_scope&gt;SCI;SCIE&lt;/_collection_scope&gt;&lt;_created&gt;64406125&lt;/_created&gt;&lt;_date&gt;60516000&lt;/_date&gt;&lt;_date_display&gt;2015 Jan 23&lt;/_date_display&gt;&lt;_db_updated&gt;PubMed&lt;/_db_updated&gt;&lt;_doi&gt;10.1126/science.1260419&lt;/_doi&gt;&lt;_impact_factor&gt;  56.900&lt;/_impact_factor&gt;&lt;_isbn&gt;1095-9203 (Electronic); 0036-8075 (Linking)&lt;/_isbn&gt;&lt;_issue&gt;6220&lt;/_issue&gt;&lt;_journal&gt;Science&lt;/_journal&gt;&lt;_language&gt;eng&lt;/_language&gt;&lt;_modified&gt;65309003&lt;/_modified&gt;&lt;_ori_publication&gt;Copyright (c) 2015, American Association for the Advancement of Science.&lt;/_ori_publication&gt;&lt;_pages&gt;1260419&lt;/_pages&gt;&lt;_social_category&gt;综合性期刊(1)&lt;/_social_category&gt;&lt;_subject_headings&gt;Alternative Splicing; Cell Line; *Databases, Protein; Female; Genes; Genetic Code; Humans; Internet; Male; Membrane Proteins/genetics/metabolism; Mitochondrial Proteins/genetics/metabolism; Neoplasms/genetics/metabolism; Protein Array Analysis; Protein Isoforms/genetics/metabolism; Proteome/genetics/*metabolism; Tissue Distribution; Transcription, Genetic&lt;/_subject_headings&gt;&lt;_tertiary_title&gt;Science (New York, N.Y.)&lt;/_tertiary_title&gt;&lt;_type_work&gt;Journal Article; Research Support, Non-U.S. Gov&amp;apos;t&lt;/_type_work&gt;&lt;_url&gt;http://www.ncbi.nlm.nih.gov/entrez/query.fcgi?cmd=Retrieve&amp;amp;db=pubmed&amp;amp;dopt=Abstract&amp;amp;list_uids=25613900&amp;amp;query_hl=1&lt;/_url&gt;&lt;_volume&gt;347&lt;/_volume&gt;&lt;/Details&gt;&lt;Extra&gt;&lt;DBUID&gt;{CBA33C2C-3452-48AB-A447-807165A81FA5}&lt;/DBUID&gt;&lt;/Extra&gt;&lt;/Item&gt;&lt;/References&gt;&lt;/Group&gt;&lt;/Citation&gt;_x000a_"/>
    <w:docVar w:name="NE.Ref{EC16066B-7846-433D-8329-E6EC6C7E79CB}" w:val=" ADDIN NE.Ref.{EC16066B-7846-433D-8329-E6EC6C7E79CB}&lt;Citation&gt;&lt;Group&gt;&lt;References&gt;&lt;Item&gt;&lt;ID&gt;1707&lt;/ID&gt;&lt;UID&gt;{4D3866FC-91A3-43C5-9039-AF3CC84CE4A0}&lt;/UID&gt;&lt;Title&gt;Identification of a Selective Pharmacologic IRE1/XBP1s Activator with Enhanced  Tissue Exposure&lt;/Title&gt;&lt;Template&gt;Journal Article&lt;/Template&gt;&lt;Star&gt;0&lt;/Star&gt;&lt;Tag&gt;0&lt;/Tag&gt;&lt;Author&gt;Sun, J; Lee, K; Kutseikin, S; Guerrero, A; Rius, B; Madhavan, A; Buasakdi, C; Cheong, K N; Chatterjee, P; Rosen, D A; Yoon, L; Ardejani, M S; Mendoza, A; Rosarda, J D; Saez, E; Kelly, J W; Wiseman, R L&lt;/Author&gt;&lt;Year&gt;2025&lt;/Year&gt;&lt;Details&gt;&lt;_accession_num&gt;40231944&lt;/_accession_num&gt;&lt;_author_adr&gt;Department of Molecular and Cellular Biology, Scripps Research, La Jolla,  California 92037, United States.; Department of Chemistry, Scripps Research, La Jolla, California 92037, United  States.; Department of Molecular and Cellular Biology, Scripps Research, La Jolla,  California 92037, United States.; Department of Chemistry, Scripps Research, La Jolla, California 92037, United  States.; Department of Molecular and Cellular Biology, Scripps Research, La Jolla,  California 92037, United States.; Department of Molecular and Cellular Biology, Scripps Research, La Jolla,  California 92037, United States.; Department of Molecular and Cellular Biology, Scripps Research, La Jolla,  California 92037, United States.; Department of Molecular and Cellular Biology, Scripps Research, La Jolla,  California 92037, United States.; Department of Immunology and Microbial Science, Scripps Research, La Jolla,  California 92037, United States.; Department of Molecular and Cellular Biology, Scripps Research, La Jolla,  California 92037, United States.; Department of Molecular and Cellular Biology, Scripps Research, La Jolla,  California 92037, United States.; Department of Chemistry, Scripps Research, La Jolla, California 92037, United  States.; Department of Chemistry, Scripps Research, La Jolla, California 92037, United  States.; Department of Immunology and Microbial Science, Scripps Research, La Jolla,  California 92037, United States.; Department of Molecular and Cellular Biology, Scripps Research, La Jolla,  California 92037, United States.; Department of Molecular and Cellular Biology, Scripps Research, La Jolla,  California 92037, United States.; Department of Chemistry, Scripps Research, La Jolla, California 92037, United  States.; The Skaggs Institute for Chemical Biology, Scripps Research, La Jolla, California  92037, United States.; Department of Molecular and Cellular Biology, Scripps Research, La Jolla,  California 92037, United States.&lt;/_author_adr&gt;&lt;_collection_scope&gt;SCIE&lt;/_collection_scope&gt;&lt;_created&gt;66043755&lt;/_created&gt;&lt;_date&gt;2025-05-16&lt;/_date&gt;&lt;_date_display&gt;2025 May 16&lt;/_date_display&gt;&lt;_doi&gt;10.1021/acschembio.4c00867&lt;/_doi&gt;&lt;_impact_factor&gt;   4.000&lt;/_impact_factor&gt;&lt;_isbn&gt;1554-8937 (Electronic); 1554-8929 (Linking)&lt;/_isbn&gt;&lt;_issue&gt;5&lt;/_issue&gt;&lt;_journal&gt;ACS Chem Biol&lt;/_journal&gt;&lt;_language&gt;eng&lt;/_language&gt;&lt;_modified&gt;66043755&lt;/_modified&gt;&lt;_pages&gt;993-1003&lt;/_pages&gt;&lt;_social_category&gt;生化与分子生物学(3)&lt;/_social_category&gt;&lt;_subject_headings&gt;Animals; *X-Box Binding Protein 1/metabolism; *Protein Serine-Threonine Kinases/metabolism; Humans; Mice; *Endoribonucleases/metabolism; Unfolded Protein Response/drug effects; Signal Transduction/drug effects; Rats; High-Throughput Screening Assays&lt;/_subject_headings&gt;&lt;_tertiary_title&gt;ACS chemical biology&lt;/_tertiary_title&gt;&lt;_type_work&gt;Journal Article&lt;/_type_work&gt;&lt;_url&gt;http://www.ncbi.nlm.nih.gov/entrez/query.fcgi?cmd=Retrieve&amp;amp;db=pubmed&amp;amp;dopt=Abstract&amp;amp;list_uids=40231944&amp;amp;query_hl=1&lt;/_url&gt;&lt;_volume&gt;20&lt;/_volume&gt;&lt;/Details&gt;&lt;Extra&gt;&lt;DBUID&gt;{CBA33C2C-3452-48AB-A447-807165A81FA5}&lt;/DBUID&gt;&lt;/Extra&gt;&lt;/Item&gt;&lt;/References&gt;&lt;/Group&gt;&lt;/Citation&gt;_x000a_"/>
    <w:docVar w:name="ne_stylename" w:val="inflammation immunity"/>
  </w:docVars>
  <w:rsids>
    <w:rsidRoot w:val="00172A27"/>
    <w:rsid w:val="00172A27"/>
    <w:rsid w:val="00493860"/>
    <w:rsid w:val="004C5E19"/>
    <w:rsid w:val="007320EC"/>
    <w:rsid w:val="00A234F1"/>
    <w:rsid w:val="00B26BB1"/>
    <w:rsid w:val="00B736C4"/>
    <w:rsid w:val="00BA5897"/>
    <w:rsid w:val="00EB2E71"/>
    <w:rsid w:val="04430FDE"/>
    <w:rsid w:val="10F52581"/>
    <w:rsid w:val="14752644"/>
    <w:rsid w:val="19EB5EE8"/>
    <w:rsid w:val="1B3D7F53"/>
    <w:rsid w:val="3A935D24"/>
    <w:rsid w:val="3F073ADC"/>
    <w:rsid w:val="585C5C52"/>
    <w:rsid w:val="5D33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4">
    <w:name w:val="annotation subject"/>
    <w:basedOn w:val="2"/>
    <w:next w:val="2"/>
    <w:link w:val="11"/>
    <w:uiPriority w:val="0"/>
    <w:rPr>
      <w:b/>
      <w:bCs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styleId="9">
    <w:name w:val="annotation reference"/>
    <w:basedOn w:val="7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7"/>
    <w:link w:val="2"/>
    <w:uiPriority w:val="0"/>
    <w:rPr>
      <w:rFonts w:ascii="Times New Roman" w:hAnsi="Times New Roman" w:eastAsia="Times New Roman"/>
      <w:sz w:val="22"/>
      <w:szCs w:val="22"/>
      <w:lang w:eastAsia="en-US"/>
    </w:rPr>
  </w:style>
  <w:style w:type="character" w:customStyle="1" w:styleId="11">
    <w:name w:val="批注主题 字符"/>
    <w:basedOn w:val="10"/>
    <w:link w:val="4"/>
    <w:uiPriority w:val="0"/>
    <w:rPr>
      <w:rFonts w:ascii="Times New Roman" w:hAnsi="Times New Roman" w:eastAsia="Times New Roman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tiff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824</Words>
  <Characters>4531</Characters>
  <Lines>39</Lines>
  <Paragraphs>11</Paragraphs>
  <TotalTime>6</TotalTime>
  <ScaleCrop>false</ScaleCrop>
  <LinksUpToDate>false</LinksUpToDate>
  <CharactersWithSpaces>5341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2026-02-05T07:52:00Z</dcterms:created>
  <dc:creator>忻悦</dc:creator>
  <cp:lastModifiedBy>2020660842</cp:lastModifiedBy>
  <dcterms:modified xsi:type="dcterms:W3CDTF">2026-02-16T06:40:35Z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DF6F655D925F40CC8EBB6E6A8BCE72D5_13</vt:lpwstr>
  </property>
  <property fmtid="{D5CDD505-2E9C-101B-9397-08002B2CF9AE}" pid="4" name="KSOTemplateDocerSaveRecord">
    <vt:lpwstr>eyJoZGlkIjoiZDQ1MTk4ZjE5MjQ5MGMzZmQxZDU5NjEwMmUyNjgyNDciLCJ1c2VySWQiOiI5NzE2MDkwNjcifQ==</vt:lpwstr>
  </property>
</Properties>
</file>