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F927E">
      <w:pPr>
        <w:rPr>
          <w:rFonts w:ascii="Times New Roman" w:hAnsi="Times New Roman" w:cs="Times New Roman"/>
          <w:b/>
          <w:bCs/>
        </w:rPr>
      </w:pPr>
      <w:bookmarkStart w:id="0" w:name="_GoBack"/>
      <w:bookmarkEnd w:id="0"/>
      <w:r>
        <w:rPr>
          <w:rFonts w:ascii="Times New Roman" w:hAnsi="Times New Roman" w:cs="Times New Roman"/>
          <w:b/>
          <w:bCs/>
        </w:rPr>
        <w:t>METHOD DETAILS</w:t>
      </w:r>
    </w:p>
    <w:p w14:paraId="70034DF4">
      <w:pPr>
        <w:rPr>
          <w:rFonts w:ascii="Times New Roman" w:hAnsi="Times New Roman" w:cs="Times New Roman"/>
          <w:b/>
          <w:bCs/>
        </w:rPr>
      </w:pPr>
    </w:p>
    <w:p w14:paraId="5DE3E59B">
      <w:pPr>
        <w:rPr>
          <w:rFonts w:ascii="Times New Roman" w:hAnsi="Times New Roman" w:cs="Times New Roman"/>
          <w:b/>
          <w:bCs/>
        </w:rPr>
      </w:pPr>
      <w:r>
        <w:rPr>
          <w:rFonts w:ascii="Times New Roman" w:hAnsi="Times New Roman" w:cs="Times New Roman"/>
          <w:b/>
          <w:bCs/>
        </w:rPr>
        <w:t>Mice</w:t>
      </w:r>
    </w:p>
    <w:p w14:paraId="4BFC5989">
      <w:pP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rPr>
        <w:t>C57BL/6J mice were obtained from Vital River (China), and TRPV3-knockout (TRPV3-KO) mice were kindly provided by Professor Bailong Xiao (Tsinghua University). All mice were housed in the specific pathogen-free (SPF) animal facility of Tsinghua University under controlled environmental conditions: temperature maintained at 24–25°C, relative humidity at 50–60%, and a 12-hour light/dark cycle. Animals had ad libitum access to standard laboratory chow and water throughout the study period.</w:t>
      </w:r>
      <w:r>
        <w:rPr>
          <w:rFonts w:ascii="Times New Roman" w:hAnsi="Times New Roman" w:cs="Times New Roman"/>
          <w:color w:val="000000" w:themeColor="text1"/>
          <w14:textFill>
            <w14:solidFill>
              <w14:schemeClr w14:val="tx1"/>
            </w14:solidFill>
          </w14:textFill>
        </w:rPr>
        <w:t xml:space="preserve"> </w:t>
      </w:r>
    </w:p>
    <w:p w14:paraId="27253D75">
      <w:pPr>
        <w:rPr>
          <w:rFonts w:ascii="Times New Roman" w:hAnsi="Times New Roman" w:cs="Times New Roman"/>
          <w:b/>
          <w:bCs/>
        </w:rPr>
      </w:pPr>
      <w:r>
        <w:rPr>
          <w:rFonts w:ascii="Times New Roman" w:hAnsi="Times New Roman" w:cs="Times New Roman"/>
          <w:b/>
          <w:bCs/>
        </w:rPr>
        <w:t>Cell lines</w:t>
      </w:r>
    </w:p>
    <w:p w14:paraId="5AB3863F">
      <w:pPr>
        <w:rPr>
          <w:rFonts w:ascii="Times New Roman" w:hAnsi="Times New Roman" w:cs="Times New Roman"/>
          <w:b/>
          <w:bCs/>
        </w:rPr>
      </w:pPr>
      <w:r>
        <w:rPr>
          <w:rFonts w:hint="eastAsia" w:ascii="Times New Roman" w:hAnsi="Times New Roman" w:cs="Times New Roman"/>
        </w:rPr>
        <w:t>A431 cells were maintained in Dulbecco</w:t>
      </w:r>
      <w:r>
        <w:rPr>
          <w:rFonts w:ascii="Times New Roman" w:hAnsi="Times New Roman" w:cs="Times New Roman"/>
        </w:rPr>
        <w:t>’</w:t>
      </w:r>
      <w:r>
        <w:rPr>
          <w:rFonts w:hint="eastAsia" w:ascii="Times New Roman" w:hAnsi="Times New Roman" w:cs="Times New Roman"/>
        </w:rPr>
        <w:t xml:space="preserve">s Modified Eagle Medium (DMEM, Gibco) supplemented with 10% fetal bovine serum (FBS, Gibco) and 100 U/mL penicillin/streptomycin (Gibco). Cell passaging was performed using 0.25% Trypsin-EDTA (Gibco) upon reaching 80–90% confluence. </w:t>
      </w:r>
    </w:p>
    <w:p w14:paraId="7EEF7EEA">
      <w:pPr>
        <w:rPr>
          <w:rFonts w:ascii="Times New Roman" w:hAnsi="Times New Roman" w:cs="Times New Roman"/>
          <w:b/>
          <w:bCs/>
        </w:rPr>
      </w:pPr>
      <w:r>
        <w:rPr>
          <w:rFonts w:hint="eastAsia" w:ascii="Times New Roman" w:hAnsi="Times New Roman" w:cs="Times New Roman"/>
          <w:b/>
          <w:bCs/>
        </w:rPr>
        <w:t>Construction of genetically modified cell lines</w:t>
      </w:r>
    </w:p>
    <w:p w14:paraId="0E2E4FAB">
      <w:pPr>
        <w:rPr>
          <w:rFonts w:ascii="Times New Roman" w:hAnsi="Times New Roman" w:cs="Times New Roman"/>
        </w:rPr>
      </w:pPr>
      <w:r>
        <w:rPr>
          <w:rFonts w:hint="eastAsia" w:ascii="Times New Roman" w:hAnsi="Times New Roman" w:cs="Times New Roman"/>
        </w:rPr>
        <w:t>To generate TRPV3-knockout A431 cells, the CRISPR-Cas9 system was employed. Single-guide RNA (sgRNA) targeting the human TRPV3 gene was designed using the online tool Zlab sgRNA Designer (https://zlab.bio/guide-design-resources). The synthesized sgRNA oligos were cloned into the BbsI-linearized pSpCas9-2A-GFP plasmid via T4 DNA ligase. Following amplification and purification, the constructed plasmids were transfected into A431 cells. At 48 hours post-transfection, single cells displaying high GFP fluorescence were sorted by flow cytometry and subsequently plated into 96-well plates for clonal expansion.</w:t>
      </w:r>
    </w:p>
    <w:p w14:paraId="6D9B2953">
      <w:pPr>
        <w:rPr>
          <w:rFonts w:ascii="Times New Roman" w:hAnsi="Times New Roman" w:cs="Times New Roman"/>
          <w:b/>
          <w:bCs/>
        </w:rPr>
      </w:pPr>
      <w:r>
        <w:rPr>
          <w:rFonts w:hint="eastAsia" w:ascii="Times New Roman" w:hAnsi="Times New Roman" w:cs="Times New Roman"/>
          <w:b/>
          <w:bCs/>
        </w:rPr>
        <w:t>Isolation and culture of mouse keratinocytes</w:t>
      </w:r>
    </w:p>
    <w:p w14:paraId="0F9F17BA">
      <w:pPr>
        <w:rPr>
          <w:rFonts w:ascii="Times New Roman" w:hAnsi="Times New Roman" w:cs="Times New Roman"/>
          <w:b/>
          <w:bCs/>
        </w:rPr>
      </w:pPr>
      <w:r>
        <w:rPr>
          <w:rFonts w:hint="eastAsia" w:ascii="Times New Roman" w:hAnsi="Times New Roman" w:cs="Times New Roman"/>
        </w:rPr>
        <w:t>Primary mouse keratinocytes were isolated from the dorsal skin of postnatal day 2 (P2) wild-type (WT) or genetically modified mice. The skin tissues were first sterilized in 75% ethanol for 100 s and rinsed with PBS, followed by overnight digestion at 4°C with 1.2 U/mL dispase II (Roche) to separate the epidermis from the dermis. After mechanical dissection, the epidermal sheets were further digested with Trypsin-EDTA (Gibco) at room temperature for 25 minutes to generate single-cell suspensions. The keratinocytes were then cultured in CnT-Prime Epithelial Culture Medium (CELLnTEC Advanced Cell Systems AG) for 5–6 days until reaching 70–80% confluence. To induce differentiation, the culture medium was supplemented with 1.7 mM CaCl</w:t>
      </w:r>
      <w:r>
        <w:rPr>
          <w:rFonts w:hint="eastAsia" w:ascii="Times New Roman" w:hAnsi="Times New Roman" w:cs="Times New Roman"/>
          <w:vertAlign w:val="subscript"/>
        </w:rPr>
        <w:t>2</w:t>
      </w:r>
      <w:r>
        <w:rPr>
          <w:rFonts w:hint="eastAsia" w:ascii="Times New Roman" w:hAnsi="Times New Roman" w:cs="Times New Roman"/>
        </w:rPr>
        <w:t xml:space="preserve"> for 24 hours. All subsequent experiments were performed using first-passage keratinocytes.</w:t>
      </w:r>
    </w:p>
    <w:p w14:paraId="01B98C02">
      <w:pPr>
        <w:rPr>
          <w:rFonts w:ascii="Times New Roman" w:hAnsi="Times New Roman" w:cs="Times New Roman"/>
          <w:b/>
          <w:bCs/>
        </w:rPr>
      </w:pPr>
      <w:r>
        <w:rPr>
          <w:rFonts w:hint="eastAsia" w:ascii="Times New Roman" w:hAnsi="Times New Roman" w:cs="Times New Roman"/>
          <w:b/>
          <w:bCs/>
        </w:rPr>
        <w:t>Mouse immunization and ELISA</w:t>
      </w:r>
    </w:p>
    <w:p w14:paraId="7591AA06">
      <w:pPr>
        <w:rPr>
          <w:rFonts w:ascii="Times New Roman" w:hAnsi="Times New Roman" w:cs="Times New Roman"/>
        </w:rPr>
      </w:pPr>
      <w:r>
        <w:rPr>
          <w:rFonts w:hint="eastAsia" w:ascii="Times New Roman" w:hAnsi="Times New Roman" w:cs="Times New Roman"/>
        </w:rPr>
        <w:t xml:space="preserve">Female C57BL/6J mice (7–8 weeks old) were immunized via footpad injection </w:t>
      </w:r>
      <w:r>
        <w:rPr>
          <w:rFonts w:hint="eastAsia" w:ascii="Times New Roman" w:hAnsi="Times New Roman" w:cs="Times New Roman"/>
          <w:lang w:val="en-US" w:eastAsia="zh-CN"/>
        </w:rPr>
        <w:t xml:space="preserve">or intranasal administration </w:t>
      </w:r>
      <w:r>
        <w:rPr>
          <w:rFonts w:hint="eastAsia" w:ascii="Times New Roman" w:hAnsi="Times New Roman" w:cs="Times New Roman"/>
        </w:rPr>
        <w:t>with ovalbumin (OVA) emulsified in the indicated adjuvants. Serum samples were collected from the tail vein at specified time points post-immunization.</w:t>
      </w:r>
    </w:p>
    <w:p w14:paraId="0001E359">
      <w:pPr>
        <w:rPr>
          <w:rFonts w:ascii="Times New Roman" w:hAnsi="Times New Roman" w:cs="Times New Roman"/>
        </w:rPr>
      </w:pPr>
      <w:r>
        <w:rPr>
          <w:rFonts w:hint="eastAsia" w:ascii="Times New Roman" w:hAnsi="Times New Roman" w:cs="Times New Roman"/>
        </w:rPr>
        <w:t>For the detection of antigen-specific antibodies, 96-well ELISA plates (Corning) were coated with 2 µg/mL OVA in coating buffer and incubated overnight at 4°C. After washing, the plates were blocked with 5% skim milk in PBS containing 0.05% Tween-20 (PBS-T) for 1 hour at 37°C. Serial two-fold dilutions of serum samples were added and incubated for 2 hours at room temperature. Following washing, horseradish peroxidase (HRP)-conjugated subclass-specific secondary antibodies were applied. Color development was initiated by adding ortho-phenylenediamine (OPD, MACKLIN) substrate for 3 minutes and stopped with 2 M H</w:t>
      </w:r>
      <w:r>
        <w:rPr>
          <w:rFonts w:hint="eastAsia" w:ascii="Times New Roman" w:hAnsi="Times New Roman" w:cs="Times New Roman"/>
          <w:vertAlign w:val="subscript"/>
        </w:rPr>
        <w:t>2</w:t>
      </w:r>
      <w:r>
        <w:rPr>
          <w:rFonts w:hint="eastAsia" w:ascii="Times New Roman" w:hAnsi="Times New Roman" w:cs="Times New Roman"/>
        </w:rPr>
        <w:t>SO</w:t>
      </w:r>
      <w:r>
        <w:rPr>
          <w:rFonts w:hint="eastAsia" w:ascii="Times New Roman" w:hAnsi="Times New Roman" w:cs="Times New Roman"/>
          <w:vertAlign w:val="subscript"/>
        </w:rPr>
        <w:t>4</w:t>
      </w:r>
      <w:r>
        <w:rPr>
          <w:rFonts w:hint="eastAsia" w:ascii="Times New Roman" w:hAnsi="Times New Roman" w:cs="Times New Roman"/>
        </w:rPr>
        <w:t>. The optical density at 490 nm was measured using a microplate reader (Bio-Rad). The endpoint antibody titer was defined as the highest serum dilution that yielded an OD490 value 2.1-fold greater than that of pre-immune serum.</w:t>
      </w:r>
    </w:p>
    <w:p w14:paraId="53782A2D">
      <w:pPr>
        <w:rPr>
          <w:rFonts w:ascii="Times New Roman" w:hAnsi="Times New Roman" w:cs="Times New Roman"/>
          <w:b/>
          <w:bCs/>
        </w:rPr>
      </w:pPr>
      <w:r>
        <w:rPr>
          <w:rFonts w:hint="eastAsia" w:ascii="Times New Roman" w:hAnsi="Times New Roman" w:cs="Times New Roman"/>
          <w:b/>
          <w:bCs/>
        </w:rPr>
        <w:t>Calcium mobilization</w:t>
      </w:r>
    </w:p>
    <w:p w14:paraId="163B6920">
      <w:pPr>
        <w:rPr>
          <w:rFonts w:ascii="Times New Roman" w:hAnsi="Times New Roman" w:cs="Times New Roman"/>
        </w:rPr>
      </w:pPr>
      <w:r>
        <w:rPr>
          <w:rFonts w:hint="eastAsia" w:ascii="Times New Roman" w:hAnsi="Times New Roman" w:cs="Times New Roman"/>
        </w:rPr>
        <w:t>Changes in intracellular Ca</w:t>
      </w:r>
      <w:r>
        <w:rPr>
          <w:rFonts w:hint="eastAsia" w:ascii="Times New Roman" w:hAnsi="Times New Roman" w:cs="Times New Roman"/>
          <w:vertAlign w:val="superscript"/>
        </w:rPr>
        <w:t>2+</w:t>
      </w:r>
      <w:r>
        <w:rPr>
          <w:rFonts w:hint="eastAsia" w:ascii="Times New Roman" w:hAnsi="Times New Roman" w:cs="Times New Roman"/>
        </w:rPr>
        <w:t xml:space="preserve"> concentration were monitored in A431 cells using the fluorescent probe Fluo-4 AM (Beyotime). Cells were loaded with 1 </w:t>
      </w:r>
      <w:r>
        <w:rPr>
          <w:rFonts w:ascii="Times New Roman" w:hAnsi="Times New Roman" w:cs="Times New Roman"/>
        </w:rPr>
        <w:t>μ</w:t>
      </w:r>
      <w:r>
        <w:rPr>
          <w:rFonts w:hint="eastAsia" w:ascii="Times New Roman" w:hAnsi="Times New Roman" w:cs="Times New Roman"/>
        </w:rPr>
        <w:t>M Fluo-4 AM in Hanks’ Balanced Salt Solution (HBSS, containing Ca</w:t>
      </w:r>
      <w:r>
        <w:rPr>
          <w:rFonts w:hint="eastAsia" w:ascii="Times New Roman" w:hAnsi="Times New Roman" w:cs="Times New Roman"/>
          <w:vertAlign w:val="superscript"/>
        </w:rPr>
        <w:t>2+</w:t>
      </w:r>
      <w:r>
        <w:rPr>
          <w:rFonts w:hint="eastAsia" w:ascii="Times New Roman" w:hAnsi="Times New Roman" w:cs="Times New Roman"/>
        </w:rPr>
        <w:t xml:space="preserve"> and Mg</w:t>
      </w:r>
      <w:r>
        <w:rPr>
          <w:rFonts w:hint="eastAsia" w:ascii="Times New Roman" w:hAnsi="Times New Roman" w:cs="Times New Roman"/>
          <w:vertAlign w:val="superscript"/>
        </w:rPr>
        <w:t>2+</w:t>
      </w:r>
      <w:r>
        <w:rPr>
          <w:rFonts w:hint="eastAsia" w:ascii="Times New Roman" w:hAnsi="Times New Roman" w:cs="Times New Roman"/>
        </w:rPr>
        <w:t>) at 37°C for 20 minutes, followed by two washes with HBSS to remove excess dye. The stained cells were then resuspended in HBSS and exposed to various stimuli for the indicated durations. Real-time Ca</w:t>
      </w:r>
      <w:r>
        <w:rPr>
          <w:rFonts w:hint="eastAsia" w:ascii="Times New Roman" w:hAnsi="Times New Roman" w:cs="Times New Roman"/>
          <w:vertAlign w:val="superscript"/>
        </w:rPr>
        <w:t>2+</w:t>
      </w:r>
      <w:r>
        <w:rPr>
          <w:rFonts w:hint="eastAsia" w:ascii="Times New Roman" w:hAnsi="Times New Roman" w:cs="Times New Roman"/>
        </w:rPr>
        <w:t xml:space="preserve"> flux was measured using a BD Accuri™ C6 flow cytometer, and the data were analyzed with FlowJo software. </w:t>
      </w:r>
    </w:p>
    <w:p w14:paraId="350FEC2B">
      <w:pPr>
        <w:rPr>
          <w:rFonts w:ascii="Times New Roman" w:hAnsi="Times New Roman" w:cs="Times New Roman"/>
          <w:b/>
          <w:bCs/>
        </w:rPr>
      </w:pPr>
      <w:r>
        <w:rPr>
          <w:rFonts w:ascii="Times New Roman" w:hAnsi="Times New Roman" w:cs="Times New Roman"/>
          <w:b/>
          <w:bCs/>
        </w:rPr>
        <w:t>Mass spectrometry analysis of metabolites</w:t>
      </w:r>
    </w:p>
    <w:p w14:paraId="40070A87">
      <w:pPr>
        <w:rPr>
          <w:rFonts w:ascii="Times New Roman" w:hAnsi="Times New Roman" w:cs="Times New Roman"/>
        </w:rPr>
      </w:pPr>
      <w:r>
        <w:rPr>
          <w:rFonts w:ascii="Times New Roman" w:hAnsi="Times New Roman" w:cs="Times New Roman"/>
        </w:rPr>
        <w:t xml:space="preserve">Farnesyl pyrophosphate (FPP) levels were quantified in </w:t>
      </w:r>
      <w:r>
        <w:rPr>
          <w:rFonts w:hint="eastAsia" w:ascii="Times New Roman" w:hAnsi="Times New Roman" w:cs="Times New Roman"/>
        </w:rPr>
        <w:t>primary keratinocytes from</w:t>
      </w:r>
      <w:r>
        <w:rPr>
          <w:rFonts w:ascii="Times New Roman" w:hAnsi="Times New Roman" w:cs="Times New Roman"/>
        </w:rPr>
        <w:t xml:space="preserve"> wild-type (WT)</w:t>
      </w:r>
      <w:r>
        <w:rPr>
          <w:rFonts w:hint="eastAsia" w:ascii="Times New Roman" w:hAnsi="Times New Roman" w:cs="Times New Roman"/>
        </w:rPr>
        <w:t xml:space="preserve"> and TRPV3-KO</w:t>
      </w:r>
      <w:r>
        <w:rPr>
          <w:rFonts w:ascii="Times New Roman" w:hAnsi="Times New Roman" w:cs="Times New Roman"/>
        </w:rPr>
        <w:t xml:space="preserve"> mice following infection with Staphylococcus aureus (</w:t>
      </w:r>
      <w:r>
        <w:rPr>
          <w:rFonts w:hint="eastAsia" w:ascii="Times New Roman" w:hAnsi="Times New Roman" w:cs="Times New Roman"/>
        </w:rPr>
        <w:t>MOI = 10</w:t>
      </w:r>
      <w:r>
        <w:rPr>
          <w:rFonts w:ascii="Times New Roman" w:hAnsi="Times New Roman" w:cs="Times New Roman"/>
        </w:rPr>
        <w:t xml:space="preserve">). Briefly, </w:t>
      </w:r>
      <w:r>
        <w:rPr>
          <w:rFonts w:hint="eastAsia" w:ascii="Times New Roman" w:hAnsi="Times New Roman" w:cs="Times New Roman"/>
        </w:rPr>
        <w:t>cells</w:t>
      </w:r>
      <w:r>
        <w:rPr>
          <w:rFonts w:ascii="Times New Roman" w:hAnsi="Times New Roman" w:cs="Times New Roman"/>
        </w:rPr>
        <w:t xml:space="preserve"> were homogenized in 500 μL of lysis buffer (50 mM NH₄HCO₃, pH 7.4, 50% isopropanol) using a combination of mechanical disruption and sonication. Subsequently, 1 mL of methanol was added for protein precipitation, and the mixture was incubated at -20°C for 20 min. After centrifugation at 14,000 ×g for 10 min at 4°C, the supernatant was transferred to a glass tube and evaporated to dryness under a gentle nitrogen stream. The residue was reconstituted in 50 μL of acetonitrile/water (1:1, v/v), and 10 μL of the solution was injected into the LC-MS/MS system.</w:t>
      </w:r>
    </w:p>
    <w:p w14:paraId="17D72F8A">
      <w:pPr>
        <w:rPr>
          <w:rFonts w:ascii="Times New Roman" w:hAnsi="Times New Roman" w:cs="Times New Roman"/>
          <w:b/>
          <w:bCs/>
        </w:rPr>
      </w:pPr>
      <w:r>
        <w:rPr>
          <w:rFonts w:ascii="Times New Roman" w:hAnsi="Times New Roman" w:cs="Times New Roman"/>
          <w:b/>
          <w:bCs/>
        </w:rPr>
        <w:t>qRT–PCR</w:t>
      </w:r>
    </w:p>
    <w:p w14:paraId="43877AC0">
      <w:pPr>
        <w:rPr>
          <w:rFonts w:ascii="Times New Roman" w:hAnsi="Times New Roman" w:cs="Times New Roman"/>
        </w:rPr>
      </w:pPr>
      <w:r>
        <w:rPr>
          <w:rFonts w:hint="eastAsia" w:ascii="Times New Roman" w:hAnsi="Times New Roman" w:cs="Times New Roman"/>
        </w:rPr>
        <w:t>Total RNA was isolated using the M5 HiPer Universal Plus RNA Mini Kit (Mei5bio, China) according to the manufacturer’s protocol. Reverse transcription was performed with the M5 Super Plus qPCR RT Kit (with gDNA remover, Mei5bio) to synthesize cDNA. Quantitative PCR (qPCR) assays were conducted using M5 HiPer SYBR Premix EsTaq (Mei5bio) on a LightCycler® instrument (Roche, Switzerland). All primer sequences used for qPCR are provided in this reference</w:t>
      </w:r>
      <w:r>
        <w:rPr>
          <w:rFonts w:hint="eastAsia" w:ascii="Times New Roman" w:hAnsi="Times New Roman" w:cs="Times New Roman"/>
          <w:lang w:val="en-US" w:eastAsia="zh-CN"/>
        </w:rPr>
        <w:t xml:space="preserve"> </w:t>
      </w:r>
      <w:r>
        <w:rPr>
          <w:rFonts w:hint="eastAsia" w:ascii="Times New Roman" w:hAnsi="Times New Roman" w:cs="Times New Roman"/>
        </w:rPr>
        <w:t>(</w:t>
      </w:r>
      <w:r>
        <w:rPr>
          <w:rFonts w:hint="eastAsia" w:ascii="Times New Roman" w:hAnsi="Times New Roman" w:cs="Times New Roman"/>
          <w:lang w:val="en-US" w:eastAsia="zh-CN"/>
        </w:rPr>
        <w:t>https://</w:t>
      </w:r>
      <w:r>
        <w:rPr>
          <w:rStyle w:val="21"/>
          <w:rFonts w:ascii="Times New Roman" w:hAnsi="Times New Roman" w:eastAsia="黑体" w:cs="Times New Roman"/>
        </w:rPr>
        <w:t>doi.org/10.1038/s41586-026-10167-6</w:t>
      </w:r>
      <w:r>
        <w:rPr>
          <w:rFonts w:hint="eastAsia" w:ascii="Times New Roman" w:hAnsi="Times New Roman" w:cs="Times New Roman"/>
        </w:rPr>
        <w:t>)..</w:t>
      </w:r>
    </w:p>
    <w:p w14:paraId="600F0076">
      <w:pPr>
        <w:rPr>
          <w:rFonts w:ascii="Times New Roman" w:hAnsi="Times New Roman" w:cs="Times New Roman"/>
          <w:b/>
          <w:bCs/>
        </w:rPr>
      </w:pPr>
      <w:r>
        <w:rPr>
          <w:rFonts w:hint="eastAsia" w:ascii="Times New Roman" w:hAnsi="Times New Roman" w:cs="Times New Roman"/>
          <w:b/>
          <w:bCs/>
        </w:rPr>
        <w:t>Bulk RNA-seq analysis</w:t>
      </w:r>
    </w:p>
    <w:p w14:paraId="171E61F5">
      <w:pPr>
        <w:rPr>
          <w:rFonts w:ascii="Times New Roman" w:hAnsi="Times New Roman" w:cs="Times New Roman"/>
        </w:rPr>
      </w:pPr>
      <w:r>
        <w:rPr>
          <w:rFonts w:hint="eastAsia" w:ascii="Times New Roman" w:hAnsi="Times New Roman" w:cs="Times New Roman"/>
        </w:rPr>
        <w:t>Bulk transcriptome datasets were obtained from UVB-treated skin tissue of healthy volunteers (GSE148535), thapsigargin (TG)-treated HEK293 cells (GSE293666), and TG-treated hESCs (GSE284753) from GEO. Data were processed in R (v4.3.2) using tidybulk (v1.18.0). Lowly expressed genes were filtered using default settings. Counts were TMM-normalized, log-transformed, and z-scored prior to visualization. Differential expression was assessed using a negative binomial generalized log-linear model with a likelihood ratio test, and genes with Benjamini-Hochberg adjusted P &lt; 0.05 and |log2FC| &gt; 1 were considered significant.</w:t>
      </w:r>
    </w:p>
    <w:p w14:paraId="0EC9F5C1">
      <w:pPr>
        <w:rPr>
          <w:rFonts w:ascii="Times New Roman" w:hAnsi="Times New Roman" w:cs="Times New Roman"/>
          <w:b/>
          <w:bCs/>
        </w:rPr>
      </w:pPr>
      <w:r>
        <w:rPr>
          <w:rFonts w:hint="eastAsia" w:ascii="Times New Roman" w:hAnsi="Times New Roman" w:cs="Times New Roman"/>
          <w:b/>
          <w:bCs/>
        </w:rPr>
        <w:t>The scRNA-seq analysis</w:t>
      </w:r>
    </w:p>
    <w:p w14:paraId="5DCE0430">
      <w:pPr>
        <w:rPr>
          <w:rFonts w:ascii="Times New Roman" w:hAnsi="Times New Roman" w:cs="Times New Roman"/>
          <w:b/>
          <w:bCs/>
        </w:rPr>
      </w:pPr>
      <w:r>
        <w:rPr>
          <w:rFonts w:hint="eastAsia" w:ascii="Times New Roman" w:hAnsi="Times New Roman" w:cs="Times New Roman"/>
        </w:rPr>
        <w:t>We analyzed single-cell transcriptome data from the epidermis of 5 healthy controls (HCs) and 5 patients with SLE (age- and sex-matched; GSE179633 and GSE281449), along with datasets for psoriasis (GSE162183) and atopic dermatitis (GSE269981) downloaded from the GEO database, as well as mouse skin infected with S. aureus (PRJNA975496) or E. faecalis (GSE229257). Data were analyzed in R (v4.3.2). For each dataset, low-quality cells were removed based on standard Seurat quality control criteria (Seurat v5.0.1), including cells with fewer than 200 detected genes, a high proportion of mitochondrial transcripts, or other dataset-specific outliers. After normalization and scaling, dimensionality reduction and clustering were performed, and cell types were annotated using canonical markers. Downstream analyses and visualization were performed using the tidyverse package set (v2.0.0).</w:t>
      </w:r>
    </w:p>
    <w:p w14:paraId="0B3842CE">
      <w:pPr>
        <w:rPr>
          <w:rFonts w:ascii="Times New Roman" w:hAnsi="Times New Roman" w:cs="Times New Roman"/>
          <w:b/>
          <w:bCs/>
        </w:rPr>
      </w:pPr>
      <w:r>
        <w:rPr>
          <w:rFonts w:hint="eastAsia" w:ascii="Times New Roman" w:hAnsi="Times New Roman" w:cs="Times New Roman"/>
          <w:b/>
          <w:bCs/>
        </w:rPr>
        <w:t>GO enrichment analysis</w:t>
      </w:r>
    </w:p>
    <w:p w14:paraId="0D2F381E">
      <w:pPr>
        <w:rPr>
          <w:rFonts w:ascii="Times New Roman" w:hAnsi="Times New Roman" w:cs="Times New Roman"/>
        </w:rPr>
      </w:pPr>
      <w:r>
        <w:rPr>
          <w:rFonts w:hint="eastAsia" w:ascii="Times New Roman" w:hAnsi="Times New Roman" w:cs="Times New Roman"/>
        </w:rPr>
        <w:t>To functionally describe the keratinocytes and their subtypes in different pathological conditions, we used ClusterProfiler package (version 4.10.0) for gene set enrichment analysis of Biological Process pathways in Gene Ontology (GO) database (org.Hs.eg.db package, version 3.18.0). Differential expression genes with a Benjamini-Hochberg adjusted P value &lt; 0.05 and a log2-fold change &gt; 1 were selected for further over-representation analyses.</w:t>
      </w:r>
    </w:p>
    <w:p w14:paraId="7BAA6F5A">
      <w:pPr>
        <w:rPr>
          <w:rFonts w:ascii="Times New Roman" w:hAnsi="Times New Roman" w:cs="Times New Roman"/>
          <w:b/>
          <w:bCs/>
        </w:rPr>
      </w:pPr>
      <w:r>
        <w:rPr>
          <w:rFonts w:hint="eastAsia" w:ascii="Times New Roman" w:hAnsi="Times New Roman" w:cs="Times New Roman"/>
          <w:b/>
          <w:bCs/>
        </w:rPr>
        <w:t>Statistics</w:t>
      </w:r>
    </w:p>
    <w:p w14:paraId="70AB04BD">
      <w:pPr>
        <w:rPr>
          <w:rFonts w:ascii="Times New Roman" w:hAnsi="Times New Roman" w:cs="Times New Roman"/>
          <w:b/>
          <w:bCs/>
        </w:rPr>
      </w:pPr>
      <w:r>
        <w:rPr>
          <w:rFonts w:hint="eastAsia" w:ascii="Times New Roman" w:hAnsi="Times New Roman" w:cs="Times New Roman"/>
        </w:rPr>
        <w:t xml:space="preserve">All statistical analyses and data visualizations were performed using GraphPad Prism version 9.0 or R programming language, unless specified otherwise. The specific statistical tests applied are detailed in the respective figure legends. A two-tailed test was used for all hypothesis testing to assess differences in both directions.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radeGothicLTStd">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p5vtftuefx0ke90tnxpfs8e92dffzt2f5e&quot;&gt;My EndNote Library&lt;record-ids&gt;&lt;item&gt;300&lt;/item&gt;&lt;/record-ids&gt;&lt;/item&gt;&lt;/Libraries&gt;"/>
  </w:docVars>
  <w:rsids>
    <w:rsidRoot w:val="002062E6"/>
    <w:rsid w:val="00002CD7"/>
    <w:rsid w:val="00002F8B"/>
    <w:rsid w:val="000143B8"/>
    <w:rsid w:val="00020437"/>
    <w:rsid w:val="00041231"/>
    <w:rsid w:val="000475FD"/>
    <w:rsid w:val="00056971"/>
    <w:rsid w:val="00061262"/>
    <w:rsid w:val="00062D10"/>
    <w:rsid w:val="000641BA"/>
    <w:rsid w:val="00070A1A"/>
    <w:rsid w:val="0007193B"/>
    <w:rsid w:val="000725DA"/>
    <w:rsid w:val="000A577D"/>
    <w:rsid w:val="000A6887"/>
    <w:rsid w:val="000C00D8"/>
    <w:rsid w:val="000C47FC"/>
    <w:rsid w:val="000F21A5"/>
    <w:rsid w:val="000F7DCA"/>
    <w:rsid w:val="00117A17"/>
    <w:rsid w:val="0012088D"/>
    <w:rsid w:val="001223C9"/>
    <w:rsid w:val="00122F7D"/>
    <w:rsid w:val="0012721F"/>
    <w:rsid w:val="00132924"/>
    <w:rsid w:val="00143308"/>
    <w:rsid w:val="00164589"/>
    <w:rsid w:val="00180DAE"/>
    <w:rsid w:val="00193C06"/>
    <w:rsid w:val="001964F9"/>
    <w:rsid w:val="001A0BD8"/>
    <w:rsid w:val="001B3AAB"/>
    <w:rsid w:val="001F287C"/>
    <w:rsid w:val="001F563B"/>
    <w:rsid w:val="001F7734"/>
    <w:rsid w:val="00204392"/>
    <w:rsid w:val="002062E6"/>
    <w:rsid w:val="002073BC"/>
    <w:rsid w:val="00255CB8"/>
    <w:rsid w:val="0025745D"/>
    <w:rsid w:val="00261ACC"/>
    <w:rsid w:val="002932F9"/>
    <w:rsid w:val="00295079"/>
    <w:rsid w:val="00295811"/>
    <w:rsid w:val="00296F4D"/>
    <w:rsid w:val="002A0534"/>
    <w:rsid w:val="002A7A67"/>
    <w:rsid w:val="002B0503"/>
    <w:rsid w:val="002B776A"/>
    <w:rsid w:val="002D4F00"/>
    <w:rsid w:val="002E42B3"/>
    <w:rsid w:val="002E445C"/>
    <w:rsid w:val="002F2F28"/>
    <w:rsid w:val="003048BF"/>
    <w:rsid w:val="00311299"/>
    <w:rsid w:val="003406BD"/>
    <w:rsid w:val="003422B2"/>
    <w:rsid w:val="00343E9C"/>
    <w:rsid w:val="0035666B"/>
    <w:rsid w:val="00363529"/>
    <w:rsid w:val="00374F7D"/>
    <w:rsid w:val="00394767"/>
    <w:rsid w:val="003A28F9"/>
    <w:rsid w:val="003A3384"/>
    <w:rsid w:val="003B0669"/>
    <w:rsid w:val="003B64ED"/>
    <w:rsid w:val="003C4F91"/>
    <w:rsid w:val="003F525C"/>
    <w:rsid w:val="004110D3"/>
    <w:rsid w:val="0042648A"/>
    <w:rsid w:val="00427EE7"/>
    <w:rsid w:val="00434124"/>
    <w:rsid w:val="0045067E"/>
    <w:rsid w:val="00465992"/>
    <w:rsid w:val="00482849"/>
    <w:rsid w:val="004E023C"/>
    <w:rsid w:val="004E5FC6"/>
    <w:rsid w:val="00516AE2"/>
    <w:rsid w:val="00523753"/>
    <w:rsid w:val="0054524B"/>
    <w:rsid w:val="00557F02"/>
    <w:rsid w:val="005717F8"/>
    <w:rsid w:val="005864CA"/>
    <w:rsid w:val="00586E26"/>
    <w:rsid w:val="00591C22"/>
    <w:rsid w:val="005A0346"/>
    <w:rsid w:val="005A0888"/>
    <w:rsid w:val="005A4C8D"/>
    <w:rsid w:val="005B417A"/>
    <w:rsid w:val="005C7FD9"/>
    <w:rsid w:val="005D2456"/>
    <w:rsid w:val="005E63BF"/>
    <w:rsid w:val="005E72C0"/>
    <w:rsid w:val="005F3009"/>
    <w:rsid w:val="005F39DE"/>
    <w:rsid w:val="005F598E"/>
    <w:rsid w:val="006005B3"/>
    <w:rsid w:val="006112EF"/>
    <w:rsid w:val="006129EB"/>
    <w:rsid w:val="0062233D"/>
    <w:rsid w:val="00637919"/>
    <w:rsid w:val="00640556"/>
    <w:rsid w:val="00644D1E"/>
    <w:rsid w:val="00652799"/>
    <w:rsid w:val="00662672"/>
    <w:rsid w:val="00666393"/>
    <w:rsid w:val="006668ED"/>
    <w:rsid w:val="00690EB5"/>
    <w:rsid w:val="00691F5E"/>
    <w:rsid w:val="00696E0B"/>
    <w:rsid w:val="006A122D"/>
    <w:rsid w:val="006D3ED2"/>
    <w:rsid w:val="006D7B0B"/>
    <w:rsid w:val="00706E3E"/>
    <w:rsid w:val="00714F03"/>
    <w:rsid w:val="007154EE"/>
    <w:rsid w:val="00724B6F"/>
    <w:rsid w:val="00742710"/>
    <w:rsid w:val="00757053"/>
    <w:rsid w:val="0076121E"/>
    <w:rsid w:val="00770F65"/>
    <w:rsid w:val="00776B1F"/>
    <w:rsid w:val="00783359"/>
    <w:rsid w:val="007977D3"/>
    <w:rsid w:val="007A00D3"/>
    <w:rsid w:val="007A15FD"/>
    <w:rsid w:val="007A41CD"/>
    <w:rsid w:val="007B60D3"/>
    <w:rsid w:val="007D24C3"/>
    <w:rsid w:val="007D2C05"/>
    <w:rsid w:val="00805BDD"/>
    <w:rsid w:val="00843819"/>
    <w:rsid w:val="00851F70"/>
    <w:rsid w:val="00852343"/>
    <w:rsid w:val="0085696C"/>
    <w:rsid w:val="00861B19"/>
    <w:rsid w:val="008657C4"/>
    <w:rsid w:val="00865F2E"/>
    <w:rsid w:val="00885A69"/>
    <w:rsid w:val="008B77B5"/>
    <w:rsid w:val="008C4709"/>
    <w:rsid w:val="008D1A19"/>
    <w:rsid w:val="008D451D"/>
    <w:rsid w:val="008E432C"/>
    <w:rsid w:val="008F5A93"/>
    <w:rsid w:val="008F63A8"/>
    <w:rsid w:val="008F7CC9"/>
    <w:rsid w:val="0091087A"/>
    <w:rsid w:val="00914A2E"/>
    <w:rsid w:val="00915EB0"/>
    <w:rsid w:val="00931C8F"/>
    <w:rsid w:val="0093344A"/>
    <w:rsid w:val="00940713"/>
    <w:rsid w:val="00940D32"/>
    <w:rsid w:val="0095603D"/>
    <w:rsid w:val="00970E09"/>
    <w:rsid w:val="0097419C"/>
    <w:rsid w:val="009B5F0D"/>
    <w:rsid w:val="009C2ED3"/>
    <w:rsid w:val="009C7CAE"/>
    <w:rsid w:val="009E3805"/>
    <w:rsid w:val="009E61A6"/>
    <w:rsid w:val="00A010A7"/>
    <w:rsid w:val="00A071FB"/>
    <w:rsid w:val="00A102C1"/>
    <w:rsid w:val="00A14541"/>
    <w:rsid w:val="00A25056"/>
    <w:rsid w:val="00A41784"/>
    <w:rsid w:val="00A8039D"/>
    <w:rsid w:val="00AA569F"/>
    <w:rsid w:val="00AB0D0F"/>
    <w:rsid w:val="00AC3338"/>
    <w:rsid w:val="00AD749B"/>
    <w:rsid w:val="00B06203"/>
    <w:rsid w:val="00B50F77"/>
    <w:rsid w:val="00B536D5"/>
    <w:rsid w:val="00B80E61"/>
    <w:rsid w:val="00B8686A"/>
    <w:rsid w:val="00BB5A4F"/>
    <w:rsid w:val="00BC0404"/>
    <w:rsid w:val="00BC13A2"/>
    <w:rsid w:val="00BE1DC7"/>
    <w:rsid w:val="00BF04E7"/>
    <w:rsid w:val="00BF0DF3"/>
    <w:rsid w:val="00BF7471"/>
    <w:rsid w:val="00C04993"/>
    <w:rsid w:val="00C12FE9"/>
    <w:rsid w:val="00C25B84"/>
    <w:rsid w:val="00C57600"/>
    <w:rsid w:val="00C94DF6"/>
    <w:rsid w:val="00C955C1"/>
    <w:rsid w:val="00CC705E"/>
    <w:rsid w:val="00CE71F5"/>
    <w:rsid w:val="00D03D88"/>
    <w:rsid w:val="00D077E8"/>
    <w:rsid w:val="00D30DA5"/>
    <w:rsid w:val="00D438CB"/>
    <w:rsid w:val="00D60C95"/>
    <w:rsid w:val="00D67123"/>
    <w:rsid w:val="00D70616"/>
    <w:rsid w:val="00D71680"/>
    <w:rsid w:val="00DA235B"/>
    <w:rsid w:val="00DA533C"/>
    <w:rsid w:val="00DB06B5"/>
    <w:rsid w:val="00DB17CB"/>
    <w:rsid w:val="00DB2862"/>
    <w:rsid w:val="00DB28D0"/>
    <w:rsid w:val="00DC4E04"/>
    <w:rsid w:val="00DE44DE"/>
    <w:rsid w:val="00DE7118"/>
    <w:rsid w:val="00E07DE1"/>
    <w:rsid w:val="00E07F05"/>
    <w:rsid w:val="00E13687"/>
    <w:rsid w:val="00E15B87"/>
    <w:rsid w:val="00E17E29"/>
    <w:rsid w:val="00E20877"/>
    <w:rsid w:val="00E30A6F"/>
    <w:rsid w:val="00E3476C"/>
    <w:rsid w:val="00E3484E"/>
    <w:rsid w:val="00E35353"/>
    <w:rsid w:val="00E52D3A"/>
    <w:rsid w:val="00E5307C"/>
    <w:rsid w:val="00E55447"/>
    <w:rsid w:val="00E56003"/>
    <w:rsid w:val="00EA1635"/>
    <w:rsid w:val="00EA5011"/>
    <w:rsid w:val="00EB2BCA"/>
    <w:rsid w:val="00ED1962"/>
    <w:rsid w:val="00EE5D29"/>
    <w:rsid w:val="00EE799E"/>
    <w:rsid w:val="00EF31C6"/>
    <w:rsid w:val="00F02DCD"/>
    <w:rsid w:val="00F044DE"/>
    <w:rsid w:val="00F12182"/>
    <w:rsid w:val="00F35D36"/>
    <w:rsid w:val="00F469D7"/>
    <w:rsid w:val="00F639B0"/>
    <w:rsid w:val="00F6444F"/>
    <w:rsid w:val="00F6728C"/>
    <w:rsid w:val="00F6749E"/>
    <w:rsid w:val="00F757CB"/>
    <w:rsid w:val="00F807FA"/>
    <w:rsid w:val="00F8457E"/>
    <w:rsid w:val="00F85B52"/>
    <w:rsid w:val="00F97DE0"/>
    <w:rsid w:val="00FA11CD"/>
    <w:rsid w:val="00FA1E98"/>
    <w:rsid w:val="00FA258B"/>
    <w:rsid w:val="00FC5C70"/>
    <w:rsid w:val="00FC7118"/>
    <w:rsid w:val="00FD7894"/>
    <w:rsid w:val="00FE0DB6"/>
    <w:rsid w:val="00FF66A9"/>
    <w:rsid w:val="00FF6C82"/>
    <w:rsid w:val="056421C8"/>
    <w:rsid w:val="075954A1"/>
    <w:rsid w:val="09832C29"/>
    <w:rsid w:val="0A85501F"/>
    <w:rsid w:val="0E873ACE"/>
    <w:rsid w:val="0EA00D75"/>
    <w:rsid w:val="0F80722D"/>
    <w:rsid w:val="116240F4"/>
    <w:rsid w:val="127736F8"/>
    <w:rsid w:val="14A800EA"/>
    <w:rsid w:val="159859A9"/>
    <w:rsid w:val="23C574F0"/>
    <w:rsid w:val="24A03FA5"/>
    <w:rsid w:val="266F0056"/>
    <w:rsid w:val="27E00166"/>
    <w:rsid w:val="2AA03BFA"/>
    <w:rsid w:val="2AFB0A91"/>
    <w:rsid w:val="2C2220D9"/>
    <w:rsid w:val="30596038"/>
    <w:rsid w:val="31706CF0"/>
    <w:rsid w:val="31C85E4A"/>
    <w:rsid w:val="332F6941"/>
    <w:rsid w:val="332F7EE8"/>
    <w:rsid w:val="364A7982"/>
    <w:rsid w:val="3C71506B"/>
    <w:rsid w:val="3C790B6E"/>
    <w:rsid w:val="3DBA3C47"/>
    <w:rsid w:val="42817701"/>
    <w:rsid w:val="47D55433"/>
    <w:rsid w:val="48DE2CEC"/>
    <w:rsid w:val="4E954C09"/>
    <w:rsid w:val="4EE95E5D"/>
    <w:rsid w:val="4F242E76"/>
    <w:rsid w:val="54483FDB"/>
    <w:rsid w:val="57B808AC"/>
    <w:rsid w:val="5AF96781"/>
    <w:rsid w:val="5BE6074A"/>
    <w:rsid w:val="5DD07A9B"/>
    <w:rsid w:val="5E393554"/>
    <w:rsid w:val="5E8734AD"/>
    <w:rsid w:val="60B42034"/>
    <w:rsid w:val="627B5930"/>
    <w:rsid w:val="65BC72B0"/>
    <w:rsid w:val="65C44AE4"/>
    <w:rsid w:val="6E0026E7"/>
    <w:rsid w:val="6FA3121A"/>
    <w:rsid w:val="72766281"/>
    <w:rsid w:val="72E17BC5"/>
    <w:rsid w:val="72FF004B"/>
    <w:rsid w:val="750C1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Balloon Text"/>
    <w:basedOn w:val="1"/>
    <w:link w:val="50"/>
    <w:semiHidden/>
    <w:unhideWhenUsed/>
    <w:qFormat/>
    <w:uiPriority w:val="99"/>
    <w:rPr>
      <w:sz w:val="18"/>
      <w:szCs w:val="18"/>
    </w:rPr>
  </w:style>
  <w:style w:type="paragraph" w:styleId="13">
    <w:name w:val="footer"/>
    <w:basedOn w:val="1"/>
    <w:link w:val="42"/>
    <w:unhideWhenUsed/>
    <w:qFormat/>
    <w:uiPriority w:val="99"/>
    <w:pPr>
      <w:tabs>
        <w:tab w:val="center" w:pos="4153"/>
        <w:tab w:val="right" w:pos="8306"/>
      </w:tabs>
      <w:snapToGrid w:val="0"/>
      <w:jc w:val="left"/>
    </w:pPr>
    <w:rPr>
      <w:sz w:val="18"/>
      <w:szCs w:val="18"/>
    </w:rPr>
  </w:style>
  <w:style w:type="paragraph" w:styleId="14">
    <w:name w:val="header"/>
    <w:basedOn w:val="1"/>
    <w:link w:val="41"/>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semiHidden/>
    <w:unhideWhenUsed/>
    <w:qFormat/>
    <w:uiPriority w:val="99"/>
    <w:rPr>
      <w:rFonts w:ascii="Times New Roman" w:hAnsi="Times New Roman" w:cs="Times New Roman"/>
      <w:sz w:val="24"/>
      <w:szCs w:val="24"/>
    </w:rPr>
  </w:style>
  <w:style w:type="paragraph" w:styleId="17">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333333"/>
      <w:u w:val="none"/>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0"/>
    <w:link w:val="5"/>
    <w:semiHidden/>
    <w:qFormat/>
    <w:uiPriority w:val="9"/>
    <w:rPr>
      <w:rFonts w:cstheme="majorBidi"/>
      <w:color w:val="2F5597" w:themeColor="accent1" w:themeShade="BF"/>
      <w:sz w:val="28"/>
      <w:szCs w:val="28"/>
    </w:rPr>
  </w:style>
  <w:style w:type="character" w:customStyle="1" w:styleId="27">
    <w:name w:val="标题 5 字符"/>
    <w:basedOn w:val="20"/>
    <w:link w:val="6"/>
    <w:semiHidden/>
    <w:qFormat/>
    <w:uiPriority w:val="9"/>
    <w:rPr>
      <w:rFonts w:cstheme="majorBidi"/>
      <w:color w:val="2F5597" w:themeColor="accent1" w:themeShade="BF"/>
      <w:sz w:val="24"/>
    </w:rPr>
  </w:style>
  <w:style w:type="character" w:customStyle="1" w:styleId="28">
    <w:name w:val="标题 6 字符"/>
    <w:basedOn w:val="20"/>
    <w:link w:val="7"/>
    <w:semiHidden/>
    <w:qFormat/>
    <w:uiPriority w:val="9"/>
    <w:rPr>
      <w:rFonts w:cstheme="majorBidi"/>
      <w:b/>
      <w:bCs/>
      <w:color w:val="2F5597"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20"/>
    <w:link w:val="38"/>
    <w:qFormat/>
    <w:uiPriority w:val="30"/>
    <w:rPr>
      <w:i/>
      <w:iCs/>
      <w:color w:val="2F5597" w:themeColor="accent1" w:themeShade="BF"/>
    </w:rPr>
  </w:style>
  <w:style w:type="character" w:customStyle="1" w:styleId="40">
    <w:name w:val="明显参考1"/>
    <w:basedOn w:val="20"/>
    <w:qFormat/>
    <w:uiPriority w:val="32"/>
    <w:rPr>
      <w:b/>
      <w:bCs/>
      <w:smallCaps/>
      <w:color w:val="2F5597" w:themeColor="accent1" w:themeShade="BF"/>
      <w:spacing w:val="5"/>
    </w:rPr>
  </w:style>
  <w:style w:type="character" w:customStyle="1" w:styleId="41">
    <w:name w:val="页眉 字符"/>
    <w:basedOn w:val="20"/>
    <w:link w:val="14"/>
    <w:qFormat/>
    <w:uiPriority w:val="99"/>
    <w:rPr>
      <w:sz w:val="18"/>
      <w:szCs w:val="18"/>
      <w14:ligatures w14:val="none"/>
    </w:rPr>
  </w:style>
  <w:style w:type="character" w:customStyle="1" w:styleId="42">
    <w:name w:val="页脚 字符"/>
    <w:basedOn w:val="20"/>
    <w:link w:val="13"/>
    <w:qFormat/>
    <w:uiPriority w:val="99"/>
    <w:rPr>
      <w:sz w:val="18"/>
      <w:szCs w:val="18"/>
      <w14:ligatures w14:val="none"/>
    </w:rPr>
  </w:style>
  <w:style w:type="character" w:customStyle="1" w:styleId="43">
    <w:name w:val="fontstyle01"/>
    <w:basedOn w:val="20"/>
    <w:qFormat/>
    <w:uiPriority w:val="0"/>
    <w:rPr>
      <w:rFonts w:hint="default" w:ascii="TradeGothicLTStd" w:hAnsi="TradeGothicLTStd"/>
      <w:color w:val="242021"/>
      <w:sz w:val="16"/>
      <w:szCs w:val="16"/>
    </w:rPr>
  </w:style>
  <w:style w:type="character" w:customStyle="1" w:styleId="44">
    <w:name w:val="ts-alignment-element"/>
    <w:basedOn w:val="20"/>
    <w:qFormat/>
    <w:uiPriority w:val="0"/>
  </w:style>
  <w:style w:type="paragraph" w:customStyle="1" w:styleId="45">
    <w:name w:val="EndNote Bibliography Title"/>
    <w:basedOn w:val="1"/>
    <w:link w:val="46"/>
    <w:qFormat/>
    <w:uiPriority w:val="0"/>
    <w:pPr>
      <w:jc w:val="center"/>
    </w:pPr>
    <w:rPr>
      <w:rFonts w:ascii="等线" w:hAnsi="等线" w:eastAsia="等线"/>
      <w:sz w:val="20"/>
    </w:rPr>
  </w:style>
  <w:style w:type="character" w:customStyle="1" w:styleId="46">
    <w:name w:val="EndNote Bibliography Title 字符"/>
    <w:basedOn w:val="20"/>
    <w:link w:val="45"/>
    <w:qFormat/>
    <w:uiPriority w:val="0"/>
    <w:rPr>
      <w:rFonts w:ascii="等线" w:hAnsi="等线" w:eastAsia="等线"/>
      <w:sz w:val="20"/>
      <w:szCs w:val="22"/>
      <w14:ligatures w14:val="none"/>
    </w:rPr>
  </w:style>
  <w:style w:type="paragraph" w:customStyle="1" w:styleId="47">
    <w:name w:val="EndNote Bibliography"/>
    <w:basedOn w:val="1"/>
    <w:link w:val="48"/>
    <w:qFormat/>
    <w:uiPriority w:val="0"/>
    <w:rPr>
      <w:rFonts w:ascii="等线" w:hAnsi="等线" w:eastAsia="等线"/>
      <w:sz w:val="20"/>
    </w:rPr>
  </w:style>
  <w:style w:type="character" w:customStyle="1" w:styleId="48">
    <w:name w:val="EndNote Bibliography 字符"/>
    <w:basedOn w:val="20"/>
    <w:link w:val="47"/>
    <w:qFormat/>
    <w:uiPriority w:val="0"/>
    <w:rPr>
      <w:rFonts w:ascii="等线" w:hAnsi="等线" w:eastAsia="等线"/>
      <w:sz w:val="20"/>
      <w:szCs w:val="22"/>
      <w14:ligatures w14:val="none"/>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0">
    <w:name w:val="批注框文本 字符"/>
    <w:basedOn w:val="20"/>
    <w:link w:val="1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46eaef8d030a4bd5978df72dfac413f6</errorID>
      <errorWord>Dulbecco’ s</errorWord>
      <group>L1_English</group>
      <groupName>英文问题</groupName>
      <ability>L2_EnglishGrammar</ability>
      <abilityName>英文语法检查</abilityName>
      <candidateList>
        <item>Dulbecco's</item>
      </candidateList>
      <explain>疑似单词/词组使用不当, 建议将Dulbecco’ s修改为Dulbecco's</explain>
      <paraID>5AB3863F</paraID>
      <start>30</start>
      <end>42</end>
      <status>unmodified</status>
      <modifiedWord/>
      <trackRevisions>false</trackRevisions>
    </reviewItem>
    <reviewItem>
      <errorID>d200c1992ab34b94a801836a793bfe60</errorID>
      <errorWord>’</errorWord>
      <group>L1_English</group>
      <groupName>英文问题</groupName>
      <ability>L2_EnglishGrammar</ability>
      <abilityName>英文语法检查</abilityName>
      <candidateList>
        <item>'</item>
      </candidateList>
      <explain>疑似名词所有格书写有误，建议将’修改为'</explain>
      <paraID>163B6920</paraID>
      <start>169</start>
      <end>170</end>
      <status>unmodified</status>
      <modifiedWord/>
      <trackRevisions>false</trackRevisions>
    </reviewItem>
    <reviewItem>
      <errorID>80815f8a769b422bb654ade44c9ad424</errorID>
      <errorWord>manufacturer’s</errorWord>
      <group>L1_English</group>
      <groupName>英文问题</groupName>
      <ability>L2_EnglishGrammar</ability>
      <abilityName>英文语法检查</abilityName>
      <candidateList>
        <item>manufacturer's</item>
      </candidateList>
      <explain>疑似名词所有格书写有误，建议将manufacturer’s修改为manufacturer's</explain>
      <paraID>43877AC0</paraID>
      <start>104</start>
      <end>118</end>
      <status>unmodified</status>
      <modifiedWord/>
      <trackRevisions>false</trackRevisions>
    </reviewItem>
    <reviewItem>
      <errorID>212dffa41e384263ab5d92fb91f166d0</errorID>
      <errorWord>were</errorWord>
      <group>L1_English</group>
      <groupName>英文问题</groupName>
      <ability>L2_EnglishGrammar</ability>
      <abilityName>英文语法检查</abilityName>
      <candidateList>
        <item>was</item>
      </candidateList>
      <explain>此处疑似主谓不一致，建议将were修改为was</explain>
      <paraID>5DCE0430</paraID>
      <start>651</start>
      <end>655</end>
      <status>unmodified</status>
      <modifiedWord/>
      <trackRevisions>false</trackRevisions>
    </reviewItem>
    <reviewItem>
      <errorID>485e1f9c55e04570bd37e6fc43bf687b</errorID>
      <errorWord>harmony</errorWord>
      <group>L1_English</group>
      <groupName>英文问题</groupName>
      <ability>L2_EnglishGrammar</ability>
      <abilityName>英文语法检查</abilityName>
      <candidateList>
        <item>the harmony</item>
      </candidateList>
      <explain>此处疑似有限定词缺失，建议将单词harmony修改为the harmony</explain>
      <paraID>5DCE0430</paraID>
      <start>808</start>
      <end>815</end>
      <status>unmodified</status>
      <modifiedWord/>
      <trackRevisions>false</trackRevisions>
    </reviewItem>
    <reviewItem>
      <errorID>b73313dbf11e4b0aa0a2f4dd75a82f84</errorID>
      <errorWord>lambda</errorWord>
      <group>L1_English</group>
      <groupName>英文问题</groupName>
      <ability>L2_EnglishGrammar</ability>
      <abilityName>英文语法检查</abilityName>
      <candidateList>
        <item>a lambda</item>
      </candidateList>
      <explain>此处疑似有限定词缺失，建议将单词lambda修改为a lambda</explain>
      <paraID>5DCE0430</paraID>
      <start>829</start>
      <end>835</end>
      <status>unmodified</status>
      <modifiedWord/>
      <trackRevisions>false</trackRevisions>
    </reviewItem>
    <reviewItem>
      <errorID>7c142c52a51b48508de1b69f48032cb3</errorID>
      <errorWord>covariates</errorWord>
      <group>L1_English</group>
      <groupName>英文问题</groupName>
      <ability>L2_EnglishGrammar</ability>
      <abilityName>英文语法检查</abilityName>
      <candidateList>
        <item>covariate</item>
      </candidateList>
      <explain>疑似名词单复数书写有误，建议将covariates修改为covariate</explain>
      <paraID>5DCE0430</paraID>
      <start>856</start>
      <end>866</end>
      <status>unmodified</status>
      <modifiedWord/>
      <trackRevisions>false</trackRevisions>
    </reviewItem>
    <reviewItem>
      <errorID>d19d724ccfd445168d8353c9ac704fea</errorID>
      <errorWord>with</errorWord>
      <group>L1_English</group>
      <groupName>英文问题</groupName>
      <ability>L2_EnglishGrammar</ability>
      <abilityName>英文语法检查</abilityName>
      <candidateList>
        <item>by</item>
      </candidateList>
      <explain>疑似介词使用不当, 建议将with修改为by</explain>
      <paraID>5DCE0430</paraID>
      <start>1057</start>
      <end>1061</end>
      <status>unmodified</status>
      <modifiedWord/>
      <trackRevisions>false</trackRevisions>
    </reviewItem>
    <reviewItem>
      <errorID>f2b3d5eaf206469eaa4d7f707d85c2ac</errorID>
      <errorWord>leiden</errorWord>
      <group>L1_English</group>
      <groupName>英文问题</groupName>
      <ability>L2_EnglishGrammar</ability>
      <abilityName>英文语法检查</abilityName>
      <candidateList>
        <item>Leiden</item>
      </candidateList>
      <explain>疑似单词大小写错误，建议将leiden修改为Leiden</explain>
      <paraID>5DCE0430</paraID>
      <start>1099</start>
      <end>1105</end>
      <status>unmodified</status>
      <modifiedWord/>
      <trackRevisions>false</trackRevisions>
    </reviewItem>
    <reviewItem>
      <errorID>c2d83da657ea46dfbcd1e7514f953ff6</errorID>
      <errorWord>ClusterProfiler</errorWord>
      <group>L1_English</group>
      <groupName>英文问题</groupName>
      <ability>L2_EnglishGrammar</ability>
      <abilityName>英文语法检查</abilityName>
      <candidateList>
        <item>the ClusterProfiler</item>
      </candidateList>
      <explain>此处疑似有限定词缺失，建议将单词ClusterProfiler修改为the ClusterProfiler</explain>
      <paraID> D2F381E</paraID>
      <start>108</start>
      <end>123</end>
      <status>unmodified</status>
      <modifiedWord/>
      <trackRevisions>false</trackRevisions>
    </reviewItem>
    <reviewItem>
      <errorID>6dd2b15ef17a4646b724d9a6bfc8a320</errorID>
      <errorWord>Gene</errorWord>
      <group>L1_English</group>
      <groupName>英文问题</groupName>
      <ability>L2_EnglishGrammar</ability>
      <abilityName>英文语法检查</abilityName>
      <candidateList>
        <item>the Gene</item>
      </candidateList>
      <explain>此处疑似有限定词缺失，建议将单词Gene修改为the Gene</explain>
      <paraID> D2F381E</paraID>
      <start>218</start>
      <end>222</end>
      <status>unmodified</status>
      <modifiedWord/>
      <trackRevisions>false</trackRevisions>
    </reviewItem>
    <reviewItem>
      <errorID>8af968e0edf945098c1d8e6b37528bb7</errorID>
      <errorWord>analyses</errorWord>
      <group>L1_English</group>
      <groupName>英文问题</groupName>
      <ability>L2_EnglishSpell</ability>
      <abilityName>英文拼写检查</abilityName>
      <candidateList>
        <item>analyzes</item>
      </candidateList>
      <explain>建议英式写法修正为美式</explain>
      <paraID> D2F381E</paraID>
      <start>439</start>
      <end>447</end>
      <status>unmodified</status>
      <modifiedWord/>
      <trackRevisions>false</trackRevisions>
    </reviewItem>
    <reviewItem>
      <errorID>135318b044f04192b4cf9f70f69800ad</errorID>
      <errorWord>analyses</errorWord>
      <group>L1_English</group>
      <groupName>英文问题</groupName>
      <ability>L2_EnglishSpell</ability>
      <abilityName>英文拼写检查</abilityName>
      <candidateList>
        <item>analyzes</item>
      </candidateList>
      <explain>建议英式写法修正为美式</explain>
      <paraID>55020508</paraID>
      <start>16</start>
      <end>24</end>
      <status>unmodified</status>
      <modifiedWord/>
      <trackRevisions>false</trackRevisions>
    </reviewItem>
    <reviewItem>
      <errorID>b46dcc861f264901a90c7a25db2254a0</errorID>
      <errorWord>mice</errorWord>
      <group>L1_English</group>
      <groupName>英文问题</groupName>
      <ability>L2_EnglishGrammar</ability>
      <abilityName>英文语法检查</abilityName>
      <candidateList>
        <item>mouse</item>
      </candidateList>
      <explain>名词使用不当, 建议将mice修改为mouse</explain>
      <paraID>4D15B535</paraID>
      <start>46</start>
      <end>50</end>
      <status>unmodified</status>
      <modifiedWord/>
      <trackRevisions>false</trackRevisions>
    </reviewItem>
    <reviewItem>
      <errorID>5b046c6755e2474e83b0872ff8a60f1f</errorID>
      <errorWord>Gend</errorWord>
      <group>L1_English</group>
      <groupName>英文问题</groupName>
      <ability>L2_EnglishSpell</ability>
      <abilityName>英文拼写检查</abilityName>
      <candidateList>
        <item>Gender</item>
      </candidateList>
      <explain>疑似单词拼写有误，建议将Gend修改为Gender</explain>
      <paraID>40C90C66</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6AF786F9-948A-47E2-8D53-377DC79F7D5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1077</Words>
  <Characters>6352</Characters>
  <Lines>79</Lines>
  <Paragraphs>22</Paragraphs>
  <TotalTime>130</TotalTime>
  <ScaleCrop>false</ScaleCrop>
  <LinksUpToDate>false</LinksUpToDate>
  <CharactersWithSpaces>7381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2025-11-06T08:15:00Z</dcterms:created>
  <dc:creator>Xiaoli Pan</dc:creator>
  <cp:lastModifiedBy>忻悦</cp:lastModifiedBy>
  <dcterms:modified xsi:type="dcterms:W3CDTF">2026-02-25T09:36:16Z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DB6F5D815844462CA5ACED9B22E6DF20_13</vt:lpwstr>
  </property>
  <property fmtid="{D5CDD505-2E9C-101B-9397-08002B2CF9AE}" pid="4" name="KSOTemplateDocerSaveRecord">
    <vt:lpwstr>eyJoZGlkIjoiZDNhNzNhYmNmY2FjZDM5MGYzMTYyNTVkYWZhNDM1ZTEiLCJ1c2VySWQiOiIxNjQ3MzU0NzU3In0=</vt:lpwstr>
  </property>
</Properties>
</file>