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9375F" w14:textId="77777777" w:rsidR="00087D7C" w:rsidRPr="00087D7C" w:rsidRDefault="00087D7C" w:rsidP="00087D7C">
      <w:pPr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noProof/>
          <w:color w:val="000000" w:themeColor="text1"/>
          <w:szCs w:val="21"/>
          <w:lang w:eastAsia="en-US"/>
        </w:rPr>
        <w:drawing>
          <wp:inline distT="0" distB="0" distL="0" distR="0" wp14:anchorId="133053EE" wp14:editId="2ADA6852">
            <wp:extent cx="5731510" cy="3154680"/>
            <wp:effectExtent l="0" t="0" r="0" b="0"/>
            <wp:docPr id="42715165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151653" name="图片 42715165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E35D8" w14:textId="723112E8" w:rsidR="00087D7C" w:rsidRPr="00087D7C" w:rsidRDefault="00087D7C" w:rsidP="00087D7C">
      <w:pPr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b/>
          <w:bCs/>
          <w:color w:val="000000" w:themeColor="text1"/>
          <w:szCs w:val="21"/>
        </w:rPr>
        <w:t xml:space="preserve">Fig. </w:t>
      </w:r>
      <w:r w:rsidR="00BC2889">
        <w:rPr>
          <w:rFonts w:cs="Times New Roman" w:hint="eastAsia"/>
          <w:b/>
          <w:bCs/>
          <w:color w:val="000000" w:themeColor="text1"/>
          <w:szCs w:val="21"/>
        </w:rPr>
        <w:t>S</w:t>
      </w:r>
      <w:r w:rsidRPr="00087D7C">
        <w:rPr>
          <w:rFonts w:cs="Times New Roman"/>
          <w:b/>
          <w:bCs/>
          <w:color w:val="000000" w:themeColor="text1"/>
          <w:szCs w:val="21"/>
        </w:rPr>
        <w:t xml:space="preserve">1 </w:t>
      </w:r>
      <w:r w:rsidRPr="00087D7C">
        <w:rPr>
          <w:rFonts w:cs="Times New Roman"/>
          <w:bCs/>
          <w:color w:val="000000" w:themeColor="text1"/>
          <w:szCs w:val="21"/>
        </w:rPr>
        <w:t xml:space="preserve">Validation of acute CLP-induced sepsis and cell cluster annotation in hippocampal </w:t>
      </w:r>
      <w:proofErr w:type="spellStart"/>
      <w:r w:rsidRPr="00087D7C">
        <w:rPr>
          <w:rFonts w:cs="Times New Roman"/>
          <w:bCs/>
          <w:color w:val="000000" w:themeColor="text1"/>
          <w:szCs w:val="21"/>
        </w:rPr>
        <w:t>scRNA</w:t>
      </w:r>
      <w:proofErr w:type="spellEnd"/>
      <w:r w:rsidRPr="00087D7C">
        <w:rPr>
          <w:rFonts w:cs="Times New Roman"/>
          <w:bCs/>
          <w:color w:val="000000" w:themeColor="text1"/>
          <w:szCs w:val="21"/>
        </w:rPr>
        <w:t>-seq data.</w:t>
      </w:r>
      <w:r w:rsidRPr="00087D7C">
        <w:rPr>
          <w:rFonts w:cs="Times New Roman"/>
          <w:color w:val="000000" w:themeColor="text1"/>
          <w:szCs w:val="21"/>
        </w:rPr>
        <w:t xml:space="preserve"> </w:t>
      </w:r>
      <w:r w:rsidRPr="00087D7C">
        <w:rPr>
          <w:rFonts w:cs="Times New Roman"/>
          <w:b/>
          <w:color w:val="000000" w:themeColor="text1"/>
          <w:szCs w:val="21"/>
        </w:rPr>
        <w:t>a</w:t>
      </w:r>
      <w:r w:rsidRPr="00087D7C">
        <w:rPr>
          <w:rFonts w:cs="Times New Roman"/>
          <w:color w:val="000000" w:themeColor="text1"/>
          <w:szCs w:val="21"/>
        </w:rPr>
        <w:t xml:space="preserve"> Kaplan-Meier survival curve showing survival rates in sham-operated controls and CLP-treated mice over 14 days post-surgery. </w:t>
      </w:r>
      <w:r w:rsidRPr="00087D7C">
        <w:rPr>
          <w:rFonts w:cs="Times New Roman"/>
          <w:b/>
          <w:color w:val="000000" w:themeColor="text1"/>
          <w:szCs w:val="21"/>
        </w:rPr>
        <w:t>b</w:t>
      </w:r>
      <w:r w:rsidRPr="00087D7C">
        <w:rPr>
          <w:rFonts w:cs="Times New Roman"/>
          <w:color w:val="000000" w:themeColor="text1"/>
          <w:szCs w:val="21"/>
        </w:rPr>
        <w:t xml:space="preserve"> Body weight changes in sham-operated controls and CLP-treated mice measured daily for 7 days post-surgery. </w:t>
      </w:r>
      <w:r w:rsidRPr="00087D7C">
        <w:rPr>
          <w:rFonts w:cs="Times New Roman"/>
          <w:b/>
          <w:color w:val="000000" w:themeColor="text1"/>
          <w:szCs w:val="21"/>
        </w:rPr>
        <w:t>c</w:t>
      </w:r>
      <w:r w:rsidRPr="00087D7C">
        <w:rPr>
          <w:rFonts w:cs="Times New Roman"/>
          <w:color w:val="000000" w:themeColor="text1"/>
          <w:szCs w:val="21"/>
        </w:rPr>
        <w:t xml:space="preserve"> Rectal temperature measurements in sham-operated controls and CLP-treated mice recorded daily for 7 days post-surgery. </w:t>
      </w:r>
      <w:r w:rsidRPr="00087D7C">
        <w:rPr>
          <w:rFonts w:cs="Times New Roman"/>
          <w:b/>
          <w:color w:val="000000" w:themeColor="text1"/>
          <w:szCs w:val="21"/>
        </w:rPr>
        <w:t>d</w:t>
      </w:r>
      <w:r w:rsidRPr="00087D7C">
        <w:rPr>
          <w:rFonts w:cs="Times New Roman"/>
          <w:color w:val="000000" w:themeColor="text1"/>
          <w:szCs w:val="21"/>
        </w:rPr>
        <w:t xml:space="preserve"> UMAP visualization of all hippocampal cells from sham and CLP mice at 6 months post-infection, colored by cell cluster number. </w:t>
      </w:r>
      <w:r w:rsidRPr="00087D7C">
        <w:rPr>
          <w:rFonts w:cs="Times New Roman"/>
          <w:b/>
          <w:color w:val="000000" w:themeColor="text1"/>
          <w:szCs w:val="21"/>
        </w:rPr>
        <w:t>e</w:t>
      </w:r>
      <w:r w:rsidRPr="00087D7C">
        <w:rPr>
          <w:rFonts w:cs="Times New Roman"/>
          <w:color w:val="000000" w:themeColor="text1"/>
          <w:szCs w:val="21"/>
        </w:rPr>
        <w:t xml:space="preserve"> Table summarizing the marker genes and corresponding cluster identities for each major hippocampal cell type.</w:t>
      </w:r>
    </w:p>
    <w:p w14:paraId="52D9712B" w14:textId="77777777" w:rsidR="00593EA8" w:rsidRPr="00087D7C" w:rsidRDefault="00087D7C" w:rsidP="00593EA8">
      <w:pPr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color w:val="000000" w:themeColor="text1"/>
          <w:szCs w:val="21"/>
        </w:rPr>
        <w:br w:type="page"/>
      </w:r>
      <w:r w:rsidR="00593EA8" w:rsidRPr="00087D7C">
        <w:rPr>
          <w:rFonts w:cs="Times New Roman"/>
          <w:noProof/>
          <w:color w:val="000000" w:themeColor="text1"/>
          <w:szCs w:val="21"/>
          <w:lang w:eastAsia="en-US"/>
        </w:rPr>
        <w:lastRenderedPageBreak/>
        <w:drawing>
          <wp:inline distT="0" distB="0" distL="0" distR="0" wp14:anchorId="1AD01057" wp14:editId="3B0FA044">
            <wp:extent cx="5731510" cy="4423410"/>
            <wp:effectExtent l="0" t="0" r="0" b="0"/>
            <wp:docPr id="211335869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358696" name="图片 211335869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20799" w14:textId="19455065" w:rsidR="00593EA8" w:rsidRPr="00087D7C" w:rsidRDefault="00593EA8" w:rsidP="00593EA8">
      <w:pPr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b/>
          <w:bCs/>
          <w:color w:val="000000" w:themeColor="text1"/>
          <w:szCs w:val="21"/>
        </w:rPr>
        <w:t xml:space="preserve">Fig. </w:t>
      </w:r>
      <w:r w:rsidR="00BC2889">
        <w:rPr>
          <w:rFonts w:cs="Times New Roman" w:hint="eastAsia"/>
          <w:b/>
          <w:bCs/>
          <w:color w:val="000000" w:themeColor="text1"/>
          <w:szCs w:val="21"/>
        </w:rPr>
        <w:t>S</w:t>
      </w:r>
      <w:r>
        <w:rPr>
          <w:rFonts w:cs="Times New Roman" w:hint="eastAsia"/>
          <w:b/>
          <w:bCs/>
          <w:color w:val="000000" w:themeColor="text1"/>
          <w:szCs w:val="21"/>
        </w:rPr>
        <w:t>2</w:t>
      </w:r>
      <w:r w:rsidRPr="00087D7C">
        <w:rPr>
          <w:rFonts w:cs="Times New Roman"/>
          <w:b/>
          <w:bCs/>
          <w:color w:val="000000" w:themeColor="text1"/>
          <w:szCs w:val="21"/>
        </w:rPr>
        <w:t xml:space="preserve"> </w:t>
      </w:r>
      <w:r w:rsidRPr="00087D7C">
        <w:rPr>
          <w:rFonts w:cs="Times New Roman"/>
          <w:bCs/>
          <w:color w:val="000000" w:themeColor="text1"/>
          <w:szCs w:val="21"/>
        </w:rPr>
        <w:t>Single-cell RNA sequencing quality control, marker gene expression, and sample-level distribution.</w:t>
      </w:r>
      <w:r w:rsidRPr="00087D7C">
        <w:rPr>
          <w:rFonts w:cs="Times New Roman"/>
          <w:color w:val="000000" w:themeColor="text1"/>
          <w:szCs w:val="21"/>
        </w:rPr>
        <w:t xml:space="preserve"> </w:t>
      </w:r>
      <w:r w:rsidRPr="00087D7C">
        <w:rPr>
          <w:rFonts w:cs="Times New Roman"/>
          <w:b/>
          <w:color w:val="000000" w:themeColor="text1"/>
          <w:szCs w:val="21"/>
        </w:rPr>
        <w:t>a</w:t>
      </w:r>
      <w:r w:rsidRPr="00087D7C">
        <w:rPr>
          <w:rFonts w:cs="Times New Roman"/>
          <w:color w:val="000000" w:themeColor="text1"/>
          <w:szCs w:val="21"/>
        </w:rPr>
        <w:t xml:space="preserve"> Dot plot showing the expression of canonical marker genes used for identifying major cell types across all integrated </w:t>
      </w:r>
      <w:proofErr w:type="spellStart"/>
      <w:r w:rsidRPr="00087D7C">
        <w:rPr>
          <w:rFonts w:cs="Times New Roman"/>
          <w:color w:val="000000" w:themeColor="text1"/>
          <w:szCs w:val="21"/>
        </w:rPr>
        <w:t>scRNA</w:t>
      </w:r>
      <w:proofErr w:type="spellEnd"/>
      <w:r w:rsidRPr="00087D7C">
        <w:rPr>
          <w:rFonts w:cs="Times New Roman"/>
          <w:color w:val="000000" w:themeColor="text1"/>
          <w:szCs w:val="21"/>
        </w:rPr>
        <w:t>-seq data. Marker genes include microglia-specific markers (</w:t>
      </w:r>
      <w:r w:rsidRPr="00087D7C">
        <w:rPr>
          <w:rFonts w:cs="Times New Roman"/>
          <w:i/>
          <w:iCs/>
          <w:color w:val="000000" w:themeColor="text1"/>
          <w:szCs w:val="21"/>
        </w:rPr>
        <w:t xml:space="preserve">Cx3cr1, </w:t>
      </w:r>
      <w:proofErr w:type="spellStart"/>
      <w:r w:rsidRPr="00087D7C">
        <w:rPr>
          <w:rFonts w:cs="Times New Roman"/>
          <w:i/>
          <w:iCs/>
          <w:color w:val="000000" w:themeColor="text1"/>
          <w:szCs w:val="21"/>
        </w:rPr>
        <w:t>Siglech</w:t>
      </w:r>
      <w:proofErr w:type="spellEnd"/>
      <w:r w:rsidRPr="00087D7C">
        <w:rPr>
          <w:rFonts w:cs="Times New Roman"/>
          <w:i/>
          <w:iCs/>
          <w:color w:val="000000" w:themeColor="text1"/>
          <w:szCs w:val="21"/>
        </w:rPr>
        <w:t xml:space="preserve">, </w:t>
      </w:r>
      <w:proofErr w:type="spellStart"/>
      <w:r w:rsidRPr="00087D7C">
        <w:rPr>
          <w:rFonts w:cs="Times New Roman"/>
          <w:i/>
          <w:iCs/>
          <w:color w:val="000000" w:themeColor="text1"/>
          <w:szCs w:val="21"/>
        </w:rPr>
        <w:t>Hexb</w:t>
      </w:r>
      <w:proofErr w:type="spellEnd"/>
      <w:r w:rsidRPr="00087D7C">
        <w:rPr>
          <w:rFonts w:cs="Times New Roman"/>
          <w:i/>
          <w:iCs/>
          <w:color w:val="000000" w:themeColor="text1"/>
          <w:szCs w:val="21"/>
        </w:rPr>
        <w:t>, Sall1, P2ry12, Tmem119</w:t>
      </w:r>
      <w:r w:rsidRPr="00087D7C">
        <w:rPr>
          <w:rFonts w:cs="Times New Roman"/>
          <w:color w:val="000000" w:themeColor="text1"/>
          <w:szCs w:val="21"/>
        </w:rPr>
        <w:t>) and macrophage-specific markers (</w:t>
      </w:r>
      <w:r w:rsidRPr="00087D7C">
        <w:rPr>
          <w:rFonts w:cs="Times New Roman"/>
          <w:i/>
          <w:iCs/>
          <w:color w:val="000000" w:themeColor="text1"/>
          <w:szCs w:val="21"/>
        </w:rPr>
        <w:t>F10, Clec4a1, Plac8, Ly6c2, Ccr2</w:t>
      </w:r>
      <w:r w:rsidRPr="00087D7C">
        <w:rPr>
          <w:rFonts w:cs="Times New Roman"/>
          <w:color w:val="000000" w:themeColor="text1"/>
          <w:szCs w:val="21"/>
        </w:rPr>
        <w:t xml:space="preserve">), as well as markers for other cell types (neurons, astrocytes, oligodendrocytes, endothelial cells, pericytes, OPCs). Dot size represents the percentage of cells expressing the gene; color intensity indicates the average normalized expression level. </w:t>
      </w:r>
      <w:r w:rsidRPr="00087D7C">
        <w:rPr>
          <w:rFonts w:cs="Times New Roman"/>
          <w:b/>
          <w:color w:val="000000" w:themeColor="text1"/>
          <w:szCs w:val="21"/>
        </w:rPr>
        <w:t>b</w:t>
      </w:r>
      <w:r w:rsidRPr="00087D7C">
        <w:rPr>
          <w:rFonts w:cs="Times New Roman"/>
          <w:color w:val="000000" w:themeColor="text1"/>
          <w:szCs w:val="21"/>
        </w:rPr>
        <w:t xml:space="preserve"> Violin plots showing the expression level distributions of key marker genes across all identified cell clusters, further validating the specificity of cell type annotations. </w:t>
      </w:r>
      <w:r w:rsidRPr="00087D7C">
        <w:rPr>
          <w:rFonts w:cs="Times New Roman"/>
          <w:b/>
          <w:color w:val="000000" w:themeColor="text1"/>
          <w:szCs w:val="21"/>
        </w:rPr>
        <w:t>c</w:t>
      </w:r>
      <w:r w:rsidRPr="00087D7C">
        <w:rPr>
          <w:rFonts w:cs="Times New Roman"/>
          <w:color w:val="000000" w:themeColor="text1"/>
          <w:szCs w:val="21"/>
        </w:rPr>
        <w:t xml:space="preserve"> UMAP visualization of the integrated single-cell dataset, colored by individual biological replicate (samples m391_exp to m563_con). </w:t>
      </w:r>
      <w:r w:rsidRPr="00087D7C">
        <w:rPr>
          <w:rFonts w:cs="Times New Roman"/>
          <w:b/>
          <w:color w:val="000000" w:themeColor="text1"/>
          <w:szCs w:val="21"/>
        </w:rPr>
        <w:t>d</w:t>
      </w:r>
      <w:r w:rsidRPr="00087D7C">
        <w:rPr>
          <w:rFonts w:cs="Times New Roman"/>
          <w:color w:val="000000" w:themeColor="text1"/>
          <w:szCs w:val="21"/>
        </w:rPr>
        <w:t xml:space="preserve"> Split UMAP plots showing the distribution of annotated cell types within each individual biological sample (m391_exp, m392_exp, m393_exp, m411_exp, m412_exp [CLP group, </w:t>
      </w:r>
      <w:r w:rsidRPr="00087D7C">
        <w:rPr>
          <w:rFonts w:cs="Times New Roman"/>
          <w:i/>
          <w:iCs/>
          <w:color w:val="000000" w:themeColor="text1"/>
          <w:szCs w:val="21"/>
        </w:rPr>
        <w:t>n</w:t>
      </w:r>
      <w:r w:rsidRPr="00087D7C">
        <w:rPr>
          <w:rFonts w:cs="Times New Roman"/>
          <w:color w:val="000000" w:themeColor="text1"/>
          <w:szCs w:val="21"/>
        </w:rPr>
        <w:t xml:space="preserve"> = 5]; m551_con, m552_con, m553_con, m562_con, m563_con [control group, </w:t>
      </w:r>
      <w:r w:rsidRPr="00087D7C">
        <w:rPr>
          <w:rFonts w:cs="Times New Roman"/>
          <w:i/>
          <w:iCs/>
          <w:color w:val="000000" w:themeColor="text1"/>
          <w:szCs w:val="21"/>
        </w:rPr>
        <w:t>n</w:t>
      </w:r>
      <w:r w:rsidRPr="00087D7C">
        <w:rPr>
          <w:rFonts w:cs="Times New Roman"/>
          <w:color w:val="000000" w:themeColor="text1"/>
          <w:szCs w:val="21"/>
        </w:rPr>
        <w:t xml:space="preserve"> = 5]). Data are presented as </w:t>
      </w:r>
      <w:proofErr w:type="spellStart"/>
      <w:r w:rsidRPr="00087D7C">
        <w:rPr>
          <w:rFonts w:cs="Times New Roman"/>
          <w:color w:val="000000" w:themeColor="text1"/>
          <w:szCs w:val="21"/>
        </w:rPr>
        <w:t>scRNA</w:t>
      </w:r>
      <w:proofErr w:type="spellEnd"/>
      <w:r w:rsidRPr="00087D7C">
        <w:rPr>
          <w:rFonts w:cs="Times New Roman"/>
          <w:color w:val="000000" w:themeColor="text1"/>
          <w:szCs w:val="21"/>
        </w:rPr>
        <w:t xml:space="preserve">-seq visualizations derived from </w:t>
      </w:r>
      <w:r w:rsidRPr="00087D7C">
        <w:rPr>
          <w:rFonts w:cs="Times New Roman"/>
          <w:i/>
          <w:iCs/>
          <w:color w:val="000000" w:themeColor="text1"/>
          <w:szCs w:val="21"/>
        </w:rPr>
        <w:t>n</w:t>
      </w:r>
      <w:r w:rsidRPr="00087D7C">
        <w:rPr>
          <w:rFonts w:cs="Times New Roman"/>
          <w:color w:val="000000" w:themeColor="text1"/>
          <w:szCs w:val="21"/>
        </w:rPr>
        <w:t xml:space="preserve"> = 5 CLP mice and </w:t>
      </w:r>
      <w:r w:rsidRPr="00087D7C">
        <w:rPr>
          <w:rFonts w:cs="Times New Roman"/>
          <w:i/>
          <w:iCs/>
          <w:color w:val="000000" w:themeColor="text1"/>
          <w:szCs w:val="21"/>
        </w:rPr>
        <w:t>n</w:t>
      </w:r>
      <w:r w:rsidRPr="00087D7C">
        <w:rPr>
          <w:rFonts w:cs="Times New Roman"/>
          <w:color w:val="000000" w:themeColor="text1"/>
          <w:szCs w:val="21"/>
        </w:rPr>
        <w:t xml:space="preserve"> = 5 control mice (total </w:t>
      </w:r>
      <w:r w:rsidRPr="00087D7C">
        <w:rPr>
          <w:rFonts w:cs="Times New Roman"/>
          <w:i/>
          <w:iCs/>
          <w:color w:val="000000" w:themeColor="text1"/>
          <w:szCs w:val="21"/>
        </w:rPr>
        <w:t>n</w:t>
      </w:r>
      <w:r w:rsidRPr="00087D7C">
        <w:rPr>
          <w:rFonts w:cs="Times New Roman"/>
          <w:color w:val="000000" w:themeColor="text1"/>
          <w:szCs w:val="21"/>
        </w:rPr>
        <w:t xml:space="preserve"> = 10 biological samples).</w:t>
      </w:r>
    </w:p>
    <w:p w14:paraId="20045C63" w14:textId="1106BD91" w:rsidR="00593EA8" w:rsidRDefault="00593EA8">
      <w:pPr>
        <w:widowControl/>
        <w:jc w:val="left"/>
        <w:rPr>
          <w:rFonts w:cs="Times New Roman"/>
          <w:color w:val="000000" w:themeColor="text1"/>
          <w:szCs w:val="21"/>
        </w:rPr>
      </w:pPr>
      <w:r>
        <w:rPr>
          <w:rFonts w:cs="Times New Roman"/>
          <w:color w:val="000000" w:themeColor="text1"/>
          <w:szCs w:val="21"/>
        </w:rPr>
        <w:br w:type="page"/>
      </w:r>
    </w:p>
    <w:p w14:paraId="4AA30B9D" w14:textId="77777777" w:rsidR="00087D7C" w:rsidRPr="00593EA8" w:rsidRDefault="00087D7C" w:rsidP="00087D7C">
      <w:pPr>
        <w:widowControl/>
        <w:jc w:val="left"/>
        <w:rPr>
          <w:rFonts w:cs="Times New Roman"/>
          <w:color w:val="000000" w:themeColor="text1"/>
          <w:szCs w:val="21"/>
        </w:rPr>
      </w:pPr>
    </w:p>
    <w:p w14:paraId="62590F4A" w14:textId="77777777" w:rsidR="00087D7C" w:rsidRPr="00087D7C" w:rsidRDefault="00087D7C" w:rsidP="00087D7C">
      <w:pPr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noProof/>
          <w:color w:val="000000" w:themeColor="text1"/>
          <w:szCs w:val="21"/>
          <w:lang w:eastAsia="en-US"/>
        </w:rPr>
        <w:drawing>
          <wp:inline distT="0" distB="0" distL="0" distR="0" wp14:anchorId="53530DAC" wp14:editId="2ADAE6F1">
            <wp:extent cx="5731510" cy="3742690"/>
            <wp:effectExtent l="0" t="0" r="0" b="0"/>
            <wp:docPr id="76518500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185000" name="图片 7651850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C751C" w14:textId="7A3442A7" w:rsidR="00087D7C" w:rsidRPr="00087D7C" w:rsidRDefault="00087D7C" w:rsidP="00087D7C">
      <w:pPr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b/>
          <w:bCs/>
          <w:color w:val="000000" w:themeColor="text1"/>
          <w:szCs w:val="21"/>
        </w:rPr>
        <w:t xml:space="preserve">Fig. </w:t>
      </w:r>
      <w:r w:rsidR="00BC2889">
        <w:rPr>
          <w:rFonts w:cs="Times New Roman" w:hint="eastAsia"/>
          <w:b/>
          <w:bCs/>
          <w:color w:val="000000" w:themeColor="text1"/>
          <w:szCs w:val="21"/>
        </w:rPr>
        <w:t>S</w:t>
      </w:r>
      <w:r w:rsidR="00593EA8">
        <w:rPr>
          <w:rFonts w:cs="Times New Roman" w:hint="eastAsia"/>
          <w:b/>
          <w:bCs/>
          <w:color w:val="000000" w:themeColor="text1"/>
          <w:szCs w:val="21"/>
        </w:rPr>
        <w:t>3</w:t>
      </w:r>
      <w:r w:rsidRPr="00087D7C">
        <w:rPr>
          <w:rFonts w:cs="Times New Roman"/>
          <w:b/>
          <w:bCs/>
          <w:color w:val="000000" w:themeColor="text1"/>
          <w:szCs w:val="21"/>
        </w:rPr>
        <w:t xml:space="preserve"> </w:t>
      </w:r>
      <w:proofErr w:type="spellStart"/>
      <w:r w:rsidRPr="00087D7C">
        <w:rPr>
          <w:rFonts w:cs="Times New Roman"/>
          <w:bCs/>
          <w:color w:val="000000" w:themeColor="text1"/>
          <w:szCs w:val="21"/>
        </w:rPr>
        <w:t>Subclustering</w:t>
      </w:r>
      <w:proofErr w:type="spellEnd"/>
      <w:r w:rsidRPr="00087D7C">
        <w:rPr>
          <w:rFonts w:cs="Times New Roman"/>
          <w:bCs/>
          <w:color w:val="000000" w:themeColor="text1"/>
          <w:szCs w:val="21"/>
        </w:rPr>
        <w:t xml:space="preserve"> of major hippocampal cell populations and changes in immune subpopulation composition after CLP-induced sepsis.</w:t>
      </w:r>
      <w:r w:rsidRPr="00087D7C">
        <w:rPr>
          <w:rFonts w:cs="Times New Roman"/>
          <w:color w:val="000000" w:themeColor="text1"/>
          <w:szCs w:val="21"/>
        </w:rPr>
        <w:t xml:space="preserve"> </w:t>
      </w:r>
      <w:r w:rsidRPr="00087D7C">
        <w:rPr>
          <w:rFonts w:cs="Times New Roman"/>
          <w:b/>
          <w:color w:val="000000" w:themeColor="text1"/>
          <w:szCs w:val="21"/>
        </w:rPr>
        <w:t>a</w:t>
      </w:r>
      <w:r w:rsidRPr="00087D7C">
        <w:rPr>
          <w:rFonts w:cs="Times New Roman"/>
          <w:color w:val="000000" w:themeColor="text1"/>
          <w:szCs w:val="21"/>
        </w:rPr>
        <w:t xml:space="preserve"> UMAP visualization highlighting the oligodendrocyte population. </w:t>
      </w:r>
      <w:r w:rsidRPr="00087D7C">
        <w:rPr>
          <w:rFonts w:cs="Times New Roman"/>
          <w:b/>
          <w:color w:val="000000" w:themeColor="text1"/>
          <w:szCs w:val="21"/>
        </w:rPr>
        <w:t>b</w:t>
      </w:r>
      <w:r w:rsidRPr="00087D7C">
        <w:rPr>
          <w:rFonts w:cs="Times New Roman"/>
          <w:color w:val="000000" w:themeColor="text1"/>
          <w:szCs w:val="21"/>
        </w:rPr>
        <w:t xml:space="preserve"> UMAP visualization highlighting the neuronal population. </w:t>
      </w:r>
      <w:r w:rsidRPr="00087D7C">
        <w:rPr>
          <w:rFonts w:cs="Times New Roman"/>
          <w:b/>
          <w:color w:val="000000" w:themeColor="text1"/>
          <w:szCs w:val="21"/>
        </w:rPr>
        <w:t>c</w:t>
      </w:r>
      <w:r w:rsidRPr="00087D7C">
        <w:rPr>
          <w:rFonts w:cs="Times New Roman"/>
          <w:color w:val="000000" w:themeColor="text1"/>
          <w:szCs w:val="21"/>
        </w:rPr>
        <w:t xml:space="preserve"> UMAP visualization highlighting the astrocyte population. </w:t>
      </w:r>
      <w:r w:rsidRPr="00087D7C">
        <w:rPr>
          <w:rFonts w:cs="Times New Roman"/>
          <w:b/>
          <w:color w:val="000000" w:themeColor="text1"/>
          <w:szCs w:val="21"/>
        </w:rPr>
        <w:t>d</w:t>
      </w:r>
      <w:r w:rsidRPr="00087D7C">
        <w:rPr>
          <w:rFonts w:cs="Times New Roman"/>
          <w:color w:val="000000" w:themeColor="text1"/>
          <w:szCs w:val="21"/>
        </w:rPr>
        <w:t xml:space="preserve"> Stacked bar chart comparing the proportional composition of microglial and macrophage subpopulations between control and 6 months post-CLP groups within the hippocampal immune compartment.</w:t>
      </w:r>
    </w:p>
    <w:p w14:paraId="2C1563E0" w14:textId="77777777" w:rsidR="00087D7C" w:rsidRPr="00087D7C" w:rsidRDefault="00087D7C" w:rsidP="00087D7C">
      <w:pPr>
        <w:widowControl/>
        <w:jc w:val="left"/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color w:val="000000" w:themeColor="text1"/>
          <w:szCs w:val="21"/>
        </w:rPr>
        <w:br w:type="page"/>
      </w:r>
    </w:p>
    <w:p w14:paraId="4BA564C3" w14:textId="77777777" w:rsidR="00087D7C" w:rsidRPr="00087D7C" w:rsidRDefault="00087D7C" w:rsidP="00087D7C">
      <w:pPr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noProof/>
          <w:color w:val="000000" w:themeColor="text1"/>
          <w:szCs w:val="21"/>
          <w:lang w:eastAsia="en-US"/>
        </w:rPr>
        <w:lastRenderedPageBreak/>
        <w:drawing>
          <wp:inline distT="0" distB="0" distL="0" distR="0" wp14:anchorId="236A99EE" wp14:editId="7D7C767F">
            <wp:extent cx="5731510" cy="3888740"/>
            <wp:effectExtent l="0" t="0" r="0" b="0"/>
            <wp:docPr id="19846324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632419" name="图片 19846324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8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45557" w14:textId="1C6CBD03" w:rsidR="00087D7C" w:rsidRPr="00087D7C" w:rsidRDefault="00087D7C" w:rsidP="00087D7C">
      <w:pPr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b/>
          <w:bCs/>
          <w:color w:val="000000" w:themeColor="text1"/>
          <w:szCs w:val="21"/>
        </w:rPr>
        <w:t xml:space="preserve">Fig. </w:t>
      </w:r>
      <w:r w:rsidR="00BC2889">
        <w:rPr>
          <w:rFonts w:cs="Times New Roman" w:hint="eastAsia"/>
          <w:b/>
          <w:bCs/>
          <w:color w:val="000000" w:themeColor="text1"/>
          <w:szCs w:val="21"/>
        </w:rPr>
        <w:t>S</w:t>
      </w:r>
      <w:r w:rsidR="00593EA8">
        <w:rPr>
          <w:rFonts w:cs="Times New Roman" w:hint="eastAsia"/>
          <w:b/>
          <w:bCs/>
          <w:color w:val="000000" w:themeColor="text1"/>
          <w:szCs w:val="21"/>
        </w:rPr>
        <w:t>4</w:t>
      </w:r>
      <w:r w:rsidRPr="00087D7C">
        <w:rPr>
          <w:rFonts w:cs="Times New Roman"/>
          <w:bCs/>
          <w:color w:val="000000" w:themeColor="text1"/>
          <w:szCs w:val="21"/>
        </w:rPr>
        <w:t xml:space="preserve"> Validation of bone marrow chimerism and temporal transcriptional profiling of GFP</w:t>
      </w:r>
      <w:r w:rsidRPr="00087D7C">
        <w:rPr>
          <w:rFonts w:cs="Times New Roman"/>
          <w:bCs/>
          <w:color w:val="000000" w:themeColor="text1"/>
          <w:szCs w:val="21"/>
          <w:vertAlign w:val="superscript"/>
        </w:rPr>
        <w:t>+</w:t>
      </w:r>
      <w:r w:rsidRPr="00087D7C">
        <w:rPr>
          <w:rFonts w:cs="Times New Roman"/>
          <w:bCs/>
          <w:color w:val="000000" w:themeColor="text1"/>
          <w:szCs w:val="21"/>
        </w:rPr>
        <w:t xml:space="preserve"> infiltrating macrophages after CLP.</w:t>
      </w:r>
      <w:r w:rsidRPr="00087D7C">
        <w:rPr>
          <w:rFonts w:cs="Times New Roman"/>
          <w:color w:val="000000" w:themeColor="text1"/>
          <w:szCs w:val="21"/>
        </w:rPr>
        <w:t xml:space="preserve"> </w:t>
      </w:r>
      <w:r w:rsidRPr="00087D7C">
        <w:rPr>
          <w:rFonts w:cs="Times New Roman"/>
          <w:b/>
          <w:color w:val="000000" w:themeColor="text1"/>
          <w:szCs w:val="21"/>
        </w:rPr>
        <w:t>a</w:t>
      </w:r>
      <w:r w:rsidRPr="00087D7C">
        <w:rPr>
          <w:rFonts w:cs="Times New Roman"/>
          <w:color w:val="000000" w:themeColor="text1"/>
          <w:szCs w:val="21"/>
        </w:rPr>
        <w:t xml:space="preserve"> Representative flow cytometry plots showing GFP</w:t>
      </w:r>
      <w:r w:rsidRPr="00087D7C">
        <w:rPr>
          <w:rFonts w:cs="Times New Roman"/>
          <w:color w:val="000000" w:themeColor="text1"/>
          <w:szCs w:val="21"/>
          <w:vertAlign w:val="superscript"/>
        </w:rPr>
        <w:t>+</w:t>
      </w:r>
      <w:r w:rsidRPr="00087D7C">
        <w:rPr>
          <w:rFonts w:cs="Times New Roman"/>
          <w:color w:val="000000" w:themeColor="text1"/>
          <w:szCs w:val="21"/>
        </w:rPr>
        <w:t xml:space="preserve"> cell populations in peripheral blood from control (non-transplanted) mice and bone marrow-transplanted mice. </w:t>
      </w:r>
      <w:r w:rsidRPr="00087D7C">
        <w:rPr>
          <w:rFonts w:cs="Times New Roman"/>
          <w:b/>
          <w:color w:val="000000" w:themeColor="text1"/>
          <w:szCs w:val="21"/>
        </w:rPr>
        <w:t>b</w:t>
      </w:r>
      <w:r w:rsidRPr="00087D7C">
        <w:rPr>
          <w:rFonts w:cs="Times New Roman"/>
          <w:color w:val="000000" w:themeColor="text1"/>
          <w:szCs w:val="21"/>
        </w:rPr>
        <w:t xml:space="preserve"> Quantification of GFP</w:t>
      </w:r>
      <w:r w:rsidRPr="00087D7C">
        <w:rPr>
          <w:rFonts w:cs="Times New Roman"/>
          <w:color w:val="000000" w:themeColor="text1"/>
          <w:szCs w:val="21"/>
          <w:vertAlign w:val="superscript"/>
        </w:rPr>
        <w:t>+</w:t>
      </w:r>
      <w:r w:rsidRPr="00087D7C">
        <w:rPr>
          <w:rFonts w:cs="Times New Roman"/>
          <w:color w:val="000000" w:themeColor="text1"/>
          <w:szCs w:val="21"/>
        </w:rPr>
        <w:t xml:space="preserve"> cells (as a percentage of total live cells) in peripheral blood from control and bone marrow-transplanted (BM) mice. </w:t>
      </w:r>
      <w:r w:rsidRPr="00087D7C">
        <w:rPr>
          <w:rFonts w:cs="Times New Roman"/>
          <w:b/>
          <w:color w:val="000000" w:themeColor="text1"/>
          <w:szCs w:val="21"/>
        </w:rPr>
        <w:t>c</w:t>
      </w:r>
      <w:r w:rsidRPr="00087D7C">
        <w:rPr>
          <w:rFonts w:cs="Times New Roman"/>
          <w:color w:val="000000" w:themeColor="text1"/>
          <w:szCs w:val="21"/>
        </w:rPr>
        <w:t xml:space="preserve"> Representative blood smear from bone marrow-transplanted mice showing the bright-field image (left panel) and the presence of GFP</w:t>
      </w:r>
      <w:r w:rsidRPr="00087D7C">
        <w:rPr>
          <w:rFonts w:cs="Times New Roman"/>
          <w:color w:val="000000" w:themeColor="text1"/>
          <w:szCs w:val="21"/>
          <w:vertAlign w:val="superscript"/>
        </w:rPr>
        <w:t>+</w:t>
      </w:r>
      <w:r w:rsidRPr="00087D7C">
        <w:rPr>
          <w:rFonts w:cs="Times New Roman"/>
          <w:color w:val="000000" w:themeColor="text1"/>
          <w:szCs w:val="21"/>
        </w:rPr>
        <w:t xml:space="preserve"> cells (green, right panel). Scale bar: 100 </w:t>
      </w:r>
      <w:r w:rsidRPr="00087D7C">
        <w:rPr>
          <w:rFonts w:cs="Times New Roman"/>
          <w:color w:val="000000" w:themeColor="text1"/>
          <w:szCs w:val="21"/>
          <w:lang w:val="el-GR"/>
        </w:rPr>
        <w:t>μ</w:t>
      </w:r>
      <w:r w:rsidRPr="00087D7C">
        <w:rPr>
          <w:rFonts w:cs="Times New Roman"/>
          <w:color w:val="000000" w:themeColor="text1"/>
          <w:szCs w:val="21"/>
        </w:rPr>
        <w:t xml:space="preserve">m. </w:t>
      </w:r>
      <w:r w:rsidRPr="00087D7C">
        <w:rPr>
          <w:rFonts w:cs="Times New Roman"/>
          <w:b/>
          <w:color w:val="000000" w:themeColor="text1"/>
          <w:szCs w:val="21"/>
        </w:rPr>
        <w:t>d</w:t>
      </w:r>
      <w:r w:rsidRPr="00087D7C">
        <w:rPr>
          <w:rFonts w:cs="Times New Roman"/>
          <w:color w:val="000000" w:themeColor="text1"/>
          <w:szCs w:val="21"/>
        </w:rPr>
        <w:t xml:space="preserve"> Representative UMAP plots of </w:t>
      </w:r>
      <w:proofErr w:type="spellStart"/>
      <w:r w:rsidRPr="00087D7C">
        <w:rPr>
          <w:rFonts w:cs="Times New Roman"/>
          <w:color w:val="000000" w:themeColor="text1"/>
          <w:szCs w:val="21"/>
        </w:rPr>
        <w:t>reclustered</w:t>
      </w:r>
      <w:proofErr w:type="spellEnd"/>
      <w:r w:rsidRPr="00087D7C">
        <w:rPr>
          <w:rFonts w:cs="Times New Roman"/>
          <w:color w:val="000000" w:themeColor="text1"/>
          <w:szCs w:val="21"/>
        </w:rPr>
        <w:t xml:space="preserve"> microglial and macrophage populations showing the distribution of GFP</w:t>
      </w:r>
      <w:r w:rsidRPr="00087D7C">
        <w:rPr>
          <w:rFonts w:cs="Times New Roman"/>
          <w:color w:val="000000" w:themeColor="text1"/>
          <w:szCs w:val="21"/>
          <w:vertAlign w:val="superscript"/>
        </w:rPr>
        <w:t>+</w:t>
      </w:r>
      <w:r w:rsidRPr="00087D7C">
        <w:rPr>
          <w:rFonts w:cs="Times New Roman"/>
          <w:color w:val="000000" w:themeColor="text1"/>
          <w:szCs w:val="21"/>
        </w:rPr>
        <w:t xml:space="preserve"> cells in the control hippocampus and at 3 days, 1 month, and 6 months after CLP. </w:t>
      </w:r>
      <w:r w:rsidRPr="00087D7C">
        <w:rPr>
          <w:rFonts w:cs="Times New Roman"/>
          <w:b/>
          <w:color w:val="000000" w:themeColor="text1"/>
          <w:szCs w:val="21"/>
        </w:rPr>
        <w:t>e</w:t>
      </w:r>
      <w:r w:rsidRPr="00087D7C">
        <w:rPr>
          <w:rFonts w:cs="Times New Roman"/>
          <w:color w:val="000000" w:themeColor="text1"/>
          <w:szCs w:val="21"/>
        </w:rPr>
        <w:t xml:space="preserve"> Volcano plots showing </w:t>
      </w:r>
      <w:r w:rsidRPr="00087D7C">
        <w:rPr>
          <w:rFonts w:cs="Times New Roman" w:hint="eastAsia"/>
          <w:color w:val="000000" w:themeColor="text1"/>
          <w:szCs w:val="21"/>
        </w:rPr>
        <w:t>DEGs</w:t>
      </w:r>
      <w:r w:rsidRPr="00087D7C">
        <w:rPr>
          <w:rFonts w:cs="Times New Roman"/>
          <w:color w:val="000000" w:themeColor="text1"/>
          <w:szCs w:val="21"/>
        </w:rPr>
        <w:t xml:space="preserve"> in GFP</w:t>
      </w:r>
      <w:r w:rsidRPr="00087D7C">
        <w:rPr>
          <w:rFonts w:cs="Times New Roman"/>
          <w:color w:val="000000" w:themeColor="text1"/>
          <w:szCs w:val="21"/>
          <w:vertAlign w:val="superscript"/>
        </w:rPr>
        <w:t>+</w:t>
      </w:r>
      <w:r w:rsidRPr="00087D7C">
        <w:rPr>
          <w:rFonts w:cs="Times New Roman"/>
          <w:color w:val="000000" w:themeColor="text1"/>
          <w:szCs w:val="21"/>
        </w:rPr>
        <w:t xml:space="preserve"> MDMs at 3 days, 1 month, and 6 months after CLP relative to controls. Red dots indicate upregulated genes, blue dots indicate downregulated genes, and gray dots indicate genes below the indicated fold-change threshold. Selected genes are labeled. </w:t>
      </w:r>
      <w:r w:rsidRPr="00087D7C">
        <w:rPr>
          <w:rFonts w:cs="Times New Roman"/>
          <w:b/>
          <w:color w:val="000000" w:themeColor="text1"/>
          <w:szCs w:val="21"/>
        </w:rPr>
        <w:t>f</w:t>
      </w:r>
      <w:r w:rsidRPr="00087D7C">
        <w:rPr>
          <w:rFonts w:cs="Times New Roman"/>
          <w:color w:val="000000" w:themeColor="text1"/>
          <w:szCs w:val="21"/>
        </w:rPr>
        <w:t xml:space="preserve"> GO enrichment analysis of biological processes associated with differentially expressed genes in GFP</w:t>
      </w:r>
      <w:r w:rsidRPr="00087D7C">
        <w:rPr>
          <w:rFonts w:cs="Times New Roman"/>
          <w:color w:val="000000" w:themeColor="text1"/>
          <w:szCs w:val="21"/>
          <w:vertAlign w:val="superscript"/>
        </w:rPr>
        <w:t>+</w:t>
      </w:r>
      <w:r w:rsidRPr="00087D7C">
        <w:rPr>
          <w:rFonts w:cs="Times New Roman"/>
          <w:color w:val="000000" w:themeColor="text1"/>
          <w:szCs w:val="21"/>
        </w:rPr>
        <w:t xml:space="preserve"> MDMs at each time point. Data are presented as mean ± SEM</w:t>
      </w:r>
      <w:r w:rsidRPr="00087D7C">
        <w:rPr>
          <w:rFonts w:cs="Times New Roman" w:hint="eastAsia"/>
          <w:color w:val="000000" w:themeColor="text1"/>
          <w:szCs w:val="21"/>
        </w:rPr>
        <w:t xml:space="preserve"> </w:t>
      </w:r>
      <w:r w:rsidRPr="00087D7C">
        <w:rPr>
          <w:rFonts w:cs="Times New Roman"/>
          <w:color w:val="000000" w:themeColor="text1"/>
          <w:szCs w:val="21"/>
        </w:rPr>
        <w:t>(</w:t>
      </w:r>
      <w:r w:rsidRPr="00087D7C">
        <w:rPr>
          <w:rFonts w:cs="Times New Roman"/>
          <w:i/>
          <w:iCs/>
          <w:color w:val="000000" w:themeColor="text1"/>
          <w:szCs w:val="21"/>
        </w:rPr>
        <w:t>n</w:t>
      </w:r>
      <w:r w:rsidRPr="00087D7C">
        <w:rPr>
          <w:rFonts w:cs="Times New Roman"/>
          <w:color w:val="000000" w:themeColor="text1"/>
          <w:szCs w:val="21"/>
        </w:rPr>
        <w:t xml:space="preserve"> = 3 mice per group). Experiments were independently repeated </w:t>
      </w:r>
      <w:r w:rsidRPr="00087D7C">
        <w:rPr>
          <w:rFonts w:cs="Times New Roman" w:hint="eastAsia"/>
          <w:color w:val="000000" w:themeColor="text1"/>
          <w:szCs w:val="21"/>
        </w:rPr>
        <w:t>3</w:t>
      </w:r>
      <w:r w:rsidRPr="00087D7C">
        <w:rPr>
          <w:rFonts w:cs="Times New Roman"/>
          <w:color w:val="000000" w:themeColor="text1"/>
          <w:szCs w:val="21"/>
        </w:rPr>
        <w:t xml:space="preserve"> times with similar results.</w:t>
      </w:r>
      <w:r w:rsidRPr="00087D7C">
        <w:rPr>
          <w:rFonts w:cs="Times New Roman" w:hint="eastAsia"/>
          <w:color w:val="000000" w:themeColor="text1"/>
          <w:szCs w:val="21"/>
        </w:rPr>
        <w:t xml:space="preserve"> </w:t>
      </w:r>
      <w:r w:rsidRPr="00087D7C">
        <w:rPr>
          <w:rFonts w:cs="Times New Roman"/>
          <w:color w:val="000000" w:themeColor="text1"/>
          <w:szCs w:val="21"/>
        </w:rPr>
        <w:t xml:space="preserve">Statistical comparisons were performed using one-way ANOVA or unpaired Student’s </w:t>
      </w:r>
      <w:r w:rsidRPr="00087D7C">
        <w:rPr>
          <w:rFonts w:cs="Times New Roman"/>
          <w:i/>
          <w:iCs/>
          <w:color w:val="000000" w:themeColor="text1"/>
          <w:szCs w:val="21"/>
        </w:rPr>
        <w:t>t</w:t>
      </w:r>
      <w:r w:rsidRPr="00087D7C">
        <w:rPr>
          <w:rFonts w:cs="Times New Roman"/>
          <w:color w:val="000000" w:themeColor="text1"/>
          <w:szCs w:val="21"/>
        </w:rPr>
        <w:t>-test. *</w:t>
      </w:r>
      <w:r w:rsidRPr="00087D7C">
        <w:rPr>
          <w:rFonts w:cs="Times New Roman"/>
          <w:i/>
          <w:iCs/>
          <w:color w:val="000000" w:themeColor="text1"/>
          <w:szCs w:val="21"/>
        </w:rPr>
        <w:t>p</w:t>
      </w:r>
      <w:r w:rsidRPr="00087D7C">
        <w:rPr>
          <w:rFonts w:cs="Times New Roman"/>
          <w:color w:val="000000" w:themeColor="text1"/>
          <w:szCs w:val="21"/>
        </w:rPr>
        <w:t xml:space="preserve"> &lt; 0.05, **</w:t>
      </w:r>
      <w:r w:rsidRPr="00087D7C">
        <w:rPr>
          <w:rFonts w:cs="Times New Roman"/>
          <w:i/>
          <w:iCs/>
          <w:color w:val="000000" w:themeColor="text1"/>
          <w:szCs w:val="21"/>
        </w:rPr>
        <w:t>p</w:t>
      </w:r>
      <w:r w:rsidRPr="00087D7C">
        <w:rPr>
          <w:rFonts w:cs="Times New Roman"/>
          <w:color w:val="000000" w:themeColor="text1"/>
          <w:szCs w:val="21"/>
        </w:rPr>
        <w:t xml:space="preserve"> &lt; 0.01, ***</w:t>
      </w:r>
      <w:r w:rsidRPr="00087D7C">
        <w:rPr>
          <w:rFonts w:cs="Times New Roman"/>
          <w:i/>
          <w:iCs/>
          <w:color w:val="000000" w:themeColor="text1"/>
          <w:szCs w:val="21"/>
        </w:rPr>
        <w:t>p</w:t>
      </w:r>
      <w:r w:rsidRPr="00087D7C">
        <w:rPr>
          <w:rFonts w:cs="Times New Roman"/>
          <w:color w:val="000000" w:themeColor="text1"/>
          <w:szCs w:val="21"/>
        </w:rPr>
        <w:t xml:space="preserve"> &lt; 0.001; ns, not significant.</w:t>
      </w:r>
    </w:p>
    <w:p w14:paraId="7C9AC591" w14:textId="77777777" w:rsidR="00087D7C" w:rsidRPr="00087D7C" w:rsidRDefault="00087D7C" w:rsidP="00087D7C">
      <w:pPr>
        <w:widowControl/>
        <w:jc w:val="left"/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color w:val="000000" w:themeColor="text1"/>
          <w:szCs w:val="21"/>
        </w:rPr>
        <w:br w:type="page"/>
      </w:r>
    </w:p>
    <w:p w14:paraId="589A3925" w14:textId="77777777" w:rsidR="00087D7C" w:rsidRPr="00087D7C" w:rsidRDefault="00087D7C" w:rsidP="00087D7C">
      <w:pPr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noProof/>
          <w:color w:val="000000" w:themeColor="text1"/>
          <w:szCs w:val="21"/>
          <w:lang w:eastAsia="en-US"/>
        </w:rPr>
        <w:lastRenderedPageBreak/>
        <w:drawing>
          <wp:inline distT="0" distB="0" distL="0" distR="0" wp14:anchorId="55794D5B" wp14:editId="1CC2EFF6">
            <wp:extent cx="5731510" cy="4221480"/>
            <wp:effectExtent l="0" t="0" r="0" b="0"/>
            <wp:docPr id="8232472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247264" name="图片 82324726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F28D1" w14:textId="57467633" w:rsidR="00087D7C" w:rsidRPr="00087D7C" w:rsidRDefault="00087D7C" w:rsidP="00087D7C">
      <w:pPr>
        <w:rPr>
          <w:rFonts w:cs="Times New Roman"/>
          <w:color w:val="000000" w:themeColor="text1"/>
          <w:szCs w:val="21"/>
        </w:rPr>
      </w:pPr>
      <w:r w:rsidRPr="00087D7C">
        <w:rPr>
          <w:rFonts w:cs="Times New Roman"/>
          <w:b/>
          <w:bCs/>
          <w:color w:val="000000" w:themeColor="text1"/>
          <w:szCs w:val="21"/>
        </w:rPr>
        <w:t xml:space="preserve">Fig. </w:t>
      </w:r>
      <w:r w:rsidR="00BC2889">
        <w:rPr>
          <w:rFonts w:cs="Times New Roman" w:hint="eastAsia"/>
          <w:b/>
          <w:bCs/>
          <w:color w:val="000000" w:themeColor="text1"/>
          <w:szCs w:val="21"/>
        </w:rPr>
        <w:t>S</w:t>
      </w:r>
      <w:r w:rsidR="00593EA8">
        <w:rPr>
          <w:rFonts w:cs="Times New Roman" w:hint="eastAsia"/>
          <w:b/>
          <w:bCs/>
          <w:color w:val="000000" w:themeColor="text1"/>
          <w:szCs w:val="21"/>
        </w:rPr>
        <w:t>5</w:t>
      </w:r>
      <w:r w:rsidRPr="00087D7C">
        <w:rPr>
          <w:rFonts w:cs="Times New Roman"/>
          <w:color w:val="000000" w:themeColor="text1"/>
          <w:szCs w:val="21"/>
        </w:rPr>
        <w:t xml:space="preserve"> </w:t>
      </w:r>
      <w:r w:rsidRPr="00087D7C">
        <w:rPr>
          <w:rFonts w:cs="Times New Roman"/>
          <w:bCs/>
          <w:color w:val="000000" w:themeColor="text1"/>
          <w:szCs w:val="21"/>
        </w:rPr>
        <w:t>Correlation analysis of postmortem interval (PMI), age, and sex with infiltrating macrophage density in human hippocampal tissues.</w:t>
      </w:r>
      <w:r w:rsidRPr="00087D7C">
        <w:rPr>
          <w:rFonts w:cs="Times New Roman"/>
          <w:color w:val="000000" w:themeColor="text1"/>
          <w:szCs w:val="21"/>
        </w:rPr>
        <w:t xml:space="preserve"> </w:t>
      </w:r>
      <w:r w:rsidRPr="00087D7C">
        <w:rPr>
          <w:rFonts w:cs="Times New Roman"/>
          <w:b/>
          <w:color w:val="000000" w:themeColor="text1"/>
          <w:szCs w:val="21"/>
        </w:rPr>
        <w:t>a</w:t>
      </w:r>
      <w:r w:rsidRPr="00087D7C">
        <w:rPr>
          <w:rFonts w:cs="Times New Roman"/>
          <w:color w:val="000000" w:themeColor="text1"/>
          <w:szCs w:val="21"/>
        </w:rPr>
        <w:t xml:space="preserve"> Scatter plot showing the correlation between sampling PMI (hours from death to tissue sampling) and CD74</w:t>
      </w:r>
      <w:r w:rsidRPr="00087D7C">
        <w:rPr>
          <w:rFonts w:cs="Times New Roman"/>
          <w:color w:val="000000" w:themeColor="text1"/>
          <w:szCs w:val="21"/>
          <w:vertAlign w:val="superscript"/>
        </w:rPr>
        <w:t>+</w:t>
      </w:r>
      <w:r w:rsidRPr="00087D7C">
        <w:rPr>
          <w:rFonts w:cs="Times New Roman"/>
          <w:color w:val="000000" w:themeColor="text1"/>
          <w:szCs w:val="21"/>
        </w:rPr>
        <w:t>/TMEM119</w:t>
      </w:r>
      <w:r w:rsidRPr="00087D7C">
        <w:rPr>
          <w:rFonts w:cs="Times New Roman"/>
          <w:color w:val="000000" w:themeColor="text1"/>
          <w:szCs w:val="21"/>
          <w:vertAlign w:val="superscript"/>
        </w:rPr>
        <w:t>−</w:t>
      </w:r>
      <w:r w:rsidRPr="00087D7C">
        <w:rPr>
          <w:rFonts w:cs="Times New Roman"/>
          <w:color w:val="000000" w:themeColor="text1"/>
          <w:szCs w:val="21"/>
        </w:rPr>
        <w:t xml:space="preserve"> cell density (cells/mm²) across all human subjects, stratified by infection history (Infection </w:t>
      </w:r>
      <w:r w:rsidRPr="00087D7C">
        <w:rPr>
          <w:rFonts w:cs="Times New Roman" w:hint="eastAsia"/>
          <w:color w:val="000000" w:themeColor="text1"/>
          <w:szCs w:val="21"/>
        </w:rPr>
        <w:t>[</w:t>
      </w:r>
      <w:r w:rsidRPr="00087D7C">
        <w:rPr>
          <w:rFonts w:cs="Times New Roman"/>
          <w:color w:val="000000" w:themeColor="text1"/>
          <w:szCs w:val="21"/>
        </w:rPr>
        <w:t>−</w:t>
      </w:r>
      <w:r w:rsidRPr="00087D7C">
        <w:rPr>
          <w:rFonts w:cs="Times New Roman" w:hint="eastAsia"/>
          <w:color w:val="000000" w:themeColor="text1"/>
          <w:szCs w:val="21"/>
        </w:rPr>
        <w:t>]</w:t>
      </w:r>
      <w:r w:rsidRPr="00087D7C">
        <w:rPr>
          <w:rFonts w:cs="Times New Roman"/>
          <w:color w:val="000000" w:themeColor="text1"/>
          <w:szCs w:val="21"/>
        </w:rPr>
        <w:t xml:space="preserve">, red squares; Infection </w:t>
      </w:r>
      <w:r w:rsidRPr="00087D7C">
        <w:rPr>
          <w:rFonts w:cs="Times New Roman" w:hint="eastAsia"/>
          <w:color w:val="000000" w:themeColor="text1"/>
          <w:szCs w:val="21"/>
        </w:rPr>
        <w:t>[</w:t>
      </w:r>
      <w:r w:rsidRPr="00087D7C">
        <w:rPr>
          <w:rFonts w:cs="Times New Roman"/>
          <w:color w:val="000000" w:themeColor="text1"/>
          <w:szCs w:val="21"/>
        </w:rPr>
        <w:t>+</w:t>
      </w:r>
      <w:r w:rsidRPr="00087D7C">
        <w:rPr>
          <w:rFonts w:cs="Times New Roman" w:hint="eastAsia"/>
          <w:color w:val="000000" w:themeColor="text1"/>
          <w:szCs w:val="21"/>
        </w:rPr>
        <w:t>]</w:t>
      </w:r>
      <w:r w:rsidRPr="00087D7C">
        <w:rPr>
          <w:rFonts w:cs="Times New Roman"/>
          <w:color w:val="000000" w:themeColor="text1"/>
          <w:szCs w:val="21"/>
        </w:rPr>
        <w:t xml:space="preserve">, orange circles). Statistical analysis was performed using Spearman’s rank correlation (r = 0.003, </w:t>
      </w:r>
      <w:r w:rsidRPr="00087D7C">
        <w:rPr>
          <w:rFonts w:cs="Times New Roman"/>
          <w:i/>
          <w:iCs/>
          <w:color w:val="000000" w:themeColor="text1"/>
          <w:szCs w:val="21"/>
        </w:rPr>
        <w:t>p</w:t>
      </w:r>
      <w:r w:rsidRPr="00087D7C">
        <w:rPr>
          <w:rFonts w:cs="Times New Roman"/>
          <w:color w:val="000000" w:themeColor="text1"/>
          <w:szCs w:val="21"/>
        </w:rPr>
        <w:t xml:space="preserve"> = 0.987), indicating no significant association between sampling PMI and infiltrating macrophage density. The dashed line represents the overall linear regression trend. </w:t>
      </w:r>
      <w:r w:rsidRPr="00087D7C">
        <w:rPr>
          <w:rFonts w:cs="Times New Roman"/>
          <w:b/>
          <w:color w:val="000000" w:themeColor="text1"/>
          <w:szCs w:val="21"/>
        </w:rPr>
        <w:t>b</w:t>
      </w:r>
      <w:r w:rsidRPr="00087D7C">
        <w:rPr>
          <w:rFonts w:cs="Times New Roman"/>
          <w:color w:val="000000" w:themeColor="text1"/>
          <w:szCs w:val="21"/>
        </w:rPr>
        <w:t xml:space="preserve"> Scatter plot showing the correlation between freezing PMI (hours from death to tissue freezing) and CD74</w:t>
      </w:r>
      <w:r w:rsidRPr="00087D7C">
        <w:rPr>
          <w:rFonts w:cs="Times New Roman"/>
          <w:color w:val="000000" w:themeColor="text1"/>
          <w:szCs w:val="21"/>
          <w:vertAlign w:val="superscript"/>
        </w:rPr>
        <w:t>+</w:t>
      </w:r>
      <w:r w:rsidRPr="00087D7C">
        <w:rPr>
          <w:rFonts w:cs="Times New Roman"/>
          <w:color w:val="000000" w:themeColor="text1"/>
          <w:szCs w:val="21"/>
        </w:rPr>
        <w:t>/TMEM119</w:t>
      </w:r>
      <w:r w:rsidRPr="00087D7C">
        <w:rPr>
          <w:rFonts w:cs="Times New Roman"/>
          <w:color w:val="000000" w:themeColor="text1"/>
          <w:szCs w:val="21"/>
          <w:vertAlign w:val="superscript"/>
        </w:rPr>
        <w:t>−</w:t>
      </w:r>
      <w:r w:rsidRPr="00087D7C">
        <w:rPr>
          <w:rFonts w:cs="Times New Roman"/>
          <w:color w:val="000000" w:themeColor="text1"/>
          <w:szCs w:val="21"/>
        </w:rPr>
        <w:t xml:space="preserve"> cell density (cells/mm²) across all human subjects, stratified by infection history. Statistical analysis was performed using Spearman’s rank correlation (r = −0.092, </w:t>
      </w:r>
      <w:r w:rsidRPr="00087D7C">
        <w:rPr>
          <w:rFonts w:cs="Times New Roman"/>
          <w:i/>
          <w:iCs/>
          <w:color w:val="000000" w:themeColor="text1"/>
          <w:szCs w:val="21"/>
        </w:rPr>
        <w:t>p</w:t>
      </w:r>
      <w:r w:rsidRPr="00087D7C">
        <w:rPr>
          <w:rFonts w:cs="Times New Roman"/>
          <w:color w:val="000000" w:themeColor="text1"/>
          <w:szCs w:val="21"/>
        </w:rPr>
        <w:t xml:space="preserve"> = 0.668), indicating no significant association between freezing PMI and infiltrating macrophage density. The dashed line represents the overall linear regression trend. </w:t>
      </w:r>
      <w:r w:rsidRPr="00087D7C">
        <w:rPr>
          <w:rFonts w:cs="Times New Roman"/>
          <w:b/>
          <w:color w:val="000000" w:themeColor="text1"/>
          <w:szCs w:val="21"/>
        </w:rPr>
        <w:t>c</w:t>
      </w:r>
      <w:r w:rsidRPr="00087D7C">
        <w:rPr>
          <w:rFonts w:cs="Times New Roman"/>
          <w:color w:val="000000" w:themeColor="text1"/>
          <w:szCs w:val="21"/>
        </w:rPr>
        <w:t xml:space="preserve"> Scatter plot showing the correlation between donor age (years) and CD74</w:t>
      </w:r>
      <w:r w:rsidRPr="00087D7C">
        <w:rPr>
          <w:rFonts w:cs="Times New Roman"/>
          <w:color w:val="000000" w:themeColor="text1"/>
          <w:szCs w:val="21"/>
          <w:vertAlign w:val="superscript"/>
        </w:rPr>
        <w:t>+</w:t>
      </w:r>
      <w:r w:rsidRPr="00087D7C">
        <w:rPr>
          <w:rFonts w:cs="Times New Roman"/>
          <w:color w:val="000000" w:themeColor="text1"/>
          <w:szCs w:val="21"/>
        </w:rPr>
        <w:t>/TMEM119</w:t>
      </w:r>
      <w:r w:rsidRPr="00087D7C">
        <w:rPr>
          <w:rFonts w:cs="Times New Roman"/>
          <w:color w:val="000000" w:themeColor="text1"/>
          <w:szCs w:val="21"/>
          <w:vertAlign w:val="superscript"/>
        </w:rPr>
        <w:t>−</w:t>
      </w:r>
      <w:r w:rsidRPr="00087D7C">
        <w:rPr>
          <w:rFonts w:cs="Times New Roman"/>
          <w:color w:val="000000" w:themeColor="text1"/>
          <w:szCs w:val="21"/>
        </w:rPr>
        <w:t xml:space="preserve"> cell density (cells/mm²), stratified by infection history. A significant positive correlation was observed in the Infection (+) group (orange dashed regression line; Pearson r = 0.960, </w:t>
      </w:r>
      <w:r w:rsidRPr="00087D7C">
        <w:rPr>
          <w:rFonts w:cs="Times New Roman"/>
          <w:i/>
          <w:iCs/>
          <w:color w:val="000000" w:themeColor="text1"/>
          <w:szCs w:val="21"/>
        </w:rPr>
        <w:t>p</w:t>
      </w:r>
      <w:r w:rsidRPr="00087D7C">
        <w:rPr>
          <w:rFonts w:cs="Times New Roman"/>
          <w:color w:val="000000" w:themeColor="text1"/>
          <w:szCs w:val="21"/>
        </w:rPr>
        <w:t xml:space="preserve"> &lt; 0.001), but not in the Infection (−) group (red dashed regression line; Pearson r = 0.407, </w:t>
      </w:r>
      <w:r w:rsidRPr="00087D7C">
        <w:rPr>
          <w:rFonts w:cs="Times New Roman"/>
          <w:i/>
          <w:iCs/>
          <w:color w:val="000000" w:themeColor="text1"/>
          <w:szCs w:val="21"/>
        </w:rPr>
        <w:t>p</w:t>
      </w:r>
      <w:r w:rsidRPr="00087D7C">
        <w:rPr>
          <w:rFonts w:cs="Times New Roman"/>
          <w:color w:val="000000" w:themeColor="text1"/>
          <w:szCs w:val="21"/>
        </w:rPr>
        <w:t xml:space="preserve"> = 0.243). </w:t>
      </w:r>
      <w:r w:rsidRPr="00087D7C">
        <w:rPr>
          <w:rFonts w:cs="Times New Roman"/>
          <w:b/>
          <w:color w:val="000000" w:themeColor="text1"/>
          <w:szCs w:val="21"/>
        </w:rPr>
        <w:t>d</w:t>
      </w:r>
      <w:r w:rsidRPr="00087D7C">
        <w:rPr>
          <w:rFonts w:cs="Times New Roman"/>
          <w:color w:val="000000" w:themeColor="text1"/>
          <w:szCs w:val="21"/>
        </w:rPr>
        <w:t xml:space="preserve"> Box plot comparing CD74</w:t>
      </w:r>
      <w:r w:rsidRPr="00087D7C">
        <w:rPr>
          <w:rFonts w:cs="Times New Roman"/>
          <w:color w:val="000000" w:themeColor="text1"/>
          <w:szCs w:val="21"/>
          <w:vertAlign w:val="superscript"/>
        </w:rPr>
        <w:t>+</w:t>
      </w:r>
      <w:r w:rsidRPr="00087D7C">
        <w:rPr>
          <w:rFonts w:cs="Times New Roman"/>
          <w:color w:val="000000" w:themeColor="text1"/>
          <w:szCs w:val="21"/>
        </w:rPr>
        <w:t>/TMEM119</w:t>
      </w:r>
      <w:r w:rsidRPr="00087D7C">
        <w:rPr>
          <w:rFonts w:cs="Times New Roman"/>
          <w:color w:val="000000" w:themeColor="text1"/>
          <w:szCs w:val="21"/>
          <w:vertAlign w:val="superscript"/>
        </w:rPr>
        <w:t>−</w:t>
      </w:r>
      <w:r w:rsidRPr="00087D7C">
        <w:rPr>
          <w:rFonts w:cs="Times New Roman"/>
          <w:color w:val="000000" w:themeColor="text1"/>
          <w:szCs w:val="21"/>
        </w:rPr>
        <w:t xml:space="preserve"> cell density between male (blue) and female (purple) donors across all subjects. The central line indicates the median; box edges represent the interquartile range (IQR); whiskers extend to 1.5</w:t>
      </w:r>
      <w:r w:rsidRPr="00087D7C">
        <w:rPr>
          <w:rFonts w:cs="Times New Roman" w:hint="eastAsia"/>
          <w:color w:val="000000" w:themeColor="text1"/>
          <w:szCs w:val="21"/>
        </w:rPr>
        <w:t xml:space="preserve"> </w:t>
      </w:r>
      <w:r w:rsidRPr="00087D7C">
        <w:rPr>
          <w:rFonts w:cs="Times New Roman"/>
          <w:color w:val="000000" w:themeColor="text1"/>
          <w:szCs w:val="21"/>
        </w:rPr>
        <w:t xml:space="preserve">× IQR; individual data points are overlaid. Statistical analysis was performed using the Mann-Whitney </w:t>
      </w:r>
      <w:r w:rsidRPr="00087D7C">
        <w:rPr>
          <w:rFonts w:cs="Times New Roman"/>
          <w:i/>
          <w:iCs/>
          <w:color w:val="000000" w:themeColor="text1"/>
          <w:szCs w:val="21"/>
        </w:rPr>
        <w:t>U</w:t>
      </w:r>
      <w:r w:rsidRPr="00087D7C">
        <w:rPr>
          <w:rFonts w:cs="Times New Roman"/>
          <w:color w:val="000000" w:themeColor="text1"/>
          <w:szCs w:val="21"/>
        </w:rPr>
        <w:t xml:space="preserve"> test (</w:t>
      </w:r>
      <w:r w:rsidRPr="00087D7C">
        <w:rPr>
          <w:rFonts w:cs="Times New Roman"/>
          <w:i/>
          <w:iCs/>
          <w:color w:val="000000" w:themeColor="text1"/>
          <w:szCs w:val="21"/>
        </w:rPr>
        <w:t>p</w:t>
      </w:r>
      <w:r w:rsidRPr="00087D7C">
        <w:rPr>
          <w:rFonts w:cs="Times New Roman"/>
          <w:color w:val="000000" w:themeColor="text1"/>
          <w:szCs w:val="21"/>
        </w:rPr>
        <w:t xml:space="preserve"> = 0.069; ns, not significant), indicating no significant sex difference in infiltrating macrophage density. Data are presented as individual data points with linear regression lines (</w:t>
      </w:r>
      <w:r w:rsidRPr="00087D7C">
        <w:rPr>
          <w:rFonts w:cs="Times New Roman"/>
          <w:b/>
          <w:color w:val="000000" w:themeColor="text1"/>
          <w:szCs w:val="21"/>
        </w:rPr>
        <w:t>a–c</w:t>
      </w:r>
      <w:r w:rsidRPr="00087D7C">
        <w:rPr>
          <w:rFonts w:cs="Times New Roman"/>
          <w:color w:val="000000" w:themeColor="text1"/>
          <w:szCs w:val="21"/>
        </w:rPr>
        <w:t>) or as box plots with individual data points overlaid (</w:t>
      </w:r>
      <w:r w:rsidRPr="00087D7C">
        <w:rPr>
          <w:rFonts w:cs="Times New Roman"/>
          <w:b/>
          <w:color w:val="000000" w:themeColor="text1"/>
          <w:szCs w:val="21"/>
        </w:rPr>
        <w:t>d</w:t>
      </w:r>
      <w:r w:rsidRPr="00087D7C">
        <w:rPr>
          <w:rFonts w:cs="Times New Roman"/>
          <w:color w:val="000000" w:themeColor="text1"/>
          <w:szCs w:val="21"/>
        </w:rPr>
        <w:t>) (</w:t>
      </w:r>
      <w:r w:rsidRPr="00087D7C">
        <w:rPr>
          <w:rFonts w:cs="Times New Roman"/>
          <w:i/>
          <w:iCs/>
          <w:color w:val="000000" w:themeColor="text1"/>
          <w:szCs w:val="21"/>
        </w:rPr>
        <w:t>n</w:t>
      </w:r>
      <w:r w:rsidRPr="00087D7C">
        <w:rPr>
          <w:rFonts w:cs="Times New Roman"/>
          <w:color w:val="000000" w:themeColor="text1"/>
          <w:szCs w:val="21"/>
        </w:rPr>
        <w:t xml:space="preserve"> = 24 subjects). </w:t>
      </w:r>
    </w:p>
    <w:p w14:paraId="7CF74788" w14:textId="77777777" w:rsidR="00A30343" w:rsidRPr="00593EA8" w:rsidRDefault="00A30343">
      <w:pPr>
        <w:rPr>
          <w:color w:val="000000" w:themeColor="text1"/>
        </w:rPr>
      </w:pPr>
    </w:p>
    <w:sectPr w:rsidR="00A30343" w:rsidRPr="00593EA8" w:rsidSect="009049E8">
      <w:footerReference w:type="even" r:id="rId11"/>
      <w:footerReference w:type="default" r:id="rId12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B18A4" w14:textId="77777777" w:rsidR="00674015" w:rsidRDefault="00674015">
      <w:r>
        <w:separator/>
      </w:r>
    </w:p>
  </w:endnote>
  <w:endnote w:type="continuationSeparator" w:id="0">
    <w:p w14:paraId="18E2FCBF" w14:textId="77777777" w:rsidR="00674015" w:rsidRDefault="00674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349539029"/>
      <w:docPartObj>
        <w:docPartGallery w:val="Page Numbers (Bottom of Page)"/>
        <w:docPartUnique/>
      </w:docPartObj>
    </w:sdtPr>
    <w:sdtContent>
      <w:p w14:paraId="1F4CEC9D" w14:textId="77777777" w:rsidR="00087D7C" w:rsidRDefault="00087D7C">
        <w:pPr>
          <w:pStyle w:val="af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1</w:t>
        </w:r>
        <w:r>
          <w:rPr>
            <w:rStyle w:val="af1"/>
          </w:rPr>
          <w:fldChar w:fldCharType="end"/>
        </w:r>
      </w:p>
    </w:sdtContent>
  </w:sdt>
  <w:p w14:paraId="651E142E" w14:textId="77777777" w:rsidR="00087D7C" w:rsidRDefault="00087D7C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445813446"/>
      <w:docPartObj>
        <w:docPartGallery w:val="Page Numbers (Bottom of Page)"/>
        <w:docPartUnique/>
      </w:docPartObj>
    </w:sdtPr>
    <w:sdtContent>
      <w:p w14:paraId="69029D6E" w14:textId="77777777" w:rsidR="00087D7C" w:rsidRDefault="00087D7C">
        <w:pPr>
          <w:pStyle w:val="af"/>
          <w:framePr w:wrap="none" w:vAnchor="text" w:hAnchor="margin" w:xAlign="center" w:y="1"/>
          <w:rPr>
            <w:rStyle w:val="af1"/>
          </w:rPr>
        </w:pPr>
        <w:r w:rsidRPr="00456F47">
          <w:rPr>
            <w:rStyle w:val="af1"/>
            <w:rFonts w:cs="Times New Roman"/>
          </w:rPr>
          <w:fldChar w:fldCharType="begin"/>
        </w:r>
        <w:r w:rsidRPr="00456F47">
          <w:rPr>
            <w:rStyle w:val="af1"/>
            <w:rFonts w:cs="Times New Roman"/>
          </w:rPr>
          <w:instrText xml:space="preserve"> PAGE </w:instrText>
        </w:r>
        <w:r w:rsidRPr="00456F47">
          <w:rPr>
            <w:rStyle w:val="af1"/>
            <w:rFonts w:cs="Times New Roman"/>
          </w:rPr>
          <w:fldChar w:fldCharType="separate"/>
        </w:r>
        <w:r w:rsidR="009049E8">
          <w:rPr>
            <w:rStyle w:val="af1"/>
            <w:rFonts w:cs="Times New Roman"/>
            <w:noProof/>
          </w:rPr>
          <w:t>5</w:t>
        </w:r>
        <w:r w:rsidRPr="00456F47">
          <w:rPr>
            <w:rStyle w:val="af1"/>
            <w:rFonts w:cs="Times New Roman"/>
          </w:rPr>
          <w:fldChar w:fldCharType="end"/>
        </w:r>
      </w:p>
    </w:sdtContent>
  </w:sdt>
  <w:p w14:paraId="245E7475" w14:textId="77777777" w:rsidR="00087D7C" w:rsidRDefault="00087D7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F3E60" w14:textId="77777777" w:rsidR="00674015" w:rsidRDefault="00674015">
      <w:r>
        <w:separator/>
      </w:r>
    </w:p>
  </w:footnote>
  <w:footnote w:type="continuationSeparator" w:id="0">
    <w:p w14:paraId="7926E7CC" w14:textId="77777777" w:rsidR="00674015" w:rsidRDefault="006740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D7C"/>
    <w:rsid w:val="00015B98"/>
    <w:rsid w:val="00054FD3"/>
    <w:rsid w:val="00055061"/>
    <w:rsid w:val="000605C7"/>
    <w:rsid w:val="00063045"/>
    <w:rsid w:val="00082A7A"/>
    <w:rsid w:val="00087D7C"/>
    <w:rsid w:val="00096069"/>
    <w:rsid w:val="00097A6D"/>
    <w:rsid w:val="000D1A60"/>
    <w:rsid w:val="000E506E"/>
    <w:rsid w:val="000E5C5A"/>
    <w:rsid w:val="00120AA7"/>
    <w:rsid w:val="00123F56"/>
    <w:rsid w:val="00154388"/>
    <w:rsid w:val="00155887"/>
    <w:rsid w:val="00165C1C"/>
    <w:rsid w:val="00174DBF"/>
    <w:rsid w:val="0018322F"/>
    <w:rsid w:val="00191497"/>
    <w:rsid w:val="00196415"/>
    <w:rsid w:val="001A600D"/>
    <w:rsid w:val="001A6CD8"/>
    <w:rsid w:val="001A7FF9"/>
    <w:rsid w:val="001B4E51"/>
    <w:rsid w:val="001B60E2"/>
    <w:rsid w:val="001D65B3"/>
    <w:rsid w:val="001E20EC"/>
    <w:rsid w:val="001E2964"/>
    <w:rsid w:val="001E7DD5"/>
    <w:rsid w:val="00233C8C"/>
    <w:rsid w:val="00263F6A"/>
    <w:rsid w:val="00264D36"/>
    <w:rsid w:val="00271AA7"/>
    <w:rsid w:val="002818D7"/>
    <w:rsid w:val="00285C8E"/>
    <w:rsid w:val="002A2715"/>
    <w:rsid w:val="002A5FAF"/>
    <w:rsid w:val="002B1EDB"/>
    <w:rsid w:val="002B2950"/>
    <w:rsid w:val="002B3D48"/>
    <w:rsid w:val="002C0F0E"/>
    <w:rsid w:val="002F17EF"/>
    <w:rsid w:val="00302CD3"/>
    <w:rsid w:val="00306F7B"/>
    <w:rsid w:val="003115D9"/>
    <w:rsid w:val="00316C04"/>
    <w:rsid w:val="003302A1"/>
    <w:rsid w:val="00335EAA"/>
    <w:rsid w:val="00354CF9"/>
    <w:rsid w:val="00371C19"/>
    <w:rsid w:val="00391EF7"/>
    <w:rsid w:val="003921FD"/>
    <w:rsid w:val="003A0E3A"/>
    <w:rsid w:val="003E63FF"/>
    <w:rsid w:val="003E66EC"/>
    <w:rsid w:val="003E7C68"/>
    <w:rsid w:val="003F1ACC"/>
    <w:rsid w:val="00416290"/>
    <w:rsid w:val="004550A7"/>
    <w:rsid w:val="004747F2"/>
    <w:rsid w:val="0048461A"/>
    <w:rsid w:val="004A70B0"/>
    <w:rsid w:val="004B0C7F"/>
    <w:rsid w:val="004D08EC"/>
    <w:rsid w:val="004D2AFB"/>
    <w:rsid w:val="004D3A94"/>
    <w:rsid w:val="004D74D4"/>
    <w:rsid w:val="004E24FD"/>
    <w:rsid w:val="00502A0E"/>
    <w:rsid w:val="00522D24"/>
    <w:rsid w:val="005233A4"/>
    <w:rsid w:val="005324EB"/>
    <w:rsid w:val="00533BE5"/>
    <w:rsid w:val="00541FCD"/>
    <w:rsid w:val="00543EBB"/>
    <w:rsid w:val="005441C0"/>
    <w:rsid w:val="00552022"/>
    <w:rsid w:val="005565E7"/>
    <w:rsid w:val="005571FE"/>
    <w:rsid w:val="00565737"/>
    <w:rsid w:val="00574104"/>
    <w:rsid w:val="00593EA8"/>
    <w:rsid w:val="005B4F0D"/>
    <w:rsid w:val="005C65AF"/>
    <w:rsid w:val="005D7F2D"/>
    <w:rsid w:val="005E35A8"/>
    <w:rsid w:val="005F4C93"/>
    <w:rsid w:val="006003E8"/>
    <w:rsid w:val="00610EFE"/>
    <w:rsid w:val="00613116"/>
    <w:rsid w:val="00626F16"/>
    <w:rsid w:val="006444E7"/>
    <w:rsid w:val="00667BAE"/>
    <w:rsid w:val="00670908"/>
    <w:rsid w:val="006713BE"/>
    <w:rsid w:val="00673C6B"/>
    <w:rsid w:val="00674015"/>
    <w:rsid w:val="0067667B"/>
    <w:rsid w:val="00697A95"/>
    <w:rsid w:val="006A261F"/>
    <w:rsid w:val="006C6D2C"/>
    <w:rsid w:val="006D056E"/>
    <w:rsid w:val="006D50DB"/>
    <w:rsid w:val="006E320D"/>
    <w:rsid w:val="006E67A8"/>
    <w:rsid w:val="00731055"/>
    <w:rsid w:val="0074360C"/>
    <w:rsid w:val="00744CB8"/>
    <w:rsid w:val="00755963"/>
    <w:rsid w:val="00783559"/>
    <w:rsid w:val="00783D5D"/>
    <w:rsid w:val="00794B9C"/>
    <w:rsid w:val="007B06BE"/>
    <w:rsid w:val="007C31E7"/>
    <w:rsid w:val="007C3575"/>
    <w:rsid w:val="007C50B6"/>
    <w:rsid w:val="007C6792"/>
    <w:rsid w:val="007C72F8"/>
    <w:rsid w:val="007F2C6D"/>
    <w:rsid w:val="008065B1"/>
    <w:rsid w:val="00811077"/>
    <w:rsid w:val="00842765"/>
    <w:rsid w:val="00866836"/>
    <w:rsid w:val="00877F70"/>
    <w:rsid w:val="00894181"/>
    <w:rsid w:val="00894426"/>
    <w:rsid w:val="008957A0"/>
    <w:rsid w:val="008A30A2"/>
    <w:rsid w:val="008A475C"/>
    <w:rsid w:val="008C3407"/>
    <w:rsid w:val="008C3B54"/>
    <w:rsid w:val="008D03E7"/>
    <w:rsid w:val="008F6625"/>
    <w:rsid w:val="009049E8"/>
    <w:rsid w:val="00917715"/>
    <w:rsid w:val="00920D87"/>
    <w:rsid w:val="00935706"/>
    <w:rsid w:val="00951896"/>
    <w:rsid w:val="00956CA1"/>
    <w:rsid w:val="00966899"/>
    <w:rsid w:val="00990D64"/>
    <w:rsid w:val="00993053"/>
    <w:rsid w:val="009C7185"/>
    <w:rsid w:val="009C72CD"/>
    <w:rsid w:val="009D5D6F"/>
    <w:rsid w:val="009F4C43"/>
    <w:rsid w:val="00A01B1B"/>
    <w:rsid w:val="00A179FD"/>
    <w:rsid w:val="00A20253"/>
    <w:rsid w:val="00A25A99"/>
    <w:rsid w:val="00A30343"/>
    <w:rsid w:val="00A414F0"/>
    <w:rsid w:val="00A43977"/>
    <w:rsid w:val="00A45C8E"/>
    <w:rsid w:val="00A52839"/>
    <w:rsid w:val="00A62AC6"/>
    <w:rsid w:val="00A65A53"/>
    <w:rsid w:val="00A84EC7"/>
    <w:rsid w:val="00AB0943"/>
    <w:rsid w:val="00AB46FF"/>
    <w:rsid w:val="00AB5CDD"/>
    <w:rsid w:val="00AC36A5"/>
    <w:rsid w:val="00AD0FA0"/>
    <w:rsid w:val="00AF7CE2"/>
    <w:rsid w:val="00B058C9"/>
    <w:rsid w:val="00B13C74"/>
    <w:rsid w:val="00B17ECF"/>
    <w:rsid w:val="00B40A19"/>
    <w:rsid w:val="00B51DDD"/>
    <w:rsid w:val="00B51FB3"/>
    <w:rsid w:val="00B65832"/>
    <w:rsid w:val="00B73FF4"/>
    <w:rsid w:val="00B8243A"/>
    <w:rsid w:val="00B84275"/>
    <w:rsid w:val="00B92F2F"/>
    <w:rsid w:val="00B9407F"/>
    <w:rsid w:val="00B95271"/>
    <w:rsid w:val="00BA0753"/>
    <w:rsid w:val="00BB2914"/>
    <w:rsid w:val="00BB7EBF"/>
    <w:rsid w:val="00BC2889"/>
    <w:rsid w:val="00BC3906"/>
    <w:rsid w:val="00BD1FE7"/>
    <w:rsid w:val="00BD39D1"/>
    <w:rsid w:val="00BE1579"/>
    <w:rsid w:val="00BE3D66"/>
    <w:rsid w:val="00BF3841"/>
    <w:rsid w:val="00C06831"/>
    <w:rsid w:val="00C10D83"/>
    <w:rsid w:val="00C2052F"/>
    <w:rsid w:val="00C25B06"/>
    <w:rsid w:val="00C27AED"/>
    <w:rsid w:val="00C31DBA"/>
    <w:rsid w:val="00C51BC2"/>
    <w:rsid w:val="00C53380"/>
    <w:rsid w:val="00C83D29"/>
    <w:rsid w:val="00C850D3"/>
    <w:rsid w:val="00CA22FF"/>
    <w:rsid w:val="00CB7E88"/>
    <w:rsid w:val="00CD3608"/>
    <w:rsid w:val="00CD568C"/>
    <w:rsid w:val="00D0234F"/>
    <w:rsid w:val="00D22956"/>
    <w:rsid w:val="00D53FCA"/>
    <w:rsid w:val="00D6366E"/>
    <w:rsid w:val="00D75D46"/>
    <w:rsid w:val="00D75D52"/>
    <w:rsid w:val="00D8231E"/>
    <w:rsid w:val="00DC3AA4"/>
    <w:rsid w:val="00DD31EE"/>
    <w:rsid w:val="00DE0940"/>
    <w:rsid w:val="00E0336B"/>
    <w:rsid w:val="00E11DDE"/>
    <w:rsid w:val="00E21D6C"/>
    <w:rsid w:val="00E313E3"/>
    <w:rsid w:val="00E372A1"/>
    <w:rsid w:val="00E37A67"/>
    <w:rsid w:val="00E40AA8"/>
    <w:rsid w:val="00E4419D"/>
    <w:rsid w:val="00E44AE8"/>
    <w:rsid w:val="00E63DC2"/>
    <w:rsid w:val="00E868E1"/>
    <w:rsid w:val="00E942C2"/>
    <w:rsid w:val="00EB0F50"/>
    <w:rsid w:val="00ED0663"/>
    <w:rsid w:val="00EE2976"/>
    <w:rsid w:val="00EE587D"/>
    <w:rsid w:val="00EE6393"/>
    <w:rsid w:val="00F27EE8"/>
    <w:rsid w:val="00FB4A4C"/>
    <w:rsid w:val="00FC1AED"/>
    <w:rsid w:val="00FC4768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0D92F"/>
  <w15:docId w15:val="{C193856F-E21E-4A3F-BCAF-1F3E00C9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D7C"/>
    <w:pPr>
      <w:widowControl w:val="0"/>
      <w:jc w:val="both"/>
    </w:pPr>
    <w:rPr>
      <w:rFonts w:ascii="Times New Roman" w:eastAsia="宋体" w:hAnsi="Times New Roman" w:cs="Times New Roman (正文 CS 字体)"/>
    </w:rPr>
  </w:style>
  <w:style w:type="paragraph" w:styleId="1">
    <w:name w:val="heading 1"/>
    <w:basedOn w:val="a"/>
    <w:next w:val="a"/>
    <w:link w:val="10"/>
    <w:uiPriority w:val="9"/>
    <w:qFormat/>
    <w:rsid w:val="00087D7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1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D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D7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D7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D7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D7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D7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D7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uiPriority w:val="99"/>
    <w:unhideWhenUsed/>
    <w:qFormat/>
    <w:rsid w:val="00DE0940"/>
    <w:pPr>
      <w:spacing w:before="120" w:line="400" w:lineRule="exact"/>
      <w:ind w:left="350" w:hangingChars="350" w:hanging="350"/>
    </w:pPr>
    <w:rPr>
      <w:rFonts w:cs="Times New Roman"/>
      <w:sz w:val="24"/>
    </w:rPr>
  </w:style>
  <w:style w:type="paragraph" w:customStyle="1" w:styleId="brain">
    <w:name w:val="brain正文"/>
    <w:basedOn w:val="a"/>
    <w:qFormat/>
    <w:rsid w:val="00811077"/>
    <w:pPr>
      <w:spacing w:before="120" w:line="360" w:lineRule="auto"/>
    </w:pPr>
    <w:rPr>
      <w:rFonts w:eastAsia="Times New Roman" w:cs="Times New Roman"/>
      <w:sz w:val="24"/>
    </w:rPr>
  </w:style>
  <w:style w:type="paragraph" w:customStyle="1" w:styleId="subheading1">
    <w:name w:val="subheading1"/>
    <w:basedOn w:val="2"/>
    <w:qFormat/>
    <w:rsid w:val="00811077"/>
    <w:pPr>
      <w:widowControl/>
      <w:pBdr>
        <w:top w:val="nil"/>
        <w:left w:val="nil"/>
        <w:bottom w:val="nil"/>
        <w:right w:val="nil"/>
        <w:between w:val="nil"/>
        <w:bar w:val="nil"/>
      </w:pBdr>
      <w:spacing w:before="360" w:line="360" w:lineRule="auto"/>
    </w:pPr>
    <w:rPr>
      <w:rFonts w:ascii="Times New Roman" w:eastAsia="Times New Roman" w:hAnsi="Times New Roman" w:cstheme="minorBidi"/>
      <w:b/>
      <w:bCs/>
      <w:color w:val="auto"/>
      <w:kern w:val="0"/>
      <w:sz w:val="32"/>
      <w:szCs w:val="36"/>
      <w:bdr w:val="nil"/>
      <w:lang w:eastAsia="en-US"/>
    </w:rPr>
  </w:style>
  <w:style w:type="character" w:customStyle="1" w:styleId="20">
    <w:name w:val="标题 2 字符"/>
    <w:basedOn w:val="a0"/>
    <w:link w:val="2"/>
    <w:uiPriority w:val="9"/>
    <w:semiHidden/>
    <w:rsid w:val="00811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10">
    <w:name w:val="标题 1 字符"/>
    <w:basedOn w:val="a0"/>
    <w:link w:val="1"/>
    <w:uiPriority w:val="9"/>
    <w:rsid w:val="00087D7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rsid w:val="00087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87D7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87D7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87D7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87D7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87D7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87D7C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087D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087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87D7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087D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087D7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087D7C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087D7C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b">
    <w:name w:val="Intense Emphasis"/>
    <w:basedOn w:val="a0"/>
    <w:uiPriority w:val="21"/>
    <w:qFormat/>
    <w:rsid w:val="00087D7C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087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087D7C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087D7C"/>
    <w:rPr>
      <w:b/>
      <w:bCs/>
      <w:smallCaps/>
      <w:color w:val="0F4761" w:themeColor="accent1" w:themeShade="BF"/>
      <w:spacing w:val="5"/>
    </w:rPr>
  </w:style>
  <w:style w:type="paragraph" w:styleId="af">
    <w:name w:val="footer"/>
    <w:basedOn w:val="a"/>
    <w:link w:val="af0"/>
    <w:uiPriority w:val="99"/>
    <w:unhideWhenUsed/>
    <w:rsid w:val="00087D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087D7C"/>
    <w:rPr>
      <w:rFonts w:ascii="Times New Roman" w:eastAsia="宋体" w:hAnsi="Times New Roman" w:cs="Times New Roman (正文 CS 字体)"/>
      <w:sz w:val="18"/>
      <w:szCs w:val="18"/>
    </w:rPr>
  </w:style>
  <w:style w:type="character" w:styleId="af1">
    <w:name w:val="page number"/>
    <w:basedOn w:val="a0"/>
    <w:uiPriority w:val="99"/>
    <w:semiHidden/>
    <w:unhideWhenUsed/>
    <w:rsid w:val="00087D7C"/>
  </w:style>
  <w:style w:type="character" w:customStyle="1" w:styleId="af2">
    <w:name w:val="批注文字 字符"/>
    <w:aliases w:val="Comment_Text_mep 字符"/>
    <w:basedOn w:val="a0"/>
    <w:link w:val="af3"/>
    <w:semiHidden/>
    <w:rsid w:val="00087D7C"/>
    <w:rPr>
      <w:rFonts w:ascii="Times New Roman" w:hAnsi="Times New Roman" w:cs="Times New Roman"/>
      <w:sz w:val="20"/>
      <w:szCs w:val="20"/>
      <w:lang w:eastAsia="en-US"/>
    </w:rPr>
  </w:style>
  <w:style w:type="paragraph" w:styleId="af3">
    <w:name w:val="annotation text"/>
    <w:aliases w:val="Comment_Text_mep"/>
    <w:basedOn w:val="a"/>
    <w:link w:val="af2"/>
    <w:semiHidden/>
    <w:rsid w:val="00087D7C"/>
    <w:pPr>
      <w:widowControl/>
      <w:spacing w:before="240" w:after="240"/>
      <w:jc w:val="left"/>
    </w:pPr>
    <w:rPr>
      <w:rFonts w:eastAsiaTheme="minorEastAsia" w:cs="Times New Roman"/>
      <w:sz w:val="20"/>
      <w:szCs w:val="20"/>
      <w:lang w:eastAsia="en-US"/>
    </w:rPr>
  </w:style>
  <w:style w:type="character" w:customStyle="1" w:styleId="11">
    <w:name w:val="批注文字 字符1"/>
    <w:basedOn w:val="a0"/>
    <w:uiPriority w:val="99"/>
    <w:semiHidden/>
    <w:rsid w:val="00087D7C"/>
    <w:rPr>
      <w:rFonts w:ascii="Times New Roman" w:eastAsia="宋体" w:hAnsi="Times New Roman" w:cs="Times New Roman (正文 CS 字体)"/>
    </w:rPr>
  </w:style>
  <w:style w:type="character" w:styleId="af4">
    <w:name w:val="annotation reference"/>
    <w:basedOn w:val="a0"/>
    <w:semiHidden/>
    <w:unhideWhenUsed/>
    <w:rsid w:val="00087D7C"/>
    <w:rPr>
      <w:sz w:val="16"/>
      <w:szCs w:val="16"/>
    </w:rPr>
  </w:style>
  <w:style w:type="character" w:styleId="af5">
    <w:name w:val="line number"/>
    <w:basedOn w:val="a0"/>
    <w:uiPriority w:val="99"/>
    <w:semiHidden/>
    <w:unhideWhenUsed/>
    <w:rsid w:val="00087D7C"/>
  </w:style>
  <w:style w:type="paragraph" w:styleId="af6">
    <w:name w:val="Revision"/>
    <w:hidden/>
    <w:uiPriority w:val="99"/>
    <w:semiHidden/>
    <w:rsid w:val="00087D7C"/>
    <w:rPr>
      <w:rFonts w:ascii="Times New Roman" w:eastAsia="宋体" w:hAnsi="Times New Roman" w:cs="Times New Roman (正文 CS 字体)"/>
    </w:rPr>
  </w:style>
  <w:style w:type="paragraph" w:styleId="af7">
    <w:name w:val="Balloon Text"/>
    <w:basedOn w:val="a"/>
    <w:link w:val="af8"/>
    <w:uiPriority w:val="99"/>
    <w:semiHidden/>
    <w:unhideWhenUsed/>
    <w:rsid w:val="009049E8"/>
    <w:rPr>
      <w:rFonts w:ascii="Tahoma" w:hAnsi="Tahoma" w:cs="Tahoma"/>
      <w:sz w:val="16"/>
      <w:szCs w:val="16"/>
    </w:rPr>
  </w:style>
  <w:style w:type="character" w:customStyle="1" w:styleId="af8">
    <w:name w:val="批注框文本 字符"/>
    <w:basedOn w:val="a0"/>
    <w:link w:val="af7"/>
    <w:uiPriority w:val="99"/>
    <w:semiHidden/>
    <w:rsid w:val="009049E8"/>
    <w:rPr>
      <w:rFonts w:ascii="Tahoma" w:eastAsia="宋体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920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而宁 张</dc:creator>
  <cp:keywords/>
  <dc:description/>
  <cp:lastModifiedBy>Liu Shuo</cp:lastModifiedBy>
  <cp:revision>6</cp:revision>
  <dcterms:created xsi:type="dcterms:W3CDTF">2026-08-15T13:24:00Z</dcterms:created>
  <dcterms:modified xsi:type="dcterms:W3CDTF">2026-09-04T02:25:00Z</dcterms:modified>
</cp:coreProperties>
</file>