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408F" w:rsidRDefault="00D2408F" w:rsidP="00D2408F">
      <w:pPr>
        <w:jc w:val="both"/>
        <w:rPr>
          <w:rFonts w:ascii="Arial" w:hAnsi="Arial" w:cs="Arial"/>
          <w:b/>
          <w:sz w:val="24"/>
          <w:szCs w:val="24"/>
        </w:rPr>
      </w:pPr>
      <w:r w:rsidRPr="005316C9">
        <w:rPr>
          <w:rFonts w:ascii="Arial" w:hAnsi="Arial" w:cs="Arial"/>
          <w:b/>
          <w:sz w:val="24"/>
          <w:szCs w:val="24"/>
        </w:rPr>
        <w:t>SUPPLEMENTARY TABLES FOR REVIEW ARTICLE</w:t>
      </w:r>
    </w:p>
    <w:p w:rsidR="00DD33DD" w:rsidRPr="005316C9" w:rsidRDefault="00DD33DD" w:rsidP="00DD33DD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207394">
        <w:rPr>
          <w:rFonts w:ascii="Arial" w:hAnsi="Arial" w:cs="Arial"/>
          <w:b/>
          <w:sz w:val="24"/>
          <w:szCs w:val="24"/>
        </w:rPr>
        <w:t>ENVIRONMENTAL AND HEALTH IMPLICATIONS OF EMERGING POLLUTANTS IN LANDFILL LEACHATE: A REVIEW</w:t>
      </w:r>
    </w:p>
    <w:p w:rsidR="00D2408F" w:rsidRPr="00D2408F" w:rsidRDefault="00D2408F" w:rsidP="00D2408F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Table S1: </w:t>
      </w:r>
      <w:r w:rsidRPr="00D2408F">
        <w:rPr>
          <w:rFonts w:ascii="Arial" w:hAnsi="Arial" w:cs="Arial"/>
          <w:sz w:val="24"/>
          <w:szCs w:val="24"/>
        </w:rPr>
        <w:t>Review of literature on emerging pollutants in landfills around the world</w:t>
      </w:r>
    </w:p>
    <w:tbl>
      <w:tblPr>
        <w:tblStyle w:val="TableGrid"/>
        <w:tblW w:w="10710" w:type="dxa"/>
        <w:tblInd w:w="-545" w:type="dxa"/>
        <w:tblLayout w:type="fixed"/>
        <w:tblLook w:val="04A0" w:firstRow="1" w:lastRow="0" w:firstColumn="1" w:lastColumn="0" w:noHBand="0" w:noVBand="1"/>
      </w:tblPr>
      <w:tblGrid>
        <w:gridCol w:w="617"/>
        <w:gridCol w:w="3712"/>
        <w:gridCol w:w="2331"/>
        <w:gridCol w:w="2250"/>
        <w:gridCol w:w="1800"/>
      </w:tblGrid>
      <w:tr w:rsidR="00D2408F" w:rsidRPr="00D2408F" w:rsidTr="00CA5934">
        <w:tc>
          <w:tcPr>
            <w:tcW w:w="617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S/N</w:t>
            </w:r>
          </w:p>
        </w:tc>
        <w:tc>
          <w:tcPr>
            <w:tcW w:w="3712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PUBLICATION</w:t>
            </w:r>
          </w:p>
        </w:tc>
        <w:tc>
          <w:tcPr>
            <w:tcW w:w="2331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LEACHATE OR LANDFILL TYPE/IDENTIFIED POLLUTANTS</w:t>
            </w:r>
          </w:p>
        </w:tc>
        <w:tc>
          <w:tcPr>
            <w:tcW w:w="225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ENVIRONMENTAL IMPACTS</w:t>
            </w:r>
          </w:p>
        </w:tc>
        <w:tc>
          <w:tcPr>
            <w:tcW w:w="180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HUMAN HEALTH IMPACT</w:t>
            </w:r>
          </w:p>
        </w:tc>
      </w:tr>
      <w:tr w:rsidR="00D2408F" w:rsidRPr="00D2408F" w:rsidTr="00CA5934">
        <w:tc>
          <w:tcPr>
            <w:tcW w:w="617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712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 xml:space="preserve">Yu, X., Sui, Q.,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Lyu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S., Zhao, W., Liu, J.,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Cai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>, Z</w:t>
            </w:r>
            <w:proofErr w:type="gramStart"/>
            <w:r w:rsidRPr="00D2408F">
              <w:rPr>
                <w:rFonts w:ascii="Arial" w:hAnsi="Arial" w:cs="Arial"/>
                <w:sz w:val="24"/>
                <w:szCs w:val="24"/>
              </w:rPr>
              <w:t>., ...</w:t>
            </w:r>
            <w:proofErr w:type="gramEnd"/>
            <w:r w:rsidRPr="00D2408F">
              <w:rPr>
                <w:rFonts w:ascii="Arial" w:hAnsi="Arial" w:cs="Arial"/>
                <w:sz w:val="24"/>
                <w:szCs w:val="24"/>
              </w:rPr>
              <w:t xml:space="preserve"> &amp;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Barcelo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>, D. (2020). Municipal solid waste landfills: an underestimated source of pharmaceutical and personal care products in the water environment.</w:t>
            </w:r>
          </w:p>
        </w:tc>
        <w:tc>
          <w:tcPr>
            <w:tcW w:w="2331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MSW Landfill/PPCP</w:t>
            </w:r>
          </w:p>
        </w:tc>
        <w:tc>
          <w:tcPr>
            <w:tcW w:w="225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 xml:space="preserve">Water contamination, posing risks to nearby water bodies. These chemicals can disrupt natural ecosystems, affecting aquatic organisms, plants, and microbial communities, leading to ecological disruption. </w:t>
            </w:r>
          </w:p>
        </w:tc>
        <w:tc>
          <w:tcPr>
            <w:tcW w:w="180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The presence of PPCPs contributes to antibiotic resistance in water systems, presenting a potential threat to public health and risks to human health</w:t>
            </w:r>
          </w:p>
        </w:tc>
      </w:tr>
      <w:tr w:rsidR="00D2408F" w:rsidRPr="00D2408F" w:rsidTr="00CA5934">
        <w:tc>
          <w:tcPr>
            <w:tcW w:w="617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3712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 xml:space="preserve">Roy, D.,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Azaïs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A.,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Benkaraache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S.,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Drogui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P., &amp;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Tyagi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>, R. D. (2018). Composting leachate: characterization, treatment, and future perspectives. </w:t>
            </w:r>
          </w:p>
        </w:tc>
        <w:tc>
          <w:tcPr>
            <w:tcW w:w="2331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Composting Landfill/</w:t>
            </w:r>
          </w:p>
        </w:tc>
        <w:tc>
          <w:tcPr>
            <w:tcW w:w="225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 xml:space="preserve">Pollution of soil and water. </w:t>
            </w:r>
          </w:p>
        </w:tc>
        <w:tc>
          <w:tcPr>
            <w:tcW w:w="180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408F" w:rsidRPr="00D2408F" w:rsidTr="00CA5934">
        <w:trPr>
          <w:trHeight w:val="3005"/>
        </w:trPr>
        <w:tc>
          <w:tcPr>
            <w:tcW w:w="617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3712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 xml:space="preserve">Da Costa, J. P.,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Avellan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A.,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Mouneyrac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C., Duarte, A., &amp; Rocha-Santos, T. (2023). Plastic additives and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microplastics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 as emerging contaminants: Mechanisms and analytical assessment.</w:t>
            </w:r>
          </w:p>
        </w:tc>
        <w:tc>
          <w:tcPr>
            <w:tcW w:w="2331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 xml:space="preserve">Landfill/Plastic additives and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microplastics</w:t>
            </w:r>
            <w:proofErr w:type="spellEnd"/>
          </w:p>
        </w:tc>
        <w:tc>
          <w:tcPr>
            <w:tcW w:w="225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 xml:space="preserve">Environmental pollution by contaminating ecosystems, adversely affecting aquatic life and soil quality. </w:t>
            </w:r>
          </w:p>
        </w:tc>
        <w:tc>
          <w:tcPr>
            <w:tcW w:w="180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Additionally, these contaminants pose potential risks to human health as they can enter the food chain.</w:t>
            </w:r>
          </w:p>
        </w:tc>
      </w:tr>
      <w:tr w:rsidR="00D2408F" w:rsidRPr="00D2408F" w:rsidTr="00CA5934">
        <w:tc>
          <w:tcPr>
            <w:tcW w:w="617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lastRenderedPageBreak/>
              <w:t>4.</w:t>
            </w:r>
          </w:p>
        </w:tc>
        <w:tc>
          <w:tcPr>
            <w:tcW w:w="3712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Geissen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V.,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Mol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H.,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Klumpp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E.,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Umlauf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G.,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Nadal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M., van der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Ploeg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>, M</w:t>
            </w:r>
            <w:proofErr w:type="gramStart"/>
            <w:r w:rsidRPr="00D2408F">
              <w:rPr>
                <w:rFonts w:ascii="Arial" w:hAnsi="Arial" w:cs="Arial"/>
                <w:sz w:val="24"/>
                <w:szCs w:val="24"/>
              </w:rPr>
              <w:t>., ...</w:t>
            </w:r>
            <w:proofErr w:type="gramEnd"/>
            <w:r w:rsidRPr="00D2408F">
              <w:rPr>
                <w:rFonts w:ascii="Arial" w:hAnsi="Arial" w:cs="Arial"/>
                <w:sz w:val="24"/>
                <w:szCs w:val="24"/>
              </w:rPr>
              <w:t xml:space="preserve"> &amp;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Ritsema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>, C. J. (2015). Emerging pollutants in the environment: a challenge for water resource management. </w:t>
            </w:r>
          </w:p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1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 xml:space="preserve">Emerging pollutants (EPs) inflict ecological disruption by harming aquatic organisms, biodiversity, and ecosystem services. </w:t>
            </w:r>
          </w:p>
        </w:tc>
        <w:tc>
          <w:tcPr>
            <w:tcW w:w="180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Additionally, human health risks arise from EP exposure through contaminated water, leading to concerns such as endocrine disruption, carcinogenic effects, and developmental abnormalities.</w:t>
            </w:r>
          </w:p>
        </w:tc>
      </w:tr>
      <w:tr w:rsidR="00D2408F" w:rsidRPr="00D2408F" w:rsidTr="00CA5934">
        <w:tc>
          <w:tcPr>
            <w:tcW w:w="617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3712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Ramakrishnan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A.,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Blaney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L., Kao, J.,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Tyagi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R. D., Zhang, T. C., &amp;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Surampalli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>, R. Y. (2015). Emerging contaminants in landfill leachate and their sustainable management.</w:t>
            </w:r>
          </w:p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1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MSW Landfill/</w:t>
            </w:r>
          </w:p>
        </w:tc>
        <w:tc>
          <w:tcPr>
            <w:tcW w:w="225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 xml:space="preserve">Emerging Contaminants (ECs) pose environmental risks by affecting soil, water, and ecosystems. </w:t>
            </w:r>
          </w:p>
        </w:tc>
        <w:tc>
          <w:tcPr>
            <w:tcW w:w="180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Human health is at risk due to exposure to ECs through contaminated leachate.</w:t>
            </w:r>
          </w:p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408F" w:rsidRPr="00D2408F" w:rsidTr="00CA5934">
        <w:tc>
          <w:tcPr>
            <w:tcW w:w="617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3712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Okechukwu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V. U.,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Omokpariola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D. O.,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Onwukeme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V. I.,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Nweke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E. N., &amp;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Omokpariola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P. L. (2021). Pollution investigation and risk assessment of polycyclic aromatic hydrocarbons in soil and water from selected dumpsite locations in rivers and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Bayelsa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 State, Nigeria.</w:t>
            </w:r>
          </w:p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1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Dumpsite/PAH</w:t>
            </w:r>
          </w:p>
        </w:tc>
        <w:tc>
          <w:tcPr>
            <w:tcW w:w="225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 xml:space="preserve">These persistent compounds impact soil quality, water resources, and aquatic life. </w:t>
            </w:r>
          </w:p>
        </w:tc>
        <w:tc>
          <w:tcPr>
            <w:tcW w:w="180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Consequences such as cancer and respiratory problems associated with exposure to these compounds.</w:t>
            </w:r>
          </w:p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408F" w:rsidRPr="00D2408F" w:rsidTr="00CA5934">
        <w:tc>
          <w:tcPr>
            <w:tcW w:w="617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3712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Propp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V. R., De Silva, A. O., Spencer, C., Brown, S. J.,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Catingan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S. D., Smith, J. E., &amp; Roy, J. W. (2021). Organic contaminants of emerging concern in leachate of historic municipal </w:t>
            </w:r>
            <w:r w:rsidRPr="00D2408F">
              <w:rPr>
                <w:rFonts w:ascii="Arial" w:hAnsi="Arial" w:cs="Arial"/>
                <w:sz w:val="24"/>
                <w:szCs w:val="24"/>
              </w:rPr>
              <w:lastRenderedPageBreak/>
              <w:t>landfills. </w:t>
            </w:r>
            <w:r w:rsidRPr="00D2408F">
              <w:rPr>
                <w:rFonts w:ascii="Arial" w:hAnsi="Arial" w:cs="Arial"/>
                <w:i/>
                <w:iCs/>
                <w:sz w:val="24"/>
                <w:szCs w:val="24"/>
              </w:rPr>
              <w:t>Environmental Pollution</w:t>
            </w:r>
            <w:r w:rsidRPr="00D2408F">
              <w:rPr>
                <w:rFonts w:ascii="Arial" w:hAnsi="Arial" w:cs="Arial"/>
                <w:sz w:val="24"/>
                <w:szCs w:val="24"/>
              </w:rPr>
              <w:t>, </w:t>
            </w:r>
            <w:r w:rsidRPr="00D2408F">
              <w:rPr>
                <w:rFonts w:ascii="Arial" w:hAnsi="Arial" w:cs="Arial"/>
                <w:i/>
                <w:iCs/>
                <w:sz w:val="24"/>
                <w:szCs w:val="24"/>
              </w:rPr>
              <w:t>276</w:t>
            </w:r>
            <w:r w:rsidRPr="00D2408F">
              <w:rPr>
                <w:rFonts w:ascii="Arial" w:hAnsi="Arial" w:cs="Arial"/>
                <w:sz w:val="24"/>
                <w:szCs w:val="24"/>
              </w:rPr>
              <w:t>, 116474.</w:t>
            </w:r>
          </w:p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1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lastRenderedPageBreak/>
              <w:t>MSW Landfill/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Bisphenol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 A and Cotinine</w:t>
            </w:r>
          </w:p>
        </w:tc>
        <w:tc>
          <w:tcPr>
            <w:tcW w:w="225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 xml:space="preserve">Environmental pollution, impacting soil, water bodies, and ecosystems. </w:t>
            </w:r>
          </w:p>
        </w:tc>
        <w:tc>
          <w:tcPr>
            <w:tcW w:w="180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 xml:space="preserve">Adverse effects on human health, especially if these organic compounds enter the food </w:t>
            </w:r>
            <w:r w:rsidRPr="00D2408F">
              <w:rPr>
                <w:rFonts w:ascii="Arial" w:hAnsi="Arial" w:cs="Arial"/>
                <w:sz w:val="24"/>
                <w:szCs w:val="24"/>
              </w:rPr>
              <w:lastRenderedPageBreak/>
              <w:t>chain or contaminate drinking water sources.</w:t>
            </w:r>
          </w:p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408F" w:rsidRPr="00D2408F" w:rsidTr="00CA5934">
        <w:tc>
          <w:tcPr>
            <w:tcW w:w="617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lastRenderedPageBreak/>
              <w:t>8.</w:t>
            </w:r>
          </w:p>
        </w:tc>
        <w:tc>
          <w:tcPr>
            <w:tcW w:w="3712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Yadav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D.,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Rangabhashiyam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S.,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Verma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>, P., Singh, P., Devi, P., Kumar, P</w:t>
            </w:r>
            <w:proofErr w:type="gramStart"/>
            <w:r w:rsidRPr="00D2408F">
              <w:rPr>
                <w:rFonts w:ascii="Arial" w:hAnsi="Arial" w:cs="Arial"/>
                <w:sz w:val="24"/>
                <w:szCs w:val="24"/>
              </w:rPr>
              <w:t>., ...</w:t>
            </w:r>
            <w:proofErr w:type="gramEnd"/>
            <w:r w:rsidRPr="00D2408F">
              <w:rPr>
                <w:rFonts w:ascii="Arial" w:hAnsi="Arial" w:cs="Arial"/>
                <w:sz w:val="24"/>
                <w:szCs w:val="24"/>
              </w:rPr>
              <w:t xml:space="preserve"> &amp; Kumar, K. S. (2021). Environmental and health impacts of contaminants of emerging concerns: Recent treatment challenges and approaches. </w:t>
            </w:r>
            <w:r w:rsidRPr="00D2408F">
              <w:rPr>
                <w:rFonts w:ascii="Arial" w:hAnsi="Arial" w:cs="Arial"/>
                <w:i/>
                <w:iCs/>
                <w:sz w:val="24"/>
                <w:szCs w:val="24"/>
              </w:rPr>
              <w:t>Chemosphere</w:t>
            </w:r>
            <w:r w:rsidRPr="00D2408F">
              <w:rPr>
                <w:rFonts w:ascii="Arial" w:hAnsi="Arial" w:cs="Arial"/>
                <w:sz w:val="24"/>
                <w:szCs w:val="24"/>
              </w:rPr>
              <w:t>, </w:t>
            </w:r>
            <w:r w:rsidRPr="00D2408F">
              <w:rPr>
                <w:rFonts w:ascii="Arial" w:hAnsi="Arial" w:cs="Arial"/>
                <w:i/>
                <w:iCs/>
                <w:sz w:val="24"/>
                <w:szCs w:val="24"/>
              </w:rPr>
              <w:t>272</w:t>
            </w:r>
            <w:r w:rsidRPr="00D2408F">
              <w:rPr>
                <w:rFonts w:ascii="Arial" w:hAnsi="Arial" w:cs="Arial"/>
                <w:sz w:val="24"/>
                <w:szCs w:val="24"/>
              </w:rPr>
              <w:t>, 129492.</w:t>
            </w:r>
          </w:p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1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 xml:space="preserve"> Contribute to environmental pollution by contaminating water bodies, soil, and ecosystems, adversely affecting aquatic organisms, wildlife, and vegetation</w:t>
            </w:r>
          </w:p>
        </w:tc>
        <w:tc>
          <w:tcPr>
            <w:tcW w:w="180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Human exposure to CECs through contaminated water or food poses health risks, including endocrine disruption and carcinogenic effects.</w:t>
            </w:r>
          </w:p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408F" w:rsidRPr="00D2408F" w:rsidTr="00CA5934">
        <w:tc>
          <w:tcPr>
            <w:tcW w:w="617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3712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 xml:space="preserve">Clarke, B. O.,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Anumol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T.,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Barlaz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>, M., &amp; Snyder, S. A. (2015). Investigating landfill leachate as a source of trace organic pollutants. </w:t>
            </w:r>
            <w:r w:rsidRPr="00D2408F">
              <w:rPr>
                <w:rFonts w:ascii="Arial" w:hAnsi="Arial" w:cs="Arial"/>
                <w:i/>
                <w:iCs/>
                <w:sz w:val="24"/>
                <w:szCs w:val="24"/>
              </w:rPr>
              <w:t>Chemosphere</w:t>
            </w:r>
            <w:r w:rsidRPr="00D2408F">
              <w:rPr>
                <w:rFonts w:ascii="Arial" w:hAnsi="Arial" w:cs="Arial"/>
                <w:sz w:val="24"/>
                <w:szCs w:val="24"/>
              </w:rPr>
              <w:t>, </w:t>
            </w:r>
            <w:r w:rsidRPr="00D2408F">
              <w:rPr>
                <w:rFonts w:ascii="Arial" w:hAnsi="Arial" w:cs="Arial"/>
                <w:i/>
                <w:iCs/>
                <w:sz w:val="24"/>
                <w:szCs w:val="24"/>
              </w:rPr>
              <w:t>127</w:t>
            </w:r>
            <w:r w:rsidRPr="00D2408F">
              <w:rPr>
                <w:rFonts w:ascii="Arial" w:hAnsi="Arial" w:cs="Arial"/>
                <w:sz w:val="24"/>
                <w:szCs w:val="24"/>
              </w:rPr>
              <w:t>, 269-275.</w:t>
            </w:r>
          </w:p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1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MSW Landfill/DEET</w:t>
            </w:r>
          </w:p>
        </w:tc>
        <w:tc>
          <w:tcPr>
            <w:tcW w:w="225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 xml:space="preserve">Threat to surface water, potentially impacting aquatic ecosystems. </w:t>
            </w:r>
          </w:p>
        </w:tc>
        <w:tc>
          <w:tcPr>
            <w:tcW w:w="180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408F" w:rsidRPr="00D2408F" w:rsidTr="00CA5934">
        <w:tc>
          <w:tcPr>
            <w:tcW w:w="617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10.</w:t>
            </w:r>
          </w:p>
        </w:tc>
        <w:tc>
          <w:tcPr>
            <w:tcW w:w="3712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Kapelewska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J.,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Kotowska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U.,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Karpińska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J.,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Kowalczuk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D.,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Arciszewska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A., &amp;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Świrydo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A. (2018). Occurrence, removal, mass loading and environmental risk assessment of emerging organic contaminants in leachates,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groundwaters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 and wastewaters.</w:t>
            </w:r>
          </w:p>
        </w:tc>
        <w:tc>
          <w:tcPr>
            <w:tcW w:w="2331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MSW Landfill/</w:t>
            </w:r>
          </w:p>
        </w:tc>
        <w:tc>
          <w:tcPr>
            <w:tcW w:w="225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 xml:space="preserve">Contaminated </w:t>
            </w:r>
            <w:proofErr w:type="gramStart"/>
            <w:r w:rsidRPr="00D2408F">
              <w:rPr>
                <w:rFonts w:ascii="Arial" w:hAnsi="Arial" w:cs="Arial"/>
                <w:sz w:val="24"/>
                <w:szCs w:val="24"/>
              </w:rPr>
              <w:t>water  affecting</w:t>
            </w:r>
            <w:proofErr w:type="gramEnd"/>
            <w:r w:rsidRPr="00D2408F">
              <w:rPr>
                <w:rFonts w:ascii="Arial" w:hAnsi="Arial" w:cs="Arial"/>
                <w:sz w:val="24"/>
                <w:szCs w:val="24"/>
              </w:rPr>
              <w:t xml:space="preserve"> aquatic organisms, disrupting the natural balance of ecosystems leading to broader environmental and health implications.</w:t>
            </w:r>
          </w:p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0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Health impact</w:t>
            </w:r>
          </w:p>
        </w:tc>
      </w:tr>
      <w:tr w:rsidR="00D2408F" w:rsidRPr="00D2408F" w:rsidTr="00CA5934">
        <w:tc>
          <w:tcPr>
            <w:tcW w:w="617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11.</w:t>
            </w:r>
          </w:p>
        </w:tc>
        <w:tc>
          <w:tcPr>
            <w:tcW w:w="3712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Masoner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J. R.,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Kolpin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D. W., Furlong, E. T.,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Cozzarelli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I. M., &amp; Gray, J. L. (2016). Landfill leachate as a mirror of today's disposable society: </w:t>
            </w:r>
            <w:r w:rsidRPr="00D2408F">
              <w:rPr>
                <w:rFonts w:ascii="Arial" w:hAnsi="Arial" w:cs="Arial"/>
                <w:sz w:val="24"/>
                <w:szCs w:val="24"/>
              </w:rPr>
              <w:lastRenderedPageBreak/>
              <w:t>pharmaceuticals and other contaminants of emerging concern in final leachate from landfills in the conterminous United States. </w:t>
            </w:r>
          </w:p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1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lastRenderedPageBreak/>
              <w:t>Landfill</w:t>
            </w:r>
          </w:p>
        </w:tc>
        <w:tc>
          <w:tcPr>
            <w:tcW w:w="225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 xml:space="preserve"> Contaminating surface water, adversely affecting aquatic </w:t>
            </w:r>
            <w:r w:rsidRPr="00D2408F">
              <w:rPr>
                <w:rFonts w:ascii="Arial" w:hAnsi="Arial" w:cs="Arial"/>
                <w:sz w:val="24"/>
                <w:szCs w:val="24"/>
              </w:rPr>
              <w:lastRenderedPageBreak/>
              <w:t xml:space="preserve">ecosystems and wildlife. </w:t>
            </w:r>
          </w:p>
        </w:tc>
        <w:tc>
          <w:tcPr>
            <w:tcW w:w="180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lastRenderedPageBreak/>
              <w:t xml:space="preserve">Human health risks arise from CEC exposure through </w:t>
            </w:r>
            <w:r w:rsidRPr="00D2408F">
              <w:rPr>
                <w:rFonts w:ascii="Arial" w:hAnsi="Arial" w:cs="Arial"/>
                <w:sz w:val="24"/>
                <w:szCs w:val="24"/>
              </w:rPr>
              <w:lastRenderedPageBreak/>
              <w:t>drinking water or recreational activities associated with the leachate.</w:t>
            </w:r>
          </w:p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408F" w:rsidRPr="00D2408F" w:rsidTr="00CA5934">
        <w:tc>
          <w:tcPr>
            <w:tcW w:w="617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lastRenderedPageBreak/>
              <w:t>12.</w:t>
            </w:r>
          </w:p>
        </w:tc>
        <w:tc>
          <w:tcPr>
            <w:tcW w:w="3712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Vasilachi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I. C.,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Asiminicesei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D. M.,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Fertu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D. I., &amp;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Gavrilescu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>, M. (2021). Occurrence and fate of emerging pollutants in water environment and options for their removal.</w:t>
            </w:r>
          </w:p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1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 xml:space="preserve">Harming aquatic ecosystems by affecting fish, algae, and other organisms. </w:t>
            </w:r>
          </w:p>
        </w:tc>
        <w:tc>
          <w:tcPr>
            <w:tcW w:w="180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Additionally, human health is compromised through exposure to EPs via drinking water or the consumption of contaminated fish, leading to potential health issues.</w:t>
            </w:r>
          </w:p>
        </w:tc>
      </w:tr>
      <w:tr w:rsidR="00D2408F" w:rsidRPr="00D2408F" w:rsidTr="00CA5934">
        <w:tc>
          <w:tcPr>
            <w:tcW w:w="617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13.</w:t>
            </w:r>
          </w:p>
        </w:tc>
        <w:tc>
          <w:tcPr>
            <w:tcW w:w="3712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 xml:space="preserve">Pereira, L. C., de Souza, A. O.,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Bernardes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M. F. F.,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Pazin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M., Tasso, M. J., Pereira, P. H., &amp;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Dorta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>, D. J. (2015). A perspective on the potential risks of emerging contaminants to human and environmental health. </w:t>
            </w:r>
          </w:p>
        </w:tc>
        <w:tc>
          <w:tcPr>
            <w:tcW w:w="2331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 xml:space="preserve"> Long-term contamination of water bodies and soil. </w:t>
            </w:r>
          </w:p>
        </w:tc>
        <w:tc>
          <w:tcPr>
            <w:tcW w:w="180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Their lipophilic nature leads to bioaccumulation in living organisms, posing adverse effects on aquatic ecosystems and human health over time.</w:t>
            </w:r>
          </w:p>
        </w:tc>
      </w:tr>
      <w:tr w:rsidR="00D2408F" w:rsidRPr="00D2408F" w:rsidTr="00CA5934">
        <w:tc>
          <w:tcPr>
            <w:tcW w:w="617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14.</w:t>
            </w:r>
          </w:p>
        </w:tc>
        <w:tc>
          <w:tcPr>
            <w:tcW w:w="3712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Xu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Y.,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Xue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X., Dong, L.,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Nai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C., Liu, Y., &amp; Huang, Q. (2018). Long-term dynamics of leachate production, leakage from hazardous waste landfill sites </w:t>
            </w:r>
            <w:r w:rsidRPr="00D2408F">
              <w:rPr>
                <w:rFonts w:ascii="Arial" w:hAnsi="Arial" w:cs="Arial"/>
                <w:sz w:val="24"/>
                <w:szCs w:val="24"/>
              </w:rPr>
              <w:lastRenderedPageBreak/>
              <w:t>and the impact on groundwater quality and human health.</w:t>
            </w:r>
          </w:p>
        </w:tc>
        <w:tc>
          <w:tcPr>
            <w:tcW w:w="2331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 xml:space="preserve"> Contaminating groundwater with hazardous pollutants.  </w:t>
            </w:r>
          </w:p>
        </w:tc>
        <w:tc>
          <w:tcPr>
            <w:tcW w:w="180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 xml:space="preserve">Increases the risk of health issues, including cancer, respiratory </w:t>
            </w:r>
            <w:r w:rsidRPr="00D2408F">
              <w:rPr>
                <w:rFonts w:ascii="Arial" w:hAnsi="Arial" w:cs="Arial"/>
                <w:sz w:val="24"/>
                <w:szCs w:val="24"/>
              </w:rPr>
              <w:lastRenderedPageBreak/>
              <w:t>problems, and neurological disorders.</w:t>
            </w:r>
          </w:p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408F" w:rsidRPr="00D2408F" w:rsidTr="00CA5934">
        <w:tc>
          <w:tcPr>
            <w:tcW w:w="617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lastRenderedPageBreak/>
              <w:t>15.</w:t>
            </w:r>
          </w:p>
        </w:tc>
        <w:tc>
          <w:tcPr>
            <w:tcW w:w="3712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Ghosh, P., Gupta, A., &amp; Thakur, I. S. (2015). Combined chemical and toxicological evaluation of leachate from municipal solid waste landfill sites of Delhi, India. </w:t>
            </w:r>
          </w:p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1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MSW Landfill/Halogenated compounds and PAH</w:t>
            </w:r>
          </w:p>
        </w:tc>
        <w:tc>
          <w:tcPr>
            <w:tcW w:w="225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 xml:space="preserve">Risk of groundwater contamination due to elevated levels of organic compounds, including halogenated aliphatic and aromatic compounds, PAHs, and phthalate esters. </w:t>
            </w:r>
          </w:p>
        </w:tc>
        <w:tc>
          <w:tcPr>
            <w:tcW w:w="180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 xml:space="preserve">Cytotoxic and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genotoxic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 effects on HepG2 cell lines, indicating potential adverse effects from the combined mixture of contaminants.</w:t>
            </w:r>
          </w:p>
        </w:tc>
      </w:tr>
      <w:tr w:rsidR="00D2408F" w:rsidRPr="00D2408F" w:rsidTr="00CA5934">
        <w:tc>
          <w:tcPr>
            <w:tcW w:w="617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16.</w:t>
            </w:r>
          </w:p>
        </w:tc>
        <w:tc>
          <w:tcPr>
            <w:tcW w:w="3712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Gavrilescu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M.,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Demnerová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K.,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Aamand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J.,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Agathos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S., &amp; Fava, F. (2015). Emerging pollutants in the environment: present and future challenges in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biomonitoring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>, ecological risks and bioremediation. </w:t>
            </w:r>
          </w:p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1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pharmaceuticals, endocrine disruptors, and toxins</w:t>
            </w:r>
          </w:p>
        </w:tc>
        <w:tc>
          <w:tcPr>
            <w:tcW w:w="225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 xml:space="preserve">Ecological risks by disrupting natural processes, harming wildlife, and altering ecological balance. </w:t>
            </w:r>
          </w:p>
        </w:tc>
        <w:tc>
          <w:tcPr>
            <w:tcW w:w="180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Human health is at risk through exposure to these pollutants in contaminated water, food, or air, with pharmaceutical residues in water sources potentially impacting health over time.</w:t>
            </w:r>
          </w:p>
        </w:tc>
      </w:tr>
      <w:tr w:rsidR="00D2408F" w:rsidRPr="00D2408F" w:rsidTr="00CA5934">
        <w:tc>
          <w:tcPr>
            <w:tcW w:w="617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17.</w:t>
            </w:r>
          </w:p>
        </w:tc>
        <w:tc>
          <w:tcPr>
            <w:tcW w:w="3712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Alao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J. O.,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Fahad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A.,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Abdo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H. G.,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Ayejoto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D. A.,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Almohamad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>, H., Ahmad, M. S</w:t>
            </w:r>
            <w:proofErr w:type="gramStart"/>
            <w:r w:rsidRPr="00D2408F">
              <w:rPr>
                <w:rFonts w:ascii="Arial" w:hAnsi="Arial" w:cs="Arial"/>
                <w:sz w:val="24"/>
                <w:szCs w:val="24"/>
              </w:rPr>
              <w:t>., ...</w:t>
            </w:r>
            <w:proofErr w:type="gramEnd"/>
            <w:r w:rsidRPr="00D2408F">
              <w:rPr>
                <w:rFonts w:ascii="Arial" w:hAnsi="Arial" w:cs="Arial"/>
                <w:sz w:val="24"/>
                <w:szCs w:val="24"/>
              </w:rPr>
              <w:t xml:space="preserve"> &amp; Joy, A. O. (2023). Effects of dumpsite leachate plumes on surface and groundwater and the possible public health risks. </w:t>
            </w:r>
          </w:p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1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 xml:space="preserve">Impact on water sources, contaminating both surface water (rivers, lakes, streams) and groundwater (aquifers, wells). </w:t>
            </w:r>
            <w:proofErr w:type="gramStart"/>
            <w:r w:rsidRPr="00D2408F">
              <w:rPr>
                <w:rFonts w:ascii="Arial" w:hAnsi="Arial" w:cs="Arial"/>
                <w:sz w:val="24"/>
                <w:szCs w:val="24"/>
              </w:rPr>
              <w:lastRenderedPageBreak/>
              <w:t>adversely</w:t>
            </w:r>
            <w:proofErr w:type="gramEnd"/>
            <w:r w:rsidRPr="00D2408F">
              <w:rPr>
                <w:rFonts w:ascii="Arial" w:hAnsi="Arial" w:cs="Arial"/>
                <w:sz w:val="24"/>
                <w:szCs w:val="24"/>
              </w:rPr>
              <w:t xml:space="preserve"> affects soil quality, posing a risk of contamination to agricultural lands.</w:t>
            </w:r>
          </w:p>
        </w:tc>
        <w:tc>
          <w:tcPr>
            <w:tcW w:w="180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408F" w:rsidRPr="00D2408F" w:rsidTr="00CA5934">
        <w:tc>
          <w:tcPr>
            <w:tcW w:w="617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lastRenderedPageBreak/>
              <w:t>18.</w:t>
            </w:r>
          </w:p>
        </w:tc>
        <w:tc>
          <w:tcPr>
            <w:tcW w:w="3712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Gwenzi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W.,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Mangori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L.,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Danha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C.,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Chaukura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N.,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Dunjana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N., &amp;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Sanganyado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E. (2018). Sources,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behaviour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>, and environmental and human health risks of high-technology rare earth elements as emerging contaminants.</w:t>
            </w:r>
          </w:p>
        </w:tc>
        <w:tc>
          <w:tcPr>
            <w:tcW w:w="2331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Electronic, mining or Industrial waste site/Rare Earth Elements (REEs)</w:t>
            </w:r>
          </w:p>
        </w:tc>
        <w:tc>
          <w:tcPr>
            <w:tcW w:w="225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 xml:space="preserve">Accumulate in soil, water, and air, posing risks to ecosystems and overall environmental health. </w:t>
            </w:r>
          </w:p>
        </w:tc>
        <w:tc>
          <w:tcPr>
            <w:tcW w:w="180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Adverse effects including toxicity, carcinogenicity, and disruption of biological processes associated with REEs.</w:t>
            </w:r>
          </w:p>
        </w:tc>
      </w:tr>
      <w:tr w:rsidR="00D2408F" w:rsidRPr="00D2408F" w:rsidTr="00CA5934">
        <w:tc>
          <w:tcPr>
            <w:tcW w:w="617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19.</w:t>
            </w:r>
          </w:p>
        </w:tc>
        <w:tc>
          <w:tcPr>
            <w:tcW w:w="3712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 xml:space="preserve">Yan, H., Cousins, I. T., Zhang, C., &amp; Zhou, Q. (2015).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Perfluoroalkyl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 acids in municipal landfill leachates from China: Occurrence, fate during leachate treatment and potential impact on groundwater.</w:t>
            </w:r>
          </w:p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1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MSW Landfill/PFAA</w:t>
            </w:r>
          </w:p>
        </w:tc>
        <w:tc>
          <w:tcPr>
            <w:tcW w:w="225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Threat of contamination to the sustainable use of groundwater as a drinking water source.</w:t>
            </w:r>
          </w:p>
        </w:tc>
        <w:tc>
          <w:tcPr>
            <w:tcW w:w="180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408F" w:rsidRPr="00D2408F" w:rsidTr="00CA5934">
        <w:tc>
          <w:tcPr>
            <w:tcW w:w="617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20.</w:t>
            </w:r>
          </w:p>
        </w:tc>
        <w:tc>
          <w:tcPr>
            <w:tcW w:w="3712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Wilk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B. K.,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Fudala-Ksiazek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S.,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Szopińska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M., &amp;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Luczkiewicz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>, A. (2019). Landfill leachates and wastewater of maritime origin as possible sources of endocrine disruptors in municipal wastewater.</w:t>
            </w:r>
          </w:p>
        </w:tc>
        <w:tc>
          <w:tcPr>
            <w:tcW w:w="2331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MSW Landfill/EDCs</w:t>
            </w:r>
          </w:p>
        </w:tc>
        <w:tc>
          <w:tcPr>
            <w:tcW w:w="225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 xml:space="preserve">Environmental contamination. This contamination poses health risks to humans and aquatic ecosystems. </w:t>
            </w:r>
          </w:p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Contributes to waterborne diseases such as cholera, dengue, diarrhea, and typhoid, highlighting the potential health hazards associated with these contaminated sources.</w:t>
            </w:r>
          </w:p>
        </w:tc>
      </w:tr>
      <w:tr w:rsidR="00D2408F" w:rsidRPr="00D2408F" w:rsidTr="00CA5934">
        <w:tc>
          <w:tcPr>
            <w:tcW w:w="617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lastRenderedPageBreak/>
              <w:t>21</w:t>
            </w:r>
          </w:p>
        </w:tc>
        <w:tc>
          <w:tcPr>
            <w:tcW w:w="3712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 xml:space="preserve">Yang, H., Ma, M., Thompson, J. R., &amp; Flower, R. J. (2018). Waste management, informal recycling, environmental pollution and public health. </w:t>
            </w:r>
          </w:p>
        </w:tc>
        <w:tc>
          <w:tcPr>
            <w:tcW w:w="2331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 xml:space="preserve">Environmental pollution of air, soil and water. </w:t>
            </w:r>
          </w:p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0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Insufficient occupational health measures expose</w:t>
            </w:r>
          </w:p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informal waste workers to a range of pollutants, injuries,</w:t>
            </w:r>
          </w:p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respiratory and dermatological problems, infections and</w:t>
            </w:r>
          </w:p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other serious health issues that contribute to low life</w:t>
            </w:r>
          </w:p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expectancy</w:t>
            </w:r>
          </w:p>
        </w:tc>
      </w:tr>
      <w:tr w:rsidR="00D2408F" w:rsidRPr="00D2408F" w:rsidTr="00CA5934">
        <w:tc>
          <w:tcPr>
            <w:tcW w:w="617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3712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GodvinSharmila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V.,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Shanmugavel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S. P.,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Tyagi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V. K., &amp;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Banu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J. R. (2023).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Microplastics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 as emergent contaminants in landfill leachate: Source, potential impact and remediation technologies. </w:t>
            </w:r>
          </w:p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1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Landfill/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Microplastics</w:t>
            </w:r>
            <w:proofErr w:type="spellEnd"/>
          </w:p>
        </w:tc>
        <w:tc>
          <w:tcPr>
            <w:tcW w:w="225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Contamination of water bodies, soil, and wildlife.</w:t>
            </w:r>
          </w:p>
        </w:tc>
        <w:tc>
          <w:tcPr>
            <w:tcW w:w="180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 xml:space="preserve">Health risks associated with exposure to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microplastics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 through contaminated water and food sources.</w:t>
            </w:r>
          </w:p>
        </w:tc>
      </w:tr>
      <w:tr w:rsidR="00D2408F" w:rsidRPr="00D2408F" w:rsidTr="00CA5934">
        <w:tc>
          <w:tcPr>
            <w:tcW w:w="617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3712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 xml:space="preserve">Kumar, V., Sharma, N.,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Umesh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M.,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Chakraborty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P., Kaur, K.,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Duhan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>, L</w:t>
            </w:r>
            <w:proofErr w:type="gramStart"/>
            <w:r w:rsidRPr="00D2408F">
              <w:rPr>
                <w:rFonts w:ascii="Arial" w:hAnsi="Arial" w:cs="Arial"/>
                <w:sz w:val="24"/>
                <w:szCs w:val="24"/>
              </w:rPr>
              <w:t>., ...</w:t>
            </w:r>
            <w:proofErr w:type="gramEnd"/>
            <w:r w:rsidRPr="00D2408F">
              <w:rPr>
                <w:rFonts w:ascii="Arial" w:hAnsi="Arial" w:cs="Arial"/>
                <w:sz w:val="24"/>
                <w:szCs w:val="24"/>
              </w:rPr>
              <w:t xml:space="preserve"> &amp;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Maitra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S. S. (2023).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Micropollutants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 characteristics, fate, and sustainable removal technologies for landfill leachate: A technical perspective.</w:t>
            </w:r>
          </w:p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1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Landfill/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Micropollutants</w:t>
            </w:r>
            <w:proofErr w:type="spellEnd"/>
          </w:p>
        </w:tc>
        <w:tc>
          <w:tcPr>
            <w:tcW w:w="225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 xml:space="preserve">Groundwater contamination, soil pollution, and impacts on aquatic ecosystems. </w:t>
            </w:r>
          </w:p>
        </w:tc>
        <w:tc>
          <w:tcPr>
            <w:tcW w:w="180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Potential risks to human health through exposure pathways like drinking water and food chain contamination</w:t>
            </w:r>
          </w:p>
        </w:tc>
      </w:tr>
      <w:tr w:rsidR="00D2408F" w:rsidRPr="00D2408F" w:rsidTr="00CA5934">
        <w:tc>
          <w:tcPr>
            <w:tcW w:w="617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lastRenderedPageBreak/>
              <w:t>24</w:t>
            </w:r>
          </w:p>
        </w:tc>
        <w:tc>
          <w:tcPr>
            <w:tcW w:w="3712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Nasrabadi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A. E.,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Ramavandi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B.,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Bonyadi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Z.,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Farjadfard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S., &amp;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Fattahi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M. (2024). Landfill leachates as a significant source for emerging pollutants of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phthalic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 acid esters: Identification, occurrence, characteristics, fate, and transport.</w:t>
            </w:r>
          </w:p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1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 xml:space="preserve">MSW Landfill/PAE </w:t>
            </w:r>
          </w:p>
        </w:tc>
        <w:tc>
          <w:tcPr>
            <w:tcW w:w="225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Persistence in the environment</w:t>
            </w:r>
          </w:p>
        </w:tc>
        <w:tc>
          <w:tcPr>
            <w:tcW w:w="180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Adverse effects on human health, including endocrine disruption and reproductive disorders</w:t>
            </w:r>
          </w:p>
        </w:tc>
      </w:tr>
      <w:tr w:rsidR="00D2408F" w:rsidRPr="00D2408F" w:rsidTr="00CA5934">
        <w:tc>
          <w:tcPr>
            <w:tcW w:w="617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3712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 xml:space="preserve">Singh, S. V.,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Luthra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N., Bhattacharya, S.,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Bera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A.,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Pande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D.,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Datta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>, D</w:t>
            </w:r>
            <w:proofErr w:type="gramStart"/>
            <w:r w:rsidRPr="00D2408F">
              <w:rPr>
                <w:rFonts w:ascii="Arial" w:hAnsi="Arial" w:cs="Arial"/>
                <w:sz w:val="24"/>
                <w:szCs w:val="24"/>
              </w:rPr>
              <w:t>., ...</w:t>
            </w:r>
            <w:proofErr w:type="gramEnd"/>
            <w:r w:rsidRPr="00D2408F">
              <w:rPr>
                <w:rFonts w:ascii="Arial" w:hAnsi="Arial" w:cs="Arial"/>
                <w:sz w:val="24"/>
                <w:szCs w:val="24"/>
              </w:rPr>
              <w:t xml:space="preserve"> &amp; Pathak, S. O. (2024). Occurrence of emerging contaminants in soils and impacts on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rhizosphere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</w:tc>
        <w:tc>
          <w:tcPr>
            <w:tcW w:w="2331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Soil/Pharmaceuticals, personal care products, industrial chemicals.</w:t>
            </w:r>
          </w:p>
        </w:tc>
        <w:tc>
          <w:tcPr>
            <w:tcW w:w="225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Impacts on biodiversity, soil fertility, water quality, and ecosystem resilience</w:t>
            </w:r>
          </w:p>
        </w:tc>
        <w:tc>
          <w:tcPr>
            <w:tcW w:w="180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Exposure through direct contact with contaminated soil, ingestion of contaminated food crops grown in affected soil, and inhalation of contaminants released into the air from soil surfaces</w:t>
            </w:r>
          </w:p>
        </w:tc>
      </w:tr>
      <w:tr w:rsidR="00D2408F" w:rsidRPr="00D2408F" w:rsidTr="00CA5934">
        <w:tc>
          <w:tcPr>
            <w:tcW w:w="617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26</w:t>
            </w:r>
          </w:p>
        </w:tc>
        <w:tc>
          <w:tcPr>
            <w:tcW w:w="3712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 xml:space="preserve">Singh, P.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Maliyekkal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>, S. Gupta, S. M. &amp; Agarwal, A. K. (2022). Introduction of new trends in emerging environmental contaminants. </w:t>
            </w:r>
          </w:p>
        </w:tc>
        <w:tc>
          <w:tcPr>
            <w:tcW w:w="2331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 xml:space="preserve">pharmaceuticals, personal care products, industrial chemicals,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microplastics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nanomaterials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>, and novel pollutants</w:t>
            </w:r>
          </w:p>
        </w:tc>
        <w:tc>
          <w:tcPr>
            <w:tcW w:w="225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Ecosystem disruption, biodiversity loss, soil and water pollution, and climate change impacts.</w:t>
            </w:r>
          </w:p>
        </w:tc>
        <w:tc>
          <w:tcPr>
            <w:tcW w:w="180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Endocrine disruption, reproductive disorders, neurotoxicity, carcinogenicity, and immune system dysfunction.</w:t>
            </w:r>
          </w:p>
        </w:tc>
      </w:tr>
      <w:tr w:rsidR="00D2408F" w:rsidRPr="00D2408F" w:rsidTr="00CA5934">
        <w:tc>
          <w:tcPr>
            <w:tcW w:w="617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27</w:t>
            </w:r>
          </w:p>
        </w:tc>
        <w:tc>
          <w:tcPr>
            <w:tcW w:w="3712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 xml:space="preserve">Jin, Q., Tao, D., Lu, Y., Sun, J., Lam, C. H., Su, G., &amp; He, Y. (2022). New insight on occurrence of liquid crystal monomers: A class of emerging </w:t>
            </w:r>
            <w:r w:rsidRPr="00D2408F">
              <w:rPr>
                <w:rFonts w:ascii="Arial" w:hAnsi="Arial" w:cs="Arial"/>
                <w:sz w:val="24"/>
                <w:szCs w:val="24"/>
              </w:rPr>
              <w:lastRenderedPageBreak/>
              <w:t>e-waste pollutants in municipal landfill leachate.</w:t>
            </w:r>
          </w:p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1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lastRenderedPageBreak/>
              <w:t>MSW/ Liquid Crystal Monomers LCM</w:t>
            </w:r>
          </w:p>
        </w:tc>
        <w:tc>
          <w:tcPr>
            <w:tcW w:w="225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 xml:space="preserve">Groundwater and surface water pollution, soil contamination, and </w:t>
            </w:r>
            <w:r w:rsidRPr="00D2408F">
              <w:rPr>
                <w:rFonts w:ascii="Arial" w:hAnsi="Arial" w:cs="Arial"/>
                <w:sz w:val="24"/>
                <w:szCs w:val="24"/>
              </w:rPr>
              <w:lastRenderedPageBreak/>
              <w:t>ecosystem disruption.</w:t>
            </w:r>
          </w:p>
        </w:tc>
        <w:tc>
          <w:tcPr>
            <w:tcW w:w="180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lastRenderedPageBreak/>
              <w:t xml:space="preserve">Neurological disorders, reproductive toxicity, and </w:t>
            </w:r>
            <w:r w:rsidRPr="00D2408F">
              <w:rPr>
                <w:rFonts w:ascii="Arial" w:hAnsi="Arial" w:cs="Arial"/>
                <w:sz w:val="24"/>
                <w:szCs w:val="24"/>
              </w:rPr>
              <w:lastRenderedPageBreak/>
              <w:t>carcinogenicity.</w:t>
            </w:r>
          </w:p>
        </w:tc>
      </w:tr>
      <w:tr w:rsidR="00D2408F" w:rsidRPr="00D2408F" w:rsidTr="00CA5934">
        <w:tc>
          <w:tcPr>
            <w:tcW w:w="617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lastRenderedPageBreak/>
              <w:t>28</w:t>
            </w:r>
          </w:p>
        </w:tc>
        <w:tc>
          <w:tcPr>
            <w:tcW w:w="3712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Ni, J. (2022). Emerging pollution and emerging pollutants. </w:t>
            </w:r>
          </w:p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1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 xml:space="preserve">pharmaceuticals, personal care products, industrial chemicals,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microplastics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>, nanoparticles, and contaminants from emerging technologies</w:t>
            </w:r>
          </w:p>
        </w:tc>
        <w:tc>
          <w:tcPr>
            <w:tcW w:w="225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Soil and water contamination, biodiversity loss, ecosystem disruption, and climate change impacts.</w:t>
            </w:r>
          </w:p>
        </w:tc>
        <w:tc>
          <w:tcPr>
            <w:tcW w:w="180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Endocrine disruption, reproductive disorders, neurological effects, carcinogenicity, and immune system dysfunction.</w:t>
            </w:r>
          </w:p>
        </w:tc>
      </w:tr>
      <w:tr w:rsidR="00D2408F" w:rsidRPr="00D2408F" w:rsidTr="00CA5934">
        <w:tc>
          <w:tcPr>
            <w:tcW w:w="617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29</w:t>
            </w:r>
          </w:p>
        </w:tc>
        <w:tc>
          <w:tcPr>
            <w:tcW w:w="3712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Inam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E.,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Offiong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N. A., Kang, S., Yang, P., &amp;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Essien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J. (2015). Assessment of the occurrence and risks of emerging organic pollutants (EOPs) in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Ikpa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 River Basin freshwater ecosystem, Niger Delta-Nigeria.</w:t>
            </w:r>
          </w:p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1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D2408F">
              <w:rPr>
                <w:rFonts w:ascii="Arial" w:hAnsi="Arial" w:cs="Arial"/>
                <w:sz w:val="24"/>
                <w:szCs w:val="24"/>
              </w:rPr>
              <w:t>pharmaceuticals</w:t>
            </w:r>
            <w:proofErr w:type="gramEnd"/>
            <w:r w:rsidRPr="00D2408F">
              <w:rPr>
                <w:rFonts w:ascii="Arial" w:hAnsi="Arial" w:cs="Arial"/>
                <w:sz w:val="24"/>
                <w:szCs w:val="24"/>
              </w:rPr>
              <w:t>, personal care products, industrial chemicals, and their metabolites.</w:t>
            </w:r>
          </w:p>
        </w:tc>
        <w:tc>
          <w:tcPr>
            <w:tcW w:w="225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Impacts on aquatic biodiversity, ecosystem functioning, and water quality.</w:t>
            </w:r>
          </w:p>
        </w:tc>
        <w:tc>
          <w:tcPr>
            <w:tcW w:w="180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Exposure to EOPs through drinking water consumption, recreational activities, and consumption of contaminated aquatic organisms.</w:t>
            </w:r>
          </w:p>
        </w:tc>
      </w:tr>
      <w:tr w:rsidR="00D2408F" w:rsidRPr="00D2408F" w:rsidTr="00CA5934">
        <w:tc>
          <w:tcPr>
            <w:tcW w:w="617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3712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Shen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M.,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Xiong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W., Song, B., Zhou, C.,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Almatrafi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E., Zeng, G., &amp; Zhang, Y. (2022).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Microplastics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 in landfill and leachate: Occurrence, environmental behavior and removal strategies.</w:t>
            </w:r>
          </w:p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1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Landfill/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Microplastics</w:t>
            </w:r>
            <w:proofErr w:type="spellEnd"/>
          </w:p>
        </w:tc>
        <w:tc>
          <w:tcPr>
            <w:tcW w:w="225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Impact soil and water quality in landfill environments. Persist in the environment for extended periods, accumulate in soil and sediment, and pose risks to terrestrial and aquatic ecosystems.</w:t>
            </w:r>
          </w:p>
        </w:tc>
        <w:tc>
          <w:tcPr>
            <w:tcW w:w="180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Microplastics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 can enter the food chain through ingestion by aquatic organisms and subsequent consumption by humans, potentially leading to the transfer of contaminants and adverse health effects.</w:t>
            </w:r>
          </w:p>
        </w:tc>
      </w:tr>
      <w:tr w:rsidR="00D2408F" w:rsidRPr="00D2408F" w:rsidTr="00CA5934">
        <w:tc>
          <w:tcPr>
            <w:tcW w:w="617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lastRenderedPageBreak/>
              <w:t>31</w:t>
            </w:r>
          </w:p>
        </w:tc>
        <w:tc>
          <w:tcPr>
            <w:tcW w:w="3712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 xml:space="preserve">Yan, H., Cousins, I. T., Zhang, C., &amp; Zhou, Q. (2015).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Perfluoroalkyl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 acids in municipal landfill leachates from China: Occurrence, fate during leachate treatment and potential impact on groundwater. </w:t>
            </w:r>
          </w:p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1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 xml:space="preserve">Municipal landfill/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Perfluoroalkyl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 acids-PFAA</w:t>
            </w:r>
          </w:p>
        </w:tc>
        <w:tc>
          <w:tcPr>
            <w:tcW w:w="225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 xml:space="preserve">Threat of contamination to the sustainable use of groundwater as a drinking water source. </w:t>
            </w:r>
            <w:proofErr w:type="gramStart"/>
            <w:r w:rsidRPr="00D2408F">
              <w:rPr>
                <w:rFonts w:ascii="Arial" w:hAnsi="Arial" w:cs="Arial"/>
                <w:sz w:val="24"/>
                <w:szCs w:val="24"/>
              </w:rPr>
              <w:t>impacts</w:t>
            </w:r>
            <w:proofErr w:type="gramEnd"/>
            <w:r w:rsidRPr="00D2408F">
              <w:rPr>
                <w:rFonts w:ascii="Arial" w:hAnsi="Arial" w:cs="Arial"/>
                <w:sz w:val="24"/>
                <w:szCs w:val="24"/>
              </w:rPr>
              <w:t xml:space="preserve"> on surface water quality, soil contamination, and ecosystem health. PFAAs can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bioaccumulate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 in aquatic organisms and terrestrial ecosystems, leading to ecological disruptions and biodiversity loss.</w:t>
            </w:r>
          </w:p>
        </w:tc>
        <w:tc>
          <w:tcPr>
            <w:tcW w:w="180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Adverse effects on human health, including developmental effects, reproductive disorders, immune system dysfunction, and carcinogenicity.</w:t>
            </w:r>
          </w:p>
        </w:tc>
      </w:tr>
      <w:tr w:rsidR="00D2408F" w:rsidRPr="00D2408F" w:rsidTr="00CA5934">
        <w:tc>
          <w:tcPr>
            <w:tcW w:w="617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32</w:t>
            </w:r>
          </w:p>
        </w:tc>
        <w:tc>
          <w:tcPr>
            <w:tcW w:w="3712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Parida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V. K.,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Saidulu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D.,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Majumder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>, A., Srivastava, A., Gupta, B., &amp; Gupta, A. K. (2021). Emerging contaminants in wastewater: A critical review on occurrence, existing legislations, risk assessment, and sustainable treatment alternatives.</w:t>
            </w:r>
          </w:p>
        </w:tc>
        <w:tc>
          <w:tcPr>
            <w:tcW w:w="2331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 xml:space="preserve">pharmaceuticals, personal care products, industrial chemicals,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microplastics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and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nanomaterials</w:t>
            </w:r>
            <w:proofErr w:type="spellEnd"/>
          </w:p>
        </w:tc>
        <w:tc>
          <w:tcPr>
            <w:tcW w:w="225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 xml:space="preserve">impact aquatic ecosystems, </w:t>
            </w:r>
          </w:p>
        </w:tc>
        <w:tc>
          <w:tcPr>
            <w:tcW w:w="180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D2408F">
              <w:rPr>
                <w:rFonts w:ascii="Arial" w:hAnsi="Arial" w:cs="Arial"/>
                <w:sz w:val="24"/>
                <w:szCs w:val="24"/>
              </w:rPr>
              <w:t>enter</w:t>
            </w:r>
            <w:proofErr w:type="gramEnd"/>
            <w:r w:rsidRPr="00D2408F">
              <w:rPr>
                <w:rFonts w:ascii="Arial" w:hAnsi="Arial" w:cs="Arial"/>
                <w:sz w:val="24"/>
                <w:szCs w:val="24"/>
              </w:rPr>
              <w:t xml:space="preserve"> drinking water sources, and pose risks to human health through exposure pathways such as ingestion, inhalation, and dermal contact.</w:t>
            </w:r>
          </w:p>
        </w:tc>
      </w:tr>
      <w:tr w:rsidR="00D2408F" w:rsidRPr="00D2408F" w:rsidTr="00CA5934">
        <w:tc>
          <w:tcPr>
            <w:tcW w:w="617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33</w:t>
            </w:r>
          </w:p>
        </w:tc>
        <w:tc>
          <w:tcPr>
            <w:tcW w:w="3712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 xml:space="preserve">Yu, X., Sui, Q.,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Lyu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>, S., Zhao, W., Cao, X., Wang, J., &amp; Yu, G. (2020). Do high levels of PPCPs in landfill leachates influence the water environment in the vicinity of landfills? A case study of the largest landfill in China.</w:t>
            </w:r>
          </w:p>
        </w:tc>
        <w:tc>
          <w:tcPr>
            <w:tcW w:w="2331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PPCP</w:t>
            </w:r>
          </w:p>
        </w:tc>
        <w:tc>
          <w:tcPr>
            <w:tcW w:w="225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 xml:space="preserve">Leachates on the water environment in the vicinity of landfills. </w:t>
            </w:r>
            <w:proofErr w:type="gramStart"/>
            <w:r w:rsidRPr="00D2408F">
              <w:rPr>
                <w:rFonts w:ascii="Arial" w:hAnsi="Arial" w:cs="Arial"/>
                <w:sz w:val="24"/>
                <w:szCs w:val="24"/>
              </w:rPr>
              <w:t>impacts</w:t>
            </w:r>
            <w:proofErr w:type="gramEnd"/>
            <w:r w:rsidRPr="00D2408F">
              <w:rPr>
                <w:rFonts w:ascii="Arial" w:hAnsi="Arial" w:cs="Arial"/>
                <w:sz w:val="24"/>
                <w:szCs w:val="24"/>
              </w:rPr>
              <w:t xml:space="preserve"> on water quality, aquatic biodiversity, and ecosystem functioning.</w:t>
            </w:r>
          </w:p>
        </w:tc>
        <w:tc>
          <w:tcPr>
            <w:tcW w:w="180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 xml:space="preserve">PPCPs can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bioaccumulate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 in aquatic organisms and pose risks to human health through consumption of contaminated water and </w:t>
            </w:r>
            <w:r w:rsidRPr="00D2408F">
              <w:rPr>
                <w:rFonts w:ascii="Arial" w:hAnsi="Arial" w:cs="Arial"/>
                <w:sz w:val="24"/>
                <w:szCs w:val="24"/>
              </w:rPr>
              <w:lastRenderedPageBreak/>
              <w:t>aquatic food sources.</w:t>
            </w:r>
          </w:p>
        </w:tc>
      </w:tr>
      <w:tr w:rsidR="00D2408F" w:rsidRPr="00D2408F" w:rsidTr="00CA5934">
        <w:tc>
          <w:tcPr>
            <w:tcW w:w="617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lastRenderedPageBreak/>
              <w:t>34</w:t>
            </w:r>
          </w:p>
        </w:tc>
        <w:tc>
          <w:tcPr>
            <w:tcW w:w="3712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Babayemi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 J,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Ogundiran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 M, </w:t>
            </w:r>
            <w:proofErr w:type="spellStart"/>
            <w:proofErr w:type="gramStart"/>
            <w:r w:rsidRPr="00D2408F">
              <w:rPr>
                <w:rFonts w:ascii="Arial" w:hAnsi="Arial" w:cs="Arial"/>
                <w:sz w:val="24"/>
                <w:szCs w:val="24"/>
              </w:rPr>
              <w:t>Osibanjo</w:t>
            </w:r>
            <w:proofErr w:type="spellEnd"/>
            <w:proofErr w:type="gramEnd"/>
            <w:r w:rsidRPr="00D2408F">
              <w:rPr>
                <w:rFonts w:ascii="Arial" w:hAnsi="Arial" w:cs="Arial"/>
                <w:sz w:val="24"/>
                <w:szCs w:val="24"/>
              </w:rPr>
              <w:t xml:space="preserve"> O (2016) Overview of environmental hazards and health effects of pollution in developing countries: a case study of Nigeria: environmental hazards and health effects of pollution. </w:t>
            </w:r>
          </w:p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1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Air pollution, water contamination, soil degradation,</w:t>
            </w:r>
          </w:p>
        </w:tc>
        <w:tc>
          <w:tcPr>
            <w:tcW w:w="180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 xml:space="preserve">Respiratory diseases, cardiovascular disorders, neurological impairments, gastrointestinal illnesses, and reproductive disorders. </w:t>
            </w:r>
          </w:p>
        </w:tc>
      </w:tr>
      <w:tr w:rsidR="00D2408F" w:rsidRPr="00D2408F" w:rsidTr="00CA5934">
        <w:tc>
          <w:tcPr>
            <w:tcW w:w="617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35</w:t>
            </w:r>
          </w:p>
        </w:tc>
        <w:tc>
          <w:tcPr>
            <w:tcW w:w="3712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 xml:space="preserve">Khalil, C., Al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Hageh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C.,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Korfali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S., &amp;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Khnayzer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>, R. S. (2018). Municipal leachates health risks: Chemical and cytotoxicity assessment from regulated and unregulated municipal dumpsites in Lebanon.</w:t>
            </w:r>
          </w:p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1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Heavy metals and organic pollutants</w:t>
            </w:r>
          </w:p>
        </w:tc>
        <w:tc>
          <w:tcPr>
            <w:tcW w:w="225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0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Cause damage to cells.</w:t>
            </w:r>
          </w:p>
        </w:tc>
      </w:tr>
      <w:tr w:rsidR="00D2408F" w:rsidRPr="00D2408F" w:rsidTr="00CA5934">
        <w:tc>
          <w:tcPr>
            <w:tcW w:w="617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36</w:t>
            </w:r>
          </w:p>
        </w:tc>
        <w:tc>
          <w:tcPr>
            <w:tcW w:w="3712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Leśków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A.,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Nawrocka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M.,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Łątkowska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M.,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Tarnowska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M., Galas, N.,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Matejuk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A., &amp;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Całkosiński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>, I. (2019). Can contamination of the environment by dioxins cause craniofacial defects?</w:t>
            </w:r>
          </w:p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1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Dioxins</w:t>
            </w:r>
          </w:p>
        </w:tc>
        <w:tc>
          <w:tcPr>
            <w:tcW w:w="225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Environmental contamination</w:t>
            </w:r>
          </w:p>
        </w:tc>
        <w:tc>
          <w:tcPr>
            <w:tcW w:w="180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Occurrence of craniofacial defects in humans.</w:t>
            </w:r>
          </w:p>
        </w:tc>
      </w:tr>
      <w:tr w:rsidR="00D2408F" w:rsidRPr="00D2408F" w:rsidTr="00CA5934">
        <w:tc>
          <w:tcPr>
            <w:tcW w:w="617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37</w:t>
            </w:r>
          </w:p>
        </w:tc>
        <w:tc>
          <w:tcPr>
            <w:tcW w:w="3712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 xml:space="preserve">Li, J., Wang, C., Du, L.,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Lv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>, Z., Li, X., Hu, X</w:t>
            </w:r>
            <w:proofErr w:type="gramStart"/>
            <w:r w:rsidRPr="00D2408F">
              <w:rPr>
                <w:rFonts w:ascii="Arial" w:hAnsi="Arial" w:cs="Arial"/>
                <w:sz w:val="24"/>
                <w:szCs w:val="24"/>
              </w:rPr>
              <w:t>., ...</w:t>
            </w:r>
            <w:proofErr w:type="gramEnd"/>
            <w:r w:rsidRPr="00D2408F">
              <w:rPr>
                <w:rFonts w:ascii="Arial" w:hAnsi="Arial" w:cs="Arial"/>
                <w:sz w:val="24"/>
                <w:szCs w:val="24"/>
              </w:rPr>
              <w:t xml:space="preserve"> &amp; Zhang, Y. (2017). Did municipal solid waste landfill have obvious influence on polychlorinated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dibenzo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-p-dioxins and polychlorinated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dibenzofurans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 (PCDD/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Fs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) in ambient air: A case study in East </w:t>
            </w:r>
            <w:proofErr w:type="gramStart"/>
            <w:r w:rsidRPr="00D2408F">
              <w:rPr>
                <w:rFonts w:ascii="Arial" w:hAnsi="Arial" w:cs="Arial"/>
                <w:sz w:val="24"/>
                <w:szCs w:val="24"/>
              </w:rPr>
              <w:t>China.</w:t>
            </w:r>
            <w:proofErr w:type="gramEnd"/>
          </w:p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1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 xml:space="preserve">polychlorinated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dibenzo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-p-dioxins and polychlorinated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dibenzofurans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 (PCDD/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Fs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25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Landfill did not have obvious influence on PCDD/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Fs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 in ambient air.</w:t>
            </w:r>
          </w:p>
        </w:tc>
        <w:tc>
          <w:tcPr>
            <w:tcW w:w="180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  <w:lang w:val="en"/>
              </w:rPr>
            </w:pPr>
            <w:r w:rsidRPr="00D2408F">
              <w:rPr>
                <w:rFonts w:ascii="Arial" w:hAnsi="Arial" w:cs="Arial"/>
                <w:sz w:val="24"/>
                <w:szCs w:val="24"/>
                <w:lang w:val="en"/>
              </w:rPr>
              <w:t>Landfill did not have influence on the non-CR of PCDD/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  <w:lang w:val="en"/>
              </w:rPr>
              <w:t>Fs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  <w:lang w:val="en"/>
              </w:rPr>
              <w:t xml:space="preserve"> in surrounding atmosphere and no obvious non-carcinogenic effects developed.</w:t>
            </w:r>
          </w:p>
        </w:tc>
      </w:tr>
      <w:tr w:rsidR="00D2408F" w:rsidRPr="00D2408F" w:rsidTr="00CA5934">
        <w:tc>
          <w:tcPr>
            <w:tcW w:w="617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lastRenderedPageBreak/>
              <w:t>38</w:t>
            </w:r>
          </w:p>
        </w:tc>
        <w:tc>
          <w:tcPr>
            <w:tcW w:w="3712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 xml:space="preserve">Liu, Y., Liu, Y., Li, H., Fu, X.,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Guo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H.,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Meng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>, R</w:t>
            </w:r>
            <w:proofErr w:type="gramStart"/>
            <w:r w:rsidRPr="00D2408F">
              <w:rPr>
                <w:rFonts w:ascii="Arial" w:hAnsi="Arial" w:cs="Arial"/>
                <w:sz w:val="24"/>
                <w:szCs w:val="24"/>
              </w:rPr>
              <w:t>., ...</w:t>
            </w:r>
            <w:proofErr w:type="gramEnd"/>
            <w:r w:rsidRPr="00D2408F">
              <w:rPr>
                <w:rFonts w:ascii="Arial" w:hAnsi="Arial" w:cs="Arial"/>
                <w:sz w:val="24"/>
                <w:szCs w:val="24"/>
              </w:rPr>
              <w:t xml:space="preserve"> &amp; Wang, H. (2016). Health risk impacts analysis of fugitive aromatic compounds emissions from the working face of a municipal solid waste landfill in China.</w:t>
            </w:r>
          </w:p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1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Aromatic compounds</w:t>
            </w:r>
          </w:p>
        </w:tc>
        <w:tc>
          <w:tcPr>
            <w:tcW w:w="225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Air pollution</w:t>
            </w:r>
          </w:p>
        </w:tc>
        <w:tc>
          <w:tcPr>
            <w:tcW w:w="180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Various health effects, such as respiratory problems or cancer, associated with exposure to these compounds.</w:t>
            </w:r>
          </w:p>
        </w:tc>
      </w:tr>
      <w:tr w:rsidR="00D2408F" w:rsidRPr="00D2408F" w:rsidTr="00CA5934">
        <w:tc>
          <w:tcPr>
            <w:tcW w:w="617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39</w:t>
            </w:r>
          </w:p>
        </w:tc>
        <w:tc>
          <w:tcPr>
            <w:tcW w:w="3712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 xml:space="preserve">Nair, A. T.,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Senthilnathan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J., &amp;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Nagendra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>, S. S. (2019). Emerging perspectives on VOC emissions from landfill sites: Impact on tropospheric chemistry and local air quality.</w:t>
            </w:r>
          </w:p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1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Volatile organic compounds emissions</w:t>
            </w:r>
          </w:p>
        </w:tc>
        <w:tc>
          <w:tcPr>
            <w:tcW w:w="225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Photochemical pollution</w:t>
            </w:r>
          </w:p>
        </w:tc>
        <w:tc>
          <w:tcPr>
            <w:tcW w:w="180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 xml:space="preserve">Intense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odour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 to landfill workers and surrounding residence.</w:t>
            </w:r>
          </w:p>
        </w:tc>
      </w:tr>
      <w:tr w:rsidR="00D2408F" w:rsidRPr="00D2408F" w:rsidTr="00CA5934">
        <w:tc>
          <w:tcPr>
            <w:tcW w:w="617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3712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 xml:space="preserve">Sharma, A., Gupta, A. K., &amp;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Ganguly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>, R. (2018). Impact of open dumping of municipal solid waste on soil properties in mountainous region. </w:t>
            </w:r>
          </w:p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1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Soil contamination</w:t>
            </w:r>
          </w:p>
        </w:tc>
        <w:tc>
          <w:tcPr>
            <w:tcW w:w="180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Food chain contamination or direct exposure to contaminated soil.</w:t>
            </w:r>
          </w:p>
        </w:tc>
      </w:tr>
      <w:tr w:rsidR="00D2408F" w:rsidRPr="00D2408F" w:rsidTr="00CA5934">
        <w:tc>
          <w:tcPr>
            <w:tcW w:w="617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41</w:t>
            </w:r>
          </w:p>
        </w:tc>
        <w:tc>
          <w:tcPr>
            <w:tcW w:w="3712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Vaverková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M. D.,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Adamcová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D.,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Zloch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J.,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Radziemska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M., Boas Berg, A.,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Voběrková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S., &amp;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Maxianová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>, A. (2018). Impact of municipal solid waste landfill on environment–a case study.</w:t>
            </w:r>
          </w:p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1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MSW Landfill</w:t>
            </w:r>
          </w:p>
        </w:tc>
        <w:tc>
          <w:tcPr>
            <w:tcW w:w="225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Landfill had no direct and significant influence on the surrounding environment and water quality so far.</w:t>
            </w:r>
          </w:p>
        </w:tc>
        <w:tc>
          <w:tcPr>
            <w:tcW w:w="180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Nil</w:t>
            </w:r>
          </w:p>
        </w:tc>
      </w:tr>
      <w:tr w:rsidR="00D2408F" w:rsidRPr="00D2408F" w:rsidTr="00CA5934">
        <w:tc>
          <w:tcPr>
            <w:tcW w:w="617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42</w:t>
            </w:r>
          </w:p>
        </w:tc>
        <w:tc>
          <w:tcPr>
            <w:tcW w:w="3712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Naveen, B. P. &amp; Malik, R. K. (2019). Assessment of contamination potential of leachate from municipal solid waste landfill sites for metropolitan cities in India. </w:t>
            </w:r>
          </w:p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1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MSW Landfill/Organic and inorganic constituents</w:t>
            </w:r>
          </w:p>
        </w:tc>
        <w:tc>
          <w:tcPr>
            <w:tcW w:w="225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Soil and groundwater contamination</w:t>
            </w:r>
          </w:p>
        </w:tc>
        <w:tc>
          <w:tcPr>
            <w:tcW w:w="180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Nil</w:t>
            </w:r>
          </w:p>
        </w:tc>
      </w:tr>
      <w:tr w:rsidR="00D2408F" w:rsidRPr="00D2408F" w:rsidTr="00CA5934">
        <w:tc>
          <w:tcPr>
            <w:tcW w:w="617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lastRenderedPageBreak/>
              <w:t>43</w:t>
            </w:r>
          </w:p>
        </w:tc>
        <w:tc>
          <w:tcPr>
            <w:tcW w:w="3712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Oturan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N., Van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Hullebusch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E. D., Zhang, H.,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Mazeas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L.,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Budzinski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H., Le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Menach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K., &amp;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Oturan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M. A. (2015). Occurrence and removal of organic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micropollutants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 in landfill leachates treated by electrochemical advanced oxidation processes.</w:t>
            </w:r>
          </w:p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1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 xml:space="preserve">Landfill/Organic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micropollutants</w:t>
            </w:r>
            <w:proofErr w:type="spellEnd"/>
          </w:p>
        </w:tc>
        <w:tc>
          <w:tcPr>
            <w:tcW w:w="225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 xml:space="preserve">The presence of these pollutants disrupts natural ecosystems, impacting aquatic organisms and water quality. </w:t>
            </w:r>
          </w:p>
        </w:tc>
        <w:tc>
          <w:tcPr>
            <w:tcW w:w="180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Long-term health implications.</w:t>
            </w:r>
          </w:p>
        </w:tc>
      </w:tr>
      <w:tr w:rsidR="00D2408F" w:rsidRPr="00D2408F" w:rsidTr="00CA5934">
        <w:tc>
          <w:tcPr>
            <w:tcW w:w="617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44</w:t>
            </w:r>
          </w:p>
        </w:tc>
        <w:tc>
          <w:tcPr>
            <w:tcW w:w="3712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 xml:space="preserve">Lu, M. C., Chen, Y. Y.,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Chiou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>, M. R., Chen, M. Y., &amp; Fan, H. J. (2016). Occurrence and treatment efficiency of pharmaceuticals in landfill leachates. </w:t>
            </w:r>
            <w:r w:rsidRPr="00D2408F">
              <w:rPr>
                <w:rFonts w:ascii="Arial" w:hAnsi="Arial" w:cs="Arial"/>
                <w:i/>
                <w:iCs/>
                <w:sz w:val="24"/>
                <w:szCs w:val="24"/>
              </w:rPr>
              <w:t>Waste Management</w:t>
            </w:r>
            <w:r w:rsidRPr="00D2408F">
              <w:rPr>
                <w:rFonts w:ascii="Arial" w:hAnsi="Arial" w:cs="Arial"/>
                <w:sz w:val="24"/>
                <w:szCs w:val="24"/>
              </w:rPr>
              <w:t>, </w:t>
            </w:r>
            <w:r w:rsidRPr="00D2408F">
              <w:rPr>
                <w:rFonts w:ascii="Arial" w:hAnsi="Arial" w:cs="Arial"/>
                <w:i/>
                <w:iCs/>
                <w:sz w:val="24"/>
                <w:szCs w:val="24"/>
              </w:rPr>
              <w:t>55</w:t>
            </w:r>
            <w:r w:rsidRPr="00D2408F">
              <w:rPr>
                <w:rFonts w:ascii="Arial" w:hAnsi="Arial" w:cs="Arial"/>
                <w:sz w:val="24"/>
                <w:szCs w:val="24"/>
              </w:rPr>
              <w:t>, 257-264.</w:t>
            </w:r>
          </w:p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1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Landfill/PPCP</w:t>
            </w:r>
          </w:p>
        </w:tc>
        <w:tc>
          <w:tcPr>
            <w:tcW w:w="225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 xml:space="preserve">Environmental contamination, posing risks to aquatic ecosystems, soil quality. </w:t>
            </w:r>
          </w:p>
        </w:tc>
        <w:tc>
          <w:tcPr>
            <w:tcW w:w="180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Long-term health implications</w:t>
            </w:r>
          </w:p>
        </w:tc>
      </w:tr>
      <w:tr w:rsidR="00D2408F" w:rsidRPr="00D2408F" w:rsidTr="00CA5934">
        <w:tc>
          <w:tcPr>
            <w:tcW w:w="617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3712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 xml:space="preserve">Rahman, M. M., Sultan, M. B., &amp;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Alam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M. (2023).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Microplastics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 and adsorbed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micropollutants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 as emerging contaminants in landfill: A mini review.</w:t>
            </w:r>
          </w:p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1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Landfill/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Microplastics</w:t>
            </w:r>
            <w:proofErr w:type="spellEnd"/>
          </w:p>
        </w:tc>
        <w:tc>
          <w:tcPr>
            <w:tcW w:w="225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 xml:space="preserve">Environmental contamination, particularly in soil and water. Adsorbed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micropollutants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including pharmaceuticals and pesticides, attach to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microplastics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posing toxicity risks. </w:t>
            </w:r>
          </w:p>
        </w:tc>
        <w:tc>
          <w:tcPr>
            <w:tcW w:w="180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Impact human health</w:t>
            </w:r>
          </w:p>
        </w:tc>
      </w:tr>
      <w:tr w:rsidR="00D2408F" w:rsidRPr="00D2408F" w:rsidTr="00CA5934">
        <w:tc>
          <w:tcPr>
            <w:tcW w:w="617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46</w:t>
            </w:r>
          </w:p>
        </w:tc>
        <w:tc>
          <w:tcPr>
            <w:tcW w:w="3712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 xml:space="preserve">Wang, K.,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Reguyal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F., &amp;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Zhuang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>, T. (2021). Risk assessment and investigation of landfill leachate as a source of emerging organic contaminants to the surrounding environment: a case study of the largest landfill in Jinan City, China.</w:t>
            </w:r>
          </w:p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1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lastRenderedPageBreak/>
              <w:t>Landfill/</w:t>
            </w:r>
          </w:p>
        </w:tc>
        <w:tc>
          <w:tcPr>
            <w:tcW w:w="225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 xml:space="preserve"> Groundwater contamination, potentially disrupting ecosystems and affecting aquatic life and soil quality. </w:t>
            </w:r>
          </w:p>
        </w:tc>
        <w:tc>
          <w:tcPr>
            <w:tcW w:w="180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medium to high risks to aquatic organisms</w:t>
            </w:r>
          </w:p>
        </w:tc>
      </w:tr>
      <w:tr w:rsidR="00D2408F" w:rsidRPr="00D2408F" w:rsidTr="00CA5934">
        <w:tc>
          <w:tcPr>
            <w:tcW w:w="617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lastRenderedPageBreak/>
              <w:t>47</w:t>
            </w:r>
          </w:p>
        </w:tc>
        <w:tc>
          <w:tcPr>
            <w:tcW w:w="3712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Idowu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G. A., David, T. L., &amp;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Idowu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>, A. M. (2022). Polycarbonate plastic monomer (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bisphenol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>-A) as emerging contaminant in Nigeria: Levels in selected rivers, sediments, well waters and dumpsites. </w:t>
            </w:r>
          </w:p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1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Dumpsite/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Bisphenol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>-A</w:t>
            </w:r>
          </w:p>
        </w:tc>
        <w:tc>
          <w:tcPr>
            <w:tcW w:w="225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 xml:space="preserve"> BPA can disrupt endocrine systems in organisms, affecting environmental health. </w:t>
            </w:r>
          </w:p>
        </w:tc>
        <w:tc>
          <w:tcPr>
            <w:tcW w:w="180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Prolonged human exposure to BPA poses potential risks, including endocrine disruption, reproductive effects, and carcinogenicity</w:t>
            </w:r>
          </w:p>
        </w:tc>
      </w:tr>
      <w:tr w:rsidR="00D2408F" w:rsidRPr="00D2408F" w:rsidTr="00CA5934">
        <w:tc>
          <w:tcPr>
            <w:tcW w:w="617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48</w:t>
            </w:r>
          </w:p>
        </w:tc>
        <w:tc>
          <w:tcPr>
            <w:tcW w:w="3712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Ibor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O. R.,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Andem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A. B.,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Eni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G.,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Arong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G. A.,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Adeougn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A. O., &amp;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Arukwe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A. (2020). Contaminant levels and endocrine disruptive effects in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Clarias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gariepinus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 exposed to simulated leachate from a solid waste dumpsite in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Calabar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>, Nigeria. </w:t>
            </w:r>
          </w:p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1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Dumpsite/DEHP and PFASs</w:t>
            </w:r>
          </w:p>
        </w:tc>
        <w:tc>
          <w:tcPr>
            <w:tcW w:w="225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Disrupts aquatic ecosystem.</w:t>
            </w:r>
          </w:p>
        </w:tc>
        <w:tc>
          <w:tcPr>
            <w:tcW w:w="180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Endocrine disruption, evidenced by alterations in hepatic gene expression related to reproduction and changes in plasma steroid hormones.</w:t>
            </w:r>
          </w:p>
        </w:tc>
      </w:tr>
      <w:tr w:rsidR="00D2408F" w:rsidRPr="00D2408F" w:rsidTr="00CA5934">
        <w:tc>
          <w:tcPr>
            <w:tcW w:w="617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49</w:t>
            </w:r>
          </w:p>
        </w:tc>
        <w:tc>
          <w:tcPr>
            <w:tcW w:w="3712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Adesokan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S. A.,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Giwa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>, A. A., &amp; Bello, I. A. (2022). Environmental, Health and Economic Implications of Emerging Contaminants in Nigeria Environment.</w:t>
            </w:r>
          </w:p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1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 xml:space="preserve">Risks to ecosystems, water bodies, and soil quality, affecting aquatic life and overall ecosystem health. </w:t>
            </w:r>
          </w:p>
        </w:tc>
        <w:tc>
          <w:tcPr>
            <w:tcW w:w="180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Adverse health effects such as endocrine disruption, carcinogenesis, and reproductive disorders.</w:t>
            </w:r>
          </w:p>
        </w:tc>
      </w:tr>
      <w:tr w:rsidR="00D2408F" w:rsidRPr="00D2408F" w:rsidTr="00CA5934">
        <w:tc>
          <w:tcPr>
            <w:tcW w:w="617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3712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Ibor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O. R.,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Mpama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N. O. L.,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Okoli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C. P.,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Ogarekpe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D. M.,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Edet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U. O.,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Ajang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R. O., ... &amp;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Arukwe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, A. (2023). Occurrence, identification and characterization of plastic pollution from an open solid </w:t>
            </w:r>
            <w:r w:rsidRPr="00D2408F">
              <w:rPr>
                <w:rFonts w:ascii="Arial" w:hAnsi="Arial" w:cs="Arial"/>
                <w:sz w:val="24"/>
                <w:szCs w:val="24"/>
              </w:rPr>
              <w:lastRenderedPageBreak/>
              <w:t xml:space="preserve">waste dumpsite in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Calabar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>, Southern Nigeria.</w:t>
            </w:r>
          </w:p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1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lastRenderedPageBreak/>
              <w:t>Dumpsite/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Microplastics</w:t>
            </w:r>
            <w:proofErr w:type="spellEnd"/>
          </w:p>
        </w:tc>
        <w:tc>
          <w:tcPr>
            <w:tcW w:w="225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t xml:space="preserve"> Affects soil quality, water bodies, and ecosystems.  Ingestion of </w:t>
            </w:r>
            <w:proofErr w:type="spellStart"/>
            <w:r w:rsidRPr="00D2408F">
              <w:rPr>
                <w:rFonts w:ascii="Arial" w:hAnsi="Arial" w:cs="Arial"/>
                <w:sz w:val="24"/>
                <w:szCs w:val="24"/>
              </w:rPr>
              <w:t>microplastics</w:t>
            </w:r>
            <w:proofErr w:type="spellEnd"/>
            <w:r w:rsidRPr="00D2408F">
              <w:rPr>
                <w:rFonts w:ascii="Arial" w:hAnsi="Arial" w:cs="Arial"/>
                <w:sz w:val="24"/>
                <w:szCs w:val="24"/>
              </w:rPr>
              <w:t xml:space="preserve"> through contaminated </w:t>
            </w:r>
            <w:r w:rsidRPr="00D2408F">
              <w:rPr>
                <w:rFonts w:ascii="Arial" w:hAnsi="Arial" w:cs="Arial"/>
                <w:sz w:val="24"/>
                <w:szCs w:val="24"/>
              </w:rPr>
              <w:lastRenderedPageBreak/>
              <w:t>water or food poses risks. Wildlife, particularly marine animals, faces threats from ingesting or getting entangled in plastic waste, impacting biodiversity and ecosystem balance.</w:t>
            </w:r>
          </w:p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00" w:type="dxa"/>
          </w:tcPr>
          <w:p w:rsidR="00D2408F" w:rsidRPr="00D2408F" w:rsidRDefault="00D2408F" w:rsidP="00D2408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408F">
              <w:rPr>
                <w:rFonts w:ascii="Arial" w:hAnsi="Arial" w:cs="Arial"/>
                <w:sz w:val="24"/>
                <w:szCs w:val="24"/>
              </w:rPr>
              <w:lastRenderedPageBreak/>
              <w:t>Disrupts food chains</w:t>
            </w:r>
            <w:proofErr w:type="gramStart"/>
            <w:r w:rsidRPr="00D2408F">
              <w:rPr>
                <w:rFonts w:ascii="Arial" w:hAnsi="Arial" w:cs="Arial"/>
                <w:sz w:val="24"/>
                <w:szCs w:val="24"/>
              </w:rPr>
              <w:t>,  Human</w:t>
            </w:r>
            <w:proofErr w:type="gramEnd"/>
            <w:r w:rsidRPr="00D2408F">
              <w:rPr>
                <w:rFonts w:ascii="Arial" w:hAnsi="Arial" w:cs="Arial"/>
                <w:sz w:val="24"/>
                <w:szCs w:val="24"/>
              </w:rPr>
              <w:t xml:space="preserve"> health is at risk due to exposure to plastic particles and </w:t>
            </w:r>
            <w:r w:rsidRPr="00D2408F">
              <w:rPr>
                <w:rFonts w:ascii="Arial" w:hAnsi="Arial" w:cs="Arial"/>
                <w:sz w:val="24"/>
                <w:szCs w:val="24"/>
              </w:rPr>
              <w:lastRenderedPageBreak/>
              <w:t xml:space="preserve">chemicals, with potential long-term consequences. </w:t>
            </w:r>
          </w:p>
        </w:tc>
      </w:tr>
    </w:tbl>
    <w:p w:rsidR="00D2408F" w:rsidRDefault="00D2408F" w:rsidP="00D2408F">
      <w:pPr>
        <w:jc w:val="both"/>
        <w:rPr>
          <w:rFonts w:ascii="Arial" w:hAnsi="Arial" w:cs="Arial"/>
          <w:sz w:val="24"/>
          <w:szCs w:val="24"/>
        </w:rPr>
      </w:pPr>
    </w:p>
    <w:p w:rsidR="00D2408F" w:rsidRDefault="00D2408F" w:rsidP="00D2408F">
      <w:pPr>
        <w:jc w:val="both"/>
        <w:rPr>
          <w:rFonts w:ascii="Arial" w:hAnsi="Arial" w:cs="Arial"/>
          <w:sz w:val="24"/>
          <w:szCs w:val="24"/>
        </w:rPr>
      </w:pPr>
    </w:p>
    <w:p w:rsidR="00D2408F" w:rsidRDefault="00D2408F" w:rsidP="00D2408F">
      <w:pPr>
        <w:jc w:val="both"/>
        <w:rPr>
          <w:rFonts w:ascii="Arial" w:hAnsi="Arial" w:cs="Arial"/>
          <w:sz w:val="24"/>
          <w:szCs w:val="24"/>
        </w:rPr>
      </w:pPr>
    </w:p>
    <w:p w:rsidR="00D2408F" w:rsidRDefault="00D2408F" w:rsidP="00D2408F">
      <w:pPr>
        <w:jc w:val="both"/>
        <w:rPr>
          <w:rFonts w:ascii="Arial" w:hAnsi="Arial" w:cs="Arial"/>
          <w:sz w:val="24"/>
          <w:szCs w:val="24"/>
        </w:rPr>
      </w:pPr>
    </w:p>
    <w:p w:rsidR="00A500BD" w:rsidRDefault="00A500BD" w:rsidP="00D2408F">
      <w:pPr>
        <w:jc w:val="both"/>
        <w:rPr>
          <w:rFonts w:ascii="Arial" w:hAnsi="Arial" w:cs="Arial"/>
          <w:sz w:val="24"/>
          <w:szCs w:val="24"/>
        </w:rPr>
      </w:pPr>
    </w:p>
    <w:p w:rsidR="00A500BD" w:rsidRDefault="00A500BD" w:rsidP="00D2408F">
      <w:pPr>
        <w:jc w:val="both"/>
        <w:rPr>
          <w:rFonts w:ascii="Arial" w:hAnsi="Arial" w:cs="Arial"/>
          <w:sz w:val="24"/>
          <w:szCs w:val="24"/>
        </w:rPr>
      </w:pPr>
    </w:p>
    <w:p w:rsidR="00A500BD" w:rsidRDefault="00A500BD" w:rsidP="00D2408F">
      <w:pPr>
        <w:jc w:val="both"/>
        <w:rPr>
          <w:rFonts w:ascii="Arial" w:hAnsi="Arial" w:cs="Arial"/>
          <w:sz w:val="24"/>
          <w:szCs w:val="24"/>
        </w:rPr>
      </w:pPr>
    </w:p>
    <w:p w:rsidR="00A500BD" w:rsidRDefault="00A500BD" w:rsidP="00D2408F">
      <w:pPr>
        <w:jc w:val="both"/>
        <w:rPr>
          <w:rFonts w:ascii="Arial" w:hAnsi="Arial" w:cs="Arial"/>
          <w:sz w:val="24"/>
          <w:szCs w:val="24"/>
        </w:rPr>
      </w:pPr>
    </w:p>
    <w:p w:rsidR="00A500BD" w:rsidRDefault="00A500BD" w:rsidP="00D2408F">
      <w:pPr>
        <w:jc w:val="both"/>
        <w:rPr>
          <w:rFonts w:ascii="Arial" w:hAnsi="Arial" w:cs="Arial"/>
          <w:sz w:val="24"/>
          <w:szCs w:val="24"/>
        </w:rPr>
      </w:pPr>
    </w:p>
    <w:p w:rsidR="00A500BD" w:rsidRDefault="00A500BD" w:rsidP="00D2408F">
      <w:pPr>
        <w:jc w:val="both"/>
        <w:rPr>
          <w:rFonts w:ascii="Arial" w:hAnsi="Arial" w:cs="Arial"/>
          <w:sz w:val="24"/>
          <w:szCs w:val="24"/>
        </w:rPr>
      </w:pPr>
    </w:p>
    <w:p w:rsidR="00A500BD" w:rsidRDefault="00A500BD" w:rsidP="00D2408F">
      <w:pPr>
        <w:jc w:val="both"/>
        <w:rPr>
          <w:rFonts w:ascii="Arial" w:hAnsi="Arial" w:cs="Arial"/>
          <w:sz w:val="24"/>
          <w:szCs w:val="24"/>
        </w:rPr>
        <w:sectPr w:rsidR="00A500BD">
          <w:footerReference w:type="default" r:id="rId6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A500BD" w:rsidRDefault="00A500BD" w:rsidP="00D2408F">
      <w:pPr>
        <w:jc w:val="both"/>
        <w:rPr>
          <w:rFonts w:ascii="Arial" w:hAnsi="Arial" w:cs="Arial"/>
          <w:sz w:val="24"/>
          <w:szCs w:val="24"/>
        </w:rPr>
      </w:pPr>
    </w:p>
    <w:p w:rsidR="00A500BD" w:rsidRDefault="00A500BD" w:rsidP="00A500B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Table S2: Comparative analysis of current review with previous literature syntheses on emerging pollutants in landfill l</w:t>
      </w:r>
      <w:r w:rsidRPr="00A500BD">
        <w:rPr>
          <w:rFonts w:ascii="Arial" w:hAnsi="Arial" w:cs="Arial"/>
          <w:sz w:val="24"/>
          <w:szCs w:val="24"/>
        </w:rPr>
        <w:t>eachate</w:t>
      </w:r>
    </w:p>
    <w:tbl>
      <w:tblPr>
        <w:tblStyle w:val="TableGrid"/>
        <w:tblW w:w="13765" w:type="dxa"/>
        <w:tblLayout w:type="fixed"/>
        <w:tblLook w:val="04A0" w:firstRow="1" w:lastRow="0" w:firstColumn="1" w:lastColumn="0" w:noHBand="0" w:noVBand="1"/>
      </w:tblPr>
      <w:tblGrid>
        <w:gridCol w:w="1924"/>
        <w:gridCol w:w="750"/>
        <w:gridCol w:w="2058"/>
        <w:gridCol w:w="2147"/>
        <w:gridCol w:w="1607"/>
        <w:gridCol w:w="1499"/>
        <w:gridCol w:w="1350"/>
        <w:gridCol w:w="2430"/>
      </w:tblGrid>
      <w:tr w:rsidR="00F011B2" w:rsidTr="00CA5934">
        <w:tc>
          <w:tcPr>
            <w:tcW w:w="1924" w:type="dxa"/>
          </w:tcPr>
          <w:p w:rsidR="00F011B2" w:rsidRPr="00F011B2" w:rsidRDefault="00F011B2" w:rsidP="00F011B2">
            <w:pPr>
              <w:pStyle w:val="TableParagraph"/>
              <w:ind w:left="110"/>
              <w:rPr>
                <w:rFonts w:ascii="Arial" w:hAnsi="Arial" w:cs="Arial"/>
                <w:b/>
                <w:sz w:val="24"/>
                <w:szCs w:val="24"/>
              </w:rPr>
            </w:pPr>
            <w:r w:rsidRPr="00F011B2">
              <w:rPr>
                <w:rFonts w:ascii="Arial" w:hAnsi="Arial" w:cs="Arial"/>
                <w:b/>
                <w:sz w:val="24"/>
                <w:szCs w:val="24"/>
              </w:rPr>
              <w:t>Review</w:t>
            </w:r>
            <w:r w:rsidRPr="00F011B2">
              <w:rPr>
                <w:rFonts w:ascii="Arial" w:hAnsi="Arial" w:cs="Arial"/>
                <w:b/>
                <w:spacing w:val="6"/>
                <w:sz w:val="24"/>
                <w:szCs w:val="24"/>
              </w:rPr>
              <w:t xml:space="preserve"> </w:t>
            </w:r>
            <w:r w:rsidRPr="00F011B2">
              <w:rPr>
                <w:rFonts w:ascii="Arial" w:hAnsi="Arial" w:cs="Arial"/>
                <w:b/>
                <w:sz w:val="24"/>
                <w:szCs w:val="24"/>
              </w:rPr>
              <w:t>/</w:t>
            </w:r>
            <w:r w:rsidRPr="00F011B2">
              <w:rPr>
                <w:rFonts w:ascii="Arial" w:hAnsi="Arial" w:cs="Arial"/>
                <w:b/>
                <w:spacing w:val="6"/>
                <w:sz w:val="24"/>
                <w:szCs w:val="24"/>
              </w:rPr>
              <w:t xml:space="preserve"> </w:t>
            </w:r>
            <w:r w:rsidRPr="00F011B2">
              <w:rPr>
                <w:rFonts w:ascii="Arial" w:hAnsi="Arial" w:cs="Arial"/>
                <w:b/>
                <w:spacing w:val="-2"/>
                <w:sz w:val="24"/>
                <w:szCs w:val="24"/>
              </w:rPr>
              <w:t>Study</w:t>
            </w:r>
          </w:p>
        </w:tc>
        <w:tc>
          <w:tcPr>
            <w:tcW w:w="750" w:type="dxa"/>
          </w:tcPr>
          <w:p w:rsidR="00F011B2" w:rsidRPr="00F011B2" w:rsidRDefault="00F011B2" w:rsidP="00F011B2">
            <w:pPr>
              <w:pStyle w:val="TableParagraph"/>
              <w:ind w:left="11" w:right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011B2">
              <w:rPr>
                <w:rFonts w:ascii="Arial" w:hAnsi="Arial" w:cs="Arial"/>
                <w:b/>
                <w:spacing w:val="-4"/>
                <w:sz w:val="24"/>
                <w:szCs w:val="24"/>
              </w:rPr>
              <w:t>Year</w:t>
            </w:r>
          </w:p>
        </w:tc>
        <w:tc>
          <w:tcPr>
            <w:tcW w:w="2058" w:type="dxa"/>
          </w:tcPr>
          <w:p w:rsidR="00F011B2" w:rsidRPr="00F011B2" w:rsidRDefault="00F011B2" w:rsidP="00F011B2">
            <w:pPr>
              <w:pStyle w:val="TableParagraph"/>
              <w:ind w:left="228"/>
              <w:rPr>
                <w:rFonts w:ascii="Arial" w:hAnsi="Arial" w:cs="Arial"/>
                <w:b/>
                <w:sz w:val="24"/>
                <w:szCs w:val="24"/>
              </w:rPr>
            </w:pPr>
            <w:r w:rsidRPr="00F011B2">
              <w:rPr>
                <w:rFonts w:ascii="Arial" w:hAnsi="Arial" w:cs="Arial"/>
                <w:b/>
                <w:sz w:val="24"/>
                <w:szCs w:val="24"/>
              </w:rPr>
              <w:t>Review</w:t>
            </w:r>
            <w:r w:rsidRPr="00F011B2">
              <w:rPr>
                <w:rFonts w:ascii="Arial" w:hAnsi="Arial" w:cs="Arial"/>
                <w:b/>
                <w:spacing w:val="10"/>
                <w:sz w:val="24"/>
                <w:szCs w:val="24"/>
              </w:rPr>
              <w:t xml:space="preserve"> </w:t>
            </w:r>
            <w:r w:rsidRPr="00F011B2">
              <w:rPr>
                <w:rFonts w:ascii="Arial" w:hAnsi="Arial" w:cs="Arial"/>
                <w:b/>
                <w:spacing w:val="-2"/>
                <w:sz w:val="24"/>
                <w:szCs w:val="24"/>
              </w:rPr>
              <w:t>Scope</w:t>
            </w:r>
          </w:p>
        </w:tc>
        <w:tc>
          <w:tcPr>
            <w:tcW w:w="2147" w:type="dxa"/>
          </w:tcPr>
          <w:p w:rsidR="00F011B2" w:rsidRPr="00F011B2" w:rsidRDefault="00F011B2" w:rsidP="00F011B2">
            <w:pPr>
              <w:pStyle w:val="TableParagraph"/>
              <w:spacing w:line="321" w:lineRule="auto"/>
              <w:ind w:right="49"/>
              <w:rPr>
                <w:rFonts w:ascii="Arial" w:hAnsi="Arial" w:cs="Arial"/>
                <w:b/>
                <w:sz w:val="24"/>
                <w:szCs w:val="24"/>
              </w:rPr>
            </w:pPr>
            <w:r w:rsidRPr="00F011B2">
              <w:rPr>
                <w:rFonts w:ascii="Arial" w:hAnsi="Arial" w:cs="Arial"/>
                <w:b/>
                <w:sz w:val="24"/>
                <w:szCs w:val="24"/>
              </w:rPr>
              <w:t>Pollutant</w:t>
            </w:r>
            <w:r w:rsidRPr="00F011B2">
              <w:rPr>
                <w:rFonts w:ascii="Arial" w:hAnsi="Arial" w:cs="Arial"/>
                <w:b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Classes</w:t>
            </w:r>
          </w:p>
        </w:tc>
        <w:tc>
          <w:tcPr>
            <w:tcW w:w="1607" w:type="dxa"/>
          </w:tcPr>
          <w:p w:rsidR="00F011B2" w:rsidRPr="00F011B2" w:rsidRDefault="003E3277" w:rsidP="003E3277">
            <w:pPr>
              <w:pStyle w:val="TableParagraph"/>
              <w:ind w:left="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Review Type</w:t>
            </w:r>
          </w:p>
        </w:tc>
        <w:tc>
          <w:tcPr>
            <w:tcW w:w="1499" w:type="dxa"/>
          </w:tcPr>
          <w:p w:rsidR="00F011B2" w:rsidRPr="00F011B2" w:rsidRDefault="003E3277" w:rsidP="00F011B2">
            <w:pPr>
              <w:pStyle w:val="TableParagraph"/>
              <w:spacing w:line="321" w:lineRule="auto"/>
              <w:ind w:left="196" w:right="89" w:firstLine="78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Quality Assessment</w:t>
            </w:r>
          </w:p>
        </w:tc>
        <w:tc>
          <w:tcPr>
            <w:tcW w:w="1350" w:type="dxa"/>
          </w:tcPr>
          <w:p w:rsidR="00F011B2" w:rsidRPr="00F011B2" w:rsidRDefault="00F011B2" w:rsidP="00F011B2">
            <w:pPr>
              <w:pStyle w:val="TableParagraph"/>
              <w:spacing w:line="321" w:lineRule="auto"/>
              <w:ind w:left="325" w:hanging="92"/>
              <w:rPr>
                <w:rFonts w:ascii="Arial" w:hAnsi="Arial" w:cs="Arial"/>
                <w:b/>
                <w:sz w:val="24"/>
                <w:szCs w:val="24"/>
              </w:rPr>
            </w:pPr>
            <w:r w:rsidRPr="00F011B2">
              <w:rPr>
                <w:rFonts w:ascii="Arial" w:hAnsi="Arial" w:cs="Arial"/>
                <w:b/>
                <w:spacing w:val="-2"/>
                <w:sz w:val="24"/>
                <w:szCs w:val="24"/>
              </w:rPr>
              <w:t>Geographic</w:t>
            </w:r>
            <w:r w:rsidRPr="00F011B2">
              <w:rPr>
                <w:rFonts w:ascii="Arial" w:hAnsi="Arial" w:cs="Arial"/>
                <w:b/>
                <w:spacing w:val="40"/>
                <w:sz w:val="24"/>
                <w:szCs w:val="24"/>
              </w:rPr>
              <w:t xml:space="preserve"> </w:t>
            </w:r>
            <w:r w:rsidRPr="00F011B2">
              <w:rPr>
                <w:rFonts w:ascii="Arial" w:hAnsi="Arial" w:cs="Arial"/>
                <w:b/>
                <w:spacing w:val="-2"/>
                <w:sz w:val="24"/>
                <w:szCs w:val="24"/>
              </w:rPr>
              <w:t>Mapping</w:t>
            </w:r>
          </w:p>
        </w:tc>
        <w:tc>
          <w:tcPr>
            <w:tcW w:w="2430" w:type="dxa"/>
          </w:tcPr>
          <w:p w:rsidR="00F011B2" w:rsidRPr="00F011B2" w:rsidRDefault="00F011B2" w:rsidP="00F011B2">
            <w:pPr>
              <w:pStyle w:val="TableParagraph"/>
              <w:spacing w:line="321" w:lineRule="auto"/>
              <w:ind w:left="344" w:right="85" w:hanging="71"/>
              <w:rPr>
                <w:rFonts w:ascii="Arial" w:hAnsi="Arial" w:cs="Arial"/>
                <w:b/>
                <w:sz w:val="24"/>
                <w:szCs w:val="24"/>
              </w:rPr>
            </w:pPr>
            <w:r w:rsidRPr="00F011B2">
              <w:rPr>
                <w:rFonts w:ascii="Arial" w:hAnsi="Arial" w:cs="Arial"/>
                <w:b/>
                <w:sz w:val="24"/>
                <w:szCs w:val="24"/>
              </w:rPr>
              <w:t>Comparison</w:t>
            </w:r>
            <w:r w:rsidRPr="00F011B2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 w:rsidRPr="00F011B2">
              <w:rPr>
                <w:rFonts w:ascii="Arial" w:hAnsi="Arial" w:cs="Arial"/>
                <w:b/>
                <w:sz w:val="24"/>
                <w:szCs w:val="24"/>
              </w:rPr>
              <w:t>with</w:t>
            </w:r>
            <w:r w:rsidRPr="00F011B2">
              <w:rPr>
                <w:rFonts w:ascii="Arial" w:hAnsi="Arial" w:cs="Arial"/>
                <w:b/>
                <w:spacing w:val="40"/>
                <w:sz w:val="24"/>
                <w:szCs w:val="24"/>
              </w:rPr>
              <w:t xml:space="preserve"> </w:t>
            </w:r>
            <w:r w:rsidRPr="00F011B2">
              <w:rPr>
                <w:rFonts w:ascii="Arial" w:hAnsi="Arial" w:cs="Arial"/>
                <w:b/>
                <w:sz w:val="24"/>
                <w:szCs w:val="24"/>
              </w:rPr>
              <w:t>Present Review</w:t>
            </w:r>
          </w:p>
        </w:tc>
      </w:tr>
      <w:tr w:rsidR="00F011B2" w:rsidTr="00CA5934">
        <w:tc>
          <w:tcPr>
            <w:tcW w:w="1924" w:type="dxa"/>
          </w:tcPr>
          <w:p w:rsidR="00F011B2" w:rsidRPr="00F011B2" w:rsidRDefault="00F011B2" w:rsidP="00F011B2">
            <w:pPr>
              <w:pStyle w:val="TableParagraph"/>
              <w:ind w:left="88"/>
              <w:rPr>
                <w:rFonts w:ascii="Arial" w:hAnsi="Arial" w:cs="Arial"/>
                <w:sz w:val="24"/>
                <w:szCs w:val="24"/>
              </w:rPr>
            </w:pPr>
            <w:r w:rsidRPr="00F011B2">
              <w:rPr>
                <w:rFonts w:ascii="Arial" w:hAnsi="Arial" w:cs="Arial"/>
                <w:sz w:val="24"/>
                <w:szCs w:val="24"/>
              </w:rPr>
              <w:t>Roy</w:t>
            </w:r>
            <w:r w:rsidRPr="00F011B2">
              <w:rPr>
                <w:rFonts w:ascii="Arial" w:hAnsi="Arial" w:cs="Arial"/>
                <w:spacing w:val="4"/>
                <w:sz w:val="24"/>
                <w:szCs w:val="24"/>
              </w:rPr>
              <w:t xml:space="preserve"> </w:t>
            </w:r>
            <w:r w:rsidRPr="00F011B2">
              <w:rPr>
                <w:rFonts w:ascii="Arial" w:hAnsi="Arial" w:cs="Arial"/>
                <w:i/>
                <w:sz w:val="24"/>
                <w:szCs w:val="24"/>
              </w:rPr>
              <w:t>et</w:t>
            </w:r>
            <w:r w:rsidRPr="00F011B2">
              <w:rPr>
                <w:rFonts w:ascii="Arial" w:hAnsi="Arial" w:cs="Arial"/>
                <w:i/>
                <w:spacing w:val="5"/>
                <w:sz w:val="24"/>
                <w:szCs w:val="24"/>
              </w:rPr>
              <w:t xml:space="preserve"> </w:t>
            </w:r>
            <w:r w:rsidRPr="00F011B2">
              <w:rPr>
                <w:rFonts w:ascii="Arial" w:hAnsi="Arial" w:cs="Arial"/>
                <w:i/>
                <w:spacing w:val="-5"/>
                <w:sz w:val="24"/>
                <w:szCs w:val="24"/>
              </w:rPr>
              <w:t>al.</w:t>
            </w:r>
          </w:p>
        </w:tc>
        <w:tc>
          <w:tcPr>
            <w:tcW w:w="750" w:type="dxa"/>
          </w:tcPr>
          <w:p w:rsidR="00F011B2" w:rsidRPr="00F011B2" w:rsidRDefault="00F011B2" w:rsidP="00F011B2">
            <w:pPr>
              <w:pStyle w:val="TableParagraph"/>
              <w:ind w:left="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11B2">
              <w:rPr>
                <w:rFonts w:ascii="Arial" w:hAnsi="Arial" w:cs="Arial"/>
                <w:spacing w:val="-4"/>
                <w:sz w:val="24"/>
                <w:szCs w:val="24"/>
              </w:rPr>
              <w:t>2018</w:t>
            </w:r>
          </w:p>
        </w:tc>
        <w:tc>
          <w:tcPr>
            <w:tcW w:w="2058" w:type="dxa"/>
          </w:tcPr>
          <w:p w:rsidR="00F011B2" w:rsidRPr="00F011B2" w:rsidRDefault="00F011B2" w:rsidP="00F011B2">
            <w:pPr>
              <w:pStyle w:val="TableParagraph"/>
              <w:ind w:left="87" w:right="96"/>
              <w:rPr>
                <w:rFonts w:ascii="Arial" w:hAnsi="Arial" w:cs="Arial"/>
                <w:sz w:val="24"/>
                <w:szCs w:val="24"/>
              </w:rPr>
            </w:pPr>
            <w:r w:rsidRPr="00F011B2">
              <w:rPr>
                <w:rFonts w:ascii="Arial" w:hAnsi="Arial" w:cs="Arial"/>
                <w:sz w:val="24"/>
                <w:szCs w:val="24"/>
              </w:rPr>
              <w:t>Focused</w:t>
            </w:r>
            <w:r w:rsidRPr="00F011B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F011B2">
              <w:rPr>
                <w:rFonts w:ascii="Arial" w:hAnsi="Arial" w:cs="Arial"/>
                <w:sz w:val="24"/>
                <w:szCs w:val="24"/>
              </w:rPr>
              <w:t>primarily</w:t>
            </w:r>
            <w:r w:rsidRPr="00F011B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F011B2">
              <w:rPr>
                <w:rFonts w:ascii="Arial" w:hAnsi="Arial" w:cs="Arial"/>
                <w:sz w:val="24"/>
                <w:szCs w:val="24"/>
              </w:rPr>
              <w:t>on composting</w:t>
            </w:r>
          </w:p>
          <w:p w:rsidR="00F011B2" w:rsidRPr="00F011B2" w:rsidRDefault="00F011B2" w:rsidP="00F011B2">
            <w:pPr>
              <w:pStyle w:val="TableParagraph"/>
              <w:spacing w:before="1"/>
              <w:ind w:lef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l</w:t>
            </w:r>
            <w:r w:rsidRPr="00F011B2">
              <w:rPr>
                <w:rFonts w:ascii="Arial" w:hAnsi="Arial" w:cs="Arial"/>
                <w:spacing w:val="-2"/>
                <w:sz w:val="24"/>
                <w:szCs w:val="24"/>
              </w:rPr>
              <w:t>eachate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characterization and treatment </w:t>
            </w:r>
          </w:p>
        </w:tc>
        <w:tc>
          <w:tcPr>
            <w:tcW w:w="2147" w:type="dxa"/>
          </w:tcPr>
          <w:p w:rsidR="00F011B2" w:rsidRPr="00F011B2" w:rsidRDefault="00F011B2" w:rsidP="00F011B2">
            <w:pPr>
              <w:pStyle w:val="TableParagraph"/>
              <w:ind w:left="86" w:right="3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011B2">
              <w:rPr>
                <w:rFonts w:ascii="Arial" w:hAnsi="Arial" w:cs="Arial"/>
                <w:spacing w:val="-2"/>
                <w:sz w:val="24"/>
                <w:szCs w:val="24"/>
              </w:rPr>
              <w:t>Composting</w:t>
            </w:r>
            <w:r w:rsidRPr="00F011B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F011B2">
              <w:rPr>
                <w:rFonts w:ascii="Arial" w:hAnsi="Arial" w:cs="Arial"/>
                <w:sz w:val="24"/>
                <w:szCs w:val="24"/>
              </w:rPr>
              <w:t>leachate as a</w:t>
            </w:r>
            <w:r w:rsidRPr="00F011B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F011B2">
              <w:rPr>
                <w:rFonts w:ascii="Arial" w:hAnsi="Arial" w:cs="Arial"/>
                <w:sz w:val="24"/>
                <w:szCs w:val="24"/>
              </w:rPr>
              <w:t>source</w:t>
            </w:r>
            <w:r w:rsidRPr="00F011B2">
              <w:rPr>
                <w:rFonts w:ascii="Arial" w:hAnsi="Arial" w:cs="Arial"/>
                <w:spacing w:val="6"/>
                <w:sz w:val="24"/>
                <w:szCs w:val="24"/>
              </w:rPr>
              <w:t xml:space="preserve"> </w:t>
            </w:r>
            <w:r w:rsidRPr="00F011B2">
              <w:rPr>
                <w:rFonts w:ascii="Arial" w:hAnsi="Arial" w:cs="Arial"/>
                <w:sz w:val="24"/>
                <w:szCs w:val="24"/>
              </w:rPr>
              <w:t>of</w:t>
            </w:r>
            <w:r w:rsidRPr="00F011B2">
              <w:rPr>
                <w:rFonts w:ascii="Arial" w:hAnsi="Arial" w:cs="Arial"/>
                <w:spacing w:val="7"/>
                <w:sz w:val="24"/>
                <w:szCs w:val="24"/>
              </w:rPr>
              <w:t xml:space="preserve"> </w:t>
            </w:r>
            <w:r w:rsidRPr="00F011B2">
              <w:rPr>
                <w:rFonts w:ascii="Arial" w:hAnsi="Arial" w:cs="Arial"/>
                <w:spacing w:val="-4"/>
                <w:sz w:val="24"/>
                <w:szCs w:val="24"/>
              </w:rPr>
              <w:t>soil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and water contamination.</w:t>
            </w:r>
          </w:p>
        </w:tc>
        <w:tc>
          <w:tcPr>
            <w:tcW w:w="1607" w:type="dxa"/>
          </w:tcPr>
          <w:p w:rsidR="00F011B2" w:rsidRPr="00F011B2" w:rsidRDefault="003E3277" w:rsidP="00F011B2">
            <w:pPr>
              <w:pStyle w:val="TableParagraph"/>
              <w:ind w:left="82" w:right="13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>Narrative (Non-systematic)</w:t>
            </w:r>
          </w:p>
        </w:tc>
        <w:tc>
          <w:tcPr>
            <w:tcW w:w="1499" w:type="dxa"/>
          </w:tcPr>
          <w:p w:rsidR="00F011B2" w:rsidRPr="00F011B2" w:rsidRDefault="00F011B2" w:rsidP="00F011B2">
            <w:pPr>
              <w:pStyle w:val="TableParagraph"/>
              <w:ind w:left="94" w:right="182"/>
              <w:rPr>
                <w:rFonts w:ascii="Arial" w:hAnsi="Arial" w:cs="Arial"/>
                <w:sz w:val="24"/>
                <w:szCs w:val="24"/>
              </w:rPr>
            </w:pPr>
            <w:r w:rsidRPr="00F011B2">
              <w:rPr>
                <w:rFonts w:ascii="Arial" w:hAnsi="Arial" w:cs="Arial"/>
                <w:spacing w:val="-4"/>
                <w:sz w:val="24"/>
                <w:szCs w:val="24"/>
              </w:rPr>
              <w:t>Not</w:t>
            </w:r>
            <w:r w:rsidRPr="00F011B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="003E3277">
              <w:rPr>
                <w:rFonts w:ascii="Arial" w:hAnsi="Arial" w:cs="Arial"/>
                <w:spacing w:val="-2"/>
                <w:sz w:val="24"/>
                <w:szCs w:val="24"/>
              </w:rPr>
              <w:t>reported</w:t>
            </w:r>
          </w:p>
        </w:tc>
        <w:tc>
          <w:tcPr>
            <w:tcW w:w="1350" w:type="dxa"/>
          </w:tcPr>
          <w:p w:rsidR="00F011B2" w:rsidRPr="00F011B2" w:rsidRDefault="00FE663A" w:rsidP="00FE663A"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Limited to composting facilities</w:t>
            </w:r>
          </w:p>
        </w:tc>
        <w:tc>
          <w:tcPr>
            <w:tcW w:w="2430" w:type="dxa"/>
          </w:tcPr>
          <w:p w:rsidR="00F011B2" w:rsidRPr="00F011B2" w:rsidRDefault="00F011B2" w:rsidP="00F011B2">
            <w:pPr>
              <w:pStyle w:val="TableParagraph"/>
              <w:ind w:right="85"/>
              <w:rPr>
                <w:rFonts w:ascii="Arial" w:hAnsi="Arial" w:cs="Arial"/>
                <w:sz w:val="24"/>
                <w:szCs w:val="24"/>
              </w:rPr>
            </w:pPr>
            <w:r w:rsidRPr="00F011B2">
              <w:rPr>
                <w:rFonts w:ascii="Arial" w:hAnsi="Arial" w:cs="Arial"/>
                <w:sz w:val="24"/>
                <w:szCs w:val="24"/>
              </w:rPr>
              <w:t>Consistent with the</w:t>
            </w:r>
            <w:r w:rsidRPr="00F011B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F011B2">
              <w:rPr>
                <w:rFonts w:ascii="Arial" w:hAnsi="Arial" w:cs="Arial"/>
                <w:sz w:val="24"/>
                <w:szCs w:val="24"/>
              </w:rPr>
              <w:t>present review in</w:t>
            </w:r>
            <w:r w:rsidRPr="00F011B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F011B2">
              <w:rPr>
                <w:rFonts w:ascii="Arial" w:hAnsi="Arial" w:cs="Arial"/>
                <w:sz w:val="24"/>
                <w:szCs w:val="24"/>
              </w:rPr>
              <w:t>showing contamination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011B2">
              <w:rPr>
                <w:rFonts w:ascii="Arial" w:hAnsi="Arial" w:cs="Arial"/>
                <w:sz w:val="24"/>
                <w:szCs w:val="24"/>
              </w:rPr>
              <w:t>of multiple environmental media, but narrower in scope. The present review systematically screened 115 records, assessed 68 full texts, and included 50 records spanning multiple pollutant classes, environmental compartments, and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011B2">
              <w:rPr>
                <w:rFonts w:ascii="Arial" w:hAnsi="Arial" w:cs="Arial"/>
                <w:sz w:val="24"/>
                <w:szCs w:val="24"/>
              </w:rPr>
              <w:t>health implications.</w:t>
            </w:r>
          </w:p>
          <w:p w:rsidR="00F011B2" w:rsidRPr="00F011B2" w:rsidRDefault="00F011B2" w:rsidP="00F011B2">
            <w:pPr>
              <w:pStyle w:val="TableParagraph"/>
              <w:ind w:right="8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011B2" w:rsidTr="00CA5934">
        <w:tc>
          <w:tcPr>
            <w:tcW w:w="1924" w:type="dxa"/>
          </w:tcPr>
          <w:p w:rsidR="00F011B2" w:rsidRDefault="00236DA2" w:rsidP="00F011B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36DA2">
              <w:rPr>
                <w:rFonts w:ascii="Arial" w:hAnsi="Arial" w:cs="Arial"/>
                <w:sz w:val="24"/>
                <w:szCs w:val="24"/>
              </w:rPr>
              <w:lastRenderedPageBreak/>
              <w:t xml:space="preserve">Da Costa </w:t>
            </w:r>
            <w:r w:rsidRPr="00DC0134">
              <w:rPr>
                <w:rFonts w:ascii="Arial" w:hAnsi="Arial" w:cs="Arial"/>
                <w:i/>
                <w:sz w:val="24"/>
                <w:szCs w:val="24"/>
              </w:rPr>
              <w:t>et al.</w:t>
            </w:r>
          </w:p>
        </w:tc>
        <w:tc>
          <w:tcPr>
            <w:tcW w:w="750" w:type="dxa"/>
          </w:tcPr>
          <w:p w:rsidR="00F011B2" w:rsidRDefault="00236DA2" w:rsidP="00F011B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2023</w:t>
            </w:r>
          </w:p>
        </w:tc>
        <w:tc>
          <w:tcPr>
            <w:tcW w:w="2058" w:type="dxa"/>
          </w:tcPr>
          <w:p w:rsidR="00F011B2" w:rsidRPr="00F011B2" w:rsidRDefault="00236DA2" w:rsidP="00236DA2">
            <w:pPr>
              <w:rPr>
                <w:rFonts w:ascii="Arial" w:hAnsi="Arial" w:cs="Arial"/>
                <w:sz w:val="24"/>
                <w:szCs w:val="24"/>
              </w:rPr>
            </w:pPr>
            <w:r w:rsidRPr="00236DA2">
              <w:rPr>
                <w:rFonts w:ascii="Arial" w:hAnsi="Arial" w:cs="Arial"/>
                <w:spacing w:val="-2"/>
                <w:sz w:val="24"/>
                <w:szCs w:val="24"/>
              </w:rPr>
              <w:t xml:space="preserve">Focused review on </w:t>
            </w:r>
            <w:proofErr w:type="spellStart"/>
            <w:r w:rsidRPr="00236DA2">
              <w:rPr>
                <w:rFonts w:ascii="Arial" w:hAnsi="Arial" w:cs="Arial"/>
                <w:spacing w:val="-2"/>
                <w:sz w:val="24"/>
                <w:szCs w:val="24"/>
              </w:rPr>
              <w:t>microplastics</w:t>
            </w:r>
            <w:proofErr w:type="spellEnd"/>
            <w:r w:rsidRPr="00236DA2">
              <w:rPr>
                <w:rFonts w:ascii="Arial" w:hAnsi="Arial" w:cs="Arial"/>
                <w:spacing w:val="-2"/>
                <w:sz w:val="24"/>
                <w:szCs w:val="24"/>
              </w:rPr>
              <w:t xml:space="preserve"> and plastic additives.</w:t>
            </w:r>
          </w:p>
        </w:tc>
        <w:tc>
          <w:tcPr>
            <w:tcW w:w="2147" w:type="dxa"/>
          </w:tcPr>
          <w:p w:rsidR="00236DA2" w:rsidRPr="00236DA2" w:rsidRDefault="00236DA2" w:rsidP="00236DA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36DA2">
              <w:rPr>
                <w:rFonts w:ascii="Arial" w:hAnsi="Arial" w:cs="Arial"/>
                <w:sz w:val="24"/>
                <w:szCs w:val="24"/>
              </w:rPr>
              <w:t>Microplastics</w:t>
            </w:r>
            <w:proofErr w:type="spellEnd"/>
            <w:r w:rsidRPr="00236DA2">
              <w:rPr>
                <w:rFonts w:ascii="Arial" w:hAnsi="Arial" w:cs="Arial"/>
                <w:sz w:val="24"/>
                <w:szCs w:val="24"/>
              </w:rPr>
              <w:t xml:space="preserve"> and plastic</w:t>
            </w:r>
          </w:p>
          <w:p w:rsidR="00236DA2" w:rsidRPr="00236DA2" w:rsidRDefault="00236DA2" w:rsidP="00236DA2">
            <w:pPr>
              <w:rPr>
                <w:rFonts w:ascii="Arial" w:hAnsi="Arial" w:cs="Arial"/>
                <w:sz w:val="24"/>
                <w:szCs w:val="24"/>
              </w:rPr>
            </w:pPr>
            <w:r w:rsidRPr="00236DA2">
              <w:rPr>
                <w:rFonts w:ascii="Arial" w:hAnsi="Arial" w:cs="Arial"/>
                <w:sz w:val="24"/>
                <w:szCs w:val="24"/>
              </w:rPr>
              <w:t>additives as persistent</w:t>
            </w:r>
          </w:p>
          <w:p w:rsidR="00236DA2" w:rsidRPr="00236DA2" w:rsidRDefault="00236DA2" w:rsidP="00236DA2">
            <w:pPr>
              <w:rPr>
                <w:rFonts w:ascii="Arial" w:hAnsi="Arial" w:cs="Arial"/>
                <w:sz w:val="24"/>
                <w:szCs w:val="24"/>
              </w:rPr>
            </w:pPr>
            <w:r w:rsidRPr="00236DA2">
              <w:rPr>
                <w:rFonts w:ascii="Arial" w:hAnsi="Arial" w:cs="Arial"/>
                <w:sz w:val="24"/>
                <w:szCs w:val="24"/>
              </w:rPr>
              <w:t>contaminants capable of</w:t>
            </w:r>
          </w:p>
          <w:p w:rsidR="00F011B2" w:rsidRPr="00F011B2" w:rsidRDefault="00236DA2" w:rsidP="00236DA2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236DA2">
              <w:rPr>
                <w:rFonts w:ascii="Arial" w:hAnsi="Arial" w:cs="Arial"/>
                <w:sz w:val="24"/>
                <w:szCs w:val="24"/>
              </w:rPr>
              <w:t>accumulating</w:t>
            </w:r>
            <w:proofErr w:type="gramEnd"/>
            <w:r w:rsidRPr="00236DA2">
              <w:rPr>
                <w:rFonts w:ascii="Arial" w:hAnsi="Arial" w:cs="Arial"/>
                <w:sz w:val="24"/>
                <w:szCs w:val="24"/>
              </w:rPr>
              <w:t xml:space="preserve"> in ecosystems and entering food chains.</w:t>
            </w:r>
          </w:p>
        </w:tc>
        <w:tc>
          <w:tcPr>
            <w:tcW w:w="1607" w:type="dxa"/>
          </w:tcPr>
          <w:p w:rsidR="00F011B2" w:rsidRPr="00F011B2" w:rsidRDefault="003E3277" w:rsidP="00236DA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>Narrative (Non-systematic)</w:t>
            </w:r>
          </w:p>
        </w:tc>
        <w:tc>
          <w:tcPr>
            <w:tcW w:w="1499" w:type="dxa"/>
          </w:tcPr>
          <w:p w:rsidR="00F011B2" w:rsidRPr="00F011B2" w:rsidRDefault="003E3277" w:rsidP="00236DA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>Informal assessment</w:t>
            </w:r>
          </w:p>
        </w:tc>
        <w:tc>
          <w:tcPr>
            <w:tcW w:w="1350" w:type="dxa"/>
          </w:tcPr>
          <w:p w:rsidR="00F011B2" w:rsidRDefault="00FE663A" w:rsidP="00F011B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>Global (selective)</w:t>
            </w:r>
          </w:p>
        </w:tc>
        <w:tc>
          <w:tcPr>
            <w:tcW w:w="2430" w:type="dxa"/>
          </w:tcPr>
          <w:p w:rsidR="00236DA2" w:rsidRPr="00236DA2" w:rsidRDefault="00236DA2" w:rsidP="00236DA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36DA2">
              <w:rPr>
                <w:rFonts w:ascii="Arial" w:hAnsi="Arial" w:cs="Arial"/>
                <w:sz w:val="24"/>
                <w:szCs w:val="24"/>
              </w:rPr>
              <w:t>The present review</w:t>
            </w:r>
          </w:p>
          <w:p w:rsidR="00236DA2" w:rsidRPr="00236DA2" w:rsidRDefault="00236DA2" w:rsidP="00236DA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36DA2">
              <w:rPr>
                <w:rFonts w:ascii="Arial" w:hAnsi="Arial" w:cs="Arial"/>
                <w:sz w:val="24"/>
                <w:szCs w:val="24"/>
              </w:rPr>
              <w:t>extends beyond a single pollutant group by integrating</w:t>
            </w:r>
          </w:p>
          <w:p w:rsidR="00F011B2" w:rsidRDefault="00236DA2" w:rsidP="00236DA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proofErr w:type="gramStart"/>
            <w:r w:rsidRPr="00236DA2">
              <w:rPr>
                <w:rFonts w:ascii="Arial" w:hAnsi="Arial" w:cs="Arial"/>
                <w:sz w:val="24"/>
                <w:szCs w:val="24"/>
              </w:rPr>
              <w:t>microplastics</w:t>
            </w:r>
            <w:proofErr w:type="spellEnd"/>
            <w:proofErr w:type="gramEnd"/>
            <w:r w:rsidRPr="00236DA2">
              <w:rPr>
                <w:rFonts w:ascii="Arial" w:hAnsi="Arial" w:cs="Arial"/>
                <w:sz w:val="24"/>
                <w:szCs w:val="24"/>
              </w:rPr>
              <w:t xml:space="preserve"> into a broader synthesis that also includes PFAS, pharmaceuticals, heavy metals, and other emerging pollutants.</w:t>
            </w:r>
          </w:p>
        </w:tc>
      </w:tr>
      <w:tr w:rsidR="00F011B2" w:rsidTr="00CA5934">
        <w:tc>
          <w:tcPr>
            <w:tcW w:w="1924" w:type="dxa"/>
          </w:tcPr>
          <w:p w:rsidR="00F011B2" w:rsidRDefault="00236DA2" w:rsidP="00F011B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36DA2">
              <w:rPr>
                <w:rFonts w:ascii="Arial" w:hAnsi="Arial" w:cs="Arial"/>
                <w:sz w:val="24"/>
                <w:szCs w:val="24"/>
              </w:rPr>
              <w:t>GodvinSharmila</w:t>
            </w:r>
            <w:proofErr w:type="spellEnd"/>
            <w:r w:rsidRPr="00236DA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C0134">
              <w:rPr>
                <w:rFonts w:ascii="Arial" w:hAnsi="Arial" w:cs="Arial"/>
                <w:i/>
                <w:sz w:val="24"/>
                <w:szCs w:val="24"/>
              </w:rPr>
              <w:t>et al.</w:t>
            </w:r>
          </w:p>
        </w:tc>
        <w:tc>
          <w:tcPr>
            <w:tcW w:w="750" w:type="dxa"/>
          </w:tcPr>
          <w:p w:rsidR="00F011B2" w:rsidRDefault="00236DA2" w:rsidP="00F011B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2023</w:t>
            </w:r>
          </w:p>
        </w:tc>
        <w:tc>
          <w:tcPr>
            <w:tcW w:w="2058" w:type="dxa"/>
          </w:tcPr>
          <w:p w:rsidR="00F011B2" w:rsidRDefault="00236DA2" w:rsidP="00F011B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36DA2">
              <w:rPr>
                <w:rFonts w:ascii="Arial" w:hAnsi="Arial" w:cs="Arial"/>
                <w:sz w:val="24"/>
                <w:szCs w:val="24"/>
              </w:rPr>
              <w:t xml:space="preserve">Focused review on </w:t>
            </w:r>
            <w:proofErr w:type="spellStart"/>
            <w:r w:rsidRPr="00236DA2">
              <w:rPr>
                <w:rFonts w:ascii="Arial" w:hAnsi="Arial" w:cs="Arial"/>
                <w:sz w:val="24"/>
                <w:szCs w:val="24"/>
              </w:rPr>
              <w:t>microplastics</w:t>
            </w:r>
            <w:proofErr w:type="spellEnd"/>
            <w:r w:rsidRPr="00236DA2">
              <w:rPr>
                <w:rFonts w:ascii="Arial" w:hAnsi="Arial" w:cs="Arial"/>
                <w:sz w:val="24"/>
                <w:szCs w:val="24"/>
              </w:rPr>
              <w:t xml:space="preserve"> and plastic additives.</w:t>
            </w:r>
          </w:p>
        </w:tc>
        <w:tc>
          <w:tcPr>
            <w:tcW w:w="2147" w:type="dxa"/>
          </w:tcPr>
          <w:p w:rsidR="008B1FF6" w:rsidRPr="008B1FF6" w:rsidRDefault="008B1FF6" w:rsidP="008B1FF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B1FF6">
              <w:rPr>
                <w:rFonts w:ascii="Arial" w:hAnsi="Arial" w:cs="Arial"/>
                <w:sz w:val="24"/>
                <w:szCs w:val="24"/>
              </w:rPr>
              <w:t>Microplastics</w:t>
            </w:r>
            <w:proofErr w:type="spellEnd"/>
            <w:r w:rsidRPr="008B1FF6">
              <w:rPr>
                <w:rFonts w:ascii="Arial" w:hAnsi="Arial" w:cs="Arial"/>
                <w:sz w:val="24"/>
                <w:szCs w:val="24"/>
              </w:rPr>
              <w:t xml:space="preserve"> and plastic</w:t>
            </w:r>
          </w:p>
          <w:p w:rsidR="008B1FF6" w:rsidRPr="008B1FF6" w:rsidRDefault="008B1FF6" w:rsidP="008B1FF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1FF6">
              <w:rPr>
                <w:rFonts w:ascii="Arial" w:hAnsi="Arial" w:cs="Arial"/>
                <w:sz w:val="24"/>
                <w:szCs w:val="24"/>
              </w:rPr>
              <w:t>additives as persistent</w:t>
            </w:r>
          </w:p>
          <w:p w:rsidR="008B1FF6" w:rsidRPr="008B1FF6" w:rsidRDefault="008B1FF6" w:rsidP="008B1FF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1FF6">
              <w:rPr>
                <w:rFonts w:ascii="Arial" w:hAnsi="Arial" w:cs="Arial"/>
                <w:sz w:val="24"/>
                <w:szCs w:val="24"/>
              </w:rPr>
              <w:t>contaminants capable of</w:t>
            </w:r>
          </w:p>
          <w:p w:rsidR="00F011B2" w:rsidRDefault="008B1FF6" w:rsidP="008B1FF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8B1FF6">
              <w:rPr>
                <w:rFonts w:ascii="Arial" w:hAnsi="Arial" w:cs="Arial"/>
                <w:sz w:val="24"/>
                <w:szCs w:val="24"/>
              </w:rPr>
              <w:t>accumulating</w:t>
            </w:r>
            <w:proofErr w:type="gramEnd"/>
            <w:r w:rsidRPr="008B1FF6">
              <w:rPr>
                <w:rFonts w:ascii="Arial" w:hAnsi="Arial" w:cs="Arial"/>
                <w:sz w:val="24"/>
                <w:szCs w:val="24"/>
              </w:rPr>
              <w:t xml:space="preserve"> in ecosystems and entering food chains.</w:t>
            </w:r>
          </w:p>
        </w:tc>
        <w:tc>
          <w:tcPr>
            <w:tcW w:w="1607" w:type="dxa"/>
          </w:tcPr>
          <w:p w:rsidR="00F011B2" w:rsidRDefault="003E3277" w:rsidP="00F011B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>Narrative (Non-systematic)</w:t>
            </w:r>
          </w:p>
        </w:tc>
        <w:tc>
          <w:tcPr>
            <w:tcW w:w="1499" w:type="dxa"/>
          </w:tcPr>
          <w:p w:rsidR="00F011B2" w:rsidRDefault="003E3277" w:rsidP="00F011B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Not formally assessed</w:t>
            </w:r>
          </w:p>
        </w:tc>
        <w:tc>
          <w:tcPr>
            <w:tcW w:w="1350" w:type="dxa"/>
          </w:tcPr>
          <w:p w:rsidR="00F011B2" w:rsidRDefault="00FE663A" w:rsidP="00F011B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Global</w:t>
            </w:r>
          </w:p>
        </w:tc>
        <w:tc>
          <w:tcPr>
            <w:tcW w:w="2430" w:type="dxa"/>
          </w:tcPr>
          <w:p w:rsidR="008B1FF6" w:rsidRPr="008B1FF6" w:rsidRDefault="008B1FF6" w:rsidP="008B1FF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1FF6">
              <w:rPr>
                <w:rFonts w:ascii="Arial" w:hAnsi="Arial" w:cs="Arial"/>
                <w:sz w:val="24"/>
                <w:szCs w:val="24"/>
              </w:rPr>
              <w:t>The present review provides a broader contaminant mixture</w:t>
            </w:r>
          </w:p>
          <w:p w:rsidR="00F011B2" w:rsidRDefault="008B1FF6" w:rsidP="008B1FF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8B1FF6">
              <w:rPr>
                <w:rFonts w:ascii="Arial" w:hAnsi="Arial" w:cs="Arial"/>
                <w:sz w:val="24"/>
                <w:szCs w:val="24"/>
              </w:rPr>
              <w:t>perspective</w:t>
            </w:r>
            <w:proofErr w:type="gramEnd"/>
            <w:r w:rsidRPr="008B1FF6">
              <w:rPr>
                <w:rFonts w:ascii="Arial" w:hAnsi="Arial" w:cs="Arial"/>
                <w:sz w:val="24"/>
                <w:szCs w:val="24"/>
              </w:rPr>
              <w:t xml:space="preserve"> rather than focusing only on plastics, thereby linking particle contamination with co-occurring chemical pollutants and health implications.</w:t>
            </w:r>
          </w:p>
        </w:tc>
      </w:tr>
      <w:tr w:rsidR="008B1FF6" w:rsidTr="00CA5934">
        <w:tc>
          <w:tcPr>
            <w:tcW w:w="1924" w:type="dxa"/>
          </w:tcPr>
          <w:p w:rsidR="008B1FF6" w:rsidRDefault="008B1FF6" w:rsidP="008B1FF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B1FF6">
              <w:rPr>
                <w:rFonts w:ascii="Arial" w:hAnsi="Arial" w:cs="Arial"/>
                <w:sz w:val="24"/>
                <w:szCs w:val="24"/>
              </w:rPr>
              <w:t>Geissen</w:t>
            </w:r>
            <w:proofErr w:type="spellEnd"/>
            <w:r w:rsidRPr="008B1FF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C0134">
              <w:rPr>
                <w:rFonts w:ascii="Arial" w:hAnsi="Arial" w:cs="Arial"/>
                <w:i/>
                <w:sz w:val="24"/>
                <w:szCs w:val="24"/>
              </w:rPr>
              <w:t>et al.</w:t>
            </w:r>
          </w:p>
        </w:tc>
        <w:tc>
          <w:tcPr>
            <w:tcW w:w="750" w:type="dxa"/>
          </w:tcPr>
          <w:p w:rsidR="008B1FF6" w:rsidRDefault="008B1FF6" w:rsidP="008B1FF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2015</w:t>
            </w:r>
          </w:p>
        </w:tc>
        <w:tc>
          <w:tcPr>
            <w:tcW w:w="2058" w:type="dxa"/>
          </w:tcPr>
          <w:p w:rsidR="008B1FF6" w:rsidRPr="008B1FF6" w:rsidRDefault="008B1FF6" w:rsidP="008B1FF6">
            <w:pPr>
              <w:rPr>
                <w:rFonts w:ascii="Arial" w:hAnsi="Arial" w:cs="Arial"/>
                <w:sz w:val="24"/>
                <w:szCs w:val="24"/>
              </w:rPr>
            </w:pPr>
            <w:r w:rsidRPr="008B1FF6">
              <w:rPr>
                <w:rFonts w:ascii="Arial" w:hAnsi="Arial" w:cs="Arial"/>
                <w:sz w:val="24"/>
                <w:szCs w:val="24"/>
              </w:rPr>
              <w:t>Broader assessment of emerging-pollutant impacts.</w:t>
            </w:r>
          </w:p>
        </w:tc>
        <w:tc>
          <w:tcPr>
            <w:tcW w:w="2147" w:type="dxa"/>
          </w:tcPr>
          <w:p w:rsidR="008B1FF6" w:rsidRPr="008B1FF6" w:rsidRDefault="008B1FF6" w:rsidP="008B1FF6">
            <w:pPr>
              <w:rPr>
                <w:rFonts w:ascii="Arial" w:hAnsi="Arial" w:cs="Arial"/>
                <w:sz w:val="24"/>
                <w:szCs w:val="24"/>
              </w:rPr>
            </w:pPr>
            <w:r w:rsidRPr="008B1FF6">
              <w:rPr>
                <w:rFonts w:ascii="Arial" w:hAnsi="Arial" w:cs="Arial"/>
                <w:sz w:val="24"/>
                <w:szCs w:val="24"/>
              </w:rPr>
              <w:t>Water contamination, biodiversity loss, and toxicological effects associated with emerging pollutants.</w:t>
            </w:r>
          </w:p>
        </w:tc>
        <w:tc>
          <w:tcPr>
            <w:tcW w:w="1607" w:type="dxa"/>
          </w:tcPr>
          <w:p w:rsidR="008B1FF6" w:rsidRDefault="003E3277" w:rsidP="008B1FF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>Narrative (Non-systematic)</w:t>
            </w:r>
          </w:p>
        </w:tc>
        <w:tc>
          <w:tcPr>
            <w:tcW w:w="1499" w:type="dxa"/>
          </w:tcPr>
          <w:p w:rsidR="008B1FF6" w:rsidRDefault="003E3277" w:rsidP="008B1FF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Qualitative assessment</w:t>
            </w:r>
          </w:p>
        </w:tc>
        <w:tc>
          <w:tcPr>
            <w:tcW w:w="1350" w:type="dxa"/>
          </w:tcPr>
          <w:p w:rsidR="008B1FF6" w:rsidRDefault="00FE663A" w:rsidP="008B1FF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Global with focus on Europe</w:t>
            </w:r>
          </w:p>
        </w:tc>
        <w:tc>
          <w:tcPr>
            <w:tcW w:w="2430" w:type="dxa"/>
          </w:tcPr>
          <w:p w:rsidR="008B1FF6" w:rsidRPr="008B1FF6" w:rsidRDefault="008B1FF6" w:rsidP="008B1FF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1FF6">
              <w:rPr>
                <w:rFonts w:ascii="Arial" w:hAnsi="Arial" w:cs="Arial"/>
                <w:sz w:val="24"/>
                <w:szCs w:val="24"/>
              </w:rPr>
              <w:t>The present review is broadly consistent with these findings but</w:t>
            </w:r>
          </w:p>
          <w:p w:rsidR="008B1FF6" w:rsidRPr="008B1FF6" w:rsidRDefault="008B1FF6" w:rsidP="008B1FF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1FF6">
              <w:rPr>
                <w:rFonts w:ascii="Arial" w:hAnsi="Arial" w:cs="Arial"/>
                <w:sz w:val="24"/>
                <w:szCs w:val="24"/>
              </w:rPr>
              <w:t>provides a more integrated landfill-</w:t>
            </w:r>
          </w:p>
          <w:p w:rsidR="008B1FF6" w:rsidRDefault="008B1FF6" w:rsidP="008B1FF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8B1FF6">
              <w:rPr>
                <w:rFonts w:ascii="Arial" w:hAnsi="Arial" w:cs="Arial"/>
                <w:sz w:val="24"/>
                <w:szCs w:val="24"/>
              </w:rPr>
              <w:t>leachate</w:t>
            </w:r>
            <w:proofErr w:type="gramEnd"/>
            <w:r w:rsidRPr="008B1FF6">
              <w:rPr>
                <w:rFonts w:ascii="Arial" w:hAnsi="Arial" w:cs="Arial"/>
                <w:sz w:val="24"/>
                <w:szCs w:val="24"/>
              </w:rPr>
              <w:t xml:space="preserve"> perspective linking contaminants </w:t>
            </w:r>
            <w:r w:rsidRPr="008B1FF6">
              <w:rPr>
                <w:rFonts w:ascii="Arial" w:hAnsi="Arial" w:cs="Arial"/>
                <w:sz w:val="24"/>
                <w:szCs w:val="24"/>
              </w:rPr>
              <w:lastRenderedPageBreak/>
              <w:t>to environmental and human-health outcomes.</w:t>
            </w:r>
          </w:p>
        </w:tc>
      </w:tr>
      <w:tr w:rsidR="00556802" w:rsidTr="00CA5934">
        <w:tc>
          <w:tcPr>
            <w:tcW w:w="1924" w:type="dxa"/>
          </w:tcPr>
          <w:p w:rsidR="00556802" w:rsidRDefault="00556802" w:rsidP="0055680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56802">
              <w:rPr>
                <w:rFonts w:ascii="Arial" w:hAnsi="Arial" w:cs="Arial"/>
                <w:sz w:val="24"/>
                <w:szCs w:val="24"/>
              </w:rPr>
              <w:lastRenderedPageBreak/>
              <w:t>Yadav</w:t>
            </w:r>
            <w:proofErr w:type="spellEnd"/>
            <w:r w:rsidRPr="0055680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C0134">
              <w:rPr>
                <w:rFonts w:ascii="Arial" w:hAnsi="Arial" w:cs="Arial"/>
                <w:i/>
                <w:sz w:val="24"/>
                <w:szCs w:val="24"/>
              </w:rPr>
              <w:t>et al.</w:t>
            </w:r>
          </w:p>
        </w:tc>
        <w:tc>
          <w:tcPr>
            <w:tcW w:w="750" w:type="dxa"/>
          </w:tcPr>
          <w:p w:rsidR="00556802" w:rsidRDefault="00556802" w:rsidP="0055680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2021</w:t>
            </w:r>
          </w:p>
        </w:tc>
        <w:tc>
          <w:tcPr>
            <w:tcW w:w="2058" w:type="dxa"/>
          </w:tcPr>
          <w:p w:rsidR="00556802" w:rsidRPr="00556802" w:rsidRDefault="00556802" w:rsidP="00556802">
            <w:pPr>
              <w:pStyle w:val="TableParagraph"/>
              <w:spacing w:line="321" w:lineRule="auto"/>
              <w:ind w:left="87" w:right="157"/>
              <w:rPr>
                <w:rFonts w:ascii="Arial" w:hAnsi="Arial" w:cs="Arial"/>
                <w:sz w:val="24"/>
                <w:szCs w:val="24"/>
              </w:rPr>
            </w:pPr>
            <w:r w:rsidRPr="00556802">
              <w:rPr>
                <w:rFonts w:ascii="Arial" w:hAnsi="Arial" w:cs="Arial"/>
                <w:spacing w:val="-2"/>
                <w:sz w:val="24"/>
                <w:szCs w:val="24"/>
              </w:rPr>
              <w:t>Broader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z w:val="24"/>
                <w:szCs w:val="24"/>
              </w:rPr>
              <w:t>assessment of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z w:val="24"/>
                <w:szCs w:val="24"/>
              </w:rPr>
              <w:t>emerging-pollutant</w:t>
            </w:r>
            <w:r w:rsidRPr="0055680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z w:val="24"/>
                <w:szCs w:val="24"/>
              </w:rPr>
              <w:t>impacts.</w:t>
            </w:r>
          </w:p>
        </w:tc>
        <w:tc>
          <w:tcPr>
            <w:tcW w:w="2147" w:type="dxa"/>
          </w:tcPr>
          <w:p w:rsidR="00556802" w:rsidRPr="00556802" w:rsidRDefault="00556802" w:rsidP="00556802">
            <w:pPr>
              <w:pStyle w:val="TableParagraph"/>
              <w:spacing w:line="321" w:lineRule="auto"/>
              <w:ind w:left="86" w:right="123"/>
              <w:rPr>
                <w:rFonts w:ascii="Arial" w:hAnsi="Arial" w:cs="Arial"/>
                <w:sz w:val="24"/>
                <w:szCs w:val="24"/>
              </w:rPr>
            </w:pPr>
            <w:r w:rsidRPr="00556802">
              <w:rPr>
                <w:rFonts w:ascii="Arial" w:hAnsi="Arial" w:cs="Arial"/>
                <w:spacing w:val="-2"/>
                <w:sz w:val="24"/>
                <w:szCs w:val="24"/>
              </w:rPr>
              <w:t>Water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pacing w:val="-2"/>
                <w:sz w:val="24"/>
                <w:szCs w:val="24"/>
              </w:rPr>
              <w:t>contamination,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z w:val="24"/>
                <w:szCs w:val="24"/>
              </w:rPr>
              <w:t>biodiversity loss,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z w:val="24"/>
                <w:szCs w:val="24"/>
              </w:rPr>
              <w:t>and</w:t>
            </w:r>
            <w:r w:rsidRPr="0055680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z w:val="24"/>
                <w:szCs w:val="24"/>
              </w:rPr>
              <w:t>toxicological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pacing w:val="-2"/>
                <w:sz w:val="24"/>
                <w:szCs w:val="24"/>
              </w:rPr>
              <w:t>effects</w:t>
            </w:r>
            <w:r w:rsidRPr="00556802">
              <w:rPr>
                <w:rFonts w:ascii="Arial" w:hAnsi="Arial" w:cs="Arial"/>
                <w:spacing w:val="8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z w:val="24"/>
                <w:szCs w:val="24"/>
              </w:rPr>
              <w:t>associated with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pacing w:val="-2"/>
                <w:sz w:val="24"/>
                <w:szCs w:val="24"/>
              </w:rPr>
              <w:t>emerging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pacing w:val="-2"/>
                <w:sz w:val="24"/>
                <w:szCs w:val="24"/>
              </w:rPr>
              <w:t>pollutants.</w:t>
            </w:r>
          </w:p>
        </w:tc>
        <w:tc>
          <w:tcPr>
            <w:tcW w:w="1607" w:type="dxa"/>
          </w:tcPr>
          <w:p w:rsidR="00556802" w:rsidRDefault="003E3277" w:rsidP="0055680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>Narrative (Non-systematic)</w:t>
            </w:r>
          </w:p>
        </w:tc>
        <w:tc>
          <w:tcPr>
            <w:tcW w:w="1499" w:type="dxa"/>
          </w:tcPr>
          <w:p w:rsidR="00556802" w:rsidRDefault="003E3277" w:rsidP="0055680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Informal quality review</w:t>
            </w:r>
          </w:p>
        </w:tc>
        <w:tc>
          <w:tcPr>
            <w:tcW w:w="1350" w:type="dxa"/>
          </w:tcPr>
          <w:p w:rsidR="00556802" w:rsidRDefault="00FE663A" w:rsidP="0055680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Global</w:t>
            </w:r>
          </w:p>
        </w:tc>
        <w:tc>
          <w:tcPr>
            <w:tcW w:w="2430" w:type="dxa"/>
          </w:tcPr>
          <w:p w:rsidR="00556802" w:rsidRPr="00556802" w:rsidRDefault="00556802" w:rsidP="0055680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6802">
              <w:rPr>
                <w:rFonts w:ascii="Arial" w:hAnsi="Arial" w:cs="Arial"/>
                <w:sz w:val="24"/>
                <w:szCs w:val="24"/>
              </w:rPr>
              <w:t>The present review corroborates the</w:t>
            </w:r>
          </w:p>
          <w:p w:rsidR="00556802" w:rsidRPr="00556802" w:rsidRDefault="00556802" w:rsidP="0055680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6802">
              <w:rPr>
                <w:rFonts w:ascii="Arial" w:hAnsi="Arial" w:cs="Arial"/>
                <w:sz w:val="24"/>
                <w:szCs w:val="24"/>
              </w:rPr>
              <w:t>broader environmental and toxicological</w:t>
            </w:r>
          </w:p>
          <w:p w:rsidR="00556802" w:rsidRPr="00556802" w:rsidRDefault="00556802" w:rsidP="0055680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6802">
              <w:rPr>
                <w:rFonts w:ascii="Arial" w:hAnsi="Arial" w:cs="Arial"/>
                <w:sz w:val="24"/>
                <w:szCs w:val="24"/>
              </w:rPr>
              <w:t>concerns reported previously, while specifically grounding them in landfill-</w:t>
            </w:r>
          </w:p>
          <w:p w:rsidR="00556802" w:rsidRDefault="00556802" w:rsidP="0055680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556802">
              <w:rPr>
                <w:rFonts w:ascii="Arial" w:hAnsi="Arial" w:cs="Arial"/>
                <w:sz w:val="24"/>
                <w:szCs w:val="24"/>
              </w:rPr>
              <w:t>leachate</w:t>
            </w:r>
            <w:proofErr w:type="gramEnd"/>
            <w:r w:rsidRPr="00556802">
              <w:rPr>
                <w:rFonts w:ascii="Arial" w:hAnsi="Arial" w:cs="Arial"/>
                <w:sz w:val="24"/>
                <w:szCs w:val="24"/>
              </w:rPr>
              <w:t xml:space="preserve"> evidence.</w:t>
            </w:r>
          </w:p>
        </w:tc>
      </w:tr>
      <w:tr w:rsidR="00556802" w:rsidTr="00CA5934">
        <w:tc>
          <w:tcPr>
            <w:tcW w:w="1924" w:type="dxa"/>
          </w:tcPr>
          <w:p w:rsidR="00556802" w:rsidRDefault="00556802" w:rsidP="0055680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56802">
              <w:rPr>
                <w:rFonts w:ascii="Arial" w:hAnsi="Arial" w:cs="Arial"/>
                <w:sz w:val="24"/>
                <w:szCs w:val="24"/>
              </w:rPr>
              <w:t>Vasilachi</w:t>
            </w:r>
            <w:proofErr w:type="spellEnd"/>
            <w:r w:rsidRPr="0055680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C0134">
              <w:rPr>
                <w:rFonts w:ascii="Arial" w:hAnsi="Arial" w:cs="Arial"/>
                <w:i/>
                <w:sz w:val="24"/>
                <w:szCs w:val="24"/>
              </w:rPr>
              <w:t>et al.</w:t>
            </w:r>
          </w:p>
        </w:tc>
        <w:tc>
          <w:tcPr>
            <w:tcW w:w="750" w:type="dxa"/>
          </w:tcPr>
          <w:p w:rsidR="00556802" w:rsidRDefault="00556802" w:rsidP="0055680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2021</w:t>
            </w:r>
          </w:p>
        </w:tc>
        <w:tc>
          <w:tcPr>
            <w:tcW w:w="2058" w:type="dxa"/>
          </w:tcPr>
          <w:p w:rsidR="00556802" w:rsidRPr="00556802" w:rsidRDefault="00556802" w:rsidP="00556802">
            <w:pPr>
              <w:pStyle w:val="TableParagraph"/>
              <w:spacing w:line="321" w:lineRule="auto"/>
              <w:ind w:left="87" w:right="157"/>
              <w:rPr>
                <w:rFonts w:ascii="Arial" w:hAnsi="Arial" w:cs="Arial"/>
                <w:sz w:val="24"/>
                <w:szCs w:val="24"/>
              </w:rPr>
            </w:pPr>
            <w:r w:rsidRPr="00556802">
              <w:rPr>
                <w:rFonts w:ascii="Arial" w:hAnsi="Arial" w:cs="Arial"/>
                <w:spacing w:val="-2"/>
                <w:sz w:val="24"/>
                <w:szCs w:val="24"/>
              </w:rPr>
              <w:t>Broader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z w:val="24"/>
                <w:szCs w:val="24"/>
              </w:rPr>
              <w:t>assessment of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z w:val="24"/>
                <w:szCs w:val="24"/>
              </w:rPr>
              <w:t>emerging-pollutant</w:t>
            </w:r>
            <w:r w:rsidRPr="0055680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z w:val="24"/>
                <w:szCs w:val="24"/>
              </w:rPr>
              <w:t>impacts.</w:t>
            </w:r>
          </w:p>
        </w:tc>
        <w:tc>
          <w:tcPr>
            <w:tcW w:w="2147" w:type="dxa"/>
          </w:tcPr>
          <w:p w:rsidR="00556802" w:rsidRPr="00556802" w:rsidRDefault="00556802" w:rsidP="00556802">
            <w:pPr>
              <w:pStyle w:val="TableParagraph"/>
              <w:spacing w:line="321" w:lineRule="auto"/>
              <w:ind w:left="86" w:right="123"/>
              <w:rPr>
                <w:rFonts w:ascii="Arial" w:hAnsi="Arial" w:cs="Arial"/>
                <w:sz w:val="24"/>
                <w:szCs w:val="24"/>
              </w:rPr>
            </w:pPr>
            <w:r w:rsidRPr="00556802">
              <w:rPr>
                <w:rFonts w:ascii="Arial" w:hAnsi="Arial" w:cs="Arial"/>
                <w:spacing w:val="-2"/>
                <w:sz w:val="24"/>
                <w:szCs w:val="24"/>
              </w:rPr>
              <w:t>Water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pacing w:val="-2"/>
                <w:sz w:val="24"/>
                <w:szCs w:val="24"/>
              </w:rPr>
              <w:t>contamination,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z w:val="24"/>
                <w:szCs w:val="24"/>
              </w:rPr>
              <w:t>biodiversity loss,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z w:val="24"/>
                <w:szCs w:val="24"/>
              </w:rPr>
              <w:t>and</w:t>
            </w:r>
            <w:r w:rsidRPr="0055680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z w:val="24"/>
                <w:szCs w:val="24"/>
              </w:rPr>
              <w:t>toxicological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pacing w:val="-2"/>
                <w:sz w:val="24"/>
                <w:szCs w:val="24"/>
              </w:rPr>
              <w:t>effects</w:t>
            </w:r>
            <w:r w:rsidRPr="00556802">
              <w:rPr>
                <w:rFonts w:ascii="Arial" w:hAnsi="Arial" w:cs="Arial"/>
                <w:spacing w:val="8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z w:val="24"/>
                <w:szCs w:val="24"/>
              </w:rPr>
              <w:t>associated with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pacing w:val="-2"/>
                <w:sz w:val="24"/>
                <w:szCs w:val="24"/>
              </w:rPr>
              <w:t>emerging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pacing w:val="-2"/>
                <w:sz w:val="24"/>
                <w:szCs w:val="24"/>
              </w:rPr>
              <w:t>pollutants.</w:t>
            </w:r>
          </w:p>
        </w:tc>
        <w:tc>
          <w:tcPr>
            <w:tcW w:w="1607" w:type="dxa"/>
          </w:tcPr>
          <w:p w:rsidR="00556802" w:rsidRDefault="003E3277" w:rsidP="0055680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>Narrative (Non-systematic)</w:t>
            </w:r>
          </w:p>
        </w:tc>
        <w:tc>
          <w:tcPr>
            <w:tcW w:w="1499" w:type="dxa"/>
          </w:tcPr>
          <w:p w:rsidR="00556802" w:rsidRDefault="003E3277" w:rsidP="0055680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Qualitative assessment</w:t>
            </w:r>
          </w:p>
        </w:tc>
        <w:tc>
          <w:tcPr>
            <w:tcW w:w="1350" w:type="dxa"/>
          </w:tcPr>
          <w:p w:rsidR="00556802" w:rsidRDefault="00FE663A" w:rsidP="0055680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Global</w:t>
            </w:r>
          </w:p>
        </w:tc>
        <w:tc>
          <w:tcPr>
            <w:tcW w:w="2430" w:type="dxa"/>
          </w:tcPr>
          <w:p w:rsidR="00556802" w:rsidRPr="00556802" w:rsidRDefault="00556802" w:rsidP="0055680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6802">
              <w:rPr>
                <w:rFonts w:ascii="Arial" w:hAnsi="Arial" w:cs="Arial"/>
                <w:sz w:val="24"/>
                <w:szCs w:val="24"/>
              </w:rPr>
              <w:t>Compared with these broader assessments, the present review</w:t>
            </w:r>
          </w:p>
          <w:p w:rsidR="00556802" w:rsidRPr="00556802" w:rsidRDefault="00556802" w:rsidP="0055680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6802">
              <w:rPr>
                <w:rFonts w:ascii="Arial" w:hAnsi="Arial" w:cs="Arial"/>
                <w:sz w:val="24"/>
                <w:szCs w:val="24"/>
              </w:rPr>
              <w:t>provides a more explicit landfill-</w:t>
            </w:r>
          </w:p>
          <w:p w:rsidR="00556802" w:rsidRPr="00556802" w:rsidRDefault="00556802" w:rsidP="0055680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6802">
              <w:rPr>
                <w:rFonts w:ascii="Arial" w:hAnsi="Arial" w:cs="Arial"/>
                <w:sz w:val="24"/>
                <w:szCs w:val="24"/>
              </w:rPr>
              <w:t>leachate focus, together with discussion of unresolved issues such as methodological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z w:val="24"/>
                <w:szCs w:val="24"/>
              </w:rPr>
              <w:t>heterogeneity and</w:t>
            </w:r>
          </w:p>
          <w:p w:rsidR="00556802" w:rsidRDefault="00556802" w:rsidP="0055680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556802">
              <w:rPr>
                <w:rFonts w:ascii="Arial" w:hAnsi="Arial" w:cs="Arial"/>
                <w:sz w:val="24"/>
                <w:szCs w:val="24"/>
              </w:rPr>
              <w:t>geographic</w:t>
            </w:r>
            <w:proofErr w:type="gramEnd"/>
            <w:r w:rsidRPr="00556802">
              <w:rPr>
                <w:rFonts w:ascii="Arial" w:hAnsi="Arial" w:cs="Arial"/>
                <w:sz w:val="24"/>
                <w:szCs w:val="24"/>
              </w:rPr>
              <w:t xml:space="preserve"> research imbalance.</w:t>
            </w:r>
          </w:p>
        </w:tc>
      </w:tr>
      <w:tr w:rsidR="00556802" w:rsidTr="00CA5934">
        <w:tc>
          <w:tcPr>
            <w:tcW w:w="1924" w:type="dxa"/>
          </w:tcPr>
          <w:p w:rsidR="00556802" w:rsidRDefault="00556802" w:rsidP="0055680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56802">
              <w:rPr>
                <w:rFonts w:ascii="Arial" w:hAnsi="Arial" w:cs="Arial"/>
                <w:sz w:val="24"/>
                <w:szCs w:val="24"/>
              </w:rPr>
              <w:t>Gwenzi</w:t>
            </w:r>
            <w:proofErr w:type="spellEnd"/>
            <w:r w:rsidRPr="0055680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C0134">
              <w:rPr>
                <w:rFonts w:ascii="Arial" w:hAnsi="Arial" w:cs="Arial"/>
                <w:i/>
                <w:sz w:val="24"/>
                <w:szCs w:val="24"/>
              </w:rPr>
              <w:t>et al.</w:t>
            </w:r>
          </w:p>
        </w:tc>
        <w:tc>
          <w:tcPr>
            <w:tcW w:w="750" w:type="dxa"/>
          </w:tcPr>
          <w:p w:rsidR="00556802" w:rsidRDefault="00556802" w:rsidP="0055680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2018</w:t>
            </w:r>
          </w:p>
        </w:tc>
        <w:tc>
          <w:tcPr>
            <w:tcW w:w="2058" w:type="dxa"/>
          </w:tcPr>
          <w:p w:rsidR="00556802" w:rsidRPr="00556802" w:rsidRDefault="00556802" w:rsidP="00556802">
            <w:pPr>
              <w:pStyle w:val="TableParagraph"/>
              <w:spacing w:line="321" w:lineRule="auto"/>
              <w:ind w:left="87" w:right="193"/>
              <w:rPr>
                <w:rFonts w:ascii="Arial" w:hAnsi="Arial" w:cs="Arial"/>
                <w:sz w:val="24"/>
                <w:szCs w:val="24"/>
              </w:rPr>
            </w:pPr>
            <w:r w:rsidRPr="00556802">
              <w:rPr>
                <w:rFonts w:ascii="Arial" w:hAnsi="Arial" w:cs="Arial"/>
                <w:spacing w:val="-2"/>
                <w:sz w:val="24"/>
                <w:szCs w:val="24"/>
              </w:rPr>
              <w:t>Review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z w:val="24"/>
                <w:szCs w:val="24"/>
              </w:rPr>
              <w:t>addressing</w:t>
            </w:r>
            <w:r w:rsidRPr="00556802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z w:val="24"/>
                <w:szCs w:val="24"/>
              </w:rPr>
              <w:t>a</w:t>
            </w:r>
          </w:p>
          <w:p w:rsidR="00556802" w:rsidRPr="00556802" w:rsidRDefault="00556802" w:rsidP="00556802">
            <w:pPr>
              <w:pStyle w:val="TableParagraph"/>
              <w:spacing w:before="1" w:line="321" w:lineRule="auto"/>
              <w:ind w:left="87" w:right="96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556802">
              <w:rPr>
                <w:rFonts w:ascii="Arial" w:hAnsi="Arial" w:cs="Arial"/>
                <w:sz w:val="24"/>
                <w:szCs w:val="24"/>
              </w:rPr>
              <w:lastRenderedPageBreak/>
              <w:t>specific</w:t>
            </w:r>
            <w:proofErr w:type="gramEnd"/>
            <w:r w:rsidRPr="0055680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z w:val="24"/>
                <w:szCs w:val="24"/>
              </w:rPr>
              <w:t>emerging-</w:t>
            </w:r>
            <w:r w:rsidRPr="00556802">
              <w:rPr>
                <w:rFonts w:ascii="Arial" w:hAnsi="Arial" w:cs="Arial"/>
                <w:spacing w:val="-2"/>
                <w:sz w:val="24"/>
                <w:szCs w:val="24"/>
              </w:rPr>
              <w:t>contaminant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pacing w:val="-2"/>
                <w:sz w:val="24"/>
                <w:szCs w:val="24"/>
              </w:rPr>
              <w:t>category.</w:t>
            </w:r>
          </w:p>
        </w:tc>
        <w:tc>
          <w:tcPr>
            <w:tcW w:w="2147" w:type="dxa"/>
          </w:tcPr>
          <w:p w:rsidR="00556802" w:rsidRPr="00556802" w:rsidRDefault="00556802" w:rsidP="00556802">
            <w:pPr>
              <w:pStyle w:val="TableParagraph"/>
              <w:spacing w:line="321" w:lineRule="auto"/>
              <w:ind w:left="86" w:right="49"/>
              <w:rPr>
                <w:rFonts w:ascii="Arial" w:hAnsi="Arial" w:cs="Arial"/>
                <w:sz w:val="24"/>
                <w:szCs w:val="24"/>
              </w:rPr>
            </w:pPr>
            <w:r w:rsidRPr="00556802">
              <w:rPr>
                <w:rFonts w:ascii="Arial" w:hAnsi="Arial" w:cs="Arial"/>
                <w:sz w:val="24"/>
                <w:szCs w:val="24"/>
              </w:rPr>
              <w:lastRenderedPageBreak/>
              <w:t>Rare earth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z w:val="24"/>
                <w:szCs w:val="24"/>
              </w:rPr>
              <w:t>elements</w:t>
            </w:r>
            <w:r w:rsidRPr="00556802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z w:val="24"/>
                <w:szCs w:val="24"/>
              </w:rPr>
              <w:t>as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pacing w:val="-2"/>
                <w:sz w:val="24"/>
                <w:szCs w:val="24"/>
              </w:rPr>
              <w:lastRenderedPageBreak/>
              <w:t>emerging</w:t>
            </w:r>
          </w:p>
          <w:p w:rsidR="00556802" w:rsidRPr="00556802" w:rsidRDefault="00556802" w:rsidP="00556802">
            <w:pPr>
              <w:pStyle w:val="TableParagraph"/>
              <w:spacing w:before="1" w:line="321" w:lineRule="auto"/>
              <w:ind w:left="86" w:right="49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556802">
              <w:rPr>
                <w:rFonts w:ascii="Arial" w:hAnsi="Arial" w:cs="Arial"/>
                <w:spacing w:val="-2"/>
                <w:sz w:val="24"/>
                <w:szCs w:val="24"/>
              </w:rPr>
              <w:t>contaminants</w:t>
            </w:r>
            <w:proofErr w:type="gramEnd"/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z w:val="24"/>
                <w:szCs w:val="24"/>
              </w:rPr>
              <w:t>associated</w:t>
            </w:r>
            <w:r w:rsidRPr="00556802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z w:val="24"/>
                <w:szCs w:val="24"/>
              </w:rPr>
              <w:t>with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pacing w:val="-2"/>
                <w:sz w:val="24"/>
                <w:szCs w:val="24"/>
              </w:rPr>
              <w:t>technological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z w:val="24"/>
                <w:szCs w:val="24"/>
              </w:rPr>
              <w:t>waste streams.</w:t>
            </w:r>
          </w:p>
        </w:tc>
        <w:tc>
          <w:tcPr>
            <w:tcW w:w="1607" w:type="dxa"/>
          </w:tcPr>
          <w:p w:rsidR="00556802" w:rsidRDefault="003E3277" w:rsidP="0055680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lastRenderedPageBreak/>
              <w:t>Narrative (Non-systematic)</w:t>
            </w:r>
          </w:p>
        </w:tc>
        <w:tc>
          <w:tcPr>
            <w:tcW w:w="1499" w:type="dxa"/>
          </w:tcPr>
          <w:p w:rsidR="00556802" w:rsidRDefault="003E3277" w:rsidP="0055680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Descriptive assessment</w:t>
            </w:r>
          </w:p>
        </w:tc>
        <w:tc>
          <w:tcPr>
            <w:tcW w:w="1350" w:type="dxa"/>
          </w:tcPr>
          <w:p w:rsidR="00556802" w:rsidRDefault="00FE663A" w:rsidP="0055680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Global</w:t>
            </w:r>
          </w:p>
        </w:tc>
        <w:tc>
          <w:tcPr>
            <w:tcW w:w="2430" w:type="dxa"/>
          </w:tcPr>
          <w:p w:rsidR="00556802" w:rsidRPr="00556802" w:rsidRDefault="00556802" w:rsidP="0055680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6802">
              <w:rPr>
                <w:rFonts w:ascii="Arial" w:hAnsi="Arial" w:cs="Arial"/>
                <w:sz w:val="24"/>
                <w:szCs w:val="24"/>
              </w:rPr>
              <w:t>The present review</w:t>
            </w:r>
          </w:p>
          <w:p w:rsidR="00556802" w:rsidRPr="00556802" w:rsidRDefault="00556802" w:rsidP="0055680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6802">
              <w:rPr>
                <w:rFonts w:ascii="Arial" w:hAnsi="Arial" w:cs="Arial"/>
                <w:sz w:val="24"/>
                <w:szCs w:val="24"/>
              </w:rPr>
              <w:t xml:space="preserve">incorporates rare earth elements </w:t>
            </w:r>
            <w:r w:rsidRPr="00556802">
              <w:rPr>
                <w:rFonts w:ascii="Arial" w:hAnsi="Arial" w:cs="Arial"/>
                <w:sz w:val="24"/>
                <w:szCs w:val="24"/>
              </w:rPr>
              <w:lastRenderedPageBreak/>
              <w:t>within a wider multi-pollutant</w:t>
            </w:r>
          </w:p>
          <w:p w:rsidR="00556802" w:rsidRDefault="00556802" w:rsidP="0055680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556802">
              <w:rPr>
                <w:rFonts w:ascii="Arial" w:hAnsi="Arial" w:cs="Arial"/>
                <w:sz w:val="24"/>
                <w:szCs w:val="24"/>
              </w:rPr>
              <w:t>synthesis</w:t>
            </w:r>
            <w:proofErr w:type="gramEnd"/>
            <w:r w:rsidRPr="00556802">
              <w:rPr>
                <w:rFonts w:ascii="Arial" w:hAnsi="Arial" w:cs="Arial"/>
                <w:sz w:val="24"/>
                <w:szCs w:val="24"/>
              </w:rPr>
              <w:t xml:space="preserve"> rather than as a stand-alone contaminant class.</w:t>
            </w:r>
          </w:p>
        </w:tc>
      </w:tr>
      <w:tr w:rsidR="00556802" w:rsidTr="00CA5934">
        <w:tc>
          <w:tcPr>
            <w:tcW w:w="1924" w:type="dxa"/>
          </w:tcPr>
          <w:p w:rsidR="00556802" w:rsidRDefault="00556802" w:rsidP="0055680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6802">
              <w:rPr>
                <w:rFonts w:ascii="Arial" w:hAnsi="Arial" w:cs="Arial"/>
                <w:sz w:val="24"/>
                <w:szCs w:val="24"/>
              </w:rPr>
              <w:lastRenderedPageBreak/>
              <w:t xml:space="preserve">Singh </w:t>
            </w:r>
            <w:r w:rsidRPr="00DC0134">
              <w:rPr>
                <w:rFonts w:ascii="Arial" w:hAnsi="Arial" w:cs="Arial"/>
                <w:i/>
                <w:sz w:val="24"/>
                <w:szCs w:val="24"/>
              </w:rPr>
              <w:t>et al.</w:t>
            </w:r>
          </w:p>
        </w:tc>
        <w:tc>
          <w:tcPr>
            <w:tcW w:w="750" w:type="dxa"/>
          </w:tcPr>
          <w:p w:rsidR="00556802" w:rsidRDefault="00556802" w:rsidP="0055680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2024</w:t>
            </w:r>
          </w:p>
        </w:tc>
        <w:tc>
          <w:tcPr>
            <w:tcW w:w="2058" w:type="dxa"/>
          </w:tcPr>
          <w:p w:rsidR="00556802" w:rsidRPr="00556802" w:rsidRDefault="00556802" w:rsidP="00556802">
            <w:pPr>
              <w:pStyle w:val="TableParagraph"/>
              <w:spacing w:line="321" w:lineRule="auto"/>
              <w:ind w:left="87" w:right="81"/>
              <w:rPr>
                <w:rFonts w:ascii="Arial" w:hAnsi="Arial" w:cs="Arial"/>
                <w:sz w:val="24"/>
                <w:szCs w:val="24"/>
              </w:rPr>
            </w:pPr>
            <w:r w:rsidRPr="00556802">
              <w:rPr>
                <w:rFonts w:ascii="Arial" w:hAnsi="Arial" w:cs="Arial"/>
                <w:spacing w:val="-2"/>
                <w:sz w:val="24"/>
                <w:szCs w:val="24"/>
              </w:rPr>
              <w:t>Review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pacing w:val="-2"/>
                <w:sz w:val="24"/>
                <w:szCs w:val="24"/>
              </w:rPr>
              <w:t>emphasizing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z w:val="24"/>
                <w:szCs w:val="24"/>
              </w:rPr>
              <w:t>environmental</w:t>
            </w:r>
            <w:r w:rsidRPr="0055680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z w:val="24"/>
                <w:szCs w:val="24"/>
              </w:rPr>
              <w:t>and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pacing w:val="-2"/>
                <w:sz w:val="24"/>
                <w:szCs w:val="24"/>
              </w:rPr>
              <w:t>exposure</w:t>
            </w:r>
          </w:p>
          <w:p w:rsidR="00556802" w:rsidRPr="00556802" w:rsidRDefault="00556802" w:rsidP="00556802">
            <w:pPr>
              <w:pStyle w:val="TableParagraph"/>
              <w:spacing w:before="2" w:line="321" w:lineRule="auto"/>
              <w:ind w:left="87" w:right="96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556802">
              <w:rPr>
                <w:rFonts w:ascii="Arial" w:hAnsi="Arial" w:cs="Arial"/>
                <w:sz w:val="24"/>
                <w:szCs w:val="24"/>
              </w:rPr>
              <w:t>consequences</w:t>
            </w:r>
            <w:proofErr w:type="gramEnd"/>
            <w:r w:rsidRPr="00556802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z w:val="24"/>
                <w:szCs w:val="24"/>
              </w:rPr>
              <w:t>in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z w:val="24"/>
                <w:szCs w:val="24"/>
              </w:rPr>
              <w:t>soil systems.</w:t>
            </w:r>
          </w:p>
        </w:tc>
        <w:tc>
          <w:tcPr>
            <w:tcW w:w="2147" w:type="dxa"/>
          </w:tcPr>
          <w:p w:rsidR="00556802" w:rsidRPr="00556802" w:rsidRDefault="00556802" w:rsidP="00556802">
            <w:pPr>
              <w:pStyle w:val="TableParagraph"/>
              <w:spacing w:line="321" w:lineRule="auto"/>
              <w:ind w:left="86" w:right="141"/>
              <w:rPr>
                <w:rFonts w:ascii="Arial" w:hAnsi="Arial" w:cs="Arial"/>
                <w:sz w:val="24"/>
                <w:szCs w:val="24"/>
              </w:rPr>
            </w:pPr>
            <w:r w:rsidRPr="00556802">
              <w:rPr>
                <w:rFonts w:ascii="Arial" w:hAnsi="Arial" w:cs="Arial"/>
                <w:spacing w:val="-4"/>
                <w:sz w:val="24"/>
                <w:szCs w:val="24"/>
              </w:rPr>
              <w:t>Soil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pacing w:val="-2"/>
                <w:sz w:val="24"/>
                <w:szCs w:val="24"/>
              </w:rPr>
              <w:t>contamination,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z w:val="24"/>
                <w:szCs w:val="24"/>
              </w:rPr>
              <w:t>reduced</w:t>
            </w:r>
            <w:r w:rsidRPr="00556802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z w:val="24"/>
                <w:szCs w:val="24"/>
              </w:rPr>
              <w:t>fertility,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556802">
              <w:rPr>
                <w:rFonts w:ascii="Arial" w:hAnsi="Arial" w:cs="Arial"/>
                <w:spacing w:val="-2"/>
                <w:sz w:val="24"/>
                <w:szCs w:val="24"/>
              </w:rPr>
              <w:t>rhizosphere</w:t>
            </w:r>
            <w:proofErr w:type="spellEnd"/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z w:val="24"/>
                <w:szCs w:val="24"/>
              </w:rPr>
              <w:t>disruption, and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z w:val="24"/>
                <w:szCs w:val="24"/>
              </w:rPr>
              <w:t>human</w:t>
            </w:r>
            <w:r w:rsidRPr="0055680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z w:val="24"/>
                <w:szCs w:val="24"/>
              </w:rPr>
              <w:t>exposure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pacing w:val="-2"/>
                <w:sz w:val="24"/>
                <w:szCs w:val="24"/>
              </w:rPr>
              <w:t>through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z w:val="24"/>
                <w:szCs w:val="24"/>
              </w:rPr>
              <w:t>ingestion and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pacing w:val="-2"/>
                <w:sz w:val="24"/>
                <w:szCs w:val="24"/>
              </w:rPr>
              <w:t>contact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pacing w:val="-2"/>
                <w:sz w:val="24"/>
                <w:szCs w:val="24"/>
              </w:rPr>
              <w:t>pathways.</w:t>
            </w:r>
          </w:p>
        </w:tc>
        <w:tc>
          <w:tcPr>
            <w:tcW w:w="1607" w:type="dxa"/>
          </w:tcPr>
          <w:p w:rsidR="00556802" w:rsidRDefault="003E3277" w:rsidP="0055680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>Narrative (Non-systematic)</w:t>
            </w:r>
          </w:p>
        </w:tc>
        <w:tc>
          <w:tcPr>
            <w:tcW w:w="1499" w:type="dxa"/>
          </w:tcPr>
          <w:p w:rsidR="00556802" w:rsidRDefault="003E3277" w:rsidP="0055680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Not formally assessed</w:t>
            </w:r>
          </w:p>
        </w:tc>
        <w:tc>
          <w:tcPr>
            <w:tcW w:w="1350" w:type="dxa"/>
          </w:tcPr>
          <w:p w:rsidR="00556802" w:rsidRDefault="00FE663A" w:rsidP="0055680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Global with focus on soil</w:t>
            </w:r>
          </w:p>
        </w:tc>
        <w:tc>
          <w:tcPr>
            <w:tcW w:w="2430" w:type="dxa"/>
          </w:tcPr>
          <w:p w:rsidR="00556802" w:rsidRPr="00556802" w:rsidRDefault="00556802" w:rsidP="0055680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6802">
              <w:rPr>
                <w:rFonts w:ascii="Arial" w:hAnsi="Arial" w:cs="Arial"/>
                <w:sz w:val="24"/>
                <w:szCs w:val="24"/>
              </w:rPr>
              <w:t>The present review is consistent with these concerns but places them within the</w:t>
            </w:r>
          </w:p>
          <w:p w:rsidR="00556802" w:rsidRDefault="00556802" w:rsidP="0055680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556802">
              <w:rPr>
                <w:rFonts w:ascii="Arial" w:hAnsi="Arial" w:cs="Arial"/>
                <w:sz w:val="24"/>
                <w:szCs w:val="24"/>
              </w:rPr>
              <w:t>landfill-leachate</w:t>
            </w:r>
            <w:proofErr w:type="gramEnd"/>
            <w:r w:rsidRPr="00556802">
              <w:rPr>
                <w:rFonts w:ascii="Arial" w:hAnsi="Arial" w:cs="Arial"/>
                <w:sz w:val="24"/>
                <w:szCs w:val="24"/>
              </w:rPr>
              <w:t xml:space="preserve"> context and links them with additional pollutant groups and health implications.</w:t>
            </w:r>
          </w:p>
        </w:tc>
      </w:tr>
      <w:tr w:rsidR="00556802" w:rsidTr="00CA5934">
        <w:tc>
          <w:tcPr>
            <w:tcW w:w="1924" w:type="dxa"/>
          </w:tcPr>
          <w:p w:rsidR="00556802" w:rsidRPr="00556802" w:rsidRDefault="00556802" w:rsidP="00556802">
            <w:pPr>
              <w:pStyle w:val="TableParagraph"/>
              <w:ind w:left="88"/>
              <w:rPr>
                <w:rFonts w:ascii="Arial" w:hAnsi="Arial" w:cs="Arial"/>
                <w:sz w:val="24"/>
                <w:szCs w:val="24"/>
              </w:rPr>
            </w:pPr>
            <w:r w:rsidRPr="00556802">
              <w:rPr>
                <w:rFonts w:ascii="Arial" w:hAnsi="Arial" w:cs="Arial"/>
                <w:sz w:val="24"/>
                <w:szCs w:val="24"/>
              </w:rPr>
              <w:t>Present</w:t>
            </w:r>
            <w:r w:rsidRPr="00556802">
              <w:rPr>
                <w:rFonts w:ascii="Arial" w:hAnsi="Arial" w:cs="Arial"/>
                <w:spacing w:val="1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pacing w:val="-2"/>
                <w:sz w:val="24"/>
                <w:szCs w:val="24"/>
              </w:rPr>
              <w:t>review</w:t>
            </w:r>
          </w:p>
        </w:tc>
        <w:tc>
          <w:tcPr>
            <w:tcW w:w="750" w:type="dxa"/>
          </w:tcPr>
          <w:p w:rsidR="00556802" w:rsidRPr="00556802" w:rsidRDefault="00556802" w:rsidP="00556802">
            <w:pPr>
              <w:pStyle w:val="TableParagraph"/>
              <w:ind w:left="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6802">
              <w:rPr>
                <w:rFonts w:ascii="Arial" w:hAnsi="Arial" w:cs="Arial"/>
                <w:spacing w:val="-4"/>
                <w:sz w:val="24"/>
                <w:szCs w:val="24"/>
              </w:rPr>
              <w:t>2024</w:t>
            </w:r>
          </w:p>
        </w:tc>
        <w:tc>
          <w:tcPr>
            <w:tcW w:w="2058" w:type="dxa"/>
          </w:tcPr>
          <w:p w:rsidR="00556802" w:rsidRPr="00556802" w:rsidRDefault="00556802" w:rsidP="00556802">
            <w:pPr>
              <w:pStyle w:val="TableParagraph"/>
              <w:spacing w:line="321" w:lineRule="auto"/>
              <w:ind w:left="87" w:right="96"/>
              <w:rPr>
                <w:rFonts w:ascii="Arial" w:hAnsi="Arial" w:cs="Arial"/>
                <w:sz w:val="24"/>
                <w:szCs w:val="24"/>
              </w:rPr>
            </w:pPr>
            <w:r w:rsidRPr="00556802">
              <w:rPr>
                <w:rFonts w:ascii="Arial" w:hAnsi="Arial" w:cs="Arial"/>
                <w:sz w:val="24"/>
                <w:szCs w:val="24"/>
              </w:rPr>
              <w:t>Systematic</w:t>
            </w:r>
            <w:r w:rsidRPr="0055680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z w:val="24"/>
                <w:szCs w:val="24"/>
              </w:rPr>
              <w:t>review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z w:val="24"/>
                <w:szCs w:val="24"/>
              </w:rPr>
              <w:t>of emerging</w:t>
            </w:r>
          </w:p>
          <w:p w:rsidR="00556802" w:rsidRPr="00556802" w:rsidRDefault="00556802" w:rsidP="00556802">
            <w:pPr>
              <w:pStyle w:val="TableParagraph"/>
              <w:spacing w:before="1" w:line="321" w:lineRule="auto"/>
              <w:ind w:left="87" w:right="193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556802">
              <w:rPr>
                <w:rFonts w:ascii="Arial" w:hAnsi="Arial" w:cs="Arial"/>
                <w:sz w:val="24"/>
                <w:szCs w:val="24"/>
              </w:rPr>
              <w:t>pollutants</w:t>
            </w:r>
            <w:proofErr w:type="gramEnd"/>
            <w:r w:rsidRPr="00556802">
              <w:rPr>
                <w:rFonts w:ascii="Arial" w:hAnsi="Arial" w:cs="Arial"/>
                <w:sz w:val="24"/>
                <w:szCs w:val="24"/>
              </w:rPr>
              <w:t xml:space="preserve"> in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z w:val="24"/>
                <w:szCs w:val="24"/>
              </w:rPr>
              <w:t>landfill leachate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z w:val="24"/>
                <w:szCs w:val="24"/>
              </w:rPr>
              <w:t>across multiple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z w:val="24"/>
                <w:szCs w:val="24"/>
              </w:rPr>
              <w:lastRenderedPageBreak/>
              <w:t>pollutant</w:t>
            </w:r>
            <w:r w:rsidRPr="0055680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z w:val="24"/>
                <w:szCs w:val="24"/>
              </w:rPr>
              <w:t>classes,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pacing w:val="-2"/>
                <w:sz w:val="24"/>
                <w:szCs w:val="24"/>
              </w:rPr>
              <w:t>environmental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pacing w:val="-2"/>
                <w:sz w:val="24"/>
                <w:szCs w:val="24"/>
              </w:rPr>
              <w:t>compartments,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z w:val="24"/>
                <w:szCs w:val="24"/>
              </w:rPr>
              <w:t>and health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pacing w:val="-2"/>
                <w:sz w:val="24"/>
                <w:szCs w:val="24"/>
              </w:rPr>
              <w:t>implications.</w:t>
            </w:r>
          </w:p>
        </w:tc>
        <w:tc>
          <w:tcPr>
            <w:tcW w:w="2147" w:type="dxa"/>
          </w:tcPr>
          <w:p w:rsidR="00556802" w:rsidRPr="00556802" w:rsidRDefault="00556802" w:rsidP="00556802">
            <w:pPr>
              <w:pStyle w:val="TableParagraph"/>
              <w:ind w:left="86"/>
              <w:rPr>
                <w:rFonts w:ascii="Arial" w:hAnsi="Arial" w:cs="Arial"/>
                <w:sz w:val="24"/>
                <w:szCs w:val="24"/>
              </w:rPr>
            </w:pPr>
            <w:r w:rsidRPr="00556802">
              <w:rPr>
                <w:rFonts w:ascii="Arial" w:hAnsi="Arial" w:cs="Arial"/>
                <w:spacing w:val="-2"/>
                <w:sz w:val="24"/>
                <w:szCs w:val="24"/>
              </w:rPr>
              <w:lastRenderedPageBreak/>
              <w:t>PPCPs,</w:t>
            </w:r>
          </w:p>
          <w:p w:rsidR="00556802" w:rsidRPr="00556802" w:rsidRDefault="00556802" w:rsidP="00556802">
            <w:pPr>
              <w:pStyle w:val="TableParagraph"/>
              <w:spacing w:before="63" w:line="321" w:lineRule="auto"/>
              <w:ind w:left="86" w:right="308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56802">
              <w:rPr>
                <w:rFonts w:ascii="Arial" w:hAnsi="Arial" w:cs="Arial"/>
                <w:spacing w:val="-2"/>
                <w:sz w:val="24"/>
                <w:szCs w:val="24"/>
              </w:rPr>
              <w:t>microplastics</w:t>
            </w:r>
            <w:proofErr w:type="spellEnd"/>
            <w:r w:rsidRPr="00556802">
              <w:rPr>
                <w:rFonts w:ascii="Arial" w:hAnsi="Arial" w:cs="Arial"/>
                <w:spacing w:val="-2"/>
                <w:sz w:val="24"/>
                <w:szCs w:val="24"/>
              </w:rPr>
              <w:t>,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z w:val="24"/>
                <w:szCs w:val="24"/>
              </w:rPr>
              <w:t>PFAS,</w:t>
            </w:r>
            <w:r w:rsidRPr="0055680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z w:val="24"/>
                <w:szCs w:val="24"/>
              </w:rPr>
              <w:t>PAHs,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z w:val="24"/>
                <w:szCs w:val="24"/>
              </w:rPr>
              <w:t>PAEs, EDCs,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pacing w:val="-2"/>
                <w:sz w:val="24"/>
                <w:szCs w:val="24"/>
              </w:rPr>
              <w:t>VOCs,</w:t>
            </w:r>
          </w:p>
          <w:p w:rsidR="00556802" w:rsidRPr="00556802" w:rsidRDefault="00556802" w:rsidP="00556802">
            <w:pPr>
              <w:pStyle w:val="TableParagraph"/>
              <w:spacing w:before="2" w:line="321" w:lineRule="auto"/>
              <w:ind w:left="86" w:right="49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556802">
              <w:rPr>
                <w:rFonts w:ascii="Arial" w:hAnsi="Arial" w:cs="Arial"/>
                <w:spacing w:val="-2"/>
                <w:sz w:val="24"/>
                <w:szCs w:val="24"/>
              </w:rPr>
              <w:t>nanoparticles</w:t>
            </w:r>
            <w:proofErr w:type="gramEnd"/>
            <w:r w:rsidRPr="00556802">
              <w:rPr>
                <w:rFonts w:ascii="Arial" w:hAnsi="Arial" w:cs="Arial"/>
                <w:spacing w:val="-2"/>
                <w:sz w:val="24"/>
                <w:szCs w:val="24"/>
              </w:rPr>
              <w:t>,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z w:val="24"/>
                <w:szCs w:val="24"/>
              </w:rPr>
              <w:t>heavy metals,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z w:val="24"/>
                <w:szCs w:val="24"/>
              </w:rPr>
              <w:t>BPA,</w:t>
            </w:r>
            <w:r w:rsidRPr="00556802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z w:val="24"/>
                <w:szCs w:val="24"/>
              </w:rPr>
              <w:t>LCMs,</w:t>
            </w:r>
            <w:r w:rsidRPr="00556802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z w:val="24"/>
                <w:szCs w:val="24"/>
              </w:rPr>
              <w:t>and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pacing w:val="-2"/>
                <w:sz w:val="24"/>
                <w:szCs w:val="24"/>
              </w:rPr>
              <w:lastRenderedPageBreak/>
              <w:t>REEs.</w:t>
            </w:r>
          </w:p>
        </w:tc>
        <w:tc>
          <w:tcPr>
            <w:tcW w:w="1607" w:type="dxa"/>
          </w:tcPr>
          <w:p w:rsidR="00556802" w:rsidRPr="00556802" w:rsidRDefault="003E3277" w:rsidP="00556802">
            <w:pPr>
              <w:pStyle w:val="TableParagraph"/>
              <w:ind w:left="8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lastRenderedPageBreak/>
              <w:t>Systematic review</w:t>
            </w:r>
          </w:p>
          <w:p w:rsidR="00556802" w:rsidRPr="00556802" w:rsidRDefault="00556802" w:rsidP="00556802">
            <w:pPr>
              <w:pStyle w:val="TableParagraph"/>
              <w:spacing w:before="63"/>
              <w:ind w:left="82"/>
              <w:rPr>
                <w:rFonts w:ascii="Arial" w:hAnsi="Arial" w:cs="Arial"/>
                <w:sz w:val="24"/>
                <w:szCs w:val="24"/>
              </w:rPr>
            </w:pPr>
            <w:r w:rsidRPr="00556802">
              <w:rPr>
                <w:rFonts w:ascii="Arial" w:hAnsi="Arial" w:cs="Arial"/>
                <w:spacing w:val="-2"/>
                <w:sz w:val="24"/>
                <w:szCs w:val="24"/>
              </w:rPr>
              <w:t>PRISMA</w:t>
            </w:r>
          </w:p>
          <w:p w:rsidR="00556802" w:rsidRPr="00556802" w:rsidRDefault="00556802" w:rsidP="00556802">
            <w:pPr>
              <w:pStyle w:val="TableParagraph"/>
              <w:spacing w:before="63" w:line="321" w:lineRule="auto"/>
              <w:ind w:left="82" w:right="97"/>
              <w:rPr>
                <w:rFonts w:ascii="Arial" w:hAnsi="Arial" w:cs="Arial"/>
                <w:sz w:val="24"/>
                <w:szCs w:val="24"/>
              </w:rPr>
            </w:pPr>
            <w:r w:rsidRPr="00556802">
              <w:rPr>
                <w:rFonts w:ascii="Arial" w:hAnsi="Arial" w:cs="Arial"/>
                <w:spacing w:val="-2"/>
                <w:sz w:val="24"/>
                <w:szCs w:val="24"/>
              </w:rPr>
              <w:t>2020-guided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z w:val="24"/>
                <w:szCs w:val="24"/>
              </w:rPr>
              <w:t>search and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pacing w:val="-2"/>
                <w:sz w:val="24"/>
                <w:szCs w:val="24"/>
              </w:rPr>
              <w:t>explicit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z w:val="24"/>
                <w:szCs w:val="24"/>
              </w:rPr>
              <w:t>study-</w:t>
            </w:r>
            <w:r w:rsidRPr="00556802">
              <w:rPr>
                <w:rFonts w:ascii="Arial" w:hAnsi="Arial" w:cs="Arial"/>
                <w:spacing w:val="-2"/>
                <w:sz w:val="24"/>
                <w:szCs w:val="24"/>
              </w:rPr>
              <w:lastRenderedPageBreak/>
              <w:t>selection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pacing w:val="-2"/>
                <w:sz w:val="24"/>
                <w:szCs w:val="24"/>
              </w:rPr>
              <w:t>reporting.</w:t>
            </w:r>
          </w:p>
        </w:tc>
        <w:tc>
          <w:tcPr>
            <w:tcW w:w="1499" w:type="dxa"/>
          </w:tcPr>
          <w:p w:rsidR="00556802" w:rsidRPr="00556802" w:rsidRDefault="00556802" w:rsidP="00556802">
            <w:pPr>
              <w:pStyle w:val="TableParagraph"/>
              <w:spacing w:line="321" w:lineRule="auto"/>
              <w:ind w:left="94" w:right="89"/>
              <w:rPr>
                <w:rFonts w:ascii="Arial" w:hAnsi="Arial" w:cs="Arial"/>
                <w:sz w:val="24"/>
                <w:szCs w:val="24"/>
              </w:rPr>
            </w:pPr>
            <w:r w:rsidRPr="00556802">
              <w:rPr>
                <w:rFonts w:ascii="Arial" w:hAnsi="Arial" w:cs="Arial"/>
                <w:sz w:val="24"/>
                <w:szCs w:val="24"/>
              </w:rPr>
              <w:lastRenderedPageBreak/>
              <w:t>Yes. Formal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pacing w:val="-2"/>
                <w:sz w:val="24"/>
                <w:szCs w:val="24"/>
              </w:rPr>
              <w:t>quality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pacing w:val="-2"/>
                <w:sz w:val="24"/>
                <w:szCs w:val="24"/>
              </w:rPr>
              <w:t>appraisal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z w:val="24"/>
                <w:szCs w:val="24"/>
              </w:rPr>
              <w:t>applied</w:t>
            </w:r>
            <w:r w:rsidRPr="00556802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z w:val="24"/>
                <w:szCs w:val="24"/>
              </w:rPr>
              <w:t>using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z w:val="24"/>
                <w:szCs w:val="24"/>
              </w:rPr>
              <w:t>design-</w:t>
            </w:r>
          </w:p>
          <w:p w:rsidR="00556802" w:rsidRPr="00556802" w:rsidRDefault="00556802" w:rsidP="00556802">
            <w:pPr>
              <w:pStyle w:val="TableParagraph"/>
              <w:spacing w:before="2" w:line="321" w:lineRule="auto"/>
              <w:ind w:left="94" w:right="89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556802">
              <w:rPr>
                <w:rFonts w:ascii="Arial" w:hAnsi="Arial" w:cs="Arial"/>
                <w:spacing w:val="-2"/>
                <w:sz w:val="24"/>
                <w:szCs w:val="24"/>
              </w:rPr>
              <w:t>appropriat</w:t>
            </w:r>
            <w:r w:rsidRPr="00556802">
              <w:rPr>
                <w:rFonts w:ascii="Arial" w:hAnsi="Arial" w:cs="Arial"/>
                <w:spacing w:val="-2"/>
                <w:sz w:val="24"/>
                <w:szCs w:val="24"/>
              </w:rPr>
              <w:lastRenderedPageBreak/>
              <w:t>e</w:t>
            </w:r>
            <w:proofErr w:type="gramEnd"/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z w:val="24"/>
                <w:szCs w:val="24"/>
              </w:rPr>
              <w:t>tools for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pacing w:val="-2"/>
                <w:sz w:val="24"/>
                <w:szCs w:val="24"/>
              </w:rPr>
              <w:t>primary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pacing w:val="-2"/>
                <w:sz w:val="24"/>
                <w:szCs w:val="24"/>
              </w:rPr>
              <w:t>empirical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pacing w:val="-2"/>
                <w:sz w:val="24"/>
                <w:szCs w:val="24"/>
              </w:rPr>
              <w:t>studies.</w:t>
            </w:r>
          </w:p>
        </w:tc>
        <w:tc>
          <w:tcPr>
            <w:tcW w:w="1350" w:type="dxa"/>
          </w:tcPr>
          <w:p w:rsidR="00556802" w:rsidRPr="00556802" w:rsidRDefault="00556802" w:rsidP="00556802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556802">
              <w:rPr>
                <w:rFonts w:ascii="Arial" w:hAnsi="Arial" w:cs="Arial"/>
                <w:spacing w:val="-4"/>
                <w:sz w:val="24"/>
                <w:szCs w:val="24"/>
              </w:rPr>
              <w:lastRenderedPageBreak/>
              <w:t>Yes.</w:t>
            </w:r>
          </w:p>
          <w:p w:rsidR="00556802" w:rsidRPr="00556802" w:rsidRDefault="00556802" w:rsidP="00556802">
            <w:pPr>
              <w:pStyle w:val="TableParagraph"/>
              <w:spacing w:before="63" w:line="321" w:lineRule="auto"/>
              <w:rPr>
                <w:rFonts w:ascii="Arial" w:hAnsi="Arial" w:cs="Arial"/>
                <w:sz w:val="24"/>
                <w:szCs w:val="24"/>
              </w:rPr>
            </w:pPr>
            <w:r w:rsidRPr="00556802">
              <w:rPr>
                <w:rFonts w:ascii="Arial" w:hAnsi="Arial" w:cs="Arial"/>
                <w:spacing w:val="-2"/>
                <w:sz w:val="24"/>
                <w:szCs w:val="24"/>
              </w:rPr>
              <w:t>Quantitative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pacing w:val="-2"/>
                <w:sz w:val="24"/>
                <w:szCs w:val="24"/>
              </w:rPr>
              <w:t>geographic</w:t>
            </w:r>
          </w:p>
          <w:p w:rsidR="00556802" w:rsidRPr="00556802" w:rsidRDefault="00556802" w:rsidP="00556802">
            <w:pPr>
              <w:pStyle w:val="TableParagraph"/>
              <w:spacing w:before="1" w:line="321" w:lineRule="auto"/>
              <w:rPr>
                <w:rFonts w:ascii="Arial" w:hAnsi="Arial" w:cs="Arial"/>
                <w:sz w:val="24"/>
                <w:szCs w:val="24"/>
              </w:rPr>
            </w:pPr>
            <w:r w:rsidRPr="00556802">
              <w:rPr>
                <w:rFonts w:ascii="Arial" w:hAnsi="Arial" w:cs="Arial"/>
                <w:sz w:val="24"/>
                <w:szCs w:val="24"/>
              </w:rPr>
              <w:t>analysis</w:t>
            </w:r>
            <w:r w:rsidRPr="00556802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z w:val="24"/>
                <w:szCs w:val="24"/>
              </w:rPr>
              <w:t>of</w:t>
            </w:r>
            <w:r w:rsidRPr="00556802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z w:val="24"/>
                <w:szCs w:val="24"/>
              </w:rPr>
              <w:t>the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z w:val="24"/>
                <w:szCs w:val="24"/>
              </w:rPr>
              <w:t>evidence</w:t>
            </w:r>
            <w:r w:rsidRPr="00556802">
              <w:rPr>
                <w:rFonts w:ascii="Arial" w:hAnsi="Arial" w:cs="Arial"/>
                <w:spacing w:val="12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pacing w:val="-2"/>
                <w:sz w:val="24"/>
                <w:szCs w:val="24"/>
              </w:rPr>
              <w:lastRenderedPageBreak/>
              <w:t>base,</w:t>
            </w:r>
          </w:p>
          <w:p w:rsidR="00556802" w:rsidRPr="00556802" w:rsidRDefault="00556802" w:rsidP="00556802">
            <w:pPr>
              <w:pStyle w:val="TableParagraph"/>
              <w:spacing w:before="1" w:line="321" w:lineRule="auto"/>
              <w:rPr>
                <w:rFonts w:ascii="Arial" w:hAnsi="Arial" w:cs="Arial"/>
                <w:sz w:val="24"/>
                <w:szCs w:val="24"/>
              </w:rPr>
            </w:pPr>
            <w:r w:rsidRPr="00556802">
              <w:rPr>
                <w:rFonts w:ascii="Arial" w:hAnsi="Arial" w:cs="Arial"/>
                <w:sz w:val="24"/>
                <w:szCs w:val="24"/>
              </w:rPr>
              <w:t>including</w:t>
            </w:r>
            <w:r w:rsidRPr="0055680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z w:val="24"/>
                <w:szCs w:val="24"/>
              </w:rPr>
              <w:t>global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pacing w:val="-2"/>
                <w:sz w:val="24"/>
                <w:szCs w:val="24"/>
              </w:rPr>
              <w:t>comparative</w:t>
            </w:r>
          </w:p>
          <w:p w:rsidR="00556802" w:rsidRPr="00556802" w:rsidRDefault="00556802" w:rsidP="00556802">
            <w:pPr>
              <w:pStyle w:val="TableParagraph"/>
              <w:spacing w:before="0"/>
              <w:rPr>
                <w:rFonts w:ascii="Arial" w:hAnsi="Arial" w:cs="Arial"/>
                <w:sz w:val="24"/>
                <w:szCs w:val="24"/>
              </w:rPr>
            </w:pPr>
            <w:r w:rsidRPr="00556802">
              <w:rPr>
                <w:rFonts w:ascii="Arial" w:hAnsi="Arial" w:cs="Arial"/>
                <w:sz w:val="24"/>
                <w:szCs w:val="24"/>
              </w:rPr>
              <w:t>studies</w:t>
            </w:r>
            <w:r w:rsidRPr="00556802">
              <w:rPr>
                <w:rFonts w:ascii="Arial" w:hAnsi="Arial" w:cs="Arial"/>
                <w:spacing w:val="9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pacing w:val="-4"/>
                <w:sz w:val="24"/>
                <w:szCs w:val="24"/>
              </w:rPr>
              <w:t>(20;</w:t>
            </w:r>
          </w:p>
          <w:p w:rsidR="00556802" w:rsidRPr="00556802" w:rsidRDefault="00556802" w:rsidP="00556802">
            <w:pPr>
              <w:pStyle w:val="TableParagraph"/>
              <w:spacing w:before="63"/>
              <w:rPr>
                <w:rFonts w:ascii="Arial" w:hAnsi="Arial" w:cs="Arial"/>
                <w:sz w:val="24"/>
                <w:szCs w:val="24"/>
              </w:rPr>
            </w:pPr>
            <w:r w:rsidRPr="00556802">
              <w:rPr>
                <w:rFonts w:ascii="Arial" w:hAnsi="Arial" w:cs="Arial"/>
                <w:sz w:val="24"/>
                <w:szCs w:val="24"/>
              </w:rPr>
              <w:t>40%),</w:t>
            </w:r>
            <w:r w:rsidRPr="0055680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z w:val="24"/>
                <w:szCs w:val="24"/>
              </w:rPr>
              <w:t>Asia</w:t>
            </w:r>
            <w:r w:rsidRPr="00556802">
              <w:rPr>
                <w:rFonts w:ascii="Arial" w:hAnsi="Arial" w:cs="Arial"/>
                <w:spacing w:val="9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pacing w:val="-4"/>
                <w:sz w:val="24"/>
                <w:szCs w:val="24"/>
              </w:rPr>
              <w:t>(13;</w:t>
            </w:r>
          </w:p>
          <w:p w:rsidR="00556802" w:rsidRPr="00556802" w:rsidRDefault="00556802" w:rsidP="00556802">
            <w:pPr>
              <w:pStyle w:val="TableParagraph"/>
              <w:spacing w:before="63"/>
              <w:rPr>
                <w:rFonts w:ascii="Arial" w:hAnsi="Arial" w:cs="Arial"/>
                <w:sz w:val="24"/>
                <w:szCs w:val="24"/>
              </w:rPr>
            </w:pPr>
            <w:r w:rsidRPr="00556802">
              <w:rPr>
                <w:rFonts w:ascii="Arial" w:hAnsi="Arial" w:cs="Arial"/>
                <w:sz w:val="24"/>
                <w:szCs w:val="24"/>
              </w:rPr>
              <w:t>26%),</w:t>
            </w:r>
            <w:r w:rsidRPr="00556802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z w:val="24"/>
                <w:szCs w:val="24"/>
              </w:rPr>
              <w:t>Africa</w:t>
            </w:r>
            <w:r w:rsidRPr="00556802">
              <w:rPr>
                <w:rFonts w:ascii="Arial" w:hAnsi="Arial" w:cs="Arial"/>
                <w:spacing w:val="1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pacing w:val="-5"/>
                <w:sz w:val="24"/>
                <w:szCs w:val="24"/>
              </w:rPr>
              <w:t>(8;</w:t>
            </w:r>
          </w:p>
          <w:p w:rsidR="00556802" w:rsidRPr="00556802" w:rsidRDefault="00556802" w:rsidP="00556802">
            <w:pPr>
              <w:pStyle w:val="TableParagraph"/>
              <w:spacing w:before="63"/>
              <w:rPr>
                <w:rFonts w:ascii="Arial" w:hAnsi="Arial" w:cs="Arial"/>
                <w:sz w:val="24"/>
                <w:szCs w:val="24"/>
              </w:rPr>
            </w:pPr>
            <w:r w:rsidRPr="00556802">
              <w:rPr>
                <w:rFonts w:ascii="Arial" w:hAnsi="Arial" w:cs="Arial"/>
                <w:sz w:val="24"/>
                <w:szCs w:val="24"/>
              </w:rPr>
              <w:t>16%),</w:t>
            </w:r>
            <w:r w:rsidRPr="00556802">
              <w:rPr>
                <w:rFonts w:ascii="Arial" w:hAnsi="Arial" w:cs="Arial"/>
                <w:spacing w:val="8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pacing w:val="-2"/>
                <w:sz w:val="24"/>
                <w:szCs w:val="24"/>
              </w:rPr>
              <w:t>Europe</w:t>
            </w:r>
          </w:p>
          <w:p w:rsidR="00556802" w:rsidRPr="00556802" w:rsidRDefault="00556802" w:rsidP="00556802">
            <w:pPr>
              <w:pStyle w:val="TableParagraph"/>
              <w:spacing w:before="63"/>
              <w:rPr>
                <w:rFonts w:ascii="Arial" w:hAnsi="Arial" w:cs="Arial"/>
                <w:sz w:val="24"/>
                <w:szCs w:val="24"/>
              </w:rPr>
            </w:pPr>
            <w:r w:rsidRPr="00556802">
              <w:rPr>
                <w:rFonts w:ascii="Arial" w:hAnsi="Arial" w:cs="Arial"/>
                <w:sz w:val="24"/>
                <w:szCs w:val="24"/>
              </w:rPr>
              <w:t>(4;</w:t>
            </w:r>
            <w:r w:rsidRPr="00556802">
              <w:rPr>
                <w:rFonts w:ascii="Arial" w:hAnsi="Arial" w:cs="Arial"/>
                <w:spacing w:val="5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z w:val="24"/>
                <w:szCs w:val="24"/>
              </w:rPr>
              <w:t>8%),</w:t>
            </w:r>
            <w:r w:rsidRPr="00556802">
              <w:rPr>
                <w:rFonts w:ascii="Arial" w:hAnsi="Arial" w:cs="Arial"/>
                <w:spacing w:val="6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pacing w:val="-2"/>
                <w:sz w:val="24"/>
                <w:szCs w:val="24"/>
              </w:rPr>
              <w:t>North</w:t>
            </w:r>
          </w:p>
          <w:p w:rsidR="00556802" w:rsidRPr="00556802" w:rsidRDefault="00556802" w:rsidP="00556802">
            <w:pPr>
              <w:pStyle w:val="TableParagraph"/>
              <w:spacing w:before="63"/>
              <w:rPr>
                <w:rFonts w:ascii="Arial" w:hAnsi="Arial" w:cs="Arial"/>
                <w:sz w:val="24"/>
                <w:szCs w:val="24"/>
              </w:rPr>
            </w:pPr>
            <w:r w:rsidRPr="00556802">
              <w:rPr>
                <w:rFonts w:ascii="Arial" w:hAnsi="Arial" w:cs="Arial"/>
                <w:sz w:val="24"/>
                <w:szCs w:val="24"/>
              </w:rPr>
              <w:t>America</w:t>
            </w:r>
            <w:r w:rsidRPr="00556802">
              <w:rPr>
                <w:rFonts w:ascii="Arial" w:hAnsi="Arial" w:cs="Arial"/>
                <w:spacing w:val="12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pacing w:val="-5"/>
                <w:sz w:val="24"/>
                <w:szCs w:val="24"/>
              </w:rPr>
              <w:t>(3;</w:t>
            </w:r>
          </w:p>
          <w:p w:rsidR="00556802" w:rsidRPr="00556802" w:rsidRDefault="00556802" w:rsidP="00556802">
            <w:pPr>
              <w:pStyle w:val="TableParagraph"/>
              <w:spacing w:before="63"/>
              <w:rPr>
                <w:rFonts w:ascii="Arial" w:hAnsi="Arial" w:cs="Arial"/>
                <w:sz w:val="24"/>
                <w:szCs w:val="24"/>
              </w:rPr>
            </w:pPr>
            <w:r w:rsidRPr="00556802">
              <w:rPr>
                <w:rFonts w:ascii="Arial" w:hAnsi="Arial" w:cs="Arial"/>
                <w:sz w:val="24"/>
                <w:szCs w:val="24"/>
              </w:rPr>
              <w:t>6%),</w:t>
            </w:r>
            <w:r w:rsidRPr="00556802">
              <w:rPr>
                <w:rFonts w:ascii="Arial" w:hAnsi="Arial" w:cs="Arial"/>
                <w:spacing w:val="6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z w:val="24"/>
                <w:szCs w:val="24"/>
              </w:rPr>
              <w:t>and</w:t>
            </w:r>
            <w:r w:rsidRPr="00556802">
              <w:rPr>
                <w:rFonts w:ascii="Arial" w:hAnsi="Arial" w:cs="Arial"/>
                <w:spacing w:val="6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pacing w:val="-2"/>
                <w:sz w:val="24"/>
                <w:szCs w:val="24"/>
              </w:rPr>
              <w:t>Middle</w:t>
            </w:r>
          </w:p>
          <w:p w:rsidR="00556802" w:rsidRPr="00556802" w:rsidRDefault="00556802" w:rsidP="00556802">
            <w:pPr>
              <w:pStyle w:val="TableParagraph"/>
              <w:spacing w:before="63"/>
              <w:rPr>
                <w:rFonts w:ascii="Arial" w:hAnsi="Arial" w:cs="Arial"/>
                <w:sz w:val="24"/>
                <w:szCs w:val="24"/>
              </w:rPr>
            </w:pPr>
            <w:r w:rsidRPr="00556802">
              <w:rPr>
                <w:rFonts w:ascii="Arial" w:hAnsi="Arial" w:cs="Arial"/>
                <w:sz w:val="24"/>
                <w:szCs w:val="24"/>
              </w:rPr>
              <w:t>East</w:t>
            </w:r>
            <w:r w:rsidRPr="00556802">
              <w:rPr>
                <w:rFonts w:ascii="Arial" w:hAnsi="Arial" w:cs="Arial"/>
                <w:spacing w:val="5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z w:val="24"/>
                <w:szCs w:val="24"/>
              </w:rPr>
              <w:t>(2;</w:t>
            </w:r>
            <w:r w:rsidRPr="00556802">
              <w:rPr>
                <w:rFonts w:ascii="Arial" w:hAnsi="Arial" w:cs="Arial"/>
                <w:spacing w:val="6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pacing w:val="-4"/>
                <w:sz w:val="24"/>
                <w:szCs w:val="24"/>
              </w:rPr>
              <w:t>4%).</w:t>
            </w:r>
          </w:p>
        </w:tc>
        <w:tc>
          <w:tcPr>
            <w:tcW w:w="2430" w:type="dxa"/>
          </w:tcPr>
          <w:p w:rsidR="00556802" w:rsidRPr="00556802" w:rsidRDefault="00556802" w:rsidP="00556802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556802">
              <w:rPr>
                <w:rFonts w:ascii="Arial" w:hAnsi="Arial" w:cs="Arial"/>
                <w:sz w:val="24"/>
                <w:szCs w:val="24"/>
              </w:rPr>
              <w:lastRenderedPageBreak/>
              <w:t>Provides</w:t>
            </w:r>
            <w:r w:rsidRPr="00556802">
              <w:rPr>
                <w:rFonts w:ascii="Arial" w:hAnsi="Arial" w:cs="Arial"/>
                <w:spacing w:val="7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z w:val="24"/>
                <w:szCs w:val="24"/>
              </w:rPr>
              <w:t>a</w:t>
            </w:r>
            <w:r w:rsidRPr="00556802">
              <w:rPr>
                <w:rFonts w:ascii="Arial" w:hAnsi="Arial" w:cs="Arial"/>
                <w:spacing w:val="7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pacing w:val="-4"/>
                <w:sz w:val="24"/>
                <w:szCs w:val="24"/>
              </w:rPr>
              <w:t>more</w:t>
            </w:r>
          </w:p>
          <w:p w:rsidR="00556802" w:rsidRPr="00556802" w:rsidRDefault="00556802" w:rsidP="00556802">
            <w:pPr>
              <w:pStyle w:val="TableParagraph"/>
              <w:spacing w:before="63" w:line="321" w:lineRule="auto"/>
              <w:ind w:right="182"/>
              <w:rPr>
                <w:rFonts w:ascii="Arial" w:hAnsi="Arial" w:cs="Arial"/>
                <w:sz w:val="24"/>
                <w:szCs w:val="24"/>
              </w:rPr>
            </w:pPr>
            <w:r w:rsidRPr="00556802">
              <w:rPr>
                <w:rFonts w:ascii="Arial" w:hAnsi="Arial" w:cs="Arial"/>
                <w:sz w:val="24"/>
                <w:szCs w:val="24"/>
              </w:rPr>
              <w:t>comprehensive and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pacing w:val="-2"/>
                <w:sz w:val="24"/>
                <w:szCs w:val="24"/>
              </w:rPr>
              <w:t>methodologically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z w:val="24"/>
                <w:szCs w:val="24"/>
              </w:rPr>
              <w:t>explicit synthesis by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z w:val="24"/>
                <w:szCs w:val="24"/>
              </w:rPr>
              <w:t>screening 115 records,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z w:val="24"/>
                <w:szCs w:val="24"/>
              </w:rPr>
              <w:t xml:space="preserve">assessing 68 full </w:t>
            </w:r>
            <w:r w:rsidRPr="00556802">
              <w:rPr>
                <w:rFonts w:ascii="Arial" w:hAnsi="Arial" w:cs="Arial"/>
                <w:sz w:val="24"/>
                <w:szCs w:val="24"/>
              </w:rPr>
              <w:lastRenderedPageBreak/>
              <w:t>texts,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z w:val="24"/>
                <w:szCs w:val="24"/>
              </w:rPr>
              <w:t>including 50 studies,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z w:val="24"/>
                <w:szCs w:val="24"/>
              </w:rPr>
              <w:t>linking environmental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z w:val="24"/>
                <w:szCs w:val="24"/>
              </w:rPr>
              <w:t>and human-health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z w:val="24"/>
                <w:szCs w:val="24"/>
              </w:rPr>
              <w:t>outcomes, and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z w:val="24"/>
                <w:szCs w:val="24"/>
              </w:rPr>
              <w:t>highlighting mixture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pacing w:val="-2"/>
                <w:sz w:val="24"/>
                <w:szCs w:val="24"/>
              </w:rPr>
              <w:t>toxicity,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pacing w:val="-2"/>
                <w:sz w:val="24"/>
                <w:szCs w:val="24"/>
              </w:rPr>
              <w:t>methodological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z w:val="24"/>
                <w:szCs w:val="24"/>
              </w:rPr>
              <w:t>heterogeneity, and</w:t>
            </w:r>
          </w:p>
          <w:p w:rsidR="00556802" w:rsidRPr="00556802" w:rsidRDefault="00556802" w:rsidP="00556802">
            <w:pPr>
              <w:pStyle w:val="TableParagraph"/>
              <w:spacing w:before="6" w:line="321" w:lineRule="auto"/>
              <w:ind w:right="85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556802">
              <w:rPr>
                <w:rFonts w:ascii="Arial" w:hAnsi="Arial" w:cs="Arial"/>
                <w:sz w:val="24"/>
                <w:szCs w:val="24"/>
              </w:rPr>
              <w:t>geographic</w:t>
            </w:r>
            <w:proofErr w:type="gramEnd"/>
            <w:r w:rsidRPr="00556802">
              <w:rPr>
                <w:rFonts w:ascii="Arial" w:hAnsi="Arial" w:cs="Arial"/>
                <w:sz w:val="24"/>
                <w:szCs w:val="24"/>
              </w:rPr>
              <w:t xml:space="preserve"> research</w:t>
            </w:r>
            <w:r w:rsidRPr="00556802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556802">
              <w:rPr>
                <w:rFonts w:ascii="Arial" w:hAnsi="Arial" w:cs="Arial"/>
                <w:spacing w:val="-2"/>
                <w:sz w:val="24"/>
                <w:szCs w:val="24"/>
              </w:rPr>
              <w:t>imbalance.</w:t>
            </w:r>
          </w:p>
        </w:tc>
      </w:tr>
    </w:tbl>
    <w:p w:rsidR="00F011B2" w:rsidRPr="00A500BD" w:rsidRDefault="00F011B2" w:rsidP="00A500BD">
      <w:pPr>
        <w:jc w:val="both"/>
        <w:rPr>
          <w:rFonts w:ascii="Arial" w:hAnsi="Arial" w:cs="Arial"/>
          <w:sz w:val="24"/>
          <w:szCs w:val="24"/>
        </w:rPr>
      </w:pPr>
    </w:p>
    <w:p w:rsidR="00A500BD" w:rsidRDefault="00A500BD" w:rsidP="00D2408F">
      <w:pPr>
        <w:jc w:val="both"/>
        <w:rPr>
          <w:rFonts w:ascii="Arial" w:hAnsi="Arial" w:cs="Arial"/>
          <w:sz w:val="24"/>
          <w:szCs w:val="24"/>
        </w:rPr>
      </w:pPr>
    </w:p>
    <w:p w:rsidR="00A500BD" w:rsidRDefault="00A500BD" w:rsidP="00D2408F">
      <w:pPr>
        <w:jc w:val="both"/>
        <w:rPr>
          <w:rFonts w:ascii="Arial" w:hAnsi="Arial" w:cs="Arial"/>
          <w:sz w:val="24"/>
          <w:szCs w:val="24"/>
        </w:rPr>
      </w:pPr>
    </w:p>
    <w:p w:rsidR="00EC20E5" w:rsidRPr="00D2408F" w:rsidRDefault="005C797C" w:rsidP="00D2408F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EC20E5" w:rsidRPr="00D2408F" w:rsidSect="00A500B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797C" w:rsidRDefault="005C797C" w:rsidP="002E51AD">
      <w:pPr>
        <w:spacing w:after="0" w:line="240" w:lineRule="auto"/>
      </w:pPr>
      <w:r>
        <w:separator/>
      </w:r>
    </w:p>
  </w:endnote>
  <w:endnote w:type="continuationSeparator" w:id="0">
    <w:p w:rsidR="005C797C" w:rsidRDefault="005C797C" w:rsidP="002E51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8667528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E51AD" w:rsidRDefault="002E51A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E51AD" w:rsidRDefault="002E51A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797C" w:rsidRDefault="005C797C" w:rsidP="002E51AD">
      <w:pPr>
        <w:spacing w:after="0" w:line="240" w:lineRule="auto"/>
      </w:pPr>
      <w:r>
        <w:separator/>
      </w:r>
    </w:p>
  </w:footnote>
  <w:footnote w:type="continuationSeparator" w:id="0">
    <w:p w:rsidR="005C797C" w:rsidRDefault="005C797C" w:rsidP="002E51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08F"/>
    <w:rsid w:val="00236DA2"/>
    <w:rsid w:val="00293358"/>
    <w:rsid w:val="002E51AD"/>
    <w:rsid w:val="003E3277"/>
    <w:rsid w:val="005316C9"/>
    <w:rsid w:val="00556802"/>
    <w:rsid w:val="005C20D8"/>
    <w:rsid w:val="005C797C"/>
    <w:rsid w:val="008B1FF6"/>
    <w:rsid w:val="00A500BD"/>
    <w:rsid w:val="00CA5934"/>
    <w:rsid w:val="00D2408F"/>
    <w:rsid w:val="00DC0134"/>
    <w:rsid w:val="00DD33DD"/>
    <w:rsid w:val="00F011B2"/>
    <w:rsid w:val="00FE6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67BC5D-F24D-4947-B971-65DFCFA2D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240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011B2"/>
    <w:pPr>
      <w:widowControl w:val="0"/>
      <w:autoSpaceDE w:val="0"/>
      <w:autoSpaceDN w:val="0"/>
      <w:spacing w:before="137" w:after="0" w:line="240" w:lineRule="auto"/>
      <w:ind w:left="127"/>
    </w:pPr>
    <w:rPr>
      <w:rFonts w:ascii="Liberation Serif" w:eastAsia="Liberation Serif" w:hAnsi="Liberation Serif" w:cs="Liberation Serif"/>
    </w:rPr>
  </w:style>
  <w:style w:type="paragraph" w:styleId="Header">
    <w:name w:val="header"/>
    <w:basedOn w:val="Normal"/>
    <w:link w:val="HeaderChar"/>
    <w:uiPriority w:val="99"/>
    <w:unhideWhenUsed/>
    <w:rsid w:val="002E51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51AD"/>
  </w:style>
  <w:style w:type="paragraph" w:styleId="Footer">
    <w:name w:val="footer"/>
    <w:basedOn w:val="Normal"/>
    <w:link w:val="FooterChar"/>
    <w:uiPriority w:val="99"/>
    <w:unhideWhenUsed/>
    <w:rsid w:val="002E51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51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20</Pages>
  <Words>3962</Words>
  <Characters>22586</Characters>
  <Application>Microsoft Office Word</Application>
  <DocSecurity>0</DocSecurity>
  <Lines>188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2026-05-22T22:29:00Z</dcterms:created>
  <dcterms:modified xsi:type="dcterms:W3CDTF">2026-05-23T02:02:00Z</dcterms:modified>
</cp:coreProperties>
</file>