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0A99F" w14:textId="77777777" w:rsidR="002D46CC" w:rsidRPr="000708BC" w:rsidRDefault="00327E2D">
      <w:pPr>
        <w:pStyle w:val="Header"/>
        <w:rPr>
          <w:rFonts w:ascii="Arial" w:hAnsi="Arial" w:cs="Arial"/>
          <w:sz w:val="28"/>
        </w:rPr>
      </w:pPr>
      <w:r w:rsidRPr="000708BC">
        <w:rPr>
          <w:rFonts w:ascii="Arial" w:hAnsi="Arial" w:cs="Arial"/>
          <w:noProof/>
        </w:rPr>
        <w:drawing>
          <wp:anchor distT="0" distB="0" distL="114300" distR="114300" simplePos="0" relativeHeight="251658240" behindDoc="1" locked="0" layoutInCell="1" allowOverlap="1" wp14:anchorId="7206A554" wp14:editId="76FADC16">
            <wp:simplePos x="0" y="0"/>
            <wp:positionH relativeFrom="column">
              <wp:posOffset>-38100</wp:posOffset>
            </wp:positionH>
            <wp:positionV relativeFrom="paragraph">
              <wp:posOffset>-5080</wp:posOffset>
            </wp:positionV>
            <wp:extent cx="5467350" cy="476250"/>
            <wp:effectExtent l="0" t="0" r="0" b="0"/>
            <wp:wrapNone/>
            <wp:docPr id="33" name="Picture 1" descr="esupp new graphi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esupp new graphic"/>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735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8190C" w14:textId="77777777" w:rsidR="002B5979" w:rsidRPr="000708BC" w:rsidRDefault="002B5979" w:rsidP="00BC4005">
      <w:pPr>
        <w:pStyle w:val="Header"/>
        <w:outlineLvl w:val="0"/>
        <w:rPr>
          <w:rFonts w:ascii="Arial" w:hAnsi="Arial" w:cs="Arial"/>
          <w:sz w:val="21"/>
          <w:szCs w:val="21"/>
        </w:rPr>
      </w:pPr>
      <w:r w:rsidRPr="000708BC">
        <w:rPr>
          <w:rFonts w:ascii="Arial" w:hAnsi="Arial" w:cs="Arial"/>
          <w:sz w:val="28"/>
        </w:rPr>
        <w:t xml:space="preserve">           </w:t>
      </w:r>
      <w:r w:rsidRPr="000708BC">
        <w:rPr>
          <w:rFonts w:ascii="Arial" w:hAnsi="Arial" w:cs="Arial"/>
          <w:sz w:val="21"/>
          <w:szCs w:val="21"/>
        </w:rPr>
        <w:t>SUPPORTING INFORMATION FOR:</w:t>
      </w:r>
    </w:p>
    <w:p w14:paraId="3D85A47F" w14:textId="77777777" w:rsidR="002B5979" w:rsidRPr="000708BC" w:rsidRDefault="002B5979">
      <w:pPr>
        <w:pStyle w:val="Header"/>
        <w:rPr>
          <w:rFonts w:ascii="Arial" w:hAnsi="Arial" w:cs="Arial"/>
          <w:sz w:val="28"/>
        </w:rPr>
      </w:pPr>
    </w:p>
    <w:p w14:paraId="4B046C62" w14:textId="0884462E" w:rsidR="00637D84" w:rsidRPr="000708BC" w:rsidRDefault="004242C9" w:rsidP="008A2B05">
      <w:pPr>
        <w:pStyle w:val="Header"/>
        <w:rPr>
          <w:rFonts w:ascii="Arial" w:hAnsi="Arial" w:cs="Arial"/>
          <w:b/>
          <w:sz w:val="28"/>
        </w:rPr>
      </w:pPr>
      <w:r w:rsidRPr="000708BC">
        <w:rPr>
          <w:rFonts w:ascii="Arial" w:hAnsi="Arial" w:cs="Arial"/>
          <w:sz w:val="28"/>
        </w:rPr>
        <w:t>Cepeda-Kato</w:t>
      </w:r>
      <w:r w:rsidR="0067182A" w:rsidRPr="000708BC">
        <w:rPr>
          <w:rFonts w:ascii="Arial" w:hAnsi="Arial" w:cs="Arial"/>
          <w:sz w:val="28"/>
        </w:rPr>
        <w:t xml:space="preserve">, </w:t>
      </w:r>
      <w:r w:rsidRPr="000708BC">
        <w:rPr>
          <w:rFonts w:ascii="Arial" w:hAnsi="Arial" w:cs="Arial"/>
          <w:sz w:val="28"/>
        </w:rPr>
        <w:t>J</w:t>
      </w:r>
      <w:r w:rsidR="008929D7" w:rsidRPr="000708BC">
        <w:rPr>
          <w:rFonts w:ascii="Arial" w:hAnsi="Arial" w:cs="Arial"/>
          <w:sz w:val="28"/>
        </w:rPr>
        <w:t>.</w:t>
      </w:r>
      <w:r w:rsidR="00957CB3" w:rsidRPr="000708BC">
        <w:rPr>
          <w:rFonts w:ascii="Arial" w:hAnsi="Arial" w:cs="Arial"/>
          <w:sz w:val="28"/>
        </w:rPr>
        <w:t xml:space="preserve">, </w:t>
      </w:r>
      <w:r w:rsidRPr="000708BC">
        <w:rPr>
          <w:rFonts w:ascii="Arial" w:hAnsi="Arial" w:cs="Arial"/>
          <w:sz w:val="28"/>
        </w:rPr>
        <w:t>Zhengyang</w:t>
      </w:r>
      <w:r w:rsidR="00957CB3" w:rsidRPr="000708BC">
        <w:rPr>
          <w:rFonts w:ascii="Arial" w:hAnsi="Arial" w:cs="Arial"/>
          <w:sz w:val="28"/>
        </w:rPr>
        <w:t>,</w:t>
      </w:r>
      <w:r w:rsidR="009F5CBF" w:rsidRPr="000708BC">
        <w:rPr>
          <w:rFonts w:ascii="Arial" w:hAnsi="Arial" w:cs="Arial"/>
          <w:sz w:val="28"/>
        </w:rPr>
        <w:t xml:space="preserve"> </w:t>
      </w:r>
      <w:r w:rsidRPr="000708BC">
        <w:rPr>
          <w:rFonts w:ascii="Arial" w:hAnsi="Arial" w:cs="Arial"/>
          <w:sz w:val="28"/>
        </w:rPr>
        <w:t>Z</w:t>
      </w:r>
      <w:r w:rsidR="00DB45F4" w:rsidRPr="000708BC">
        <w:rPr>
          <w:rFonts w:ascii="Arial" w:hAnsi="Arial" w:cs="Arial"/>
          <w:sz w:val="28"/>
        </w:rPr>
        <w:t xml:space="preserve">. &amp; </w:t>
      </w:r>
      <w:r w:rsidRPr="000708BC">
        <w:rPr>
          <w:rFonts w:ascii="Arial" w:hAnsi="Arial" w:cs="Arial"/>
          <w:sz w:val="28"/>
        </w:rPr>
        <w:t>Matsubae</w:t>
      </w:r>
      <w:r w:rsidR="00DB45F4" w:rsidRPr="000708BC">
        <w:rPr>
          <w:rFonts w:ascii="Arial" w:hAnsi="Arial" w:cs="Arial"/>
          <w:sz w:val="28"/>
        </w:rPr>
        <w:t xml:space="preserve">, </w:t>
      </w:r>
      <w:r w:rsidRPr="000708BC">
        <w:rPr>
          <w:rFonts w:ascii="Arial" w:hAnsi="Arial" w:cs="Arial"/>
          <w:sz w:val="28"/>
        </w:rPr>
        <w:t>K</w:t>
      </w:r>
      <w:r w:rsidR="00DB45F4" w:rsidRPr="000708BC">
        <w:rPr>
          <w:rFonts w:ascii="Arial" w:hAnsi="Arial" w:cs="Arial"/>
          <w:sz w:val="28"/>
        </w:rPr>
        <w:t>.</w:t>
      </w:r>
      <w:r w:rsidR="00281931" w:rsidRPr="000708BC">
        <w:rPr>
          <w:rFonts w:ascii="Arial" w:hAnsi="Arial" w:cs="Arial"/>
        </w:rPr>
        <w:t xml:space="preserve"> </w:t>
      </w:r>
      <w:r w:rsidR="00957CB3" w:rsidRPr="000708BC">
        <w:rPr>
          <w:rFonts w:ascii="Arial" w:hAnsi="Arial" w:cs="Arial"/>
          <w:sz w:val="28"/>
        </w:rPr>
        <w:t>Article title</w:t>
      </w:r>
      <w:r w:rsidRPr="000708BC">
        <w:rPr>
          <w:rFonts w:ascii="Arial" w:hAnsi="Arial" w:cs="Arial"/>
          <w:sz w:val="28"/>
        </w:rPr>
        <w:t xml:space="preserve">: </w:t>
      </w:r>
      <w:r w:rsidR="005A15EA" w:rsidRPr="000708BC">
        <w:rPr>
          <w:rFonts w:ascii="Arial" w:hAnsi="Arial" w:cs="Arial"/>
          <w:sz w:val="28"/>
        </w:rPr>
        <w:t>Environmental Trade-offs from Renewable Energy Adoption in Chile’s Copper Production: A Life Cycle Assessment</w:t>
      </w:r>
      <w:r w:rsidR="0067182A" w:rsidRPr="000708BC">
        <w:rPr>
          <w:rFonts w:ascii="Arial" w:hAnsi="Arial" w:cs="Arial"/>
          <w:sz w:val="28"/>
        </w:rPr>
        <w:t xml:space="preserve">. </w:t>
      </w:r>
      <w:r w:rsidR="0067182A" w:rsidRPr="000708BC">
        <w:rPr>
          <w:rFonts w:ascii="Arial" w:hAnsi="Arial" w:cs="Arial"/>
          <w:i/>
          <w:sz w:val="28"/>
        </w:rPr>
        <w:t>Journal of Industrial Ecology.</w:t>
      </w:r>
    </w:p>
    <w:p w14:paraId="03BEDA0D" w14:textId="77777777" w:rsidR="00637D84" w:rsidRPr="000708BC" w:rsidRDefault="00597759">
      <w:pPr>
        <w:pStyle w:val="Header"/>
        <w:rPr>
          <w:rFonts w:ascii="Arial" w:hAnsi="Arial" w:cs="Arial"/>
          <w:sz w:val="20"/>
        </w:rPr>
      </w:pPr>
      <w:r w:rsidRPr="000708BC">
        <w:rPr>
          <w:rFonts w:ascii="Arial" w:hAnsi="Arial" w:cs="Arial"/>
          <w:noProof/>
          <w:sz w:val="20"/>
        </w:rPr>
      </w:r>
      <w:r w:rsidR="00597759" w:rsidRPr="000708BC">
        <w:rPr>
          <w:rFonts w:ascii="Arial" w:hAnsi="Arial" w:cs="Arial"/>
          <w:noProof/>
          <w:sz w:val="20"/>
        </w:rPr>
        <w:object w:dxaOrig="1440" w:dyaOrig="1440" w14:anchorId="4634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3.6pt;margin-top:11.45pt;width:259.5pt;height:20.25pt;z-index:251657216;mso-wrap-edited:f;mso-width-percent:0;mso-height-percent:0;mso-width-percent:0;mso-height-percent:0" o:allowincell="f">
            <v:imagedata r:id="rId9" o:title=""/>
            <w10:wrap type="topAndBottom"/>
          </v:shape>
          <o:OLEObject Type="Embed" ProgID="PBrush" ShapeID="_x0000_s1026" DrawAspect="Content" ObjectID="_1818397912" r:id="rId10"/>
        </w:object>
      </w:r>
    </w:p>
    <w:p w14:paraId="4BBFCE28" w14:textId="037E7EF8" w:rsidR="00637D84" w:rsidRPr="000708BC" w:rsidRDefault="00933DB9" w:rsidP="00933DB9">
      <w:pPr>
        <w:jc w:val="both"/>
        <w:rPr>
          <w:rFonts w:ascii="Arial" w:hAnsi="Arial" w:cs="Arial"/>
          <w:sz w:val="20"/>
        </w:rPr>
      </w:pPr>
      <w:r w:rsidRPr="000708BC">
        <w:rPr>
          <w:rFonts w:ascii="Arial" w:hAnsi="Arial" w:cs="Arial"/>
          <w:sz w:val="22"/>
        </w:rPr>
        <w:t>Supporting Information S</w:t>
      </w:r>
      <w:r w:rsidR="00966C3C" w:rsidRPr="000708BC">
        <w:rPr>
          <w:rFonts w:ascii="Arial" w:hAnsi="Arial" w:cs="Arial"/>
          <w:sz w:val="22"/>
        </w:rPr>
        <w:t>1</w:t>
      </w:r>
      <w:r w:rsidRPr="000708BC">
        <w:rPr>
          <w:rFonts w:ascii="Arial" w:hAnsi="Arial" w:cs="Arial"/>
          <w:sz w:val="22"/>
        </w:rPr>
        <w:t xml:space="preserve">: </w:t>
      </w:r>
      <w:r w:rsidR="00A208B1" w:rsidRPr="00A208B1">
        <w:rPr>
          <w:rFonts w:ascii="Arial" w:hAnsi="Arial" w:cs="Arial"/>
          <w:sz w:val="22"/>
        </w:rPr>
        <w:t>This document provides a detailed description of the scenario configurations used in this study. It includes the assumptions and parameters applied to model electricity, fuel, and water supply systems under both the business-as-usual and renewables-led scenarios, as well as the integration of ore grade decline into the analysis. The document outlines the methodological choices, boundary conditions, and system design considerations that underpin the life cycle assessment, thereby ensuring transparency and reproducibility of the results presented in the main text</w:t>
      </w:r>
      <w:r w:rsidR="00E20F3D" w:rsidRPr="000708BC">
        <w:rPr>
          <w:rFonts w:ascii="Arial" w:hAnsi="Arial" w:cs="Arial"/>
          <w:sz w:val="22"/>
        </w:rPr>
        <w:t>.</w:t>
      </w:r>
      <w:r w:rsidR="00327E2D" w:rsidRPr="000708BC">
        <w:rPr>
          <w:rFonts w:ascii="Arial" w:hAnsi="Arial" w:cs="Arial"/>
          <w:noProof/>
          <w:sz w:val="20"/>
        </w:rPr>
        <w:drawing>
          <wp:inline distT="0" distB="0" distL="0" distR="0" wp14:anchorId="74F80C02" wp14:editId="6AF19B84">
            <wp:extent cx="3065780" cy="14986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5780" cy="149860"/>
                    </a:xfrm>
                    <a:prstGeom prst="rect">
                      <a:avLst/>
                    </a:prstGeom>
                    <a:noFill/>
                    <a:ln>
                      <a:noFill/>
                    </a:ln>
                  </pic:spPr>
                </pic:pic>
              </a:graphicData>
            </a:graphic>
          </wp:inline>
        </w:drawing>
      </w:r>
    </w:p>
    <w:p w14:paraId="1854BF88" w14:textId="044F1847" w:rsidR="005053C2" w:rsidRPr="000708BC" w:rsidRDefault="005053C2" w:rsidP="00753B61">
      <w:pPr>
        <w:pStyle w:val="JIEreferencelist"/>
        <w:ind w:left="0" w:firstLine="0"/>
        <w:jc w:val="both"/>
        <w:rPr>
          <w:rFonts w:ascii="Arial" w:hAnsi="Arial" w:cs="Arial"/>
          <w:iCs/>
          <w:sz w:val="22"/>
          <w:szCs w:val="22"/>
        </w:rPr>
      </w:pPr>
    </w:p>
    <w:p w14:paraId="6585B5AF" w14:textId="4560F948" w:rsidR="00E33CA5" w:rsidRPr="000708BC" w:rsidRDefault="001B155B" w:rsidP="00A645EB">
      <w:pPr>
        <w:pStyle w:val="JIEreferencelist"/>
        <w:ind w:left="0" w:firstLine="0"/>
        <w:jc w:val="both"/>
        <w:rPr>
          <w:rFonts w:ascii="Arial" w:hAnsi="Arial" w:cs="Arial"/>
          <w:iCs/>
          <w:sz w:val="22"/>
          <w:szCs w:val="22"/>
        </w:rPr>
      </w:pPr>
      <w:r w:rsidRPr="000708BC">
        <w:rPr>
          <w:rFonts w:ascii="Arial" w:hAnsi="Arial" w:cs="Arial"/>
          <w:iCs/>
          <w:sz w:val="22"/>
          <w:szCs w:val="22"/>
        </w:rPr>
        <w:t>The objective of this study was to assess and quantify the environmental trade-offs associated with integrating energy transition strategies into copper production in Chile, using 1 ton of copper cathode as the functional unit for both pyrometallurgical ([P]Cu) and hydrometallurgical ([H]Cu) production routes. Two scenarios were evaluated: a business-as-usual (BAU) scenario, reflecting production conditions in 2023, and a renewable</w:t>
      </w:r>
      <w:r w:rsidR="002D3FD8" w:rsidRPr="000708BC">
        <w:rPr>
          <w:rFonts w:ascii="Arial" w:hAnsi="Arial" w:cs="Arial"/>
          <w:iCs/>
          <w:sz w:val="22"/>
          <w:szCs w:val="22"/>
        </w:rPr>
        <w:t>s</w:t>
      </w:r>
      <w:r w:rsidRPr="000708BC">
        <w:rPr>
          <w:rFonts w:ascii="Arial" w:hAnsi="Arial" w:cs="Arial"/>
          <w:iCs/>
          <w:sz w:val="22"/>
          <w:szCs w:val="22"/>
        </w:rPr>
        <w:t>-led scenario, representing a projected future in 2050 in which copper production relies predominantly on renewable energy sources and is fully supplied with desalinated seawater. Within the renewable</w:t>
      </w:r>
      <w:r w:rsidR="00340BAB" w:rsidRPr="000708BC">
        <w:rPr>
          <w:rFonts w:ascii="Arial" w:hAnsi="Arial" w:cs="Arial"/>
          <w:iCs/>
          <w:sz w:val="22"/>
          <w:szCs w:val="22"/>
        </w:rPr>
        <w:t>s</w:t>
      </w:r>
      <w:r w:rsidRPr="000708BC">
        <w:rPr>
          <w:rFonts w:ascii="Arial" w:hAnsi="Arial" w:cs="Arial"/>
          <w:iCs/>
          <w:sz w:val="22"/>
          <w:szCs w:val="22"/>
        </w:rPr>
        <w:t>-led scenario, variations in green hydrogen production technologies and delivery pathways were also examined. A complete description of the scenarios and their variations is provided in Table S1-1.</w:t>
      </w:r>
    </w:p>
    <w:p w14:paraId="26FD09DA" w14:textId="77777777" w:rsidR="001B155B" w:rsidRPr="000708BC" w:rsidRDefault="001B155B" w:rsidP="00A645EB">
      <w:pPr>
        <w:pStyle w:val="JIEreferencelist"/>
        <w:ind w:left="0" w:firstLine="0"/>
        <w:jc w:val="both"/>
        <w:rPr>
          <w:rFonts w:ascii="Arial" w:hAnsi="Arial" w:cs="Arial"/>
          <w:iCs/>
          <w:sz w:val="22"/>
          <w:szCs w:val="22"/>
        </w:rPr>
      </w:pPr>
    </w:p>
    <w:p w14:paraId="4981CFF2" w14:textId="77777777" w:rsidR="00A645EB" w:rsidRPr="000708BC" w:rsidRDefault="00A645EB" w:rsidP="00A645EB">
      <w:pPr>
        <w:pStyle w:val="JIEreferencelist"/>
        <w:ind w:left="0" w:firstLine="0"/>
        <w:jc w:val="both"/>
        <w:rPr>
          <w:rFonts w:ascii="Arial" w:hAnsi="Arial" w:cs="Arial"/>
          <w:iCs/>
          <w:sz w:val="22"/>
          <w:szCs w:val="22"/>
        </w:rPr>
      </w:pPr>
      <w:r w:rsidRPr="000708BC">
        <w:rPr>
          <w:rFonts w:ascii="Arial" w:hAnsi="Arial" w:cs="Arial"/>
          <w:iCs/>
          <w:sz w:val="22"/>
          <w:szCs w:val="22"/>
        </w:rPr>
        <w:t>In addition to modeling electricity, fuel, and water supply in the future scenario, the analysis incorporated the effect of declining ore grades to better represent current trends in mineral production. Information on ore grade projections and changes in energy inputs is provided in Section 1.</w:t>
      </w:r>
    </w:p>
    <w:p w14:paraId="141359BF" w14:textId="77777777" w:rsidR="00A645EB" w:rsidRPr="000708BC" w:rsidRDefault="00A645EB" w:rsidP="00A645EB">
      <w:pPr>
        <w:pStyle w:val="JIEreferencelist"/>
        <w:ind w:left="0" w:firstLine="0"/>
        <w:jc w:val="both"/>
        <w:rPr>
          <w:rFonts w:ascii="Arial" w:hAnsi="Arial" w:cs="Arial"/>
          <w:iCs/>
          <w:sz w:val="22"/>
          <w:szCs w:val="22"/>
        </w:rPr>
      </w:pPr>
    </w:p>
    <w:p w14:paraId="43B22AF1" w14:textId="1F58C7DF" w:rsidR="00A70222" w:rsidRPr="000708BC" w:rsidRDefault="00A645EB" w:rsidP="00A645EB">
      <w:pPr>
        <w:pStyle w:val="JIEreferencelist"/>
        <w:ind w:left="0" w:firstLine="0"/>
        <w:jc w:val="both"/>
        <w:rPr>
          <w:rFonts w:ascii="Arial" w:hAnsi="Arial" w:cs="Arial"/>
          <w:iCs/>
          <w:sz w:val="22"/>
          <w:szCs w:val="22"/>
        </w:rPr>
      </w:pPr>
      <w:r w:rsidRPr="000708BC">
        <w:rPr>
          <w:rFonts w:ascii="Arial" w:hAnsi="Arial" w:cs="Arial"/>
          <w:iCs/>
          <w:sz w:val="22"/>
          <w:szCs w:val="22"/>
        </w:rPr>
        <w:t xml:space="preserve">Details on system design and core datasets for Stages 1 through 4 are presented in Sections 2–5, respectively, while comprehensive datasets and life cycle inventories are included in Supporting Information </w:t>
      </w:r>
      <w:r w:rsidR="00F965E7" w:rsidRPr="000708BC">
        <w:rPr>
          <w:rFonts w:ascii="Arial" w:hAnsi="Arial" w:cs="Arial"/>
          <w:iCs/>
          <w:sz w:val="22"/>
          <w:szCs w:val="22"/>
        </w:rPr>
        <w:t>S</w:t>
      </w:r>
      <w:r w:rsidRPr="000708BC">
        <w:rPr>
          <w:rFonts w:ascii="Arial" w:hAnsi="Arial" w:cs="Arial"/>
          <w:iCs/>
          <w:sz w:val="22"/>
          <w:szCs w:val="22"/>
        </w:rPr>
        <w:t>4.</w:t>
      </w:r>
    </w:p>
    <w:p w14:paraId="0634A069" w14:textId="77777777" w:rsidR="007F10CC" w:rsidRPr="000708BC" w:rsidRDefault="007F10CC" w:rsidP="00A645EB">
      <w:pPr>
        <w:pStyle w:val="JIEreferencelist"/>
        <w:ind w:left="0" w:firstLine="0"/>
        <w:jc w:val="both"/>
        <w:rPr>
          <w:rFonts w:ascii="Arial" w:hAnsi="Arial" w:cs="Arial"/>
          <w:iCs/>
          <w:sz w:val="22"/>
          <w:szCs w:val="22"/>
        </w:rPr>
      </w:pPr>
    </w:p>
    <w:p w14:paraId="33D9AB13" w14:textId="645A10E4" w:rsidR="007F10CC" w:rsidRPr="000708BC" w:rsidRDefault="007F10CC" w:rsidP="00A645EB">
      <w:pPr>
        <w:pStyle w:val="JIEreferencelist"/>
        <w:ind w:left="0" w:firstLine="0"/>
        <w:jc w:val="both"/>
        <w:rPr>
          <w:rFonts w:ascii="Arial" w:hAnsi="Arial" w:cs="Arial"/>
          <w:iCs/>
          <w:sz w:val="22"/>
          <w:szCs w:val="22"/>
        </w:rPr>
      </w:pPr>
      <w:r w:rsidRPr="000708BC">
        <w:rPr>
          <w:rFonts w:ascii="Arial" w:hAnsi="Arial" w:cs="Arial"/>
          <w:iCs/>
          <w:sz w:val="22"/>
          <w:szCs w:val="22"/>
        </w:rPr>
        <w:lastRenderedPageBreak/>
        <w:t xml:space="preserve">The LCIA was performed by using SimaPro v9.5 software </w:t>
      </w:r>
      <w:sdt>
        <w:sdtPr>
          <w:rPr>
            <w:rFonts w:ascii="Arial" w:hAnsi="Arial" w:cs="Arial"/>
            <w:iCs/>
            <w:color w:val="000000"/>
            <w:sz w:val="22"/>
            <w:szCs w:val="22"/>
          </w:rPr>
          <w:tag w:val="MENDELEY_CITATION_v3_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"/>
          <w:id w:val="25994927"/>
          <w:placeholder>
            <w:docPart w:val="DefaultPlaceholder_-1854013440"/>
          </w:placeholder>
        </w:sdtPr>
        <w:sdtEndPr/>
        <w:sdtContent>
          <w:r w:rsidR="002422C9" w:rsidRPr="000708BC">
            <w:rPr>
              <w:rFonts w:ascii="Arial" w:hAnsi="Arial" w:cs="Arial"/>
              <w:iCs/>
              <w:color w:val="000000"/>
              <w:sz w:val="22"/>
              <w:szCs w:val="22"/>
            </w:rPr>
            <w:t>(</w:t>
          </w:r>
          <w:proofErr w:type="spellStart"/>
          <w:r w:rsidR="002422C9" w:rsidRPr="000708BC">
            <w:rPr>
              <w:rFonts w:ascii="Arial" w:hAnsi="Arial" w:cs="Arial"/>
              <w:iCs/>
              <w:color w:val="000000"/>
              <w:sz w:val="22"/>
              <w:szCs w:val="22"/>
            </w:rPr>
            <w:t>PRé</w:t>
          </w:r>
          <w:proofErr w:type="spellEnd"/>
          <w:r w:rsidR="002422C9" w:rsidRPr="000708BC">
            <w:rPr>
              <w:rFonts w:ascii="Arial" w:hAnsi="Arial" w:cs="Arial"/>
              <w:iCs/>
              <w:color w:val="000000"/>
              <w:sz w:val="22"/>
              <w:szCs w:val="22"/>
            </w:rPr>
            <w:t xml:space="preserve"> Sustainability, 2023)</w:t>
          </w:r>
        </w:sdtContent>
      </w:sdt>
      <w:r w:rsidR="000577DB" w:rsidRPr="000708BC">
        <w:rPr>
          <w:rFonts w:ascii="Arial" w:hAnsi="Arial" w:cs="Arial"/>
          <w:iCs/>
          <w:sz w:val="22"/>
          <w:szCs w:val="22"/>
        </w:rPr>
        <w:t xml:space="preserve"> </w:t>
      </w:r>
      <w:r w:rsidRPr="000708BC">
        <w:rPr>
          <w:rFonts w:ascii="Arial" w:hAnsi="Arial" w:cs="Arial"/>
          <w:iCs/>
          <w:sz w:val="22"/>
          <w:szCs w:val="22"/>
        </w:rPr>
        <w:t>and applied the ReCiPe 2016-Hierarchist impact assessment method</w:t>
      </w:r>
      <w:r w:rsidR="003D40E6"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"/>
          <w:id w:val="-366761458"/>
          <w:placeholder>
            <w:docPart w:val="DefaultPlaceholder_-1854013440"/>
          </w:placeholder>
        </w:sdtPr>
        <w:sdtEndPr/>
        <w:sdtContent>
          <w:r w:rsidR="002422C9" w:rsidRPr="000708BC">
            <w:rPr>
              <w:rFonts w:ascii="Arial" w:eastAsia="Times New Roman" w:hAnsi="Arial" w:cs="Arial"/>
              <w:color w:val="000000"/>
              <w:sz w:val="22"/>
            </w:rPr>
            <w:t xml:space="preserve">(Jolliet, </w:t>
          </w:r>
          <w:proofErr w:type="spellStart"/>
          <w:r w:rsidR="002422C9" w:rsidRPr="000708BC">
            <w:rPr>
              <w:rFonts w:ascii="Arial" w:eastAsia="Times New Roman" w:hAnsi="Arial" w:cs="Arial"/>
              <w:color w:val="000000"/>
              <w:sz w:val="22"/>
            </w:rPr>
            <w:t>Saadé-Sbeih</w:t>
          </w:r>
          <w:proofErr w:type="spellEnd"/>
          <w:r w:rsidR="002422C9" w:rsidRPr="000708BC">
            <w:rPr>
              <w:rFonts w:ascii="Arial" w:eastAsia="Times New Roman" w:hAnsi="Arial" w:cs="Arial"/>
              <w:color w:val="000000"/>
              <w:sz w:val="22"/>
            </w:rPr>
            <w:t xml:space="preserve">, Shaked, &amp; </w:t>
          </w:r>
          <w:proofErr w:type="spellStart"/>
          <w:r w:rsidR="002422C9" w:rsidRPr="000708BC">
            <w:rPr>
              <w:rFonts w:ascii="Arial" w:eastAsia="Times New Roman" w:hAnsi="Arial" w:cs="Arial"/>
              <w:color w:val="000000"/>
              <w:sz w:val="22"/>
            </w:rPr>
            <w:t>Crettaz</w:t>
          </w:r>
          <w:proofErr w:type="spellEnd"/>
          <w:r w:rsidR="002422C9" w:rsidRPr="000708BC">
            <w:rPr>
              <w:rFonts w:ascii="Arial" w:eastAsia="Times New Roman" w:hAnsi="Arial" w:cs="Arial"/>
              <w:color w:val="000000"/>
              <w:sz w:val="22"/>
            </w:rPr>
            <w:t>, 2020)</w:t>
          </w:r>
        </w:sdtContent>
      </w:sdt>
      <w:r w:rsidRPr="000708BC">
        <w:rPr>
          <w:rFonts w:ascii="Arial" w:hAnsi="Arial" w:cs="Arial"/>
          <w:iCs/>
          <w:sz w:val="22"/>
          <w:szCs w:val="22"/>
        </w:rPr>
        <w:t>. The 17 indicators included in the analysis were:</w:t>
      </w:r>
    </w:p>
    <w:p w14:paraId="25A76CCB" w14:textId="09D71F5D"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Global warming (GWP)</w:t>
      </w:r>
    </w:p>
    <w:p w14:paraId="6B74A8E9" w14:textId="06D2ACE7"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Stratospheric ozone depletion (ODP)</w:t>
      </w:r>
    </w:p>
    <w:p w14:paraId="4521CED8" w14:textId="3BE51446"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Ionizing radiation (IRP)</w:t>
      </w:r>
    </w:p>
    <w:p w14:paraId="4CFE95E8" w14:textId="7CF6EDE8"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Tropospheric ozone formation (human health) (HOFP)</w:t>
      </w:r>
    </w:p>
    <w:p w14:paraId="29ADE4BD" w14:textId="4F67FB6F"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Fine particulate matter formation (FPMF)</w:t>
      </w:r>
    </w:p>
    <w:p w14:paraId="3C21BFA6" w14:textId="3635A6AA"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Tropospheric ozone formation (ecosystems) (EOFP)</w:t>
      </w:r>
    </w:p>
    <w:p w14:paraId="44B0FA06" w14:textId="2D826298"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Terrestrial acidification (TAP)</w:t>
      </w:r>
    </w:p>
    <w:p w14:paraId="6CECAB96" w14:textId="585291A7"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Freshwater eutrophication (FEP)</w:t>
      </w:r>
    </w:p>
    <w:p w14:paraId="617049D3" w14:textId="14C6FD1B"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Terrestrial ecotoxicity (TETP)</w:t>
      </w:r>
    </w:p>
    <w:p w14:paraId="540F806D" w14:textId="6C7ADCED"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Freshwater ecotoxicity (FETP)</w:t>
      </w:r>
    </w:p>
    <w:p w14:paraId="11561339" w14:textId="30B23412"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Marine ecotoxicity (METP)</w:t>
      </w:r>
    </w:p>
    <w:p w14:paraId="6023E180" w14:textId="55093FBB"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Human carcinogenic toxicity (</w:t>
      </w:r>
      <w:proofErr w:type="spellStart"/>
      <w:r w:rsidRPr="000708BC">
        <w:rPr>
          <w:rFonts w:ascii="Arial" w:hAnsi="Arial" w:cs="Arial"/>
          <w:iCs/>
          <w:sz w:val="22"/>
          <w:szCs w:val="22"/>
        </w:rPr>
        <w:t>HTPc</w:t>
      </w:r>
      <w:proofErr w:type="spellEnd"/>
      <w:r w:rsidRPr="000708BC">
        <w:rPr>
          <w:rFonts w:ascii="Arial" w:hAnsi="Arial" w:cs="Arial"/>
          <w:iCs/>
          <w:sz w:val="22"/>
          <w:szCs w:val="22"/>
        </w:rPr>
        <w:t>)</w:t>
      </w:r>
    </w:p>
    <w:p w14:paraId="77D67EF1" w14:textId="2483C4DA"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Human non-carcinogenic toxicity (HTPnc)</w:t>
      </w:r>
    </w:p>
    <w:p w14:paraId="3AEAD709" w14:textId="681D26DE"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Land use (LOP)</w:t>
      </w:r>
    </w:p>
    <w:p w14:paraId="77AA04E9" w14:textId="7322739C"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Mineral resource scarcity (MRS)</w:t>
      </w:r>
    </w:p>
    <w:p w14:paraId="51C1A4D1" w14:textId="53B67D16" w:rsidR="007F10CC" w:rsidRPr="000708BC" w:rsidRDefault="007F10CC" w:rsidP="007F10CC">
      <w:pPr>
        <w:pStyle w:val="JIEreferencelist"/>
        <w:numPr>
          <w:ilvl w:val="0"/>
          <w:numId w:val="26"/>
        </w:numPr>
        <w:jc w:val="both"/>
        <w:rPr>
          <w:rFonts w:ascii="Arial" w:hAnsi="Arial" w:cs="Arial"/>
          <w:iCs/>
          <w:sz w:val="22"/>
          <w:szCs w:val="22"/>
        </w:rPr>
      </w:pPr>
      <w:r w:rsidRPr="000708BC">
        <w:rPr>
          <w:rFonts w:ascii="Arial" w:hAnsi="Arial" w:cs="Arial"/>
          <w:iCs/>
          <w:sz w:val="22"/>
          <w:szCs w:val="22"/>
        </w:rPr>
        <w:t>Fossil resource scarcity (FFS)</w:t>
      </w:r>
    </w:p>
    <w:p w14:paraId="3C583D4A" w14:textId="742D9E11" w:rsidR="007F10CC" w:rsidRPr="000708BC" w:rsidRDefault="007F10CC" w:rsidP="002F64B4">
      <w:pPr>
        <w:pStyle w:val="JIEreferencelist"/>
        <w:numPr>
          <w:ilvl w:val="0"/>
          <w:numId w:val="26"/>
        </w:numPr>
        <w:jc w:val="both"/>
        <w:rPr>
          <w:rFonts w:ascii="Arial" w:hAnsi="Arial" w:cs="Arial"/>
          <w:iCs/>
          <w:sz w:val="22"/>
          <w:szCs w:val="22"/>
        </w:rPr>
      </w:pPr>
      <w:r w:rsidRPr="000708BC">
        <w:rPr>
          <w:rFonts w:ascii="Arial" w:hAnsi="Arial" w:cs="Arial"/>
          <w:iCs/>
          <w:sz w:val="22"/>
          <w:szCs w:val="22"/>
        </w:rPr>
        <w:t>Water consumption (WCP)</w:t>
      </w:r>
    </w:p>
    <w:p w14:paraId="038CB11B" w14:textId="77777777" w:rsidR="0099208C" w:rsidRPr="000708BC" w:rsidRDefault="0099208C" w:rsidP="00753B61">
      <w:pPr>
        <w:pStyle w:val="JIEreferencelist"/>
        <w:ind w:left="0" w:firstLine="0"/>
        <w:jc w:val="both"/>
        <w:rPr>
          <w:rFonts w:ascii="Arial" w:hAnsi="Arial" w:cs="Arial"/>
          <w:iCs/>
          <w:sz w:val="22"/>
          <w:szCs w:val="22"/>
        </w:rPr>
      </w:pPr>
    </w:p>
    <w:p w14:paraId="59797090" w14:textId="77777777" w:rsidR="00AE0F21" w:rsidRPr="000708BC" w:rsidRDefault="00AE0F21" w:rsidP="00753B61">
      <w:pPr>
        <w:pStyle w:val="JIEreferencelist"/>
        <w:ind w:left="0" w:firstLine="0"/>
        <w:jc w:val="both"/>
        <w:rPr>
          <w:rFonts w:ascii="Arial" w:hAnsi="Arial" w:cs="Arial"/>
          <w:iCs/>
          <w:sz w:val="22"/>
          <w:szCs w:val="22"/>
        </w:rPr>
        <w:sectPr w:rsidR="00AE0F21" w:rsidRPr="000708BC" w:rsidSect="00E921D9">
          <w:headerReference w:type="default" r:id="rId12"/>
          <w:footerReference w:type="default" r:id="rId13"/>
          <w:headerReference w:type="first" r:id="rId14"/>
          <w:pgSz w:w="12240" w:h="15840"/>
          <w:pgMar w:top="1440" w:right="1800" w:bottom="1440" w:left="1800" w:header="720" w:footer="720" w:gutter="0"/>
          <w:cols w:space="720"/>
        </w:sectPr>
      </w:pPr>
    </w:p>
    <w:p w14:paraId="69D7468E" w14:textId="0F91BB12" w:rsidR="00AE0F21" w:rsidRPr="000708BC" w:rsidRDefault="00126269" w:rsidP="00126269">
      <w:pPr>
        <w:pStyle w:val="JIEreferencelist"/>
        <w:ind w:left="0" w:firstLine="0"/>
        <w:rPr>
          <w:rFonts w:ascii="Arial" w:hAnsi="Arial" w:cs="Arial"/>
          <w:i/>
          <w:sz w:val="20"/>
        </w:rPr>
      </w:pPr>
      <w:r w:rsidRPr="000708BC">
        <w:rPr>
          <w:rFonts w:ascii="Arial" w:hAnsi="Arial" w:cs="Arial"/>
          <w:i/>
          <w:sz w:val="20"/>
        </w:rPr>
        <w:lastRenderedPageBreak/>
        <w:t>Table S</w:t>
      </w:r>
      <w:r w:rsidR="00E308F3" w:rsidRPr="000708BC">
        <w:rPr>
          <w:rFonts w:ascii="Arial" w:hAnsi="Arial" w:cs="Arial"/>
          <w:i/>
          <w:sz w:val="20"/>
        </w:rPr>
        <w:t>1</w:t>
      </w:r>
      <w:r w:rsidRPr="000708BC">
        <w:rPr>
          <w:rFonts w:ascii="Arial" w:hAnsi="Arial" w:cs="Arial"/>
          <w:i/>
          <w:sz w:val="20"/>
        </w:rPr>
        <w:t>-1 Scenarios settings</w:t>
      </w:r>
    </w:p>
    <w:tbl>
      <w:tblPr>
        <w:tblW w:w="5000" w:type="pct"/>
        <w:jc w:val="center"/>
        <w:tblLayout w:type="fixed"/>
        <w:tblLook w:val="04A0" w:firstRow="1" w:lastRow="0" w:firstColumn="1" w:lastColumn="0" w:noHBand="0" w:noVBand="1"/>
      </w:tblPr>
      <w:tblGrid>
        <w:gridCol w:w="704"/>
        <w:gridCol w:w="1920"/>
        <w:gridCol w:w="1461"/>
        <w:gridCol w:w="588"/>
        <w:gridCol w:w="992"/>
        <w:gridCol w:w="1701"/>
        <w:gridCol w:w="993"/>
        <w:gridCol w:w="1134"/>
        <w:gridCol w:w="1559"/>
        <w:gridCol w:w="1110"/>
        <w:gridCol w:w="788"/>
      </w:tblGrid>
      <w:tr w:rsidR="00210B70" w:rsidRPr="000708BC" w14:paraId="44DD9B2B" w14:textId="77777777" w:rsidTr="00210B70">
        <w:trPr>
          <w:trHeight w:val="184"/>
          <w:tblHeader/>
          <w:jc w:val="center"/>
        </w:trPr>
        <w:tc>
          <w:tcPr>
            <w:tcW w:w="262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042C09A" w14:textId="77777777"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Scenario</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E38865" w14:textId="77777777"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Metallurgical route</w:t>
            </w:r>
          </w:p>
        </w:tc>
        <w:tc>
          <w:tcPr>
            <w:tcW w:w="5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2F46A3A" w14:textId="6F85F920"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Year</w:t>
            </w:r>
          </w:p>
        </w:tc>
        <w:tc>
          <w:tcPr>
            <w:tcW w:w="2693" w:type="dxa"/>
            <w:gridSpan w:val="2"/>
            <w:tcBorders>
              <w:top w:val="single" w:sz="4" w:space="0" w:color="auto"/>
              <w:left w:val="nil"/>
              <w:bottom w:val="single" w:sz="4" w:space="0" w:color="auto"/>
              <w:right w:val="single" w:sz="4" w:space="0" w:color="auto"/>
            </w:tcBorders>
            <w:shd w:val="clear" w:color="000000" w:fill="D9D9D9"/>
            <w:vAlign w:val="center"/>
            <w:hideMark/>
          </w:tcPr>
          <w:p w14:paraId="459BFD53" w14:textId="313C3249"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Stage 1: Electricity supply</w:t>
            </w:r>
          </w:p>
        </w:tc>
        <w:tc>
          <w:tcPr>
            <w:tcW w:w="3686" w:type="dxa"/>
            <w:gridSpan w:val="3"/>
            <w:tcBorders>
              <w:top w:val="single" w:sz="4" w:space="0" w:color="auto"/>
              <w:left w:val="nil"/>
              <w:bottom w:val="single" w:sz="4" w:space="0" w:color="auto"/>
              <w:right w:val="single" w:sz="4" w:space="0" w:color="auto"/>
            </w:tcBorders>
            <w:shd w:val="clear" w:color="000000" w:fill="D9D9D9"/>
            <w:vAlign w:val="center"/>
            <w:hideMark/>
          </w:tcPr>
          <w:p w14:paraId="4883AB8F" w14:textId="57A30D1A"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Stage 2: Open pit haul trucks fuel supply</w:t>
            </w:r>
          </w:p>
        </w:tc>
        <w:tc>
          <w:tcPr>
            <w:tcW w:w="1110" w:type="dxa"/>
            <w:vMerge w:val="restart"/>
            <w:tcBorders>
              <w:top w:val="single" w:sz="4" w:space="0" w:color="auto"/>
              <w:left w:val="single" w:sz="4" w:space="0" w:color="auto"/>
              <w:right w:val="single" w:sz="4" w:space="0" w:color="auto"/>
            </w:tcBorders>
            <w:shd w:val="clear" w:color="000000" w:fill="D9D9D9"/>
            <w:vAlign w:val="center"/>
          </w:tcPr>
          <w:p w14:paraId="2F8BCA47" w14:textId="07FFF282"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Stage 3: Water supply</w:t>
            </w:r>
          </w:p>
        </w:tc>
        <w:tc>
          <w:tcPr>
            <w:tcW w:w="7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5959F9" w14:textId="1664AE9F"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Ore grade</w:t>
            </w:r>
          </w:p>
        </w:tc>
      </w:tr>
      <w:tr w:rsidR="00210B70" w:rsidRPr="000708BC" w14:paraId="6FFEA05D" w14:textId="77777777" w:rsidTr="00210B70">
        <w:trPr>
          <w:trHeight w:val="840"/>
          <w:tblHeader/>
          <w:jc w:val="center"/>
        </w:trPr>
        <w:tc>
          <w:tcPr>
            <w:tcW w:w="2624" w:type="dxa"/>
            <w:gridSpan w:val="2"/>
            <w:vMerge/>
            <w:tcBorders>
              <w:top w:val="single" w:sz="4" w:space="0" w:color="auto"/>
              <w:left w:val="single" w:sz="4" w:space="0" w:color="auto"/>
              <w:bottom w:val="single" w:sz="4" w:space="0" w:color="auto"/>
              <w:right w:val="single" w:sz="4" w:space="0" w:color="auto"/>
            </w:tcBorders>
            <w:vAlign w:val="center"/>
            <w:hideMark/>
          </w:tcPr>
          <w:p w14:paraId="0496A840" w14:textId="77777777" w:rsidR="00210B70" w:rsidRPr="000708BC" w:rsidRDefault="00210B70" w:rsidP="00210B70">
            <w:pPr>
              <w:jc w:val="center"/>
              <w:rPr>
                <w:rFonts w:ascii="Arial" w:hAnsi="Arial" w:cs="Arial"/>
                <w:b/>
                <w:bCs/>
                <w:color w:val="000000"/>
                <w:sz w:val="16"/>
                <w:szCs w:val="16"/>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2C15ABF" w14:textId="77777777" w:rsidR="00210B70" w:rsidRPr="000708BC" w:rsidRDefault="00210B70" w:rsidP="00210B70">
            <w:pPr>
              <w:jc w:val="center"/>
              <w:rPr>
                <w:rFonts w:ascii="Arial" w:hAnsi="Arial" w:cs="Arial"/>
                <w:b/>
                <w:bCs/>
                <w:color w:val="000000"/>
                <w:sz w:val="16"/>
                <w:szCs w:val="16"/>
              </w:rPr>
            </w:pPr>
          </w:p>
        </w:tc>
        <w:tc>
          <w:tcPr>
            <w:tcW w:w="588" w:type="dxa"/>
            <w:vMerge/>
            <w:tcBorders>
              <w:top w:val="single" w:sz="4" w:space="0" w:color="auto"/>
              <w:left w:val="single" w:sz="4" w:space="0" w:color="auto"/>
              <w:bottom w:val="single" w:sz="4" w:space="0" w:color="auto"/>
              <w:right w:val="single" w:sz="4" w:space="0" w:color="auto"/>
            </w:tcBorders>
            <w:vAlign w:val="center"/>
            <w:hideMark/>
          </w:tcPr>
          <w:p w14:paraId="6EC30D67" w14:textId="77777777" w:rsidR="00210B70" w:rsidRPr="000708BC" w:rsidRDefault="00210B70" w:rsidP="00210B70">
            <w:pPr>
              <w:jc w:val="center"/>
              <w:rPr>
                <w:rFonts w:ascii="Arial" w:hAnsi="Arial" w:cs="Arial"/>
                <w:b/>
                <w:bCs/>
                <w:color w:val="000000"/>
                <w:sz w:val="16"/>
                <w:szCs w:val="16"/>
              </w:rPr>
            </w:pPr>
          </w:p>
        </w:tc>
        <w:tc>
          <w:tcPr>
            <w:tcW w:w="992" w:type="dxa"/>
            <w:tcBorders>
              <w:top w:val="nil"/>
              <w:left w:val="nil"/>
              <w:bottom w:val="single" w:sz="4" w:space="0" w:color="auto"/>
              <w:right w:val="single" w:sz="4" w:space="0" w:color="auto"/>
            </w:tcBorders>
            <w:shd w:val="clear" w:color="000000" w:fill="D9D9D9"/>
            <w:vAlign w:val="center"/>
            <w:hideMark/>
          </w:tcPr>
          <w:p w14:paraId="4BE61537" w14:textId="2A55D015"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Matrix</w:t>
            </w:r>
          </w:p>
        </w:tc>
        <w:tc>
          <w:tcPr>
            <w:tcW w:w="1701" w:type="dxa"/>
            <w:tcBorders>
              <w:top w:val="nil"/>
              <w:left w:val="nil"/>
              <w:bottom w:val="single" w:sz="4" w:space="0" w:color="auto"/>
              <w:right w:val="single" w:sz="4" w:space="0" w:color="auto"/>
            </w:tcBorders>
            <w:shd w:val="clear" w:color="000000" w:fill="D9D9D9"/>
            <w:vAlign w:val="center"/>
            <w:hideMark/>
          </w:tcPr>
          <w:p w14:paraId="54C8AEEE" w14:textId="77777777"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Energy sources</w:t>
            </w:r>
          </w:p>
        </w:tc>
        <w:tc>
          <w:tcPr>
            <w:tcW w:w="993" w:type="dxa"/>
            <w:tcBorders>
              <w:top w:val="nil"/>
              <w:left w:val="nil"/>
              <w:bottom w:val="single" w:sz="4" w:space="0" w:color="auto"/>
              <w:right w:val="single" w:sz="4" w:space="0" w:color="auto"/>
            </w:tcBorders>
            <w:shd w:val="clear" w:color="000000" w:fill="D9D9D9"/>
            <w:vAlign w:val="center"/>
            <w:hideMark/>
          </w:tcPr>
          <w:p w14:paraId="3A401A31" w14:textId="77777777"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Type of Fuel</w:t>
            </w:r>
          </w:p>
        </w:tc>
        <w:tc>
          <w:tcPr>
            <w:tcW w:w="1134" w:type="dxa"/>
            <w:tcBorders>
              <w:top w:val="nil"/>
              <w:left w:val="nil"/>
              <w:bottom w:val="single" w:sz="4" w:space="0" w:color="auto"/>
              <w:right w:val="single" w:sz="4" w:space="0" w:color="auto"/>
            </w:tcBorders>
            <w:shd w:val="clear" w:color="000000" w:fill="D9D9D9"/>
            <w:vAlign w:val="center"/>
            <w:hideMark/>
          </w:tcPr>
          <w:p w14:paraId="48398CF0" w14:textId="77777777"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Hydrogen electrolyzer technology</w:t>
            </w:r>
          </w:p>
        </w:tc>
        <w:tc>
          <w:tcPr>
            <w:tcW w:w="1559" w:type="dxa"/>
            <w:tcBorders>
              <w:top w:val="nil"/>
              <w:left w:val="nil"/>
              <w:bottom w:val="single" w:sz="4" w:space="0" w:color="auto"/>
              <w:right w:val="single" w:sz="4" w:space="0" w:color="auto"/>
            </w:tcBorders>
            <w:shd w:val="clear" w:color="000000" w:fill="D9D9D9"/>
            <w:vAlign w:val="center"/>
            <w:hideMark/>
          </w:tcPr>
          <w:p w14:paraId="62E0A36F" w14:textId="77777777" w:rsidR="00210B70" w:rsidRPr="000708BC" w:rsidRDefault="00210B70" w:rsidP="00210B70">
            <w:pPr>
              <w:jc w:val="center"/>
              <w:rPr>
                <w:rFonts w:ascii="Arial" w:hAnsi="Arial" w:cs="Arial"/>
                <w:b/>
                <w:bCs/>
                <w:color w:val="000000"/>
                <w:sz w:val="16"/>
                <w:szCs w:val="16"/>
              </w:rPr>
            </w:pPr>
            <w:r w:rsidRPr="000708BC">
              <w:rPr>
                <w:rFonts w:ascii="Arial" w:hAnsi="Arial" w:cs="Arial"/>
                <w:b/>
                <w:bCs/>
                <w:color w:val="000000"/>
                <w:sz w:val="16"/>
                <w:szCs w:val="16"/>
              </w:rPr>
              <w:t>Hydrogen transportation</w:t>
            </w:r>
          </w:p>
        </w:tc>
        <w:tc>
          <w:tcPr>
            <w:tcW w:w="1110" w:type="dxa"/>
            <w:vMerge/>
            <w:tcBorders>
              <w:left w:val="single" w:sz="4" w:space="0" w:color="auto"/>
              <w:bottom w:val="single" w:sz="4" w:space="0" w:color="auto"/>
              <w:right w:val="single" w:sz="4" w:space="0" w:color="auto"/>
            </w:tcBorders>
            <w:vAlign w:val="center"/>
          </w:tcPr>
          <w:p w14:paraId="29FFBAB5" w14:textId="77777777" w:rsidR="00210B70" w:rsidRPr="000708BC" w:rsidRDefault="00210B70" w:rsidP="00210B70">
            <w:pPr>
              <w:jc w:val="center"/>
              <w:rPr>
                <w:rFonts w:ascii="Arial" w:hAnsi="Arial" w:cs="Arial"/>
                <w:b/>
                <w:bCs/>
                <w:color w:val="000000"/>
                <w:sz w:val="16"/>
                <w:szCs w:val="16"/>
              </w:rPr>
            </w:pPr>
          </w:p>
        </w:tc>
        <w:tc>
          <w:tcPr>
            <w:tcW w:w="788" w:type="dxa"/>
            <w:vMerge/>
            <w:tcBorders>
              <w:top w:val="single" w:sz="4" w:space="0" w:color="auto"/>
              <w:left w:val="single" w:sz="4" w:space="0" w:color="auto"/>
              <w:bottom w:val="single" w:sz="4" w:space="0" w:color="auto"/>
              <w:right w:val="single" w:sz="4" w:space="0" w:color="auto"/>
            </w:tcBorders>
            <w:vAlign w:val="center"/>
            <w:hideMark/>
          </w:tcPr>
          <w:p w14:paraId="5EEAC7C4" w14:textId="02E51914" w:rsidR="00210B70" w:rsidRPr="000708BC" w:rsidRDefault="00210B70" w:rsidP="00210B70">
            <w:pPr>
              <w:jc w:val="center"/>
              <w:rPr>
                <w:rFonts w:ascii="Arial" w:hAnsi="Arial" w:cs="Arial"/>
                <w:b/>
                <w:bCs/>
                <w:color w:val="000000"/>
                <w:sz w:val="16"/>
                <w:szCs w:val="16"/>
              </w:rPr>
            </w:pPr>
          </w:p>
        </w:tc>
      </w:tr>
      <w:tr w:rsidR="00210B70" w:rsidRPr="000708BC" w14:paraId="0033C134" w14:textId="77777777" w:rsidTr="00210B70">
        <w:trPr>
          <w:trHeight w:val="836"/>
          <w:jc w:val="center"/>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65AFAC9"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BAU</w:t>
            </w:r>
          </w:p>
        </w:tc>
        <w:tc>
          <w:tcPr>
            <w:tcW w:w="1920" w:type="dxa"/>
            <w:tcBorders>
              <w:top w:val="nil"/>
              <w:left w:val="nil"/>
              <w:bottom w:val="single" w:sz="4" w:space="0" w:color="auto"/>
              <w:right w:val="single" w:sz="4" w:space="0" w:color="auto"/>
            </w:tcBorders>
            <w:shd w:val="clear" w:color="auto" w:fill="auto"/>
            <w:vAlign w:val="center"/>
            <w:hideMark/>
          </w:tcPr>
          <w:p w14:paraId="3B53B32F"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BAU [P]Cu</w:t>
            </w:r>
          </w:p>
        </w:tc>
        <w:tc>
          <w:tcPr>
            <w:tcW w:w="1461" w:type="dxa"/>
            <w:tcBorders>
              <w:top w:val="nil"/>
              <w:left w:val="nil"/>
              <w:bottom w:val="single" w:sz="4" w:space="0" w:color="auto"/>
              <w:right w:val="single" w:sz="4" w:space="0" w:color="auto"/>
            </w:tcBorders>
            <w:shd w:val="clear" w:color="auto" w:fill="auto"/>
            <w:vAlign w:val="center"/>
            <w:hideMark/>
          </w:tcPr>
          <w:p w14:paraId="150DD477"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Pyrometallurgy</w:t>
            </w:r>
          </w:p>
        </w:tc>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14:paraId="4E9C8A28"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2023</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66D11D2"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Hybrid</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15197B5"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Wind 12.20%, Solar 22.2%, Concentration Solar Plant (CSP) 0.0%, Run-of-River (ROR) Hydropower 15.3%, Storage Hydropower 7.6%, Biofuel 3.9%, Geothermal 0.7%, Coal 25.4%, Liquid Natural Gas (LNG) 6.6%, Diesel 6.1%.</w:t>
            </w:r>
          </w:p>
        </w:tc>
        <w:tc>
          <w:tcPr>
            <w:tcW w:w="993" w:type="dxa"/>
            <w:tcBorders>
              <w:top w:val="nil"/>
              <w:left w:val="nil"/>
              <w:bottom w:val="single" w:sz="4" w:space="0" w:color="auto"/>
              <w:right w:val="single" w:sz="4" w:space="0" w:color="auto"/>
            </w:tcBorders>
            <w:shd w:val="clear" w:color="auto" w:fill="auto"/>
            <w:vAlign w:val="center"/>
            <w:hideMark/>
          </w:tcPr>
          <w:p w14:paraId="528366EC"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Diesel</w:t>
            </w:r>
          </w:p>
        </w:tc>
        <w:tc>
          <w:tcPr>
            <w:tcW w:w="1134" w:type="dxa"/>
            <w:tcBorders>
              <w:top w:val="nil"/>
              <w:left w:val="nil"/>
              <w:bottom w:val="single" w:sz="4" w:space="0" w:color="auto"/>
              <w:right w:val="single" w:sz="4" w:space="0" w:color="auto"/>
            </w:tcBorders>
            <w:shd w:val="clear" w:color="auto" w:fill="auto"/>
            <w:vAlign w:val="center"/>
            <w:hideMark/>
          </w:tcPr>
          <w:p w14:paraId="16104D42"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w:t>
            </w:r>
          </w:p>
        </w:tc>
        <w:tc>
          <w:tcPr>
            <w:tcW w:w="1559" w:type="dxa"/>
            <w:tcBorders>
              <w:top w:val="nil"/>
              <w:left w:val="nil"/>
              <w:bottom w:val="single" w:sz="4" w:space="0" w:color="auto"/>
              <w:right w:val="single" w:sz="4" w:space="0" w:color="auto"/>
            </w:tcBorders>
            <w:shd w:val="clear" w:color="auto" w:fill="auto"/>
            <w:vAlign w:val="center"/>
            <w:hideMark/>
          </w:tcPr>
          <w:p w14:paraId="0A708CDC"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w:t>
            </w:r>
          </w:p>
        </w:tc>
        <w:tc>
          <w:tcPr>
            <w:tcW w:w="1110" w:type="dxa"/>
            <w:tcBorders>
              <w:top w:val="nil"/>
              <w:left w:val="single" w:sz="4" w:space="0" w:color="auto"/>
              <w:bottom w:val="single" w:sz="4" w:space="0" w:color="000000"/>
              <w:right w:val="single" w:sz="4" w:space="0" w:color="auto"/>
            </w:tcBorders>
            <w:vAlign w:val="center"/>
          </w:tcPr>
          <w:p w14:paraId="37626D1E" w14:textId="2CFBA18B"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61% Freshwater and 39% desalinated seawater</w:t>
            </w:r>
          </w:p>
        </w:tc>
        <w:tc>
          <w:tcPr>
            <w:tcW w:w="788" w:type="dxa"/>
            <w:vMerge w:val="restart"/>
            <w:tcBorders>
              <w:top w:val="nil"/>
              <w:left w:val="single" w:sz="4" w:space="0" w:color="auto"/>
              <w:bottom w:val="single" w:sz="4" w:space="0" w:color="000000"/>
              <w:right w:val="single" w:sz="4" w:space="0" w:color="auto"/>
            </w:tcBorders>
            <w:shd w:val="clear" w:color="auto" w:fill="auto"/>
            <w:vAlign w:val="center"/>
            <w:hideMark/>
          </w:tcPr>
          <w:p w14:paraId="1AD88A06" w14:textId="4B668754"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0.58%</w:t>
            </w:r>
          </w:p>
        </w:tc>
      </w:tr>
      <w:tr w:rsidR="00210B70" w:rsidRPr="000708BC" w14:paraId="475F2756" w14:textId="77777777" w:rsidTr="00210B70">
        <w:trPr>
          <w:trHeight w:val="280"/>
          <w:jc w:val="center"/>
        </w:trPr>
        <w:tc>
          <w:tcPr>
            <w:tcW w:w="704" w:type="dxa"/>
            <w:vMerge/>
            <w:tcBorders>
              <w:top w:val="nil"/>
              <w:left w:val="single" w:sz="4" w:space="0" w:color="auto"/>
              <w:bottom w:val="single" w:sz="4" w:space="0" w:color="auto"/>
              <w:right w:val="single" w:sz="4" w:space="0" w:color="auto"/>
            </w:tcBorders>
            <w:vAlign w:val="center"/>
            <w:hideMark/>
          </w:tcPr>
          <w:p w14:paraId="5C87A422"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5AB087B0"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BAU [H]Cu</w:t>
            </w:r>
          </w:p>
        </w:tc>
        <w:tc>
          <w:tcPr>
            <w:tcW w:w="1461" w:type="dxa"/>
            <w:tcBorders>
              <w:top w:val="nil"/>
              <w:left w:val="nil"/>
              <w:bottom w:val="single" w:sz="4" w:space="0" w:color="auto"/>
              <w:right w:val="single" w:sz="4" w:space="0" w:color="auto"/>
            </w:tcBorders>
            <w:shd w:val="clear" w:color="auto" w:fill="auto"/>
            <w:vAlign w:val="center"/>
            <w:hideMark/>
          </w:tcPr>
          <w:p w14:paraId="41526346"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Hydrometallurgy</w:t>
            </w:r>
          </w:p>
        </w:tc>
        <w:tc>
          <w:tcPr>
            <w:tcW w:w="588" w:type="dxa"/>
            <w:vMerge/>
            <w:tcBorders>
              <w:top w:val="nil"/>
              <w:left w:val="single" w:sz="4" w:space="0" w:color="auto"/>
              <w:bottom w:val="single" w:sz="4" w:space="0" w:color="auto"/>
              <w:right w:val="single" w:sz="4" w:space="0" w:color="auto"/>
            </w:tcBorders>
            <w:vAlign w:val="center"/>
            <w:hideMark/>
          </w:tcPr>
          <w:p w14:paraId="10B74355"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619ED19E"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24DC8E04" w14:textId="77777777" w:rsidR="00210B70" w:rsidRPr="000708BC" w:rsidRDefault="00210B70" w:rsidP="00210B70">
            <w:p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14:paraId="21DE2429"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Diesel</w:t>
            </w:r>
          </w:p>
        </w:tc>
        <w:tc>
          <w:tcPr>
            <w:tcW w:w="1134" w:type="dxa"/>
            <w:tcBorders>
              <w:top w:val="nil"/>
              <w:left w:val="nil"/>
              <w:bottom w:val="single" w:sz="4" w:space="0" w:color="auto"/>
              <w:right w:val="single" w:sz="4" w:space="0" w:color="auto"/>
            </w:tcBorders>
            <w:shd w:val="clear" w:color="auto" w:fill="auto"/>
            <w:vAlign w:val="center"/>
            <w:hideMark/>
          </w:tcPr>
          <w:p w14:paraId="621DEE8B"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w:t>
            </w:r>
          </w:p>
        </w:tc>
        <w:tc>
          <w:tcPr>
            <w:tcW w:w="1559" w:type="dxa"/>
            <w:tcBorders>
              <w:top w:val="nil"/>
              <w:left w:val="nil"/>
              <w:bottom w:val="single" w:sz="4" w:space="0" w:color="auto"/>
              <w:right w:val="single" w:sz="4" w:space="0" w:color="auto"/>
            </w:tcBorders>
            <w:shd w:val="clear" w:color="auto" w:fill="auto"/>
            <w:vAlign w:val="center"/>
            <w:hideMark/>
          </w:tcPr>
          <w:p w14:paraId="3155266F"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w:t>
            </w:r>
          </w:p>
        </w:tc>
        <w:tc>
          <w:tcPr>
            <w:tcW w:w="1110" w:type="dxa"/>
            <w:tcBorders>
              <w:top w:val="nil"/>
              <w:left w:val="single" w:sz="4" w:space="0" w:color="auto"/>
              <w:bottom w:val="single" w:sz="4" w:space="0" w:color="000000"/>
              <w:right w:val="single" w:sz="4" w:space="0" w:color="auto"/>
            </w:tcBorders>
            <w:vAlign w:val="center"/>
          </w:tcPr>
          <w:p w14:paraId="2CDCC8E2" w14:textId="26E55EF8"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83% Freshwater and 17% desalinated seawater</w:t>
            </w:r>
          </w:p>
        </w:tc>
        <w:tc>
          <w:tcPr>
            <w:tcW w:w="788" w:type="dxa"/>
            <w:vMerge/>
            <w:tcBorders>
              <w:top w:val="nil"/>
              <w:left w:val="single" w:sz="4" w:space="0" w:color="auto"/>
              <w:bottom w:val="single" w:sz="4" w:space="0" w:color="000000"/>
              <w:right w:val="single" w:sz="4" w:space="0" w:color="auto"/>
            </w:tcBorders>
            <w:vAlign w:val="center"/>
            <w:hideMark/>
          </w:tcPr>
          <w:p w14:paraId="2AB0454B" w14:textId="58D635DA" w:rsidR="00210B70" w:rsidRPr="000708BC" w:rsidRDefault="00210B70" w:rsidP="00210B70">
            <w:pPr>
              <w:jc w:val="center"/>
              <w:rPr>
                <w:rFonts w:ascii="Arial" w:hAnsi="Arial" w:cs="Arial"/>
                <w:color w:val="000000"/>
                <w:sz w:val="16"/>
                <w:szCs w:val="16"/>
              </w:rPr>
            </w:pPr>
          </w:p>
        </w:tc>
      </w:tr>
      <w:tr w:rsidR="00210B70" w:rsidRPr="000708BC" w14:paraId="741C65B2" w14:textId="77777777" w:rsidTr="00210B70">
        <w:trPr>
          <w:trHeight w:val="495"/>
          <w:jc w:val="center"/>
        </w:trPr>
        <w:tc>
          <w:tcPr>
            <w:tcW w:w="7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74E6F6" w14:textId="3448071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340BAB" w:rsidRPr="000708BC">
              <w:rPr>
                <w:rFonts w:ascii="Arial" w:hAnsi="Arial" w:cs="Arial"/>
                <w:color w:val="000000"/>
                <w:sz w:val="16"/>
                <w:szCs w:val="16"/>
              </w:rPr>
              <w:t>s</w:t>
            </w:r>
            <w:r w:rsidRPr="000708BC">
              <w:rPr>
                <w:rFonts w:ascii="Arial" w:hAnsi="Arial" w:cs="Arial"/>
                <w:color w:val="000000"/>
                <w:sz w:val="16"/>
                <w:szCs w:val="16"/>
              </w:rPr>
              <w:t>-led</w:t>
            </w:r>
          </w:p>
        </w:tc>
        <w:tc>
          <w:tcPr>
            <w:tcW w:w="1920" w:type="dxa"/>
            <w:tcBorders>
              <w:top w:val="nil"/>
              <w:left w:val="nil"/>
              <w:bottom w:val="single" w:sz="4" w:space="0" w:color="auto"/>
              <w:right w:val="single" w:sz="4" w:space="0" w:color="auto"/>
            </w:tcBorders>
            <w:shd w:val="clear" w:color="auto" w:fill="auto"/>
            <w:vAlign w:val="center"/>
            <w:hideMark/>
          </w:tcPr>
          <w:p w14:paraId="27CD213E" w14:textId="4D9CF3F6"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597759" w:rsidRPr="000708BC">
              <w:rPr>
                <w:rFonts w:ascii="Arial" w:hAnsi="Arial" w:cs="Arial"/>
                <w:color w:val="000000"/>
                <w:sz w:val="16"/>
                <w:szCs w:val="16"/>
              </w:rPr>
              <w:t>s-led</w:t>
            </w:r>
            <w:r w:rsidRPr="000708BC">
              <w:rPr>
                <w:rFonts w:ascii="Arial" w:hAnsi="Arial" w:cs="Arial"/>
                <w:color w:val="000000"/>
                <w:sz w:val="16"/>
                <w:szCs w:val="16"/>
              </w:rPr>
              <w:t xml:space="preserve"> [P]Cu (AEL, Road)</w:t>
            </w:r>
          </w:p>
        </w:tc>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03811202"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Pyrometallurgy</w:t>
            </w:r>
          </w:p>
        </w:tc>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14:paraId="099C78F9"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2050</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D99C4E"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Full renewable</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014E50DB"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Wind 41.0%, Solar 31.7%, Concentration Solar Plant (CSP) 17.00%, Run-of-River (ROR) Hydropower 6.0%, Storage Hydropower 2.9%, Biofuel 1.0%, Geothermal 0%, Coal 0%, Liquid Natural Gas (LNG) 0%, Diesel 0%.</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0BA9049"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Hydrogen</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03E062A"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Alkaline electrolyzer</w:t>
            </w:r>
          </w:p>
        </w:tc>
        <w:tc>
          <w:tcPr>
            <w:tcW w:w="1559" w:type="dxa"/>
            <w:tcBorders>
              <w:top w:val="nil"/>
              <w:left w:val="nil"/>
              <w:bottom w:val="single" w:sz="4" w:space="0" w:color="auto"/>
              <w:right w:val="single" w:sz="4" w:space="0" w:color="auto"/>
            </w:tcBorders>
            <w:shd w:val="clear" w:color="auto" w:fill="auto"/>
            <w:vAlign w:val="center"/>
            <w:hideMark/>
          </w:tcPr>
          <w:p w14:paraId="767F5FFB" w14:textId="74D5D75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Road tankers with gaseous tanks</w:t>
            </w:r>
          </w:p>
        </w:tc>
        <w:tc>
          <w:tcPr>
            <w:tcW w:w="1110" w:type="dxa"/>
            <w:vMerge w:val="restart"/>
            <w:tcBorders>
              <w:top w:val="nil"/>
              <w:left w:val="single" w:sz="4" w:space="0" w:color="auto"/>
              <w:right w:val="single" w:sz="4" w:space="0" w:color="auto"/>
            </w:tcBorders>
            <w:vAlign w:val="center"/>
          </w:tcPr>
          <w:p w14:paraId="2DBF9312" w14:textId="0B81F4DD"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100% desalinated seawater</w:t>
            </w:r>
          </w:p>
        </w:tc>
        <w:tc>
          <w:tcPr>
            <w:tcW w:w="788" w:type="dxa"/>
            <w:vMerge w:val="restart"/>
            <w:tcBorders>
              <w:top w:val="nil"/>
              <w:left w:val="single" w:sz="4" w:space="0" w:color="auto"/>
              <w:bottom w:val="single" w:sz="4" w:space="0" w:color="auto"/>
              <w:right w:val="single" w:sz="4" w:space="0" w:color="auto"/>
            </w:tcBorders>
            <w:shd w:val="clear" w:color="auto" w:fill="auto"/>
            <w:vAlign w:val="center"/>
            <w:hideMark/>
          </w:tcPr>
          <w:p w14:paraId="0F922183" w14:textId="53F3097B"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0.50%</w:t>
            </w:r>
          </w:p>
        </w:tc>
      </w:tr>
      <w:tr w:rsidR="00210B70" w:rsidRPr="000708BC" w14:paraId="7E8E0172" w14:textId="77777777" w:rsidTr="00210B70">
        <w:trPr>
          <w:trHeight w:val="220"/>
          <w:jc w:val="center"/>
        </w:trPr>
        <w:tc>
          <w:tcPr>
            <w:tcW w:w="704" w:type="dxa"/>
            <w:vMerge/>
            <w:tcBorders>
              <w:top w:val="nil"/>
              <w:left w:val="single" w:sz="4" w:space="0" w:color="auto"/>
              <w:bottom w:val="single" w:sz="4" w:space="0" w:color="auto"/>
              <w:right w:val="single" w:sz="4" w:space="0" w:color="auto"/>
            </w:tcBorders>
            <w:vAlign w:val="center"/>
            <w:hideMark/>
          </w:tcPr>
          <w:p w14:paraId="007645F8"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5466E893" w14:textId="2B540C19"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[P]Cu (AEL, Pipeline)</w:t>
            </w:r>
          </w:p>
        </w:tc>
        <w:tc>
          <w:tcPr>
            <w:tcW w:w="1461" w:type="dxa"/>
            <w:vMerge/>
            <w:tcBorders>
              <w:top w:val="nil"/>
              <w:left w:val="single" w:sz="4" w:space="0" w:color="auto"/>
              <w:bottom w:val="single" w:sz="4" w:space="0" w:color="auto"/>
              <w:right w:val="single" w:sz="4" w:space="0" w:color="auto"/>
            </w:tcBorders>
            <w:vAlign w:val="center"/>
            <w:hideMark/>
          </w:tcPr>
          <w:p w14:paraId="0AF53310" w14:textId="77777777" w:rsidR="00210B70" w:rsidRPr="000708BC" w:rsidRDefault="00210B70" w:rsidP="00210B70">
            <w:pPr>
              <w:jc w:val="center"/>
              <w:rPr>
                <w:rFonts w:ascii="Arial" w:hAnsi="Arial" w:cs="Arial"/>
                <w:color w:val="000000"/>
                <w:sz w:val="16"/>
                <w:szCs w:val="16"/>
              </w:rPr>
            </w:pPr>
          </w:p>
        </w:tc>
        <w:tc>
          <w:tcPr>
            <w:tcW w:w="588" w:type="dxa"/>
            <w:vMerge/>
            <w:tcBorders>
              <w:top w:val="nil"/>
              <w:left w:val="single" w:sz="4" w:space="0" w:color="auto"/>
              <w:bottom w:val="single" w:sz="4" w:space="0" w:color="auto"/>
              <w:right w:val="single" w:sz="4" w:space="0" w:color="auto"/>
            </w:tcBorders>
            <w:vAlign w:val="center"/>
            <w:hideMark/>
          </w:tcPr>
          <w:p w14:paraId="7BB49BB7"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5AC6B071"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136BCDB9"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437C097E" w14:textId="77777777" w:rsidR="00210B70" w:rsidRPr="000708BC" w:rsidRDefault="00210B70" w:rsidP="00210B70">
            <w:pPr>
              <w:jc w:val="center"/>
              <w:rPr>
                <w:rFonts w:ascii="Arial" w:hAnsi="Arial" w:cs="Arial"/>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0885106D" w14:textId="77777777" w:rsidR="00210B70" w:rsidRPr="000708BC" w:rsidRDefault="00210B70" w:rsidP="00210B70">
            <w:pPr>
              <w:jc w:val="center"/>
              <w:rPr>
                <w:rFonts w:ascii="Arial" w:hAnsi="Arial" w:cs="Arial"/>
                <w:color w:val="000000"/>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14:paraId="73D3DD6B"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Pipeline</w:t>
            </w:r>
          </w:p>
        </w:tc>
        <w:tc>
          <w:tcPr>
            <w:tcW w:w="1110" w:type="dxa"/>
            <w:vMerge/>
            <w:tcBorders>
              <w:left w:val="single" w:sz="4" w:space="0" w:color="auto"/>
              <w:right w:val="single" w:sz="4" w:space="0" w:color="auto"/>
            </w:tcBorders>
            <w:vAlign w:val="center"/>
          </w:tcPr>
          <w:p w14:paraId="79E60466"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21E23813" w14:textId="42FCDE39" w:rsidR="00210B70" w:rsidRPr="000708BC" w:rsidRDefault="00210B70" w:rsidP="00210B70">
            <w:pPr>
              <w:jc w:val="center"/>
              <w:rPr>
                <w:rFonts w:ascii="Arial" w:hAnsi="Arial" w:cs="Arial"/>
                <w:color w:val="000000"/>
                <w:sz w:val="16"/>
                <w:szCs w:val="16"/>
              </w:rPr>
            </w:pPr>
          </w:p>
        </w:tc>
      </w:tr>
      <w:tr w:rsidR="00210B70" w:rsidRPr="000708BC" w14:paraId="60288CF0" w14:textId="77777777" w:rsidTr="00210B70">
        <w:trPr>
          <w:trHeight w:val="511"/>
          <w:jc w:val="center"/>
        </w:trPr>
        <w:tc>
          <w:tcPr>
            <w:tcW w:w="704" w:type="dxa"/>
            <w:vMerge/>
            <w:tcBorders>
              <w:top w:val="nil"/>
              <w:left w:val="single" w:sz="4" w:space="0" w:color="auto"/>
              <w:bottom w:val="single" w:sz="4" w:space="0" w:color="auto"/>
              <w:right w:val="single" w:sz="4" w:space="0" w:color="auto"/>
            </w:tcBorders>
            <w:vAlign w:val="center"/>
            <w:hideMark/>
          </w:tcPr>
          <w:p w14:paraId="28DA7CBC"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60EFF79C" w14:textId="5260E842"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[P]Cu (PEMEL, Road)</w:t>
            </w:r>
          </w:p>
        </w:tc>
        <w:tc>
          <w:tcPr>
            <w:tcW w:w="1461" w:type="dxa"/>
            <w:vMerge/>
            <w:tcBorders>
              <w:top w:val="nil"/>
              <w:left w:val="single" w:sz="4" w:space="0" w:color="auto"/>
              <w:bottom w:val="single" w:sz="4" w:space="0" w:color="auto"/>
              <w:right w:val="single" w:sz="4" w:space="0" w:color="auto"/>
            </w:tcBorders>
            <w:vAlign w:val="center"/>
            <w:hideMark/>
          </w:tcPr>
          <w:p w14:paraId="70FB082A" w14:textId="77777777" w:rsidR="00210B70" w:rsidRPr="000708BC" w:rsidRDefault="00210B70" w:rsidP="00210B70">
            <w:pPr>
              <w:jc w:val="center"/>
              <w:rPr>
                <w:rFonts w:ascii="Arial" w:hAnsi="Arial" w:cs="Arial"/>
                <w:color w:val="000000"/>
                <w:sz w:val="16"/>
                <w:szCs w:val="16"/>
              </w:rPr>
            </w:pPr>
          </w:p>
        </w:tc>
        <w:tc>
          <w:tcPr>
            <w:tcW w:w="588" w:type="dxa"/>
            <w:vMerge/>
            <w:tcBorders>
              <w:top w:val="nil"/>
              <w:left w:val="single" w:sz="4" w:space="0" w:color="auto"/>
              <w:bottom w:val="single" w:sz="4" w:space="0" w:color="auto"/>
              <w:right w:val="single" w:sz="4" w:space="0" w:color="auto"/>
            </w:tcBorders>
            <w:vAlign w:val="center"/>
            <w:hideMark/>
          </w:tcPr>
          <w:p w14:paraId="6975340F"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505B0694"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4F184185"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52CAD730" w14:textId="77777777" w:rsidR="00210B70" w:rsidRPr="000708BC" w:rsidRDefault="00210B70" w:rsidP="00210B70">
            <w:pPr>
              <w:jc w:val="center"/>
              <w:rPr>
                <w:rFonts w:ascii="Arial" w:hAnsi="Arial" w:cs="Arial"/>
                <w:color w:val="000000"/>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4AAE2FDE"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Proton exchange membrane electrolyzer</w:t>
            </w:r>
          </w:p>
        </w:tc>
        <w:tc>
          <w:tcPr>
            <w:tcW w:w="1559" w:type="dxa"/>
            <w:tcBorders>
              <w:top w:val="nil"/>
              <w:left w:val="nil"/>
              <w:bottom w:val="single" w:sz="4" w:space="0" w:color="auto"/>
              <w:right w:val="single" w:sz="4" w:space="0" w:color="auto"/>
            </w:tcBorders>
            <w:shd w:val="clear" w:color="auto" w:fill="auto"/>
            <w:vAlign w:val="center"/>
            <w:hideMark/>
          </w:tcPr>
          <w:p w14:paraId="176F32EA" w14:textId="4AB3293A"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Road tankers with gaseous tanks</w:t>
            </w:r>
          </w:p>
        </w:tc>
        <w:tc>
          <w:tcPr>
            <w:tcW w:w="1110" w:type="dxa"/>
            <w:vMerge/>
            <w:tcBorders>
              <w:left w:val="single" w:sz="4" w:space="0" w:color="auto"/>
              <w:right w:val="single" w:sz="4" w:space="0" w:color="auto"/>
            </w:tcBorders>
            <w:vAlign w:val="center"/>
          </w:tcPr>
          <w:p w14:paraId="4B5C42BD"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2000F7A1" w14:textId="22DB1FB6" w:rsidR="00210B70" w:rsidRPr="000708BC" w:rsidRDefault="00210B70" w:rsidP="00210B70">
            <w:pPr>
              <w:jc w:val="center"/>
              <w:rPr>
                <w:rFonts w:ascii="Arial" w:hAnsi="Arial" w:cs="Arial"/>
                <w:color w:val="000000"/>
                <w:sz w:val="16"/>
                <w:szCs w:val="16"/>
              </w:rPr>
            </w:pPr>
          </w:p>
        </w:tc>
      </w:tr>
      <w:tr w:rsidR="00210B70" w:rsidRPr="000708BC" w14:paraId="4A8C7DC4" w14:textId="77777777" w:rsidTr="00210B70">
        <w:trPr>
          <w:trHeight w:val="560"/>
          <w:jc w:val="center"/>
        </w:trPr>
        <w:tc>
          <w:tcPr>
            <w:tcW w:w="704" w:type="dxa"/>
            <w:vMerge/>
            <w:tcBorders>
              <w:top w:val="nil"/>
              <w:left w:val="single" w:sz="4" w:space="0" w:color="auto"/>
              <w:bottom w:val="single" w:sz="4" w:space="0" w:color="auto"/>
              <w:right w:val="single" w:sz="4" w:space="0" w:color="auto"/>
            </w:tcBorders>
            <w:vAlign w:val="center"/>
            <w:hideMark/>
          </w:tcPr>
          <w:p w14:paraId="0EB3CEE6"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2314FCC3" w14:textId="6ABB0943"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[P]Cu (PEMEL, Pipeline)</w:t>
            </w:r>
          </w:p>
        </w:tc>
        <w:tc>
          <w:tcPr>
            <w:tcW w:w="1461" w:type="dxa"/>
            <w:vMerge/>
            <w:tcBorders>
              <w:top w:val="nil"/>
              <w:left w:val="single" w:sz="4" w:space="0" w:color="auto"/>
              <w:bottom w:val="single" w:sz="4" w:space="0" w:color="auto"/>
              <w:right w:val="single" w:sz="4" w:space="0" w:color="auto"/>
            </w:tcBorders>
            <w:vAlign w:val="center"/>
            <w:hideMark/>
          </w:tcPr>
          <w:p w14:paraId="773188F2" w14:textId="77777777" w:rsidR="00210B70" w:rsidRPr="000708BC" w:rsidRDefault="00210B70" w:rsidP="00210B70">
            <w:pPr>
              <w:jc w:val="center"/>
              <w:rPr>
                <w:rFonts w:ascii="Arial" w:hAnsi="Arial" w:cs="Arial"/>
                <w:color w:val="000000"/>
                <w:sz w:val="16"/>
                <w:szCs w:val="16"/>
              </w:rPr>
            </w:pPr>
          </w:p>
        </w:tc>
        <w:tc>
          <w:tcPr>
            <w:tcW w:w="588" w:type="dxa"/>
            <w:vMerge/>
            <w:tcBorders>
              <w:top w:val="nil"/>
              <w:left w:val="single" w:sz="4" w:space="0" w:color="auto"/>
              <w:bottom w:val="single" w:sz="4" w:space="0" w:color="auto"/>
              <w:right w:val="single" w:sz="4" w:space="0" w:color="auto"/>
            </w:tcBorders>
            <w:vAlign w:val="center"/>
            <w:hideMark/>
          </w:tcPr>
          <w:p w14:paraId="425FB063"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6BFEA532"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23146A33"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2B3FD939" w14:textId="77777777" w:rsidR="00210B70" w:rsidRPr="000708BC" w:rsidRDefault="00210B70" w:rsidP="00210B70">
            <w:pPr>
              <w:jc w:val="center"/>
              <w:rPr>
                <w:rFonts w:ascii="Arial" w:hAnsi="Arial" w:cs="Arial"/>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4B7D3A72" w14:textId="77777777" w:rsidR="00210B70" w:rsidRPr="000708BC" w:rsidRDefault="00210B70" w:rsidP="00210B70">
            <w:pPr>
              <w:jc w:val="center"/>
              <w:rPr>
                <w:rFonts w:ascii="Arial" w:hAnsi="Arial" w:cs="Arial"/>
                <w:color w:val="000000"/>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14:paraId="1E37FFFB"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Pipeline</w:t>
            </w:r>
          </w:p>
        </w:tc>
        <w:tc>
          <w:tcPr>
            <w:tcW w:w="1110" w:type="dxa"/>
            <w:vMerge/>
            <w:tcBorders>
              <w:left w:val="single" w:sz="4" w:space="0" w:color="auto"/>
              <w:right w:val="single" w:sz="4" w:space="0" w:color="auto"/>
            </w:tcBorders>
            <w:vAlign w:val="center"/>
          </w:tcPr>
          <w:p w14:paraId="0187EB0E"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65640E7B" w14:textId="7E0ADB31" w:rsidR="00210B70" w:rsidRPr="000708BC" w:rsidRDefault="00210B70" w:rsidP="00210B70">
            <w:pPr>
              <w:jc w:val="center"/>
              <w:rPr>
                <w:rFonts w:ascii="Arial" w:hAnsi="Arial" w:cs="Arial"/>
                <w:color w:val="000000"/>
                <w:sz w:val="16"/>
                <w:szCs w:val="16"/>
              </w:rPr>
            </w:pPr>
          </w:p>
        </w:tc>
      </w:tr>
      <w:tr w:rsidR="00210B70" w:rsidRPr="000708BC" w14:paraId="0B6DC651" w14:textId="77777777" w:rsidTr="00210B70">
        <w:trPr>
          <w:trHeight w:val="372"/>
          <w:jc w:val="center"/>
        </w:trPr>
        <w:tc>
          <w:tcPr>
            <w:tcW w:w="704" w:type="dxa"/>
            <w:vMerge/>
            <w:tcBorders>
              <w:top w:val="nil"/>
              <w:left w:val="single" w:sz="4" w:space="0" w:color="auto"/>
              <w:bottom w:val="single" w:sz="4" w:space="0" w:color="auto"/>
              <w:right w:val="single" w:sz="4" w:space="0" w:color="auto"/>
            </w:tcBorders>
            <w:vAlign w:val="center"/>
            <w:hideMark/>
          </w:tcPr>
          <w:p w14:paraId="0AC1B66D"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44802E7E" w14:textId="245F2EA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[H]Cu (AEL, Road)</w:t>
            </w:r>
          </w:p>
        </w:tc>
        <w:tc>
          <w:tcPr>
            <w:tcW w:w="1461" w:type="dxa"/>
            <w:vMerge w:val="restart"/>
            <w:tcBorders>
              <w:top w:val="nil"/>
              <w:left w:val="single" w:sz="4" w:space="0" w:color="auto"/>
              <w:bottom w:val="single" w:sz="4" w:space="0" w:color="auto"/>
              <w:right w:val="single" w:sz="4" w:space="0" w:color="auto"/>
            </w:tcBorders>
            <w:shd w:val="clear" w:color="auto" w:fill="auto"/>
            <w:vAlign w:val="center"/>
            <w:hideMark/>
          </w:tcPr>
          <w:p w14:paraId="048468C6"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Hydrometallurgy</w:t>
            </w:r>
          </w:p>
        </w:tc>
        <w:tc>
          <w:tcPr>
            <w:tcW w:w="588" w:type="dxa"/>
            <w:vMerge/>
            <w:tcBorders>
              <w:top w:val="nil"/>
              <w:left w:val="single" w:sz="4" w:space="0" w:color="auto"/>
              <w:bottom w:val="single" w:sz="4" w:space="0" w:color="auto"/>
              <w:right w:val="single" w:sz="4" w:space="0" w:color="auto"/>
            </w:tcBorders>
            <w:vAlign w:val="center"/>
            <w:hideMark/>
          </w:tcPr>
          <w:p w14:paraId="66B434F7"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2A60DB0C"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60C023BD"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05FB9865" w14:textId="77777777" w:rsidR="00210B70" w:rsidRPr="000708BC" w:rsidRDefault="00210B70" w:rsidP="00210B70">
            <w:pPr>
              <w:jc w:val="center"/>
              <w:rPr>
                <w:rFonts w:ascii="Arial" w:hAnsi="Arial" w:cs="Arial"/>
                <w:color w:val="000000"/>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20121E5B"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Alkaline electrolyzer</w:t>
            </w:r>
          </w:p>
        </w:tc>
        <w:tc>
          <w:tcPr>
            <w:tcW w:w="1559" w:type="dxa"/>
            <w:tcBorders>
              <w:top w:val="nil"/>
              <w:left w:val="nil"/>
              <w:bottom w:val="single" w:sz="4" w:space="0" w:color="auto"/>
              <w:right w:val="single" w:sz="4" w:space="0" w:color="auto"/>
            </w:tcBorders>
            <w:shd w:val="clear" w:color="auto" w:fill="auto"/>
            <w:vAlign w:val="center"/>
            <w:hideMark/>
          </w:tcPr>
          <w:p w14:paraId="72233D5B" w14:textId="0DA2279C"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Road tankers with gaseous tanks</w:t>
            </w:r>
          </w:p>
        </w:tc>
        <w:tc>
          <w:tcPr>
            <w:tcW w:w="1110" w:type="dxa"/>
            <w:vMerge/>
            <w:tcBorders>
              <w:left w:val="single" w:sz="4" w:space="0" w:color="auto"/>
              <w:right w:val="single" w:sz="4" w:space="0" w:color="auto"/>
            </w:tcBorders>
            <w:vAlign w:val="center"/>
          </w:tcPr>
          <w:p w14:paraId="71CAD7DB"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4CF5C405" w14:textId="1C7FE6ED" w:rsidR="00210B70" w:rsidRPr="000708BC" w:rsidRDefault="00210B70" w:rsidP="00210B70">
            <w:pPr>
              <w:jc w:val="center"/>
              <w:rPr>
                <w:rFonts w:ascii="Arial" w:hAnsi="Arial" w:cs="Arial"/>
                <w:color w:val="000000"/>
                <w:sz w:val="16"/>
                <w:szCs w:val="16"/>
              </w:rPr>
            </w:pPr>
          </w:p>
        </w:tc>
      </w:tr>
      <w:tr w:rsidR="00210B70" w:rsidRPr="000708BC" w14:paraId="3AF5B171" w14:textId="77777777" w:rsidTr="00210B70">
        <w:trPr>
          <w:trHeight w:val="560"/>
          <w:jc w:val="center"/>
        </w:trPr>
        <w:tc>
          <w:tcPr>
            <w:tcW w:w="704" w:type="dxa"/>
            <w:vMerge/>
            <w:tcBorders>
              <w:top w:val="nil"/>
              <w:left w:val="single" w:sz="4" w:space="0" w:color="auto"/>
              <w:bottom w:val="single" w:sz="4" w:space="0" w:color="auto"/>
              <w:right w:val="single" w:sz="4" w:space="0" w:color="auto"/>
            </w:tcBorders>
            <w:vAlign w:val="center"/>
            <w:hideMark/>
          </w:tcPr>
          <w:p w14:paraId="0D5DC461"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6143847E" w14:textId="728D71F0"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[H]Cu (AEL, Pipeline)</w:t>
            </w:r>
          </w:p>
        </w:tc>
        <w:tc>
          <w:tcPr>
            <w:tcW w:w="1461" w:type="dxa"/>
            <w:vMerge/>
            <w:tcBorders>
              <w:top w:val="nil"/>
              <w:left w:val="single" w:sz="4" w:space="0" w:color="auto"/>
              <w:bottom w:val="single" w:sz="4" w:space="0" w:color="auto"/>
              <w:right w:val="single" w:sz="4" w:space="0" w:color="auto"/>
            </w:tcBorders>
            <w:vAlign w:val="center"/>
            <w:hideMark/>
          </w:tcPr>
          <w:p w14:paraId="763ECC02" w14:textId="77777777" w:rsidR="00210B70" w:rsidRPr="000708BC" w:rsidRDefault="00210B70" w:rsidP="00210B70">
            <w:pPr>
              <w:jc w:val="center"/>
              <w:rPr>
                <w:rFonts w:ascii="Arial" w:hAnsi="Arial" w:cs="Arial"/>
                <w:color w:val="000000"/>
                <w:sz w:val="16"/>
                <w:szCs w:val="16"/>
              </w:rPr>
            </w:pPr>
          </w:p>
        </w:tc>
        <w:tc>
          <w:tcPr>
            <w:tcW w:w="588" w:type="dxa"/>
            <w:vMerge/>
            <w:tcBorders>
              <w:top w:val="nil"/>
              <w:left w:val="single" w:sz="4" w:space="0" w:color="auto"/>
              <w:bottom w:val="single" w:sz="4" w:space="0" w:color="auto"/>
              <w:right w:val="single" w:sz="4" w:space="0" w:color="auto"/>
            </w:tcBorders>
            <w:vAlign w:val="center"/>
            <w:hideMark/>
          </w:tcPr>
          <w:p w14:paraId="62255AB1"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4E151CC7"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1AFDEE63"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4AC33319" w14:textId="77777777" w:rsidR="00210B70" w:rsidRPr="000708BC" w:rsidRDefault="00210B70" w:rsidP="00210B70">
            <w:pPr>
              <w:jc w:val="center"/>
              <w:rPr>
                <w:rFonts w:ascii="Arial" w:hAnsi="Arial" w:cs="Arial"/>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3D8C107C" w14:textId="77777777" w:rsidR="00210B70" w:rsidRPr="000708BC" w:rsidRDefault="00210B70" w:rsidP="00210B70">
            <w:pPr>
              <w:jc w:val="center"/>
              <w:rPr>
                <w:rFonts w:ascii="Arial" w:hAnsi="Arial" w:cs="Arial"/>
                <w:color w:val="000000"/>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14:paraId="41614D0C"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Pipeline</w:t>
            </w:r>
          </w:p>
        </w:tc>
        <w:tc>
          <w:tcPr>
            <w:tcW w:w="1110" w:type="dxa"/>
            <w:vMerge/>
            <w:tcBorders>
              <w:left w:val="single" w:sz="4" w:space="0" w:color="auto"/>
              <w:right w:val="single" w:sz="4" w:space="0" w:color="auto"/>
            </w:tcBorders>
            <w:vAlign w:val="center"/>
          </w:tcPr>
          <w:p w14:paraId="22F052D1"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4CD5A3B2" w14:textId="799D4F18" w:rsidR="00210B70" w:rsidRPr="000708BC" w:rsidRDefault="00210B70" w:rsidP="00210B70">
            <w:pPr>
              <w:jc w:val="center"/>
              <w:rPr>
                <w:rFonts w:ascii="Arial" w:hAnsi="Arial" w:cs="Arial"/>
                <w:color w:val="000000"/>
                <w:sz w:val="16"/>
                <w:szCs w:val="16"/>
              </w:rPr>
            </w:pPr>
          </w:p>
        </w:tc>
      </w:tr>
      <w:tr w:rsidR="00210B70" w:rsidRPr="000708BC" w14:paraId="34B5AF7E" w14:textId="77777777" w:rsidTr="00210B70">
        <w:trPr>
          <w:trHeight w:val="516"/>
          <w:jc w:val="center"/>
        </w:trPr>
        <w:tc>
          <w:tcPr>
            <w:tcW w:w="704" w:type="dxa"/>
            <w:vMerge/>
            <w:tcBorders>
              <w:top w:val="nil"/>
              <w:left w:val="single" w:sz="4" w:space="0" w:color="auto"/>
              <w:bottom w:val="single" w:sz="4" w:space="0" w:color="auto"/>
              <w:right w:val="single" w:sz="4" w:space="0" w:color="auto"/>
            </w:tcBorders>
            <w:vAlign w:val="center"/>
            <w:hideMark/>
          </w:tcPr>
          <w:p w14:paraId="7EA5045A"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1BA4FBC4" w14:textId="37590A03"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[H]Cu (PEMEL, Road)</w:t>
            </w:r>
          </w:p>
        </w:tc>
        <w:tc>
          <w:tcPr>
            <w:tcW w:w="1461" w:type="dxa"/>
            <w:vMerge/>
            <w:tcBorders>
              <w:top w:val="nil"/>
              <w:left w:val="single" w:sz="4" w:space="0" w:color="auto"/>
              <w:bottom w:val="single" w:sz="4" w:space="0" w:color="auto"/>
              <w:right w:val="single" w:sz="4" w:space="0" w:color="auto"/>
            </w:tcBorders>
            <w:vAlign w:val="center"/>
            <w:hideMark/>
          </w:tcPr>
          <w:p w14:paraId="235B467A" w14:textId="77777777" w:rsidR="00210B70" w:rsidRPr="000708BC" w:rsidRDefault="00210B70" w:rsidP="00210B70">
            <w:pPr>
              <w:jc w:val="center"/>
              <w:rPr>
                <w:rFonts w:ascii="Arial" w:hAnsi="Arial" w:cs="Arial"/>
                <w:color w:val="000000"/>
                <w:sz w:val="16"/>
                <w:szCs w:val="16"/>
              </w:rPr>
            </w:pPr>
          </w:p>
        </w:tc>
        <w:tc>
          <w:tcPr>
            <w:tcW w:w="588" w:type="dxa"/>
            <w:vMerge/>
            <w:tcBorders>
              <w:top w:val="nil"/>
              <w:left w:val="single" w:sz="4" w:space="0" w:color="auto"/>
              <w:bottom w:val="single" w:sz="4" w:space="0" w:color="auto"/>
              <w:right w:val="single" w:sz="4" w:space="0" w:color="auto"/>
            </w:tcBorders>
            <w:vAlign w:val="center"/>
            <w:hideMark/>
          </w:tcPr>
          <w:p w14:paraId="7FAB799A"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70650D7E"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6FC3810C"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77318EF0" w14:textId="77777777" w:rsidR="00210B70" w:rsidRPr="000708BC" w:rsidRDefault="00210B70" w:rsidP="00210B70">
            <w:pPr>
              <w:jc w:val="center"/>
              <w:rPr>
                <w:rFonts w:ascii="Arial" w:hAnsi="Arial" w:cs="Arial"/>
                <w:color w:val="000000"/>
                <w:sz w:val="16"/>
                <w:szCs w:val="16"/>
              </w:rPr>
            </w:pP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43457616"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Proton exchange membrane electrolyzer</w:t>
            </w:r>
          </w:p>
        </w:tc>
        <w:tc>
          <w:tcPr>
            <w:tcW w:w="1559" w:type="dxa"/>
            <w:tcBorders>
              <w:top w:val="nil"/>
              <w:left w:val="nil"/>
              <w:bottom w:val="single" w:sz="4" w:space="0" w:color="auto"/>
              <w:right w:val="single" w:sz="4" w:space="0" w:color="auto"/>
            </w:tcBorders>
            <w:shd w:val="clear" w:color="auto" w:fill="auto"/>
            <w:vAlign w:val="center"/>
            <w:hideMark/>
          </w:tcPr>
          <w:p w14:paraId="5AD00F38" w14:textId="20D64778"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Road tankers with gaseous tanks</w:t>
            </w:r>
          </w:p>
        </w:tc>
        <w:tc>
          <w:tcPr>
            <w:tcW w:w="1110" w:type="dxa"/>
            <w:vMerge/>
            <w:tcBorders>
              <w:left w:val="single" w:sz="4" w:space="0" w:color="auto"/>
              <w:right w:val="single" w:sz="4" w:space="0" w:color="auto"/>
            </w:tcBorders>
            <w:vAlign w:val="center"/>
          </w:tcPr>
          <w:p w14:paraId="4DA7F485"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7AE4C064" w14:textId="016653C2" w:rsidR="00210B70" w:rsidRPr="000708BC" w:rsidRDefault="00210B70" w:rsidP="00210B70">
            <w:pPr>
              <w:jc w:val="center"/>
              <w:rPr>
                <w:rFonts w:ascii="Arial" w:hAnsi="Arial" w:cs="Arial"/>
                <w:color w:val="000000"/>
                <w:sz w:val="16"/>
                <w:szCs w:val="16"/>
              </w:rPr>
            </w:pPr>
          </w:p>
        </w:tc>
      </w:tr>
      <w:tr w:rsidR="00210B70" w:rsidRPr="000708BC" w14:paraId="665A3A3B" w14:textId="77777777" w:rsidTr="00210B70">
        <w:trPr>
          <w:trHeight w:val="560"/>
          <w:jc w:val="center"/>
        </w:trPr>
        <w:tc>
          <w:tcPr>
            <w:tcW w:w="704" w:type="dxa"/>
            <w:vMerge/>
            <w:tcBorders>
              <w:top w:val="nil"/>
              <w:left w:val="single" w:sz="4" w:space="0" w:color="auto"/>
              <w:bottom w:val="single" w:sz="4" w:space="0" w:color="auto"/>
              <w:right w:val="single" w:sz="4" w:space="0" w:color="auto"/>
            </w:tcBorders>
            <w:vAlign w:val="center"/>
            <w:hideMark/>
          </w:tcPr>
          <w:p w14:paraId="391A55A8" w14:textId="77777777" w:rsidR="00210B70" w:rsidRPr="000708BC" w:rsidRDefault="00210B70" w:rsidP="00210B70">
            <w:pPr>
              <w:jc w:val="center"/>
              <w:rPr>
                <w:rFonts w:ascii="Arial" w:hAnsi="Arial" w:cs="Arial"/>
                <w:color w:val="000000"/>
                <w:sz w:val="16"/>
                <w:szCs w:val="16"/>
              </w:rPr>
            </w:pPr>
          </w:p>
        </w:tc>
        <w:tc>
          <w:tcPr>
            <w:tcW w:w="1920" w:type="dxa"/>
            <w:tcBorders>
              <w:top w:val="nil"/>
              <w:left w:val="nil"/>
              <w:bottom w:val="single" w:sz="4" w:space="0" w:color="auto"/>
              <w:right w:val="single" w:sz="4" w:space="0" w:color="auto"/>
            </w:tcBorders>
            <w:shd w:val="clear" w:color="auto" w:fill="auto"/>
            <w:vAlign w:val="center"/>
            <w:hideMark/>
          </w:tcPr>
          <w:p w14:paraId="4254E28D" w14:textId="6DE1D84C"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Renewable</w:t>
            </w:r>
            <w:r w:rsidR="002D3FD8" w:rsidRPr="000708BC">
              <w:rPr>
                <w:rFonts w:ascii="Arial" w:hAnsi="Arial" w:cs="Arial"/>
                <w:color w:val="000000"/>
                <w:sz w:val="16"/>
                <w:szCs w:val="16"/>
              </w:rPr>
              <w:t>s-led</w:t>
            </w:r>
            <w:r w:rsidRPr="000708BC">
              <w:rPr>
                <w:rFonts w:ascii="Arial" w:hAnsi="Arial" w:cs="Arial"/>
                <w:color w:val="000000"/>
                <w:sz w:val="16"/>
                <w:szCs w:val="16"/>
              </w:rPr>
              <w:t xml:space="preserve"> [H]Cu (PEMEL, Pipeline)</w:t>
            </w:r>
          </w:p>
        </w:tc>
        <w:tc>
          <w:tcPr>
            <w:tcW w:w="1461" w:type="dxa"/>
            <w:vMerge/>
            <w:tcBorders>
              <w:top w:val="nil"/>
              <w:left w:val="single" w:sz="4" w:space="0" w:color="auto"/>
              <w:bottom w:val="single" w:sz="4" w:space="0" w:color="auto"/>
              <w:right w:val="single" w:sz="4" w:space="0" w:color="auto"/>
            </w:tcBorders>
            <w:vAlign w:val="center"/>
            <w:hideMark/>
          </w:tcPr>
          <w:p w14:paraId="4D8410DD" w14:textId="77777777" w:rsidR="00210B70" w:rsidRPr="000708BC" w:rsidRDefault="00210B70" w:rsidP="00210B70">
            <w:pPr>
              <w:jc w:val="center"/>
              <w:rPr>
                <w:rFonts w:ascii="Arial" w:hAnsi="Arial" w:cs="Arial"/>
                <w:color w:val="000000"/>
                <w:sz w:val="16"/>
                <w:szCs w:val="16"/>
              </w:rPr>
            </w:pPr>
          </w:p>
        </w:tc>
        <w:tc>
          <w:tcPr>
            <w:tcW w:w="588" w:type="dxa"/>
            <w:vMerge/>
            <w:tcBorders>
              <w:top w:val="nil"/>
              <w:left w:val="single" w:sz="4" w:space="0" w:color="auto"/>
              <w:bottom w:val="single" w:sz="4" w:space="0" w:color="auto"/>
              <w:right w:val="single" w:sz="4" w:space="0" w:color="auto"/>
            </w:tcBorders>
            <w:vAlign w:val="center"/>
            <w:hideMark/>
          </w:tcPr>
          <w:p w14:paraId="5E87DFBA" w14:textId="77777777" w:rsidR="00210B70" w:rsidRPr="000708BC" w:rsidRDefault="00210B70" w:rsidP="00210B70">
            <w:pPr>
              <w:jc w:val="center"/>
              <w:rPr>
                <w:rFonts w:ascii="Arial" w:hAnsi="Arial"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14:paraId="1D9EBC90" w14:textId="77777777" w:rsidR="00210B70" w:rsidRPr="000708BC" w:rsidRDefault="00210B70" w:rsidP="00210B70">
            <w:pPr>
              <w:jc w:val="center"/>
              <w:rPr>
                <w:rFonts w:ascii="Arial" w:hAnsi="Arial" w:cs="Arial"/>
                <w:color w:val="000000"/>
                <w:sz w:val="16"/>
                <w:szCs w:val="16"/>
              </w:rPr>
            </w:pPr>
          </w:p>
        </w:tc>
        <w:tc>
          <w:tcPr>
            <w:tcW w:w="1701" w:type="dxa"/>
            <w:vMerge/>
            <w:tcBorders>
              <w:top w:val="nil"/>
              <w:left w:val="single" w:sz="4" w:space="0" w:color="auto"/>
              <w:bottom w:val="single" w:sz="4" w:space="0" w:color="auto"/>
              <w:right w:val="single" w:sz="4" w:space="0" w:color="auto"/>
            </w:tcBorders>
            <w:vAlign w:val="center"/>
            <w:hideMark/>
          </w:tcPr>
          <w:p w14:paraId="6DB4998E" w14:textId="77777777" w:rsidR="00210B70" w:rsidRPr="000708BC" w:rsidRDefault="00210B70" w:rsidP="00210B70">
            <w:pPr>
              <w:jc w:val="center"/>
              <w:rPr>
                <w:rFonts w:ascii="Arial" w:hAnsi="Arial" w:cs="Arial"/>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14:paraId="2A9C9222" w14:textId="77777777" w:rsidR="00210B70" w:rsidRPr="000708BC" w:rsidRDefault="00210B70" w:rsidP="00210B70">
            <w:pPr>
              <w:jc w:val="center"/>
              <w:rPr>
                <w:rFonts w:ascii="Arial" w:hAnsi="Arial" w:cs="Arial"/>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14:paraId="539EEE07" w14:textId="77777777" w:rsidR="00210B70" w:rsidRPr="000708BC" w:rsidRDefault="00210B70" w:rsidP="00210B70">
            <w:pPr>
              <w:jc w:val="center"/>
              <w:rPr>
                <w:rFonts w:ascii="Arial" w:hAnsi="Arial" w:cs="Arial"/>
                <w:color w:val="000000"/>
                <w:sz w:val="16"/>
                <w:szCs w:val="16"/>
              </w:rPr>
            </w:pPr>
          </w:p>
        </w:tc>
        <w:tc>
          <w:tcPr>
            <w:tcW w:w="1559" w:type="dxa"/>
            <w:tcBorders>
              <w:top w:val="nil"/>
              <w:left w:val="nil"/>
              <w:bottom w:val="single" w:sz="4" w:space="0" w:color="auto"/>
              <w:right w:val="single" w:sz="4" w:space="0" w:color="auto"/>
            </w:tcBorders>
            <w:shd w:val="clear" w:color="auto" w:fill="auto"/>
            <w:vAlign w:val="center"/>
            <w:hideMark/>
          </w:tcPr>
          <w:p w14:paraId="131E6DEB" w14:textId="77777777" w:rsidR="00210B70" w:rsidRPr="000708BC" w:rsidRDefault="00210B70" w:rsidP="00210B70">
            <w:pPr>
              <w:jc w:val="center"/>
              <w:rPr>
                <w:rFonts w:ascii="Arial" w:hAnsi="Arial" w:cs="Arial"/>
                <w:color w:val="000000"/>
                <w:sz w:val="16"/>
                <w:szCs w:val="16"/>
              </w:rPr>
            </w:pPr>
            <w:r w:rsidRPr="000708BC">
              <w:rPr>
                <w:rFonts w:ascii="Arial" w:hAnsi="Arial" w:cs="Arial"/>
                <w:color w:val="000000"/>
                <w:sz w:val="16"/>
                <w:szCs w:val="16"/>
              </w:rPr>
              <w:t>Pipeline</w:t>
            </w:r>
          </w:p>
        </w:tc>
        <w:tc>
          <w:tcPr>
            <w:tcW w:w="1110" w:type="dxa"/>
            <w:vMerge/>
            <w:tcBorders>
              <w:left w:val="single" w:sz="4" w:space="0" w:color="auto"/>
              <w:bottom w:val="single" w:sz="4" w:space="0" w:color="auto"/>
              <w:right w:val="single" w:sz="4" w:space="0" w:color="auto"/>
            </w:tcBorders>
            <w:vAlign w:val="center"/>
          </w:tcPr>
          <w:p w14:paraId="14CD2F72" w14:textId="77777777" w:rsidR="00210B70" w:rsidRPr="000708BC" w:rsidRDefault="00210B70" w:rsidP="00210B70">
            <w:pPr>
              <w:jc w:val="center"/>
              <w:rPr>
                <w:rFonts w:ascii="Arial" w:hAnsi="Arial" w:cs="Arial"/>
                <w:color w:val="000000"/>
                <w:sz w:val="16"/>
                <w:szCs w:val="16"/>
              </w:rPr>
            </w:pPr>
          </w:p>
        </w:tc>
        <w:tc>
          <w:tcPr>
            <w:tcW w:w="788" w:type="dxa"/>
            <w:vMerge/>
            <w:tcBorders>
              <w:top w:val="nil"/>
              <w:left w:val="single" w:sz="4" w:space="0" w:color="auto"/>
              <w:bottom w:val="single" w:sz="4" w:space="0" w:color="auto"/>
              <w:right w:val="single" w:sz="4" w:space="0" w:color="auto"/>
            </w:tcBorders>
            <w:vAlign w:val="center"/>
            <w:hideMark/>
          </w:tcPr>
          <w:p w14:paraId="116B8F04" w14:textId="1782ED10" w:rsidR="00210B70" w:rsidRPr="000708BC" w:rsidRDefault="00210B70" w:rsidP="00210B70">
            <w:pPr>
              <w:jc w:val="center"/>
              <w:rPr>
                <w:rFonts w:ascii="Arial" w:hAnsi="Arial" w:cs="Arial"/>
                <w:color w:val="000000"/>
                <w:sz w:val="16"/>
                <w:szCs w:val="16"/>
              </w:rPr>
            </w:pPr>
          </w:p>
        </w:tc>
      </w:tr>
    </w:tbl>
    <w:p w14:paraId="249113D9" w14:textId="77777777" w:rsidR="0099208C" w:rsidRPr="000708BC" w:rsidRDefault="0099208C" w:rsidP="00753B61">
      <w:pPr>
        <w:pStyle w:val="JIEreferencelist"/>
        <w:ind w:left="0" w:firstLine="0"/>
        <w:jc w:val="both"/>
        <w:rPr>
          <w:rFonts w:ascii="Arial" w:hAnsi="Arial" w:cs="Arial"/>
          <w:iCs/>
          <w:sz w:val="22"/>
          <w:szCs w:val="22"/>
        </w:rPr>
      </w:pPr>
    </w:p>
    <w:p w14:paraId="58060191" w14:textId="77777777" w:rsidR="00AE0F21" w:rsidRPr="000708BC" w:rsidRDefault="00AE0F21" w:rsidP="00753B61">
      <w:pPr>
        <w:pStyle w:val="JIEreferencelist"/>
        <w:ind w:left="0" w:firstLine="0"/>
        <w:jc w:val="both"/>
        <w:rPr>
          <w:rFonts w:ascii="Arial" w:hAnsi="Arial" w:cs="Arial"/>
          <w:iCs/>
          <w:sz w:val="22"/>
          <w:szCs w:val="22"/>
        </w:rPr>
        <w:sectPr w:rsidR="00AE0F21" w:rsidRPr="000708BC" w:rsidSect="00AE0F21">
          <w:pgSz w:w="15840" w:h="12240" w:orient="landscape"/>
          <w:pgMar w:top="1800" w:right="1440" w:bottom="1800" w:left="1440" w:header="720" w:footer="720" w:gutter="0"/>
          <w:cols w:space="720"/>
          <w:docGrid w:linePitch="326"/>
        </w:sectPr>
      </w:pPr>
    </w:p>
    <w:p w14:paraId="720BD752" w14:textId="77777777" w:rsidR="00FD35F7" w:rsidRPr="000708BC" w:rsidRDefault="00FD35F7" w:rsidP="00724D19">
      <w:pPr>
        <w:pStyle w:val="Heading1"/>
        <w:rPr>
          <w:rFonts w:cs="Arial"/>
        </w:rPr>
      </w:pPr>
      <w:r w:rsidRPr="000708BC">
        <w:rPr>
          <w:rFonts w:cs="Arial"/>
        </w:rPr>
        <w:lastRenderedPageBreak/>
        <w:t>Copper Ore Grade</w:t>
      </w:r>
    </w:p>
    <w:p w14:paraId="4B50654A" w14:textId="77777777" w:rsidR="00FD35F7" w:rsidRPr="000708BC" w:rsidRDefault="00FD35F7" w:rsidP="00FD35F7">
      <w:pPr>
        <w:pStyle w:val="JIEreferencelist"/>
        <w:ind w:left="0" w:firstLine="0"/>
        <w:jc w:val="both"/>
        <w:rPr>
          <w:rFonts w:ascii="Arial" w:hAnsi="Arial" w:cs="Arial"/>
          <w:iCs/>
          <w:sz w:val="22"/>
          <w:szCs w:val="22"/>
        </w:rPr>
      </w:pPr>
    </w:p>
    <w:p w14:paraId="664AB580" w14:textId="6813B979" w:rsidR="00FD35F7" w:rsidRPr="000708BC" w:rsidRDefault="00FD35F7" w:rsidP="00FD35F7">
      <w:pPr>
        <w:pStyle w:val="JIEreferencelist"/>
        <w:ind w:left="0" w:firstLine="0"/>
        <w:jc w:val="both"/>
        <w:rPr>
          <w:rFonts w:ascii="Arial" w:hAnsi="Arial" w:cs="Arial"/>
          <w:iCs/>
          <w:sz w:val="22"/>
          <w:szCs w:val="22"/>
        </w:rPr>
      </w:pPr>
      <w:r w:rsidRPr="000708BC">
        <w:rPr>
          <w:rFonts w:ascii="Arial" w:hAnsi="Arial" w:cs="Arial"/>
          <w:iCs/>
          <w:sz w:val="22"/>
          <w:szCs w:val="22"/>
        </w:rPr>
        <w:t xml:space="preserve">The </w:t>
      </w:r>
      <w:sdt>
        <w:sdtPr>
          <w:rPr>
            <w:rFonts w:ascii="Arial" w:hAnsi="Arial" w:cs="Arial"/>
            <w:iCs/>
            <w:color w:val="000000"/>
            <w:sz w:val="22"/>
            <w:szCs w:val="22"/>
          </w:rPr>
          <w:tag w:val="MENDELEY_CITATION_v3_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
          <w:id w:val="1641457297"/>
          <w:placeholder>
            <w:docPart w:val="DefaultPlaceholder_-1854013440"/>
          </w:placeholder>
        </w:sdtPr>
        <w:sdtEndPr/>
        <w:sdtContent>
          <w:r w:rsidR="002422C9" w:rsidRPr="000708BC">
            <w:rPr>
              <w:rFonts w:ascii="Arial" w:hAnsi="Arial" w:cs="Arial"/>
              <w:iCs/>
              <w:color w:val="000000"/>
              <w:sz w:val="22"/>
              <w:szCs w:val="22"/>
            </w:rPr>
            <w:t>Chilean Copper Commission (2024b)</w:t>
          </w:r>
        </w:sdtContent>
      </w:sdt>
      <w:r w:rsidRPr="000708BC">
        <w:rPr>
          <w:rFonts w:ascii="Arial" w:hAnsi="Arial" w:cs="Arial"/>
          <w:iCs/>
          <w:sz w:val="22"/>
          <w:szCs w:val="22"/>
        </w:rPr>
        <w:t xml:space="preserve"> and the </w:t>
      </w:r>
      <w:sdt>
        <w:sdtPr>
          <w:rPr>
            <w:rFonts w:ascii="Arial" w:hAnsi="Arial" w:cs="Arial"/>
            <w:iCs/>
            <w:color w:val="000000"/>
            <w:sz w:val="22"/>
            <w:szCs w:val="22"/>
          </w:rPr>
          <w:tag w:val="MENDELEY_CITATION_v3_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"/>
          <w:id w:val="1408731979"/>
          <w:placeholder>
            <w:docPart w:val="DefaultPlaceholder_-1854013440"/>
          </w:placeholder>
        </w:sdtPr>
        <w:sdtEndPr/>
        <w:sdtContent>
          <w:r w:rsidR="002422C9" w:rsidRPr="000708BC">
            <w:rPr>
              <w:rFonts w:ascii="Arial" w:hAnsi="Arial" w:cs="Arial"/>
              <w:iCs/>
              <w:color w:val="000000"/>
              <w:sz w:val="22"/>
              <w:szCs w:val="22"/>
            </w:rPr>
            <w:t>Mining Council of Chile (2024)</w:t>
          </w:r>
        </w:sdtContent>
      </w:sdt>
      <w:r w:rsidRPr="000708BC">
        <w:rPr>
          <w:rFonts w:ascii="Arial" w:hAnsi="Arial" w:cs="Arial"/>
          <w:iCs/>
          <w:sz w:val="22"/>
          <w:szCs w:val="22"/>
        </w:rPr>
        <w:t xml:space="preserve"> have historically documented ore grades. The recorded values represent the average ore grade throughout various stages of the copper cathode production process for the pyrometallurgical and hydrometallurgical methods. Figure S1-1 illustrates the trend of ore grades over time, clearly showing a consistent decline over the past 24 years.</w:t>
      </w:r>
    </w:p>
    <w:p w14:paraId="5B21E5BC" w14:textId="77777777" w:rsidR="00FD35F7" w:rsidRPr="000708BC" w:rsidRDefault="00FD35F7" w:rsidP="00FD35F7">
      <w:pPr>
        <w:pStyle w:val="JIEreferencelist"/>
        <w:ind w:left="0" w:firstLine="0"/>
        <w:jc w:val="both"/>
        <w:rPr>
          <w:rFonts w:ascii="Arial" w:hAnsi="Arial" w:cs="Arial"/>
          <w:iCs/>
          <w:sz w:val="22"/>
          <w:szCs w:val="22"/>
        </w:rPr>
      </w:pPr>
    </w:p>
    <w:p w14:paraId="3E774F43" w14:textId="77777777" w:rsidR="00FD35F7" w:rsidRPr="000708BC" w:rsidRDefault="00FD35F7" w:rsidP="00FD35F7">
      <w:pPr>
        <w:pStyle w:val="JIEreferencelist"/>
        <w:ind w:left="0" w:firstLine="0"/>
        <w:jc w:val="center"/>
        <w:rPr>
          <w:rFonts w:ascii="Arial" w:hAnsi="Arial" w:cs="Arial"/>
          <w:iCs/>
          <w:sz w:val="22"/>
          <w:szCs w:val="22"/>
        </w:rPr>
      </w:pPr>
      <w:r w:rsidRPr="000708BC">
        <w:rPr>
          <w:rFonts w:ascii="Arial" w:hAnsi="Arial" w:cs="Arial"/>
          <w:iCs/>
          <w:noProof/>
          <w:sz w:val="22"/>
          <w:szCs w:val="22"/>
        </w:rPr>
        <w:drawing>
          <wp:inline distT="0" distB="0" distL="0" distR="0" wp14:anchorId="22C74754" wp14:editId="52081ECE">
            <wp:extent cx="3600000" cy="2751667"/>
            <wp:effectExtent l="0" t="0" r="0" b="4445"/>
            <wp:docPr id="1108682074" name="Picture 1" descr="A graph with a line graph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682074" name="Picture 1" descr="A graph with a line graph and number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00000" cy="2751667"/>
                    </a:xfrm>
                    <a:prstGeom prst="rect">
                      <a:avLst/>
                    </a:prstGeom>
                  </pic:spPr>
                </pic:pic>
              </a:graphicData>
            </a:graphic>
          </wp:inline>
        </w:drawing>
      </w:r>
    </w:p>
    <w:p w14:paraId="0228A1BF" w14:textId="77777777" w:rsidR="00FD35F7" w:rsidRPr="000708BC" w:rsidRDefault="00FD35F7" w:rsidP="00E73B61">
      <w:pPr>
        <w:pStyle w:val="JIEreferencelist"/>
        <w:spacing w:line="276" w:lineRule="auto"/>
        <w:ind w:left="0" w:firstLine="0"/>
        <w:jc w:val="center"/>
        <w:rPr>
          <w:rFonts w:ascii="Arial" w:hAnsi="Arial" w:cs="Arial"/>
          <w:i/>
          <w:sz w:val="20"/>
        </w:rPr>
      </w:pPr>
      <w:r w:rsidRPr="000708BC">
        <w:rPr>
          <w:rFonts w:ascii="Arial" w:hAnsi="Arial" w:cs="Arial"/>
          <w:i/>
          <w:sz w:val="20"/>
        </w:rPr>
        <w:t>Figure S1-1: Copper ore grade trend in the temporal line, from 2002 to 2023.</w:t>
      </w:r>
    </w:p>
    <w:p w14:paraId="6BD1DF25" w14:textId="77777777" w:rsidR="00FD35F7" w:rsidRPr="000708BC" w:rsidRDefault="00FD35F7" w:rsidP="00FD35F7">
      <w:pPr>
        <w:pStyle w:val="JIEreferencelist"/>
        <w:ind w:left="0" w:firstLine="0"/>
        <w:jc w:val="both"/>
        <w:rPr>
          <w:rFonts w:ascii="Arial" w:hAnsi="Arial" w:cs="Arial"/>
          <w:iCs/>
          <w:sz w:val="22"/>
          <w:szCs w:val="22"/>
        </w:rPr>
      </w:pPr>
    </w:p>
    <w:p w14:paraId="6D6A8893" w14:textId="418DE554" w:rsidR="00FD35F7" w:rsidRPr="000708BC" w:rsidRDefault="00FD35F7" w:rsidP="00FD35F7">
      <w:pPr>
        <w:pStyle w:val="JIEreferencelist"/>
        <w:ind w:left="0" w:firstLine="0"/>
        <w:jc w:val="both"/>
        <w:rPr>
          <w:rFonts w:ascii="Arial" w:hAnsi="Arial" w:cs="Arial"/>
          <w:iCs/>
          <w:sz w:val="22"/>
          <w:szCs w:val="22"/>
        </w:rPr>
      </w:pPr>
      <w:r w:rsidRPr="000708BC">
        <w:rPr>
          <w:rFonts w:ascii="Arial" w:hAnsi="Arial" w:cs="Arial"/>
          <w:iCs/>
          <w:sz w:val="22"/>
          <w:szCs w:val="22"/>
        </w:rPr>
        <w:t xml:space="preserve">The decline in ore grade cannot be attributed solely to the depletion of high-grade mineral deposits. Other key factors include the development of larger economies of scale, which allow for the profitable extraction of lower-grade ores, and technological advancements in extraction processes that enhance efficiency and feasibility </w:t>
      </w:r>
      <w:sdt>
        <w:sdtPr>
          <w:rPr>
            <w:rFonts w:ascii="Arial" w:hAnsi="Arial" w:cs="Arial"/>
            <w:iCs/>
            <w:color w:val="000000"/>
            <w:sz w:val="22"/>
            <w:szCs w:val="22"/>
          </w:rPr>
          <w:tag w:val="MENDELEY_CITATION_v3_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"/>
          <w:id w:val="572017834"/>
          <w:placeholder>
            <w:docPart w:val="DefaultPlaceholder_-1854013440"/>
          </w:placeholder>
        </w:sdtPr>
        <w:sdtEndPr/>
        <w:sdtContent>
          <w:r w:rsidR="002422C9" w:rsidRPr="000708BC">
            <w:rPr>
              <w:rFonts w:ascii="Arial" w:eastAsia="Times New Roman" w:hAnsi="Arial" w:cs="Arial"/>
              <w:color w:val="000000"/>
              <w:sz w:val="22"/>
            </w:rPr>
            <w:t xml:space="preserve">(Northey, Mohr, Mudd, Weng, &amp; </w:t>
          </w:r>
          <w:proofErr w:type="spellStart"/>
          <w:r w:rsidR="002422C9" w:rsidRPr="000708BC">
            <w:rPr>
              <w:rFonts w:ascii="Arial" w:eastAsia="Times New Roman" w:hAnsi="Arial" w:cs="Arial"/>
              <w:color w:val="000000"/>
              <w:sz w:val="22"/>
            </w:rPr>
            <w:t>Giurco</w:t>
          </w:r>
          <w:proofErr w:type="spellEnd"/>
          <w:r w:rsidR="002422C9" w:rsidRPr="000708BC">
            <w:rPr>
              <w:rFonts w:ascii="Arial" w:eastAsia="Times New Roman" w:hAnsi="Arial" w:cs="Arial"/>
              <w:color w:val="000000"/>
              <w:sz w:val="22"/>
            </w:rPr>
            <w:t>, 2014)</w:t>
          </w:r>
        </w:sdtContent>
      </w:sdt>
      <w:r w:rsidR="001B4683" w:rsidRPr="000708BC">
        <w:rPr>
          <w:rFonts w:ascii="Arial" w:hAnsi="Arial" w:cs="Arial"/>
          <w:iCs/>
          <w:sz w:val="22"/>
          <w:szCs w:val="22"/>
        </w:rPr>
        <w:t xml:space="preserve">. </w:t>
      </w:r>
      <w:r w:rsidRPr="000708BC">
        <w:rPr>
          <w:rFonts w:ascii="Arial" w:hAnsi="Arial" w:cs="Arial"/>
          <w:iCs/>
          <w:sz w:val="22"/>
          <w:szCs w:val="22"/>
        </w:rPr>
        <w:t>Based on this information, the relationship between ore grade and cumulative production was established using the work of</w:t>
      </w:r>
      <w:r w:rsidR="001B4683"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"/>
          <w:id w:val="-697781390"/>
          <w:placeholder>
            <w:docPart w:val="DefaultPlaceholder_-1854013440"/>
          </w:placeholder>
        </w:sdtPr>
        <w:sdtEndPr/>
        <w:sdtContent>
          <w:r w:rsidR="002422C9" w:rsidRPr="000708BC">
            <w:rPr>
              <w:rFonts w:ascii="Arial" w:eastAsia="Times New Roman" w:hAnsi="Arial" w:cs="Arial"/>
              <w:color w:val="000000"/>
              <w:sz w:val="22"/>
            </w:rPr>
            <w:t xml:space="preserve">(Lagos, Peters, </w:t>
          </w:r>
          <w:proofErr w:type="spellStart"/>
          <w:r w:rsidR="002422C9" w:rsidRPr="000708BC">
            <w:rPr>
              <w:rFonts w:ascii="Arial" w:eastAsia="Times New Roman" w:hAnsi="Arial" w:cs="Arial"/>
              <w:color w:val="000000"/>
              <w:sz w:val="22"/>
            </w:rPr>
            <w:t>Videla</w:t>
          </w:r>
          <w:proofErr w:type="spellEnd"/>
          <w:r w:rsidR="002422C9" w:rsidRPr="000708BC">
            <w:rPr>
              <w:rFonts w:ascii="Arial" w:eastAsia="Times New Roman" w:hAnsi="Arial" w:cs="Arial"/>
              <w:color w:val="000000"/>
              <w:sz w:val="22"/>
            </w:rPr>
            <w:t xml:space="preserve">, &amp; </w:t>
          </w:r>
          <w:proofErr w:type="spellStart"/>
          <w:r w:rsidR="002422C9" w:rsidRPr="000708BC">
            <w:rPr>
              <w:rFonts w:ascii="Arial" w:eastAsia="Times New Roman" w:hAnsi="Arial" w:cs="Arial"/>
              <w:color w:val="000000"/>
              <w:sz w:val="22"/>
            </w:rPr>
            <w:t>Jara</w:t>
          </w:r>
          <w:proofErr w:type="spellEnd"/>
          <w:r w:rsidR="002422C9" w:rsidRPr="000708BC">
            <w:rPr>
              <w:rFonts w:ascii="Arial" w:eastAsia="Times New Roman" w:hAnsi="Arial" w:cs="Arial"/>
              <w:color w:val="000000"/>
              <w:sz w:val="22"/>
            </w:rPr>
            <w:t>, 2018)</w:t>
          </w:r>
        </w:sdtContent>
      </w:sdt>
      <w:r w:rsidR="001B4683" w:rsidRPr="000708BC">
        <w:rPr>
          <w:rFonts w:ascii="Arial" w:hAnsi="Arial" w:cs="Arial"/>
          <w:iCs/>
          <w:sz w:val="22"/>
          <w:szCs w:val="22"/>
        </w:rPr>
        <w:t xml:space="preserve"> </w:t>
      </w:r>
      <w:r w:rsidRPr="000708BC">
        <w:rPr>
          <w:rFonts w:ascii="Arial" w:hAnsi="Arial" w:cs="Arial"/>
          <w:iCs/>
          <w:sz w:val="22"/>
          <w:szCs w:val="22"/>
        </w:rPr>
        <w:t>to forecast the copper ore grade by the year 2050.</w:t>
      </w:r>
    </w:p>
    <w:p w14:paraId="2B066305" w14:textId="77777777" w:rsidR="00FD35F7" w:rsidRPr="000708BC" w:rsidRDefault="00FD35F7" w:rsidP="00FD35F7">
      <w:pPr>
        <w:pStyle w:val="JIEreferencelist"/>
        <w:ind w:left="0" w:firstLine="0"/>
        <w:jc w:val="both"/>
        <w:rPr>
          <w:rFonts w:ascii="Arial" w:hAnsi="Arial" w:cs="Arial"/>
          <w:iCs/>
          <w:sz w:val="22"/>
          <w:szCs w:val="22"/>
        </w:rPr>
      </w:pPr>
    </w:p>
    <w:p w14:paraId="2F1174C9" w14:textId="00E39C15" w:rsidR="00FD35F7" w:rsidRPr="000708BC" w:rsidRDefault="00FD35F7" w:rsidP="00FD35F7">
      <w:pPr>
        <w:pStyle w:val="JIEreferencelist"/>
        <w:tabs>
          <w:tab w:val="left" w:pos="501"/>
        </w:tabs>
        <w:ind w:left="0" w:firstLine="0"/>
        <w:jc w:val="both"/>
        <w:rPr>
          <w:rFonts w:ascii="Arial" w:hAnsi="Arial" w:cs="Arial"/>
          <w:iCs/>
          <w:sz w:val="22"/>
          <w:szCs w:val="22"/>
        </w:rPr>
      </w:pPr>
      <w:r w:rsidRPr="000708BC">
        <w:rPr>
          <w:rFonts w:ascii="Arial" w:hAnsi="Arial" w:cs="Arial"/>
          <w:iCs/>
          <w:sz w:val="22"/>
          <w:szCs w:val="22"/>
        </w:rPr>
        <w:t>The cumulative copper production in Chile from 2004 to 2023 was sourced from the</w:t>
      </w:r>
      <w:r w:rsidR="001B4683"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WZiYjVlNmUtOTYwYS00ZWViLWE4NzItYjdmNTdhYzRkZDNlIiwicHJvcGVydGllcyI6eyJub3RlSW5kZXgiOjB9LCJpc0VkaXRlZCI6ZmFsc2UsIm1hbnVhbE92ZXJyaWRlIjp7ImlzTWFudWFsbHlPdmVycmlkZGVuIjp0cnVlLCJjaXRlcHJvY1RleHQiOiIoQ29jaGlsY28sIDIwMjRjKSIsIm1hbnVhbE92ZXJyaWRlVGV4dCI6IkNoaWxlYW4gQ29wcGVyIENvbW1pc3Npb24sICgyMDI0Yik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"/>
          <w:id w:val="1849831875"/>
          <w:placeholder>
            <w:docPart w:val="DefaultPlaceholder_-1854013440"/>
          </w:placeholder>
        </w:sdtPr>
        <w:sdtEndPr/>
        <w:sdtContent>
          <w:r w:rsidR="002422C9" w:rsidRPr="000708BC">
            <w:rPr>
              <w:rFonts w:ascii="Arial" w:hAnsi="Arial" w:cs="Arial"/>
              <w:iCs/>
              <w:color w:val="000000"/>
              <w:sz w:val="22"/>
              <w:szCs w:val="22"/>
            </w:rPr>
            <w:t>Chilean Copper Commission, (2024b)</w:t>
          </w:r>
        </w:sdtContent>
      </w:sdt>
      <w:r w:rsidRPr="000708BC">
        <w:rPr>
          <w:rFonts w:ascii="Arial" w:hAnsi="Arial" w:cs="Arial"/>
          <w:iCs/>
          <w:sz w:val="22"/>
          <w:szCs w:val="22"/>
        </w:rPr>
        <w:t xml:space="preserve"> while the projection for copper production from 2024 to 2033 was obtained from the</w:t>
      </w:r>
      <w:r w:rsidR="009913E8"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"/>
          <w:id w:val="375210453"/>
          <w:placeholder>
            <w:docPart w:val="DefaultPlaceholder_-1854013440"/>
          </w:placeholder>
        </w:sdtPr>
        <w:sdtEndPr/>
        <w:sdtContent>
          <w:r w:rsidR="002422C9" w:rsidRPr="000708BC">
            <w:rPr>
              <w:rFonts w:ascii="Arial" w:hAnsi="Arial" w:cs="Arial"/>
              <w:iCs/>
              <w:color w:val="000000"/>
              <w:sz w:val="22"/>
              <w:szCs w:val="22"/>
            </w:rPr>
            <w:t>Chilean Copper Commission (2022)</w:t>
          </w:r>
        </w:sdtContent>
      </w:sdt>
      <w:r w:rsidR="009913E8" w:rsidRPr="000708BC">
        <w:rPr>
          <w:rFonts w:ascii="Arial" w:hAnsi="Arial" w:cs="Arial"/>
          <w:iCs/>
          <w:color w:val="000000"/>
          <w:sz w:val="22"/>
          <w:szCs w:val="22"/>
        </w:rPr>
        <w:t xml:space="preserve">. </w:t>
      </w:r>
      <w:r w:rsidRPr="000708BC">
        <w:rPr>
          <w:rFonts w:ascii="Arial" w:hAnsi="Arial" w:cs="Arial"/>
          <w:iCs/>
          <w:sz w:val="22"/>
          <w:szCs w:val="22"/>
        </w:rPr>
        <w:t xml:space="preserve">From 2033 to 2050, a steady increase was assumed to align with the government’s production target of </w:t>
      </w:r>
      <w:r w:rsidRPr="000708BC">
        <w:rPr>
          <w:rFonts w:ascii="Arial" w:hAnsi="Arial" w:cs="Arial"/>
          <w:iCs/>
          <w:sz w:val="22"/>
          <w:szCs w:val="22"/>
        </w:rPr>
        <w:lastRenderedPageBreak/>
        <w:t xml:space="preserve">9,000 </w:t>
      </w:r>
      <w:proofErr w:type="spellStart"/>
      <w:r w:rsidRPr="000708BC">
        <w:rPr>
          <w:rFonts w:ascii="Arial" w:hAnsi="Arial" w:cs="Arial"/>
          <w:iCs/>
          <w:sz w:val="22"/>
          <w:szCs w:val="22"/>
        </w:rPr>
        <w:t>Mtons</w:t>
      </w:r>
      <w:proofErr w:type="spellEnd"/>
      <w:r w:rsidRPr="000708BC">
        <w:rPr>
          <w:rFonts w:ascii="Arial" w:hAnsi="Arial" w:cs="Arial"/>
          <w:iCs/>
          <w:sz w:val="22"/>
          <w:szCs w:val="22"/>
        </w:rPr>
        <w:t xml:space="preserve"> by 2050</w:t>
      </w:r>
      <w:r w:rsidR="00FB57DC"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"/>
          <w:id w:val="-1311320874"/>
          <w:placeholder>
            <w:docPart w:val="DefaultPlaceholder_-1854013440"/>
          </w:placeholder>
        </w:sdtPr>
        <w:sdtEndPr/>
        <w:sdtContent>
          <w:r w:rsidR="002422C9" w:rsidRPr="000708BC">
            <w:rPr>
              <w:rFonts w:ascii="Arial" w:hAnsi="Arial" w:cs="Arial"/>
              <w:iCs/>
              <w:color w:val="000000"/>
              <w:sz w:val="22"/>
              <w:szCs w:val="22"/>
            </w:rPr>
            <w:t>(Ministry of Mining Chile, 2021)</w:t>
          </w:r>
        </w:sdtContent>
      </w:sdt>
      <w:r w:rsidRPr="000708BC">
        <w:rPr>
          <w:rFonts w:ascii="Arial" w:hAnsi="Arial" w:cs="Arial"/>
          <w:iCs/>
          <w:sz w:val="22"/>
          <w:szCs w:val="22"/>
        </w:rPr>
        <w:t xml:space="preserve"> (Table S</w:t>
      </w:r>
      <w:r w:rsidR="00FB57DC" w:rsidRPr="000708BC">
        <w:rPr>
          <w:rFonts w:ascii="Arial" w:hAnsi="Arial" w:cs="Arial"/>
          <w:iCs/>
          <w:sz w:val="22"/>
          <w:szCs w:val="22"/>
        </w:rPr>
        <w:t>1</w:t>
      </w:r>
      <w:r w:rsidRPr="000708BC">
        <w:rPr>
          <w:rFonts w:ascii="Arial" w:hAnsi="Arial" w:cs="Arial"/>
          <w:iCs/>
          <w:sz w:val="22"/>
          <w:szCs w:val="22"/>
        </w:rPr>
        <w:t>-</w:t>
      </w:r>
      <w:r w:rsidR="00FB57DC" w:rsidRPr="000708BC">
        <w:rPr>
          <w:rFonts w:ascii="Arial" w:hAnsi="Arial" w:cs="Arial"/>
          <w:iCs/>
          <w:sz w:val="22"/>
          <w:szCs w:val="22"/>
        </w:rPr>
        <w:t>2</w:t>
      </w:r>
      <w:r w:rsidRPr="000708BC">
        <w:rPr>
          <w:rFonts w:ascii="Arial" w:hAnsi="Arial" w:cs="Arial"/>
          <w:iCs/>
          <w:sz w:val="22"/>
          <w:szCs w:val="22"/>
        </w:rPr>
        <w:t>). Based on this data, a power function was developed (Figure S</w:t>
      </w:r>
      <w:r w:rsidR="00C22C3F" w:rsidRPr="000708BC">
        <w:rPr>
          <w:rFonts w:ascii="Arial" w:hAnsi="Arial" w:cs="Arial"/>
          <w:iCs/>
          <w:sz w:val="22"/>
          <w:szCs w:val="22"/>
        </w:rPr>
        <w:t>1</w:t>
      </w:r>
      <w:r w:rsidRPr="000708BC">
        <w:rPr>
          <w:rFonts w:ascii="Arial" w:hAnsi="Arial" w:cs="Arial"/>
          <w:iCs/>
          <w:sz w:val="22"/>
          <w:szCs w:val="22"/>
        </w:rPr>
        <w:t>-2), enabling the forecast that the ore grade will decline to 0.50% by 2050. This projection aligns with the findings of</w:t>
      </w:r>
      <w:r w:rsidR="00C22C3F"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"/>
          <w:id w:val="-1610744454"/>
          <w:placeholder>
            <w:docPart w:val="DefaultPlaceholder_-1854013440"/>
          </w:placeholder>
        </w:sdtPr>
        <w:sdtEndPr/>
        <w:sdtContent>
          <w:r w:rsidR="002422C9" w:rsidRPr="000708BC">
            <w:rPr>
              <w:rFonts w:ascii="Arial" w:hAnsi="Arial" w:cs="Arial"/>
              <w:iCs/>
              <w:color w:val="000000"/>
              <w:sz w:val="22"/>
              <w:szCs w:val="22"/>
            </w:rPr>
            <w:t>Northey et al. (2014)</w:t>
          </w:r>
        </w:sdtContent>
      </w:sdt>
      <w:r w:rsidRPr="000708BC">
        <w:rPr>
          <w:rFonts w:ascii="Arial" w:hAnsi="Arial" w:cs="Arial"/>
          <w:iCs/>
          <w:sz w:val="22"/>
          <w:szCs w:val="22"/>
        </w:rPr>
        <w:t xml:space="preserve"> for individual countries in the year 2050.</w:t>
      </w:r>
    </w:p>
    <w:p w14:paraId="4BB9FED0" w14:textId="77777777" w:rsidR="00FD35F7" w:rsidRPr="000708BC" w:rsidRDefault="00FD35F7" w:rsidP="00FD35F7">
      <w:pPr>
        <w:pStyle w:val="JIEreferencelist"/>
        <w:ind w:left="0" w:firstLine="0"/>
        <w:jc w:val="both"/>
        <w:rPr>
          <w:rFonts w:ascii="Arial" w:hAnsi="Arial" w:cs="Arial"/>
          <w:iCs/>
          <w:sz w:val="22"/>
          <w:szCs w:val="22"/>
        </w:rPr>
      </w:pPr>
    </w:p>
    <w:p w14:paraId="39714974" w14:textId="308CC740" w:rsidR="00FD35F7" w:rsidRPr="000708BC" w:rsidRDefault="00FD35F7" w:rsidP="00FD35F7">
      <w:pPr>
        <w:pStyle w:val="JIEreferencelist"/>
        <w:spacing w:line="276" w:lineRule="auto"/>
        <w:ind w:left="0" w:firstLine="0"/>
        <w:jc w:val="both"/>
        <w:rPr>
          <w:rFonts w:ascii="Arial" w:hAnsi="Arial" w:cs="Arial"/>
          <w:i/>
          <w:sz w:val="20"/>
        </w:rPr>
      </w:pPr>
      <w:r w:rsidRPr="000708BC">
        <w:rPr>
          <w:rFonts w:ascii="Arial" w:hAnsi="Arial" w:cs="Arial"/>
          <w:i/>
          <w:sz w:val="20"/>
        </w:rPr>
        <w:t>Table S1-</w:t>
      </w:r>
      <w:r w:rsidR="00966C3C" w:rsidRPr="000708BC">
        <w:rPr>
          <w:rFonts w:ascii="Arial" w:hAnsi="Arial" w:cs="Arial"/>
          <w:i/>
          <w:sz w:val="20"/>
        </w:rPr>
        <w:t>2</w:t>
      </w:r>
      <w:r w:rsidRPr="000708BC">
        <w:rPr>
          <w:rFonts w:ascii="Arial" w:hAnsi="Arial" w:cs="Arial"/>
          <w:i/>
          <w:sz w:val="20"/>
        </w:rPr>
        <w:t xml:space="preserve"> Cumulated copper production 2006-2023, and projection from 2024-2050.</w:t>
      </w:r>
    </w:p>
    <w:tbl>
      <w:tblPr>
        <w:tblW w:w="5000" w:type="pct"/>
        <w:jc w:val="center"/>
        <w:tblLook w:val="04A0" w:firstRow="1" w:lastRow="0" w:firstColumn="1" w:lastColumn="0" w:noHBand="0" w:noVBand="1"/>
      </w:tblPr>
      <w:tblGrid>
        <w:gridCol w:w="2708"/>
        <w:gridCol w:w="3174"/>
        <w:gridCol w:w="2748"/>
      </w:tblGrid>
      <w:tr w:rsidR="00FD35F7" w:rsidRPr="000708BC" w14:paraId="37336F32" w14:textId="77777777" w:rsidTr="00BE33B4">
        <w:trPr>
          <w:trHeight w:val="260"/>
          <w:tblHeader/>
          <w:jc w:val="center"/>
        </w:trPr>
        <w:tc>
          <w:tcPr>
            <w:tcW w:w="293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A1BC374" w14:textId="77777777" w:rsidR="00FD35F7" w:rsidRPr="000708BC" w:rsidRDefault="00FD35F7" w:rsidP="00BE33B4">
            <w:pPr>
              <w:jc w:val="center"/>
              <w:rPr>
                <w:rFonts w:ascii="Arial" w:hAnsi="Arial" w:cs="Arial"/>
                <w:b/>
                <w:bCs/>
                <w:color w:val="000000"/>
                <w:sz w:val="20"/>
                <w:szCs w:val="20"/>
              </w:rPr>
            </w:pPr>
            <w:r w:rsidRPr="000708BC">
              <w:rPr>
                <w:rFonts w:ascii="Arial" w:hAnsi="Arial" w:cs="Arial"/>
                <w:b/>
                <w:bCs/>
                <w:color w:val="000000"/>
                <w:sz w:val="20"/>
                <w:szCs w:val="20"/>
              </w:rPr>
              <w:t>Year</w:t>
            </w:r>
          </w:p>
        </w:tc>
        <w:tc>
          <w:tcPr>
            <w:tcW w:w="3441" w:type="dxa"/>
            <w:tcBorders>
              <w:top w:val="single" w:sz="4" w:space="0" w:color="auto"/>
              <w:left w:val="nil"/>
              <w:bottom w:val="single" w:sz="4" w:space="0" w:color="auto"/>
              <w:right w:val="single" w:sz="4" w:space="0" w:color="auto"/>
            </w:tcBorders>
            <w:shd w:val="clear" w:color="000000" w:fill="D9D9D9"/>
            <w:noWrap/>
            <w:vAlign w:val="center"/>
            <w:hideMark/>
          </w:tcPr>
          <w:p w14:paraId="26260A97" w14:textId="77777777" w:rsidR="00FD35F7" w:rsidRPr="000708BC" w:rsidRDefault="00FD35F7" w:rsidP="00BE33B4">
            <w:pPr>
              <w:jc w:val="center"/>
              <w:rPr>
                <w:rFonts w:ascii="Arial" w:hAnsi="Arial" w:cs="Arial"/>
                <w:b/>
                <w:bCs/>
                <w:color w:val="000000"/>
                <w:sz w:val="20"/>
                <w:szCs w:val="20"/>
              </w:rPr>
            </w:pPr>
            <w:r w:rsidRPr="000708BC">
              <w:rPr>
                <w:rFonts w:ascii="Arial" w:hAnsi="Arial" w:cs="Arial"/>
                <w:b/>
                <w:bCs/>
                <w:color w:val="000000"/>
                <w:sz w:val="20"/>
                <w:szCs w:val="20"/>
              </w:rPr>
              <w:t>Cumulated production (kton)</w:t>
            </w:r>
          </w:p>
        </w:tc>
        <w:tc>
          <w:tcPr>
            <w:tcW w:w="2976" w:type="dxa"/>
            <w:tcBorders>
              <w:top w:val="single" w:sz="4" w:space="0" w:color="auto"/>
              <w:left w:val="nil"/>
              <w:bottom w:val="single" w:sz="4" w:space="0" w:color="auto"/>
              <w:right w:val="single" w:sz="4" w:space="0" w:color="auto"/>
            </w:tcBorders>
            <w:shd w:val="clear" w:color="000000" w:fill="D9D9D9"/>
            <w:noWrap/>
            <w:vAlign w:val="center"/>
            <w:hideMark/>
          </w:tcPr>
          <w:p w14:paraId="1C710758" w14:textId="77777777" w:rsidR="00FD35F7" w:rsidRPr="000708BC" w:rsidRDefault="00FD35F7" w:rsidP="00BE33B4">
            <w:pPr>
              <w:jc w:val="center"/>
              <w:rPr>
                <w:rFonts w:ascii="Arial" w:hAnsi="Arial" w:cs="Arial"/>
                <w:b/>
                <w:bCs/>
                <w:color w:val="000000"/>
                <w:sz w:val="20"/>
                <w:szCs w:val="20"/>
              </w:rPr>
            </w:pPr>
            <w:r w:rsidRPr="000708BC">
              <w:rPr>
                <w:rFonts w:ascii="Arial" w:hAnsi="Arial" w:cs="Arial"/>
                <w:b/>
                <w:bCs/>
                <w:color w:val="000000"/>
                <w:sz w:val="20"/>
                <w:szCs w:val="20"/>
              </w:rPr>
              <w:t>Reference</w:t>
            </w:r>
          </w:p>
        </w:tc>
      </w:tr>
      <w:tr w:rsidR="00FD35F7" w:rsidRPr="000708BC" w14:paraId="5C49C175"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4B3D9BCB"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2004</w:t>
            </w:r>
          </w:p>
        </w:tc>
        <w:tc>
          <w:tcPr>
            <w:tcW w:w="3441" w:type="dxa"/>
            <w:tcBorders>
              <w:top w:val="nil"/>
              <w:left w:val="nil"/>
              <w:bottom w:val="single" w:sz="4" w:space="0" w:color="auto"/>
              <w:right w:val="single" w:sz="4" w:space="0" w:color="auto"/>
            </w:tcBorders>
            <w:shd w:val="clear" w:color="auto" w:fill="auto"/>
            <w:noWrap/>
            <w:vAlign w:val="center"/>
            <w:hideMark/>
          </w:tcPr>
          <w:p w14:paraId="158E914B"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5,413</w:t>
            </w:r>
          </w:p>
        </w:tc>
        <w:sdt>
          <w:sdtPr>
            <w:rPr>
              <w:rFonts w:ascii="Arial" w:hAnsi="Arial" w:cs="Arial"/>
              <w:color w:val="000000"/>
              <w:sz w:val="20"/>
              <w:szCs w:val="20"/>
            </w:rPr>
            <w:tag w:val="MENDELEY_CITATION_v3_eyJjaXRhdGlvbklEIjoiTUVOREVMRVlfQ0lUQVRJT05fZjNhZWVjZWYtYTM0OS00MmNhLWFlMDgtNGQyY2NiM2ZiZTky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oaWxlYW4gQ29wcGVyIENvbW1pc3Npb24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
            <w:id w:val="242531529"/>
            <w:placeholder>
              <w:docPart w:val="4C3F0E4B6FB8554A88B017BCC72FA085"/>
            </w:placeholder>
          </w:sdtPr>
          <w:sdtEndPr/>
          <w:sdtContent>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6895DB" w14:textId="6F738666" w:rsidR="00FD35F7" w:rsidRPr="000708BC" w:rsidRDefault="002422C9" w:rsidP="00BE33B4">
                <w:pPr>
                  <w:jc w:val="center"/>
                  <w:rPr>
                    <w:rFonts w:ascii="Arial" w:hAnsi="Arial" w:cs="Arial"/>
                    <w:color w:val="000000"/>
                    <w:sz w:val="20"/>
                    <w:szCs w:val="20"/>
                  </w:rPr>
                </w:pPr>
                <w:r w:rsidRPr="000708BC">
                  <w:rPr>
                    <w:rFonts w:ascii="Arial" w:hAnsi="Arial" w:cs="Arial"/>
                    <w:color w:val="000000"/>
                    <w:sz w:val="20"/>
                    <w:szCs w:val="20"/>
                  </w:rPr>
                  <w:t>(Cochilco, 2024c)</w:t>
                </w:r>
              </w:p>
            </w:tc>
          </w:sdtContent>
        </w:sdt>
      </w:tr>
      <w:tr w:rsidR="00FD35F7" w:rsidRPr="000708BC" w14:paraId="31D66419"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148F899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2005</w:t>
            </w:r>
          </w:p>
        </w:tc>
        <w:tc>
          <w:tcPr>
            <w:tcW w:w="3441" w:type="dxa"/>
            <w:tcBorders>
              <w:top w:val="nil"/>
              <w:left w:val="nil"/>
              <w:bottom w:val="single" w:sz="4" w:space="0" w:color="auto"/>
              <w:right w:val="single" w:sz="4" w:space="0" w:color="auto"/>
            </w:tcBorders>
            <w:shd w:val="clear" w:color="auto" w:fill="auto"/>
            <w:noWrap/>
            <w:vAlign w:val="center"/>
            <w:hideMark/>
          </w:tcPr>
          <w:p w14:paraId="619EF2E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10,733</w:t>
            </w:r>
          </w:p>
        </w:tc>
        <w:tc>
          <w:tcPr>
            <w:tcW w:w="2976" w:type="dxa"/>
            <w:vMerge/>
            <w:tcBorders>
              <w:top w:val="nil"/>
              <w:left w:val="single" w:sz="4" w:space="0" w:color="auto"/>
              <w:bottom w:val="single" w:sz="4" w:space="0" w:color="auto"/>
              <w:right w:val="single" w:sz="4" w:space="0" w:color="auto"/>
            </w:tcBorders>
            <w:vAlign w:val="center"/>
            <w:hideMark/>
          </w:tcPr>
          <w:p w14:paraId="29DA2BFD" w14:textId="77777777" w:rsidR="00FD35F7" w:rsidRPr="000708BC" w:rsidRDefault="00FD35F7" w:rsidP="00BE33B4">
            <w:pPr>
              <w:jc w:val="center"/>
              <w:rPr>
                <w:rFonts w:ascii="Arial" w:hAnsi="Arial" w:cs="Arial"/>
                <w:color w:val="000000"/>
                <w:sz w:val="20"/>
                <w:szCs w:val="20"/>
              </w:rPr>
            </w:pPr>
          </w:p>
        </w:tc>
      </w:tr>
      <w:tr w:rsidR="00FD35F7" w:rsidRPr="000708BC" w14:paraId="41655217"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8CAEF19"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2006</w:t>
            </w:r>
          </w:p>
        </w:tc>
        <w:tc>
          <w:tcPr>
            <w:tcW w:w="3441" w:type="dxa"/>
            <w:tcBorders>
              <w:top w:val="nil"/>
              <w:left w:val="nil"/>
              <w:bottom w:val="single" w:sz="4" w:space="0" w:color="auto"/>
              <w:right w:val="single" w:sz="4" w:space="0" w:color="auto"/>
            </w:tcBorders>
            <w:shd w:val="clear" w:color="auto" w:fill="auto"/>
            <w:noWrap/>
            <w:vAlign w:val="center"/>
            <w:hideMark/>
          </w:tcPr>
          <w:p w14:paraId="6C4347A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16,094</w:t>
            </w:r>
          </w:p>
        </w:tc>
        <w:tc>
          <w:tcPr>
            <w:tcW w:w="2976" w:type="dxa"/>
            <w:vMerge/>
            <w:tcBorders>
              <w:top w:val="nil"/>
              <w:left w:val="single" w:sz="4" w:space="0" w:color="auto"/>
              <w:bottom w:val="single" w:sz="4" w:space="0" w:color="auto"/>
              <w:right w:val="single" w:sz="4" w:space="0" w:color="auto"/>
            </w:tcBorders>
            <w:vAlign w:val="center"/>
            <w:hideMark/>
          </w:tcPr>
          <w:p w14:paraId="6C20CCFF" w14:textId="77777777" w:rsidR="00FD35F7" w:rsidRPr="000708BC" w:rsidRDefault="00FD35F7" w:rsidP="00BE33B4">
            <w:pPr>
              <w:jc w:val="center"/>
              <w:rPr>
                <w:rFonts w:ascii="Arial" w:hAnsi="Arial" w:cs="Arial"/>
                <w:color w:val="000000"/>
                <w:sz w:val="20"/>
                <w:szCs w:val="20"/>
              </w:rPr>
            </w:pPr>
          </w:p>
        </w:tc>
      </w:tr>
      <w:tr w:rsidR="00FD35F7" w:rsidRPr="000708BC" w14:paraId="77C557B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70B1525"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2007</w:t>
            </w:r>
          </w:p>
        </w:tc>
        <w:tc>
          <w:tcPr>
            <w:tcW w:w="3441" w:type="dxa"/>
            <w:tcBorders>
              <w:top w:val="nil"/>
              <w:left w:val="nil"/>
              <w:bottom w:val="single" w:sz="4" w:space="0" w:color="auto"/>
              <w:right w:val="single" w:sz="4" w:space="0" w:color="auto"/>
            </w:tcBorders>
            <w:shd w:val="clear" w:color="auto" w:fill="auto"/>
            <w:noWrap/>
            <w:vAlign w:val="center"/>
            <w:hideMark/>
          </w:tcPr>
          <w:p w14:paraId="2F370FA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21,651</w:t>
            </w:r>
          </w:p>
        </w:tc>
        <w:tc>
          <w:tcPr>
            <w:tcW w:w="2976" w:type="dxa"/>
            <w:vMerge/>
            <w:tcBorders>
              <w:top w:val="nil"/>
              <w:left w:val="single" w:sz="4" w:space="0" w:color="auto"/>
              <w:bottom w:val="single" w:sz="4" w:space="0" w:color="auto"/>
              <w:right w:val="single" w:sz="4" w:space="0" w:color="auto"/>
            </w:tcBorders>
            <w:vAlign w:val="center"/>
            <w:hideMark/>
          </w:tcPr>
          <w:p w14:paraId="6E6019A9" w14:textId="77777777" w:rsidR="00FD35F7" w:rsidRPr="000708BC" w:rsidRDefault="00FD35F7" w:rsidP="00BE33B4">
            <w:pPr>
              <w:jc w:val="center"/>
              <w:rPr>
                <w:rFonts w:ascii="Arial" w:hAnsi="Arial" w:cs="Arial"/>
                <w:color w:val="000000"/>
                <w:sz w:val="20"/>
                <w:szCs w:val="20"/>
              </w:rPr>
            </w:pPr>
          </w:p>
        </w:tc>
      </w:tr>
      <w:tr w:rsidR="00FD35F7" w:rsidRPr="000708BC" w14:paraId="281D627A"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8C3C45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2008</w:t>
            </w:r>
          </w:p>
        </w:tc>
        <w:tc>
          <w:tcPr>
            <w:tcW w:w="3441" w:type="dxa"/>
            <w:tcBorders>
              <w:top w:val="nil"/>
              <w:left w:val="nil"/>
              <w:bottom w:val="single" w:sz="4" w:space="0" w:color="auto"/>
              <w:right w:val="single" w:sz="4" w:space="0" w:color="auto"/>
            </w:tcBorders>
            <w:shd w:val="clear" w:color="auto" w:fill="auto"/>
            <w:noWrap/>
            <w:vAlign w:val="center"/>
            <w:hideMark/>
          </w:tcPr>
          <w:p w14:paraId="395090A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26,978</w:t>
            </w:r>
          </w:p>
        </w:tc>
        <w:tc>
          <w:tcPr>
            <w:tcW w:w="2976" w:type="dxa"/>
            <w:vMerge/>
            <w:tcBorders>
              <w:top w:val="nil"/>
              <w:left w:val="single" w:sz="4" w:space="0" w:color="auto"/>
              <w:bottom w:val="single" w:sz="4" w:space="0" w:color="auto"/>
              <w:right w:val="single" w:sz="4" w:space="0" w:color="auto"/>
            </w:tcBorders>
            <w:vAlign w:val="center"/>
            <w:hideMark/>
          </w:tcPr>
          <w:p w14:paraId="62CB30D6" w14:textId="77777777" w:rsidR="00FD35F7" w:rsidRPr="000708BC" w:rsidRDefault="00FD35F7" w:rsidP="00BE33B4">
            <w:pPr>
              <w:jc w:val="center"/>
              <w:rPr>
                <w:rFonts w:ascii="Arial" w:hAnsi="Arial" w:cs="Arial"/>
                <w:color w:val="000000"/>
                <w:sz w:val="20"/>
                <w:szCs w:val="20"/>
              </w:rPr>
            </w:pPr>
          </w:p>
        </w:tc>
      </w:tr>
      <w:tr w:rsidR="00FD35F7" w:rsidRPr="000708BC" w14:paraId="47126C4A"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A57A8E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2009</w:t>
            </w:r>
          </w:p>
        </w:tc>
        <w:tc>
          <w:tcPr>
            <w:tcW w:w="3441" w:type="dxa"/>
            <w:tcBorders>
              <w:top w:val="nil"/>
              <w:left w:val="nil"/>
              <w:bottom w:val="single" w:sz="4" w:space="0" w:color="auto"/>
              <w:right w:val="single" w:sz="4" w:space="0" w:color="auto"/>
            </w:tcBorders>
            <w:shd w:val="clear" w:color="auto" w:fill="auto"/>
            <w:noWrap/>
            <w:vAlign w:val="center"/>
            <w:hideMark/>
          </w:tcPr>
          <w:p w14:paraId="5FF783CD"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32,373</w:t>
            </w:r>
          </w:p>
        </w:tc>
        <w:tc>
          <w:tcPr>
            <w:tcW w:w="2976" w:type="dxa"/>
            <w:vMerge/>
            <w:tcBorders>
              <w:top w:val="nil"/>
              <w:left w:val="single" w:sz="4" w:space="0" w:color="auto"/>
              <w:bottom w:val="single" w:sz="4" w:space="0" w:color="auto"/>
              <w:right w:val="single" w:sz="4" w:space="0" w:color="auto"/>
            </w:tcBorders>
            <w:vAlign w:val="center"/>
            <w:hideMark/>
          </w:tcPr>
          <w:p w14:paraId="3588402A" w14:textId="77777777" w:rsidR="00FD35F7" w:rsidRPr="000708BC" w:rsidRDefault="00FD35F7" w:rsidP="00BE33B4">
            <w:pPr>
              <w:jc w:val="center"/>
              <w:rPr>
                <w:rFonts w:ascii="Arial" w:hAnsi="Arial" w:cs="Arial"/>
                <w:color w:val="000000"/>
                <w:sz w:val="20"/>
                <w:szCs w:val="20"/>
              </w:rPr>
            </w:pPr>
          </w:p>
        </w:tc>
      </w:tr>
      <w:tr w:rsidR="00FD35F7" w:rsidRPr="000708BC" w14:paraId="10F6AA89"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28D1355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2010</w:t>
            </w:r>
          </w:p>
        </w:tc>
        <w:tc>
          <w:tcPr>
            <w:tcW w:w="3441" w:type="dxa"/>
            <w:tcBorders>
              <w:top w:val="nil"/>
              <w:left w:val="nil"/>
              <w:bottom w:val="single" w:sz="4" w:space="0" w:color="auto"/>
              <w:right w:val="single" w:sz="4" w:space="0" w:color="auto"/>
            </w:tcBorders>
            <w:shd w:val="clear" w:color="auto" w:fill="auto"/>
            <w:noWrap/>
            <w:vAlign w:val="center"/>
            <w:hideMark/>
          </w:tcPr>
          <w:p w14:paraId="7CF8180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37,792</w:t>
            </w:r>
          </w:p>
        </w:tc>
        <w:tc>
          <w:tcPr>
            <w:tcW w:w="2976" w:type="dxa"/>
            <w:vMerge/>
            <w:tcBorders>
              <w:top w:val="nil"/>
              <w:left w:val="single" w:sz="4" w:space="0" w:color="auto"/>
              <w:bottom w:val="single" w:sz="4" w:space="0" w:color="auto"/>
              <w:right w:val="single" w:sz="4" w:space="0" w:color="auto"/>
            </w:tcBorders>
            <w:vAlign w:val="center"/>
            <w:hideMark/>
          </w:tcPr>
          <w:p w14:paraId="54BDD08E" w14:textId="77777777" w:rsidR="00FD35F7" w:rsidRPr="000708BC" w:rsidRDefault="00FD35F7" w:rsidP="00BE33B4">
            <w:pPr>
              <w:jc w:val="center"/>
              <w:rPr>
                <w:rFonts w:ascii="Arial" w:hAnsi="Arial" w:cs="Arial"/>
                <w:color w:val="000000"/>
                <w:sz w:val="20"/>
                <w:szCs w:val="20"/>
              </w:rPr>
            </w:pPr>
          </w:p>
        </w:tc>
      </w:tr>
      <w:tr w:rsidR="00FD35F7" w:rsidRPr="000708BC" w14:paraId="75709DB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1F9002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2011</w:t>
            </w:r>
          </w:p>
        </w:tc>
        <w:tc>
          <w:tcPr>
            <w:tcW w:w="3441" w:type="dxa"/>
            <w:tcBorders>
              <w:top w:val="nil"/>
              <w:left w:val="nil"/>
              <w:bottom w:val="single" w:sz="4" w:space="0" w:color="auto"/>
              <w:right w:val="single" w:sz="4" w:space="0" w:color="auto"/>
            </w:tcBorders>
            <w:shd w:val="clear" w:color="auto" w:fill="auto"/>
            <w:noWrap/>
            <w:vAlign w:val="center"/>
            <w:hideMark/>
          </w:tcPr>
          <w:p w14:paraId="2888468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43,055</w:t>
            </w:r>
          </w:p>
        </w:tc>
        <w:tc>
          <w:tcPr>
            <w:tcW w:w="2976" w:type="dxa"/>
            <w:vMerge/>
            <w:tcBorders>
              <w:top w:val="nil"/>
              <w:left w:val="single" w:sz="4" w:space="0" w:color="auto"/>
              <w:bottom w:val="single" w:sz="4" w:space="0" w:color="auto"/>
              <w:right w:val="single" w:sz="4" w:space="0" w:color="auto"/>
            </w:tcBorders>
            <w:vAlign w:val="center"/>
            <w:hideMark/>
          </w:tcPr>
          <w:p w14:paraId="0F060814" w14:textId="77777777" w:rsidR="00FD35F7" w:rsidRPr="000708BC" w:rsidRDefault="00FD35F7" w:rsidP="00BE33B4">
            <w:pPr>
              <w:jc w:val="center"/>
              <w:rPr>
                <w:rFonts w:ascii="Arial" w:hAnsi="Arial" w:cs="Arial"/>
                <w:color w:val="000000"/>
                <w:sz w:val="20"/>
                <w:szCs w:val="20"/>
              </w:rPr>
            </w:pPr>
          </w:p>
        </w:tc>
      </w:tr>
      <w:tr w:rsidR="00FD35F7" w:rsidRPr="000708BC" w14:paraId="5F699C72"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7C603785"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2012</w:t>
            </w:r>
          </w:p>
        </w:tc>
        <w:tc>
          <w:tcPr>
            <w:tcW w:w="3441" w:type="dxa"/>
            <w:tcBorders>
              <w:top w:val="nil"/>
              <w:left w:val="nil"/>
              <w:bottom w:val="single" w:sz="4" w:space="0" w:color="auto"/>
              <w:right w:val="single" w:sz="4" w:space="0" w:color="auto"/>
            </w:tcBorders>
            <w:shd w:val="clear" w:color="auto" w:fill="auto"/>
            <w:noWrap/>
            <w:vAlign w:val="center"/>
            <w:hideMark/>
          </w:tcPr>
          <w:p w14:paraId="123EDDAF"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48,488</w:t>
            </w:r>
          </w:p>
        </w:tc>
        <w:tc>
          <w:tcPr>
            <w:tcW w:w="2976" w:type="dxa"/>
            <w:vMerge/>
            <w:tcBorders>
              <w:top w:val="nil"/>
              <w:left w:val="single" w:sz="4" w:space="0" w:color="auto"/>
              <w:bottom w:val="single" w:sz="4" w:space="0" w:color="auto"/>
              <w:right w:val="single" w:sz="4" w:space="0" w:color="auto"/>
            </w:tcBorders>
            <w:vAlign w:val="center"/>
            <w:hideMark/>
          </w:tcPr>
          <w:p w14:paraId="10CB3980" w14:textId="77777777" w:rsidR="00FD35F7" w:rsidRPr="000708BC" w:rsidRDefault="00FD35F7" w:rsidP="00BE33B4">
            <w:pPr>
              <w:jc w:val="center"/>
              <w:rPr>
                <w:rFonts w:ascii="Arial" w:hAnsi="Arial" w:cs="Arial"/>
                <w:color w:val="000000"/>
                <w:sz w:val="20"/>
                <w:szCs w:val="20"/>
              </w:rPr>
            </w:pPr>
          </w:p>
        </w:tc>
      </w:tr>
      <w:tr w:rsidR="00FD35F7" w:rsidRPr="000708BC" w14:paraId="316490BD"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71A39D0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2013</w:t>
            </w:r>
          </w:p>
        </w:tc>
        <w:tc>
          <w:tcPr>
            <w:tcW w:w="3441" w:type="dxa"/>
            <w:tcBorders>
              <w:top w:val="nil"/>
              <w:left w:val="nil"/>
              <w:bottom w:val="single" w:sz="4" w:space="0" w:color="auto"/>
              <w:right w:val="single" w:sz="4" w:space="0" w:color="auto"/>
            </w:tcBorders>
            <w:shd w:val="clear" w:color="auto" w:fill="auto"/>
            <w:noWrap/>
            <w:vAlign w:val="center"/>
            <w:hideMark/>
          </w:tcPr>
          <w:p w14:paraId="2CCCDB2F"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54,264</w:t>
            </w:r>
          </w:p>
        </w:tc>
        <w:tc>
          <w:tcPr>
            <w:tcW w:w="2976" w:type="dxa"/>
            <w:vMerge/>
            <w:tcBorders>
              <w:top w:val="nil"/>
              <w:left w:val="single" w:sz="4" w:space="0" w:color="auto"/>
              <w:bottom w:val="single" w:sz="4" w:space="0" w:color="auto"/>
              <w:right w:val="single" w:sz="4" w:space="0" w:color="auto"/>
            </w:tcBorders>
            <w:vAlign w:val="center"/>
            <w:hideMark/>
          </w:tcPr>
          <w:p w14:paraId="4A015D49" w14:textId="77777777" w:rsidR="00FD35F7" w:rsidRPr="000708BC" w:rsidRDefault="00FD35F7" w:rsidP="00BE33B4">
            <w:pPr>
              <w:jc w:val="center"/>
              <w:rPr>
                <w:rFonts w:ascii="Arial" w:hAnsi="Arial" w:cs="Arial"/>
                <w:color w:val="000000"/>
                <w:sz w:val="20"/>
                <w:szCs w:val="20"/>
              </w:rPr>
            </w:pPr>
          </w:p>
        </w:tc>
      </w:tr>
      <w:tr w:rsidR="00FD35F7" w:rsidRPr="000708BC" w14:paraId="3C3D2EE5"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7A11669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2014</w:t>
            </w:r>
          </w:p>
        </w:tc>
        <w:tc>
          <w:tcPr>
            <w:tcW w:w="3441" w:type="dxa"/>
            <w:tcBorders>
              <w:top w:val="nil"/>
              <w:left w:val="nil"/>
              <w:bottom w:val="single" w:sz="4" w:space="0" w:color="auto"/>
              <w:right w:val="single" w:sz="4" w:space="0" w:color="auto"/>
            </w:tcBorders>
            <w:shd w:val="clear" w:color="auto" w:fill="auto"/>
            <w:noWrap/>
            <w:vAlign w:val="center"/>
            <w:hideMark/>
          </w:tcPr>
          <w:p w14:paraId="089AB1F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60,026</w:t>
            </w:r>
          </w:p>
        </w:tc>
        <w:tc>
          <w:tcPr>
            <w:tcW w:w="2976" w:type="dxa"/>
            <w:vMerge/>
            <w:tcBorders>
              <w:top w:val="nil"/>
              <w:left w:val="single" w:sz="4" w:space="0" w:color="auto"/>
              <w:bottom w:val="single" w:sz="4" w:space="0" w:color="auto"/>
              <w:right w:val="single" w:sz="4" w:space="0" w:color="auto"/>
            </w:tcBorders>
            <w:vAlign w:val="center"/>
            <w:hideMark/>
          </w:tcPr>
          <w:p w14:paraId="31A9054D" w14:textId="77777777" w:rsidR="00FD35F7" w:rsidRPr="000708BC" w:rsidRDefault="00FD35F7" w:rsidP="00BE33B4">
            <w:pPr>
              <w:jc w:val="center"/>
              <w:rPr>
                <w:rFonts w:ascii="Arial" w:hAnsi="Arial" w:cs="Arial"/>
                <w:color w:val="000000"/>
                <w:sz w:val="20"/>
                <w:szCs w:val="20"/>
              </w:rPr>
            </w:pPr>
          </w:p>
        </w:tc>
      </w:tr>
      <w:tr w:rsidR="00FD35F7" w:rsidRPr="000708BC" w14:paraId="64E9A65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123CCB7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2015</w:t>
            </w:r>
          </w:p>
        </w:tc>
        <w:tc>
          <w:tcPr>
            <w:tcW w:w="3441" w:type="dxa"/>
            <w:tcBorders>
              <w:top w:val="nil"/>
              <w:left w:val="nil"/>
              <w:bottom w:val="single" w:sz="4" w:space="0" w:color="auto"/>
              <w:right w:val="single" w:sz="4" w:space="0" w:color="auto"/>
            </w:tcBorders>
            <w:shd w:val="clear" w:color="auto" w:fill="auto"/>
            <w:noWrap/>
            <w:vAlign w:val="center"/>
            <w:hideMark/>
          </w:tcPr>
          <w:p w14:paraId="4155E6D3"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65,798</w:t>
            </w:r>
          </w:p>
        </w:tc>
        <w:tc>
          <w:tcPr>
            <w:tcW w:w="2976" w:type="dxa"/>
            <w:vMerge/>
            <w:tcBorders>
              <w:top w:val="nil"/>
              <w:left w:val="single" w:sz="4" w:space="0" w:color="auto"/>
              <w:bottom w:val="single" w:sz="4" w:space="0" w:color="auto"/>
              <w:right w:val="single" w:sz="4" w:space="0" w:color="auto"/>
            </w:tcBorders>
            <w:vAlign w:val="center"/>
            <w:hideMark/>
          </w:tcPr>
          <w:p w14:paraId="178503A6" w14:textId="77777777" w:rsidR="00FD35F7" w:rsidRPr="000708BC" w:rsidRDefault="00FD35F7" w:rsidP="00BE33B4">
            <w:pPr>
              <w:jc w:val="center"/>
              <w:rPr>
                <w:rFonts w:ascii="Arial" w:hAnsi="Arial" w:cs="Arial"/>
                <w:color w:val="000000"/>
                <w:sz w:val="20"/>
                <w:szCs w:val="20"/>
              </w:rPr>
            </w:pPr>
          </w:p>
        </w:tc>
      </w:tr>
      <w:tr w:rsidR="00FD35F7" w:rsidRPr="000708BC" w14:paraId="7CBD9148"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729FF3F5"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2016</w:t>
            </w:r>
          </w:p>
        </w:tc>
        <w:tc>
          <w:tcPr>
            <w:tcW w:w="3441" w:type="dxa"/>
            <w:tcBorders>
              <w:top w:val="nil"/>
              <w:left w:val="nil"/>
              <w:bottom w:val="single" w:sz="4" w:space="0" w:color="auto"/>
              <w:right w:val="single" w:sz="4" w:space="0" w:color="auto"/>
            </w:tcBorders>
            <w:shd w:val="clear" w:color="auto" w:fill="auto"/>
            <w:noWrap/>
            <w:vAlign w:val="center"/>
            <w:hideMark/>
          </w:tcPr>
          <w:p w14:paraId="7D5EE45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71,350</w:t>
            </w:r>
          </w:p>
        </w:tc>
        <w:tc>
          <w:tcPr>
            <w:tcW w:w="2976" w:type="dxa"/>
            <w:vMerge/>
            <w:tcBorders>
              <w:top w:val="nil"/>
              <w:left w:val="single" w:sz="4" w:space="0" w:color="auto"/>
              <w:bottom w:val="single" w:sz="4" w:space="0" w:color="auto"/>
              <w:right w:val="single" w:sz="4" w:space="0" w:color="auto"/>
            </w:tcBorders>
            <w:vAlign w:val="center"/>
            <w:hideMark/>
          </w:tcPr>
          <w:p w14:paraId="3C6B558B" w14:textId="77777777" w:rsidR="00FD35F7" w:rsidRPr="000708BC" w:rsidRDefault="00FD35F7" w:rsidP="00BE33B4">
            <w:pPr>
              <w:jc w:val="center"/>
              <w:rPr>
                <w:rFonts w:ascii="Arial" w:hAnsi="Arial" w:cs="Arial"/>
                <w:color w:val="000000"/>
                <w:sz w:val="20"/>
                <w:szCs w:val="20"/>
              </w:rPr>
            </w:pPr>
          </w:p>
        </w:tc>
      </w:tr>
      <w:tr w:rsidR="00FD35F7" w:rsidRPr="000708BC" w14:paraId="0DD7CD82"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F7B648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2017</w:t>
            </w:r>
          </w:p>
        </w:tc>
        <w:tc>
          <w:tcPr>
            <w:tcW w:w="3441" w:type="dxa"/>
            <w:tcBorders>
              <w:top w:val="nil"/>
              <w:left w:val="nil"/>
              <w:bottom w:val="single" w:sz="4" w:space="0" w:color="auto"/>
              <w:right w:val="single" w:sz="4" w:space="0" w:color="auto"/>
            </w:tcBorders>
            <w:shd w:val="clear" w:color="auto" w:fill="auto"/>
            <w:noWrap/>
            <w:vAlign w:val="center"/>
            <w:hideMark/>
          </w:tcPr>
          <w:p w14:paraId="0BCD568F"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76,854</w:t>
            </w:r>
          </w:p>
        </w:tc>
        <w:tc>
          <w:tcPr>
            <w:tcW w:w="2976" w:type="dxa"/>
            <w:vMerge/>
            <w:tcBorders>
              <w:top w:val="nil"/>
              <w:left w:val="single" w:sz="4" w:space="0" w:color="auto"/>
              <w:bottom w:val="single" w:sz="4" w:space="0" w:color="auto"/>
              <w:right w:val="single" w:sz="4" w:space="0" w:color="auto"/>
            </w:tcBorders>
            <w:vAlign w:val="center"/>
            <w:hideMark/>
          </w:tcPr>
          <w:p w14:paraId="5F7E5D8D" w14:textId="77777777" w:rsidR="00FD35F7" w:rsidRPr="000708BC" w:rsidRDefault="00FD35F7" w:rsidP="00BE33B4">
            <w:pPr>
              <w:jc w:val="center"/>
              <w:rPr>
                <w:rFonts w:ascii="Arial" w:hAnsi="Arial" w:cs="Arial"/>
                <w:color w:val="000000"/>
                <w:sz w:val="20"/>
                <w:szCs w:val="20"/>
              </w:rPr>
            </w:pPr>
          </w:p>
        </w:tc>
      </w:tr>
      <w:tr w:rsidR="00FD35F7" w:rsidRPr="000708BC" w14:paraId="0A87D042"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2AF39B3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2018</w:t>
            </w:r>
          </w:p>
        </w:tc>
        <w:tc>
          <w:tcPr>
            <w:tcW w:w="3441" w:type="dxa"/>
            <w:tcBorders>
              <w:top w:val="nil"/>
              <w:left w:val="nil"/>
              <w:bottom w:val="single" w:sz="4" w:space="0" w:color="auto"/>
              <w:right w:val="single" w:sz="4" w:space="0" w:color="auto"/>
            </w:tcBorders>
            <w:shd w:val="clear" w:color="auto" w:fill="auto"/>
            <w:noWrap/>
            <w:vAlign w:val="center"/>
            <w:hideMark/>
          </w:tcPr>
          <w:p w14:paraId="5E956BA9"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82,685</w:t>
            </w:r>
          </w:p>
        </w:tc>
        <w:tc>
          <w:tcPr>
            <w:tcW w:w="2976" w:type="dxa"/>
            <w:vMerge/>
            <w:tcBorders>
              <w:top w:val="nil"/>
              <w:left w:val="single" w:sz="4" w:space="0" w:color="auto"/>
              <w:bottom w:val="single" w:sz="4" w:space="0" w:color="auto"/>
              <w:right w:val="single" w:sz="4" w:space="0" w:color="auto"/>
            </w:tcBorders>
            <w:vAlign w:val="center"/>
            <w:hideMark/>
          </w:tcPr>
          <w:p w14:paraId="25500977" w14:textId="77777777" w:rsidR="00FD35F7" w:rsidRPr="000708BC" w:rsidRDefault="00FD35F7" w:rsidP="00BE33B4">
            <w:pPr>
              <w:jc w:val="center"/>
              <w:rPr>
                <w:rFonts w:ascii="Arial" w:hAnsi="Arial" w:cs="Arial"/>
                <w:color w:val="000000"/>
                <w:sz w:val="20"/>
                <w:szCs w:val="20"/>
              </w:rPr>
            </w:pPr>
          </w:p>
        </w:tc>
      </w:tr>
      <w:tr w:rsidR="00FD35F7" w:rsidRPr="000708BC" w14:paraId="4773AD03"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174D260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2019</w:t>
            </w:r>
          </w:p>
        </w:tc>
        <w:tc>
          <w:tcPr>
            <w:tcW w:w="3441" w:type="dxa"/>
            <w:tcBorders>
              <w:top w:val="nil"/>
              <w:left w:val="nil"/>
              <w:bottom w:val="single" w:sz="4" w:space="0" w:color="auto"/>
              <w:right w:val="single" w:sz="4" w:space="0" w:color="auto"/>
            </w:tcBorders>
            <w:shd w:val="clear" w:color="auto" w:fill="auto"/>
            <w:noWrap/>
            <w:vAlign w:val="center"/>
            <w:hideMark/>
          </w:tcPr>
          <w:p w14:paraId="05B8C14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88,473</w:t>
            </w:r>
          </w:p>
        </w:tc>
        <w:tc>
          <w:tcPr>
            <w:tcW w:w="2976" w:type="dxa"/>
            <w:vMerge/>
            <w:tcBorders>
              <w:top w:val="nil"/>
              <w:left w:val="single" w:sz="4" w:space="0" w:color="auto"/>
              <w:bottom w:val="single" w:sz="4" w:space="0" w:color="auto"/>
              <w:right w:val="single" w:sz="4" w:space="0" w:color="auto"/>
            </w:tcBorders>
            <w:vAlign w:val="center"/>
            <w:hideMark/>
          </w:tcPr>
          <w:p w14:paraId="1BDB4F08" w14:textId="77777777" w:rsidR="00FD35F7" w:rsidRPr="000708BC" w:rsidRDefault="00FD35F7" w:rsidP="00BE33B4">
            <w:pPr>
              <w:jc w:val="center"/>
              <w:rPr>
                <w:rFonts w:ascii="Arial" w:hAnsi="Arial" w:cs="Arial"/>
                <w:color w:val="000000"/>
                <w:sz w:val="20"/>
                <w:szCs w:val="20"/>
              </w:rPr>
            </w:pPr>
          </w:p>
        </w:tc>
      </w:tr>
      <w:tr w:rsidR="00FD35F7" w:rsidRPr="000708BC" w14:paraId="4E476062"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3BC1346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2020</w:t>
            </w:r>
          </w:p>
        </w:tc>
        <w:tc>
          <w:tcPr>
            <w:tcW w:w="3441" w:type="dxa"/>
            <w:tcBorders>
              <w:top w:val="nil"/>
              <w:left w:val="nil"/>
              <w:bottom w:val="single" w:sz="4" w:space="0" w:color="auto"/>
              <w:right w:val="single" w:sz="4" w:space="0" w:color="auto"/>
            </w:tcBorders>
            <w:shd w:val="clear" w:color="auto" w:fill="auto"/>
            <w:noWrap/>
            <w:vAlign w:val="center"/>
            <w:hideMark/>
          </w:tcPr>
          <w:p w14:paraId="7E03B42B"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94,206</w:t>
            </w:r>
          </w:p>
        </w:tc>
        <w:tc>
          <w:tcPr>
            <w:tcW w:w="2976" w:type="dxa"/>
            <w:vMerge/>
            <w:tcBorders>
              <w:top w:val="nil"/>
              <w:left w:val="single" w:sz="4" w:space="0" w:color="auto"/>
              <w:bottom w:val="single" w:sz="4" w:space="0" w:color="auto"/>
              <w:right w:val="single" w:sz="4" w:space="0" w:color="auto"/>
            </w:tcBorders>
            <w:vAlign w:val="center"/>
            <w:hideMark/>
          </w:tcPr>
          <w:p w14:paraId="6F23DFA3" w14:textId="77777777" w:rsidR="00FD35F7" w:rsidRPr="000708BC" w:rsidRDefault="00FD35F7" w:rsidP="00BE33B4">
            <w:pPr>
              <w:jc w:val="center"/>
              <w:rPr>
                <w:rFonts w:ascii="Arial" w:hAnsi="Arial" w:cs="Arial"/>
                <w:color w:val="000000"/>
                <w:sz w:val="20"/>
                <w:szCs w:val="20"/>
              </w:rPr>
            </w:pPr>
          </w:p>
        </w:tc>
      </w:tr>
      <w:tr w:rsidR="00FD35F7" w:rsidRPr="000708BC" w14:paraId="0A9A6A4B"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2349664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2021</w:t>
            </w:r>
          </w:p>
        </w:tc>
        <w:tc>
          <w:tcPr>
            <w:tcW w:w="3441" w:type="dxa"/>
            <w:tcBorders>
              <w:top w:val="nil"/>
              <w:left w:val="nil"/>
              <w:bottom w:val="single" w:sz="4" w:space="0" w:color="auto"/>
              <w:right w:val="single" w:sz="4" w:space="0" w:color="auto"/>
            </w:tcBorders>
            <w:shd w:val="clear" w:color="auto" w:fill="auto"/>
            <w:noWrap/>
            <w:vAlign w:val="center"/>
            <w:hideMark/>
          </w:tcPr>
          <w:p w14:paraId="51E62B2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99,831</w:t>
            </w:r>
          </w:p>
        </w:tc>
        <w:tc>
          <w:tcPr>
            <w:tcW w:w="2976" w:type="dxa"/>
            <w:vMerge/>
            <w:tcBorders>
              <w:top w:val="nil"/>
              <w:left w:val="single" w:sz="4" w:space="0" w:color="auto"/>
              <w:bottom w:val="single" w:sz="4" w:space="0" w:color="auto"/>
              <w:right w:val="single" w:sz="4" w:space="0" w:color="auto"/>
            </w:tcBorders>
            <w:vAlign w:val="center"/>
            <w:hideMark/>
          </w:tcPr>
          <w:p w14:paraId="06126431" w14:textId="77777777" w:rsidR="00FD35F7" w:rsidRPr="000708BC" w:rsidRDefault="00FD35F7" w:rsidP="00BE33B4">
            <w:pPr>
              <w:jc w:val="center"/>
              <w:rPr>
                <w:rFonts w:ascii="Arial" w:hAnsi="Arial" w:cs="Arial"/>
                <w:color w:val="000000"/>
                <w:sz w:val="20"/>
                <w:szCs w:val="20"/>
              </w:rPr>
            </w:pPr>
          </w:p>
        </w:tc>
      </w:tr>
      <w:tr w:rsidR="00FD35F7" w:rsidRPr="000708BC" w14:paraId="676D53FA"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0EC857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2022</w:t>
            </w:r>
          </w:p>
        </w:tc>
        <w:tc>
          <w:tcPr>
            <w:tcW w:w="3441" w:type="dxa"/>
            <w:tcBorders>
              <w:top w:val="nil"/>
              <w:left w:val="nil"/>
              <w:bottom w:val="single" w:sz="4" w:space="0" w:color="auto"/>
              <w:right w:val="single" w:sz="4" w:space="0" w:color="auto"/>
            </w:tcBorders>
            <w:shd w:val="clear" w:color="auto" w:fill="auto"/>
            <w:noWrap/>
            <w:vAlign w:val="center"/>
            <w:hideMark/>
          </w:tcPr>
          <w:p w14:paraId="6CC8948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105,161</w:t>
            </w:r>
          </w:p>
        </w:tc>
        <w:tc>
          <w:tcPr>
            <w:tcW w:w="2976" w:type="dxa"/>
            <w:vMerge/>
            <w:tcBorders>
              <w:top w:val="nil"/>
              <w:left w:val="single" w:sz="4" w:space="0" w:color="auto"/>
              <w:bottom w:val="single" w:sz="4" w:space="0" w:color="auto"/>
              <w:right w:val="single" w:sz="4" w:space="0" w:color="auto"/>
            </w:tcBorders>
            <w:vAlign w:val="center"/>
            <w:hideMark/>
          </w:tcPr>
          <w:p w14:paraId="65F79DCB" w14:textId="77777777" w:rsidR="00FD35F7" w:rsidRPr="000708BC" w:rsidRDefault="00FD35F7" w:rsidP="00BE33B4">
            <w:pPr>
              <w:jc w:val="center"/>
              <w:rPr>
                <w:rFonts w:ascii="Arial" w:hAnsi="Arial" w:cs="Arial"/>
                <w:color w:val="000000"/>
                <w:sz w:val="20"/>
                <w:szCs w:val="20"/>
              </w:rPr>
            </w:pPr>
          </w:p>
        </w:tc>
      </w:tr>
      <w:tr w:rsidR="00FD35F7" w:rsidRPr="000708BC" w14:paraId="162C63BB"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83B98D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2023</w:t>
            </w:r>
          </w:p>
        </w:tc>
        <w:tc>
          <w:tcPr>
            <w:tcW w:w="3441" w:type="dxa"/>
            <w:tcBorders>
              <w:top w:val="nil"/>
              <w:left w:val="nil"/>
              <w:bottom w:val="single" w:sz="4" w:space="0" w:color="auto"/>
              <w:right w:val="single" w:sz="4" w:space="0" w:color="auto"/>
            </w:tcBorders>
            <w:shd w:val="clear" w:color="auto" w:fill="auto"/>
            <w:noWrap/>
            <w:vAlign w:val="center"/>
            <w:hideMark/>
          </w:tcPr>
          <w:p w14:paraId="5163C6C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110,412</w:t>
            </w:r>
          </w:p>
        </w:tc>
        <w:tc>
          <w:tcPr>
            <w:tcW w:w="2976" w:type="dxa"/>
            <w:vMerge/>
            <w:tcBorders>
              <w:top w:val="nil"/>
              <w:left w:val="single" w:sz="4" w:space="0" w:color="auto"/>
              <w:bottom w:val="single" w:sz="4" w:space="0" w:color="auto"/>
              <w:right w:val="single" w:sz="4" w:space="0" w:color="auto"/>
            </w:tcBorders>
            <w:vAlign w:val="center"/>
            <w:hideMark/>
          </w:tcPr>
          <w:p w14:paraId="7BCD8320" w14:textId="77777777" w:rsidR="00FD35F7" w:rsidRPr="000708BC" w:rsidRDefault="00FD35F7" w:rsidP="00BE33B4">
            <w:pPr>
              <w:jc w:val="center"/>
              <w:rPr>
                <w:rFonts w:ascii="Arial" w:hAnsi="Arial" w:cs="Arial"/>
                <w:color w:val="000000"/>
                <w:sz w:val="20"/>
                <w:szCs w:val="20"/>
              </w:rPr>
            </w:pPr>
          </w:p>
        </w:tc>
      </w:tr>
      <w:tr w:rsidR="00FD35F7" w:rsidRPr="000708BC" w14:paraId="0DAAB269"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3FFAAF3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2024</w:t>
            </w:r>
          </w:p>
        </w:tc>
        <w:tc>
          <w:tcPr>
            <w:tcW w:w="3441" w:type="dxa"/>
            <w:tcBorders>
              <w:top w:val="nil"/>
              <w:left w:val="nil"/>
              <w:bottom w:val="single" w:sz="4" w:space="0" w:color="auto"/>
              <w:right w:val="single" w:sz="4" w:space="0" w:color="auto"/>
            </w:tcBorders>
            <w:shd w:val="clear" w:color="auto" w:fill="auto"/>
            <w:noWrap/>
            <w:vAlign w:val="center"/>
            <w:hideMark/>
          </w:tcPr>
          <w:p w14:paraId="0F207FE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116,303</w:t>
            </w:r>
          </w:p>
        </w:tc>
        <w:sdt>
          <w:sdtPr>
            <w:rPr>
              <w:rFonts w:ascii="Arial" w:hAnsi="Arial" w:cs="Arial"/>
              <w:color w:val="000000"/>
              <w:sz w:val="20"/>
              <w:szCs w:val="20"/>
            </w:rPr>
            <w:tag w:val="MENDELEY_CITATION_v3_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"/>
            <w:id w:val="-1736780474"/>
            <w:placeholder>
              <w:docPart w:val="4C3F0E4B6FB8554A88B017BCC72FA085"/>
            </w:placeholder>
          </w:sdtPr>
          <w:sdtEndPr/>
          <w:sdtContent>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D6F610" w14:textId="4B10603D" w:rsidR="00FD35F7" w:rsidRPr="000708BC" w:rsidRDefault="002422C9" w:rsidP="00BE33B4">
                <w:pPr>
                  <w:jc w:val="center"/>
                  <w:rPr>
                    <w:rFonts w:ascii="Arial" w:hAnsi="Arial" w:cs="Arial"/>
                    <w:color w:val="000000"/>
                    <w:sz w:val="20"/>
                    <w:szCs w:val="20"/>
                  </w:rPr>
                </w:pPr>
                <w:r w:rsidRPr="000708BC">
                  <w:rPr>
                    <w:rFonts w:ascii="Arial" w:hAnsi="Arial" w:cs="Arial"/>
                    <w:color w:val="000000"/>
                    <w:sz w:val="20"/>
                    <w:szCs w:val="20"/>
                  </w:rPr>
                  <w:t>(Cochilco, 2022)</w:t>
                </w:r>
              </w:p>
            </w:tc>
          </w:sdtContent>
        </w:sdt>
      </w:tr>
      <w:tr w:rsidR="00FD35F7" w:rsidRPr="000708BC" w14:paraId="4A763E40"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88B1D8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2025</w:t>
            </w:r>
          </w:p>
        </w:tc>
        <w:tc>
          <w:tcPr>
            <w:tcW w:w="3441" w:type="dxa"/>
            <w:tcBorders>
              <w:top w:val="nil"/>
              <w:left w:val="nil"/>
              <w:bottom w:val="single" w:sz="4" w:space="0" w:color="auto"/>
              <w:right w:val="single" w:sz="4" w:space="0" w:color="auto"/>
            </w:tcBorders>
            <w:shd w:val="clear" w:color="auto" w:fill="auto"/>
            <w:noWrap/>
            <w:vAlign w:val="center"/>
            <w:hideMark/>
          </w:tcPr>
          <w:p w14:paraId="3BF833B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122,693</w:t>
            </w:r>
          </w:p>
        </w:tc>
        <w:tc>
          <w:tcPr>
            <w:tcW w:w="2976" w:type="dxa"/>
            <w:vMerge/>
            <w:tcBorders>
              <w:top w:val="nil"/>
              <w:left w:val="single" w:sz="4" w:space="0" w:color="auto"/>
              <w:bottom w:val="single" w:sz="4" w:space="0" w:color="auto"/>
              <w:right w:val="single" w:sz="4" w:space="0" w:color="auto"/>
            </w:tcBorders>
            <w:vAlign w:val="center"/>
            <w:hideMark/>
          </w:tcPr>
          <w:p w14:paraId="3BE49007" w14:textId="77777777" w:rsidR="00FD35F7" w:rsidRPr="000708BC" w:rsidRDefault="00FD35F7" w:rsidP="00BE33B4">
            <w:pPr>
              <w:jc w:val="center"/>
              <w:rPr>
                <w:rFonts w:ascii="Arial" w:hAnsi="Arial" w:cs="Arial"/>
                <w:color w:val="000000"/>
                <w:sz w:val="20"/>
                <w:szCs w:val="20"/>
              </w:rPr>
            </w:pPr>
          </w:p>
        </w:tc>
      </w:tr>
      <w:tr w:rsidR="00FD35F7" w:rsidRPr="000708BC" w14:paraId="5FF07873"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353EF1B2"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2026</w:t>
            </w:r>
          </w:p>
        </w:tc>
        <w:tc>
          <w:tcPr>
            <w:tcW w:w="3441" w:type="dxa"/>
            <w:tcBorders>
              <w:top w:val="nil"/>
              <w:left w:val="nil"/>
              <w:bottom w:val="single" w:sz="4" w:space="0" w:color="auto"/>
              <w:right w:val="single" w:sz="4" w:space="0" w:color="auto"/>
            </w:tcBorders>
            <w:shd w:val="clear" w:color="auto" w:fill="auto"/>
            <w:noWrap/>
            <w:vAlign w:val="center"/>
            <w:hideMark/>
          </w:tcPr>
          <w:p w14:paraId="4ACB085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129,424</w:t>
            </w:r>
          </w:p>
        </w:tc>
        <w:tc>
          <w:tcPr>
            <w:tcW w:w="2976" w:type="dxa"/>
            <w:vMerge/>
            <w:tcBorders>
              <w:top w:val="nil"/>
              <w:left w:val="single" w:sz="4" w:space="0" w:color="auto"/>
              <w:bottom w:val="single" w:sz="4" w:space="0" w:color="auto"/>
              <w:right w:val="single" w:sz="4" w:space="0" w:color="auto"/>
            </w:tcBorders>
            <w:vAlign w:val="center"/>
            <w:hideMark/>
          </w:tcPr>
          <w:p w14:paraId="6A0BC0CD" w14:textId="77777777" w:rsidR="00FD35F7" w:rsidRPr="000708BC" w:rsidRDefault="00FD35F7" w:rsidP="00BE33B4">
            <w:pPr>
              <w:jc w:val="center"/>
              <w:rPr>
                <w:rFonts w:ascii="Arial" w:hAnsi="Arial" w:cs="Arial"/>
                <w:color w:val="000000"/>
                <w:sz w:val="20"/>
                <w:szCs w:val="20"/>
              </w:rPr>
            </w:pPr>
          </w:p>
        </w:tc>
      </w:tr>
      <w:tr w:rsidR="00FD35F7" w:rsidRPr="000708BC" w14:paraId="4471E8D4"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2749B6E9"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2027</w:t>
            </w:r>
          </w:p>
        </w:tc>
        <w:tc>
          <w:tcPr>
            <w:tcW w:w="3441" w:type="dxa"/>
            <w:tcBorders>
              <w:top w:val="nil"/>
              <w:left w:val="nil"/>
              <w:bottom w:val="single" w:sz="4" w:space="0" w:color="auto"/>
              <w:right w:val="single" w:sz="4" w:space="0" w:color="auto"/>
            </w:tcBorders>
            <w:shd w:val="clear" w:color="auto" w:fill="auto"/>
            <w:noWrap/>
            <w:vAlign w:val="center"/>
            <w:hideMark/>
          </w:tcPr>
          <w:p w14:paraId="51FAC80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136,380</w:t>
            </w:r>
          </w:p>
        </w:tc>
        <w:tc>
          <w:tcPr>
            <w:tcW w:w="2976" w:type="dxa"/>
            <w:vMerge/>
            <w:tcBorders>
              <w:top w:val="nil"/>
              <w:left w:val="single" w:sz="4" w:space="0" w:color="auto"/>
              <w:bottom w:val="single" w:sz="4" w:space="0" w:color="auto"/>
              <w:right w:val="single" w:sz="4" w:space="0" w:color="auto"/>
            </w:tcBorders>
            <w:vAlign w:val="center"/>
            <w:hideMark/>
          </w:tcPr>
          <w:p w14:paraId="1CD8CE60" w14:textId="77777777" w:rsidR="00FD35F7" w:rsidRPr="000708BC" w:rsidRDefault="00FD35F7" w:rsidP="00BE33B4">
            <w:pPr>
              <w:jc w:val="center"/>
              <w:rPr>
                <w:rFonts w:ascii="Arial" w:hAnsi="Arial" w:cs="Arial"/>
                <w:color w:val="000000"/>
                <w:sz w:val="20"/>
                <w:szCs w:val="20"/>
              </w:rPr>
            </w:pPr>
          </w:p>
        </w:tc>
      </w:tr>
      <w:tr w:rsidR="00FD35F7" w:rsidRPr="000708BC" w14:paraId="4826EFD5"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0FDF072"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2028</w:t>
            </w:r>
          </w:p>
        </w:tc>
        <w:tc>
          <w:tcPr>
            <w:tcW w:w="3441" w:type="dxa"/>
            <w:tcBorders>
              <w:top w:val="nil"/>
              <w:left w:val="nil"/>
              <w:bottom w:val="single" w:sz="4" w:space="0" w:color="auto"/>
              <w:right w:val="single" w:sz="4" w:space="0" w:color="auto"/>
            </w:tcBorders>
            <w:shd w:val="clear" w:color="auto" w:fill="auto"/>
            <w:noWrap/>
            <w:vAlign w:val="center"/>
            <w:hideMark/>
          </w:tcPr>
          <w:p w14:paraId="08FE20A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143,469</w:t>
            </w:r>
          </w:p>
        </w:tc>
        <w:tc>
          <w:tcPr>
            <w:tcW w:w="2976" w:type="dxa"/>
            <w:vMerge/>
            <w:tcBorders>
              <w:top w:val="nil"/>
              <w:left w:val="single" w:sz="4" w:space="0" w:color="auto"/>
              <w:bottom w:val="single" w:sz="4" w:space="0" w:color="auto"/>
              <w:right w:val="single" w:sz="4" w:space="0" w:color="auto"/>
            </w:tcBorders>
            <w:vAlign w:val="center"/>
            <w:hideMark/>
          </w:tcPr>
          <w:p w14:paraId="18386FD5" w14:textId="77777777" w:rsidR="00FD35F7" w:rsidRPr="000708BC" w:rsidRDefault="00FD35F7" w:rsidP="00BE33B4">
            <w:pPr>
              <w:jc w:val="center"/>
              <w:rPr>
                <w:rFonts w:ascii="Arial" w:hAnsi="Arial" w:cs="Arial"/>
                <w:color w:val="000000"/>
                <w:sz w:val="20"/>
                <w:szCs w:val="20"/>
              </w:rPr>
            </w:pPr>
          </w:p>
        </w:tc>
      </w:tr>
      <w:tr w:rsidR="00FD35F7" w:rsidRPr="000708BC" w14:paraId="31582887"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18CB93B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2029</w:t>
            </w:r>
          </w:p>
        </w:tc>
        <w:tc>
          <w:tcPr>
            <w:tcW w:w="3441" w:type="dxa"/>
            <w:tcBorders>
              <w:top w:val="nil"/>
              <w:left w:val="nil"/>
              <w:bottom w:val="single" w:sz="4" w:space="0" w:color="auto"/>
              <w:right w:val="single" w:sz="4" w:space="0" w:color="auto"/>
            </w:tcBorders>
            <w:shd w:val="clear" w:color="auto" w:fill="auto"/>
            <w:noWrap/>
            <w:vAlign w:val="center"/>
            <w:hideMark/>
          </w:tcPr>
          <w:p w14:paraId="54EEF5C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150,580</w:t>
            </w:r>
          </w:p>
        </w:tc>
        <w:tc>
          <w:tcPr>
            <w:tcW w:w="2976" w:type="dxa"/>
            <w:vMerge/>
            <w:tcBorders>
              <w:top w:val="nil"/>
              <w:left w:val="single" w:sz="4" w:space="0" w:color="auto"/>
              <w:bottom w:val="single" w:sz="4" w:space="0" w:color="auto"/>
              <w:right w:val="single" w:sz="4" w:space="0" w:color="auto"/>
            </w:tcBorders>
            <w:vAlign w:val="center"/>
            <w:hideMark/>
          </w:tcPr>
          <w:p w14:paraId="6E579766" w14:textId="77777777" w:rsidR="00FD35F7" w:rsidRPr="000708BC" w:rsidRDefault="00FD35F7" w:rsidP="00BE33B4">
            <w:pPr>
              <w:jc w:val="center"/>
              <w:rPr>
                <w:rFonts w:ascii="Arial" w:hAnsi="Arial" w:cs="Arial"/>
                <w:color w:val="000000"/>
                <w:sz w:val="20"/>
                <w:szCs w:val="20"/>
              </w:rPr>
            </w:pPr>
          </w:p>
        </w:tc>
      </w:tr>
      <w:tr w:rsidR="00FD35F7" w:rsidRPr="000708BC" w14:paraId="32F06A9D"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1E17A24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2030</w:t>
            </w:r>
          </w:p>
        </w:tc>
        <w:tc>
          <w:tcPr>
            <w:tcW w:w="3441" w:type="dxa"/>
            <w:tcBorders>
              <w:top w:val="nil"/>
              <w:left w:val="nil"/>
              <w:bottom w:val="single" w:sz="4" w:space="0" w:color="auto"/>
              <w:right w:val="single" w:sz="4" w:space="0" w:color="auto"/>
            </w:tcBorders>
            <w:shd w:val="clear" w:color="auto" w:fill="auto"/>
            <w:noWrap/>
            <w:vAlign w:val="center"/>
            <w:hideMark/>
          </w:tcPr>
          <w:p w14:paraId="0BB9527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157,715</w:t>
            </w:r>
          </w:p>
        </w:tc>
        <w:tc>
          <w:tcPr>
            <w:tcW w:w="2976" w:type="dxa"/>
            <w:vMerge/>
            <w:tcBorders>
              <w:top w:val="nil"/>
              <w:left w:val="single" w:sz="4" w:space="0" w:color="auto"/>
              <w:bottom w:val="single" w:sz="4" w:space="0" w:color="auto"/>
              <w:right w:val="single" w:sz="4" w:space="0" w:color="auto"/>
            </w:tcBorders>
            <w:vAlign w:val="center"/>
            <w:hideMark/>
          </w:tcPr>
          <w:p w14:paraId="5F9D5C72" w14:textId="77777777" w:rsidR="00FD35F7" w:rsidRPr="000708BC" w:rsidRDefault="00FD35F7" w:rsidP="00BE33B4">
            <w:pPr>
              <w:jc w:val="center"/>
              <w:rPr>
                <w:rFonts w:ascii="Arial" w:hAnsi="Arial" w:cs="Arial"/>
                <w:color w:val="000000"/>
                <w:sz w:val="20"/>
                <w:szCs w:val="20"/>
              </w:rPr>
            </w:pPr>
          </w:p>
        </w:tc>
      </w:tr>
      <w:tr w:rsidR="00FD35F7" w:rsidRPr="000708BC" w14:paraId="5AB26C7B"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4C36E3C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2031</w:t>
            </w:r>
          </w:p>
        </w:tc>
        <w:tc>
          <w:tcPr>
            <w:tcW w:w="3441" w:type="dxa"/>
            <w:tcBorders>
              <w:top w:val="nil"/>
              <w:left w:val="nil"/>
              <w:bottom w:val="single" w:sz="4" w:space="0" w:color="auto"/>
              <w:right w:val="single" w:sz="4" w:space="0" w:color="auto"/>
            </w:tcBorders>
            <w:shd w:val="clear" w:color="auto" w:fill="auto"/>
            <w:noWrap/>
            <w:vAlign w:val="center"/>
            <w:hideMark/>
          </w:tcPr>
          <w:p w14:paraId="70CCFB7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164,588</w:t>
            </w:r>
          </w:p>
        </w:tc>
        <w:tc>
          <w:tcPr>
            <w:tcW w:w="2976" w:type="dxa"/>
            <w:vMerge/>
            <w:tcBorders>
              <w:top w:val="nil"/>
              <w:left w:val="single" w:sz="4" w:space="0" w:color="auto"/>
              <w:bottom w:val="single" w:sz="4" w:space="0" w:color="auto"/>
              <w:right w:val="single" w:sz="4" w:space="0" w:color="auto"/>
            </w:tcBorders>
            <w:vAlign w:val="center"/>
            <w:hideMark/>
          </w:tcPr>
          <w:p w14:paraId="02D90571" w14:textId="77777777" w:rsidR="00FD35F7" w:rsidRPr="000708BC" w:rsidRDefault="00FD35F7" w:rsidP="00BE33B4">
            <w:pPr>
              <w:jc w:val="center"/>
              <w:rPr>
                <w:rFonts w:ascii="Arial" w:hAnsi="Arial" w:cs="Arial"/>
                <w:color w:val="000000"/>
                <w:sz w:val="20"/>
                <w:szCs w:val="20"/>
              </w:rPr>
            </w:pPr>
          </w:p>
        </w:tc>
      </w:tr>
      <w:tr w:rsidR="00FD35F7" w:rsidRPr="000708BC" w14:paraId="2441D8AA"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9F89FE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2032</w:t>
            </w:r>
          </w:p>
        </w:tc>
        <w:tc>
          <w:tcPr>
            <w:tcW w:w="3441" w:type="dxa"/>
            <w:tcBorders>
              <w:top w:val="nil"/>
              <w:left w:val="nil"/>
              <w:bottom w:val="single" w:sz="4" w:space="0" w:color="auto"/>
              <w:right w:val="single" w:sz="4" w:space="0" w:color="auto"/>
            </w:tcBorders>
            <w:shd w:val="clear" w:color="auto" w:fill="auto"/>
            <w:noWrap/>
            <w:vAlign w:val="center"/>
            <w:hideMark/>
          </w:tcPr>
          <w:p w14:paraId="221A222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171,229</w:t>
            </w:r>
          </w:p>
        </w:tc>
        <w:tc>
          <w:tcPr>
            <w:tcW w:w="2976" w:type="dxa"/>
            <w:vMerge/>
            <w:tcBorders>
              <w:top w:val="nil"/>
              <w:left w:val="single" w:sz="4" w:space="0" w:color="auto"/>
              <w:bottom w:val="single" w:sz="4" w:space="0" w:color="auto"/>
              <w:right w:val="single" w:sz="4" w:space="0" w:color="auto"/>
            </w:tcBorders>
            <w:vAlign w:val="center"/>
            <w:hideMark/>
          </w:tcPr>
          <w:p w14:paraId="5F9CFA79" w14:textId="77777777" w:rsidR="00FD35F7" w:rsidRPr="000708BC" w:rsidRDefault="00FD35F7" w:rsidP="00BE33B4">
            <w:pPr>
              <w:jc w:val="center"/>
              <w:rPr>
                <w:rFonts w:ascii="Arial" w:hAnsi="Arial" w:cs="Arial"/>
                <w:color w:val="000000"/>
                <w:sz w:val="20"/>
                <w:szCs w:val="20"/>
              </w:rPr>
            </w:pPr>
          </w:p>
        </w:tc>
      </w:tr>
      <w:tr w:rsidR="00FD35F7" w:rsidRPr="000708BC" w14:paraId="347462C0"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D21AA0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2033</w:t>
            </w:r>
          </w:p>
        </w:tc>
        <w:tc>
          <w:tcPr>
            <w:tcW w:w="3441" w:type="dxa"/>
            <w:tcBorders>
              <w:top w:val="nil"/>
              <w:left w:val="nil"/>
              <w:bottom w:val="single" w:sz="4" w:space="0" w:color="auto"/>
              <w:right w:val="single" w:sz="4" w:space="0" w:color="auto"/>
            </w:tcBorders>
            <w:shd w:val="clear" w:color="auto" w:fill="auto"/>
            <w:noWrap/>
            <w:vAlign w:val="center"/>
            <w:hideMark/>
          </w:tcPr>
          <w:p w14:paraId="5F84B83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177,810</w:t>
            </w:r>
          </w:p>
        </w:tc>
        <w:tc>
          <w:tcPr>
            <w:tcW w:w="2976" w:type="dxa"/>
            <w:vMerge/>
            <w:tcBorders>
              <w:top w:val="nil"/>
              <w:left w:val="single" w:sz="4" w:space="0" w:color="auto"/>
              <w:bottom w:val="single" w:sz="4" w:space="0" w:color="auto"/>
              <w:right w:val="single" w:sz="4" w:space="0" w:color="auto"/>
            </w:tcBorders>
            <w:vAlign w:val="center"/>
            <w:hideMark/>
          </w:tcPr>
          <w:p w14:paraId="019B0DFD" w14:textId="77777777" w:rsidR="00FD35F7" w:rsidRPr="000708BC" w:rsidRDefault="00FD35F7" w:rsidP="00BE33B4">
            <w:pPr>
              <w:jc w:val="center"/>
              <w:rPr>
                <w:rFonts w:ascii="Arial" w:hAnsi="Arial" w:cs="Arial"/>
                <w:color w:val="000000"/>
                <w:sz w:val="20"/>
                <w:szCs w:val="20"/>
              </w:rPr>
            </w:pPr>
          </w:p>
        </w:tc>
      </w:tr>
      <w:tr w:rsidR="00FD35F7" w:rsidRPr="000708BC" w14:paraId="6CD5688E"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FFD304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2034</w:t>
            </w:r>
          </w:p>
        </w:tc>
        <w:tc>
          <w:tcPr>
            <w:tcW w:w="3441" w:type="dxa"/>
            <w:tcBorders>
              <w:top w:val="nil"/>
              <w:left w:val="nil"/>
              <w:bottom w:val="single" w:sz="4" w:space="0" w:color="auto"/>
              <w:right w:val="single" w:sz="4" w:space="0" w:color="auto"/>
            </w:tcBorders>
            <w:shd w:val="clear" w:color="auto" w:fill="auto"/>
            <w:noWrap/>
            <w:vAlign w:val="center"/>
            <w:hideMark/>
          </w:tcPr>
          <w:p w14:paraId="5F32C31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184,522</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72312D" w14:textId="11675189"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 xml:space="preserve">A steady increase reaching 9,000 Mtons by 2050 </w:t>
            </w:r>
            <w:sdt>
              <w:sdtPr>
                <w:rPr>
                  <w:rFonts w:ascii="Arial" w:hAnsi="Arial" w:cs="Arial"/>
                  <w:color w:val="000000"/>
                  <w:sz w:val="20"/>
                  <w:szCs w:val="20"/>
                </w:rPr>
                <w:tag w:val="MENDELEY_CITATION_v3_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"/>
                <w:id w:val="143171097"/>
                <w:placeholder>
                  <w:docPart w:val="4C3F0E4B6FB8554A88B017BCC72FA085"/>
                </w:placeholder>
              </w:sdtPr>
              <w:sdtEndPr/>
              <w:sdtContent>
                <w:r w:rsidR="002422C9" w:rsidRPr="000708BC">
                  <w:rPr>
                    <w:rFonts w:ascii="Arial" w:hAnsi="Arial" w:cs="Arial"/>
                    <w:color w:val="000000"/>
                    <w:sz w:val="20"/>
                    <w:szCs w:val="20"/>
                  </w:rPr>
                  <w:t>(Ministry of Mines Chile, 2021)</w:t>
                </w:r>
              </w:sdtContent>
            </w:sdt>
          </w:p>
        </w:tc>
      </w:tr>
      <w:tr w:rsidR="00FD35F7" w:rsidRPr="000708BC" w14:paraId="2CCE8062"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52190E4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2035</w:t>
            </w:r>
          </w:p>
        </w:tc>
        <w:tc>
          <w:tcPr>
            <w:tcW w:w="3441" w:type="dxa"/>
            <w:tcBorders>
              <w:top w:val="nil"/>
              <w:left w:val="nil"/>
              <w:bottom w:val="single" w:sz="4" w:space="0" w:color="auto"/>
              <w:right w:val="single" w:sz="4" w:space="0" w:color="auto"/>
            </w:tcBorders>
            <w:shd w:val="clear" w:color="auto" w:fill="auto"/>
            <w:noWrap/>
            <w:vAlign w:val="center"/>
            <w:hideMark/>
          </w:tcPr>
          <w:p w14:paraId="26460CB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191,369</w:t>
            </w:r>
          </w:p>
        </w:tc>
        <w:tc>
          <w:tcPr>
            <w:tcW w:w="2976" w:type="dxa"/>
            <w:vMerge/>
            <w:tcBorders>
              <w:top w:val="nil"/>
              <w:left w:val="single" w:sz="4" w:space="0" w:color="auto"/>
              <w:bottom w:val="single" w:sz="4" w:space="0" w:color="auto"/>
              <w:right w:val="single" w:sz="4" w:space="0" w:color="auto"/>
            </w:tcBorders>
            <w:vAlign w:val="center"/>
            <w:hideMark/>
          </w:tcPr>
          <w:p w14:paraId="6862AE88" w14:textId="77777777" w:rsidR="00FD35F7" w:rsidRPr="000708BC" w:rsidRDefault="00FD35F7" w:rsidP="00BE33B4">
            <w:pPr>
              <w:jc w:val="center"/>
              <w:rPr>
                <w:rFonts w:ascii="Arial" w:hAnsi="Arial" w:cs="Arial"/>
                <w:color w:val="000000"/>
                <w:sz w:val="20"/>
                <w:szCs w:val="20"/>
              </w:rPr>
            </w:pPr>
          </w:p>
        </w:tc>
      </w:tr>
      <w:tr w:rsidR="00FD35F7" w:rsidRPr="000708BC" w14:paraId="2EB90CAB"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91FF57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2036</w:t>
            </w:r>
          </w:p>
        </w:tc>
        <w:tc>
          <w:tcPr>
            <w:tcW w:w="3441" w:type="dxa"/>
            <w:tcBorders>
              <w:top w:val="nil"/>
              <w:left w:val="nil"/>
              <w:bottom w:val="single" w:sz="4" w:space="0" w:color="auto"/>
              <w:right w:val="single" w:sz="4" w:space="0" w:color="auto"/>
            </w:tcBorders>
            <w:shd w:val="clear" w:color="auto" w:fill="auto"/>
            <w:noWrap/>
            <w:vAlign w:val="center"/>
            <w:hideMark/>
          </w:tcPr>
          <w:p w14:paraId="2A17884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198,353</w:t>
            </w:r>
          </w:p>
        </w:tc>
        <w:tc>
          <w:tcPr>
            <w:tcW w:w="2976" w:type="dxa"/>
            <w:vMerge/>
            <w:tcBorders>
              <w:top w:val="nil"/>
              <w:left w:val="single" w:sz="4" w:space="0" w:color="auto"/>
              <w:bottom w:val="single" w:sz="4" w:space="0" w:color="auto"/>
              <w:right w:val="single" w:sz="4" w:space="0" w:color="auto"/>
            </w:tcBorders>
            <w:vAlign w:val="center"/>
            <w:hideMark/>
          </w:tcPr>
          <w:p w14:paraId="63D2F2CA" w14:textId="77777777" w:rsidR="00FD35F7" w:rsidRPr="000708BC" w:rsidRDefault="00FD35F7" w:rsidP="00BE33B4">
            <w:pPr>
              <w:jc w:val="center"/>
              <w:rPr>
                <w:rFonts w:ascii="Arial" w:hAnsi="Arial" w:cs="Arial"/>
                <w:color w:val="000000"/>
                <w:sz w:val="20"/>
                <w:szCs w:val="20"/>
              </w:rPr>
            </w:pPr>
          </w:p>
        </w:tc>
      </w:tr>
      <w:tr w:rsidR="00FD35F7" w:rsidRPr="000708BC" w14:paraId="04A17836"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C27DB6F"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2037</w:t>
            </w:r>
          </w:p>
        </w:tc>
        <w:tc>
          <w:tcPr>
            <w:tcW w:w="3441" w:type="dxa"/>
            <w:tcBorders>
              <w:top w:val="nil"/>
              <w:left w:val="nil"/>
              <w:bottom w:val="single" w:sz="4" w:space="0" w:color="auto"/>
              <w:right w:val="single" w:sz="4" w:space="0" w:color="auto"/>
            </w:tcBorders>
            <w:shd w:val="clear" w:color="auto" w:fill="auto"/>
            <w:noWrap/>
            <w:vAlign w:val="center"/>
            <w:hideMark/>
          </w:tcPr>
          <w:p w14:paraId="7019E69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205,476</w:t>
            </w:r>
          </w:p>
        </w:tc>
        <w:tc>
          <w:tcPr>
            <w:tcW w:w="2976" w:type="dxa"/>
            <w:vMerge/>
            <w:tcBorders>
              <w:top w:val="nil"/>
              <w:left w:val="single" w:sz="4" w:space="0" w:color="auto"/>
              <w:bottom w:val="single" w:sz="4" w:space="0" w:color="auto"/>
              <w:right w:val="single" w:sz="4" w:space="0" w:color="auto"/>
            </w:tcBorders>
            <w:vAlign w:val="center"/>
            <w:hideMark/>
          </w:tcPr>
          <w:p w14:paraId="2CB05B0B" w14:textId="77777777" w:rsidR="00FD35F7" w:rsidRPr="000708BC" w:rsidRDefault="00FD35F7" w:rsidP="00BE33B4">
            <w:pPr>
              <w:jc w:val="center"/>
              <w:rPr>
                <w:rFonts w:ascii="Arial" w:hAnsi="Arial" w:cs="Arial"/>
                <w:color w:val="000000"/>
                <w:sz w:val="20"/>
                <w:szCs w:val="20"/>
              </w:rPr>
            </w:pPr>
          </w:p>
        </w:tc>
      </w:tr>
      <w:tr w:rsidR="00FD35F7" w:rsidRPr="000708BC" w14:paraId="6CB3F3F8"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418D607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2038</w:t>
            </w:r>
          </w:p>
        </w:tc>
        <w:tc>
          <w:tcPr>
            <w:tcW w:w="3441" w:type="dxa"/>
            <w:tcBorders>
              <w:top w:val="nil"/>
              <w:left w:val="nil"/>
              <w:bottom w:val="single" w:sz="4" w:space="0" w:color="auto"/>
              <w:right w:val="single" w:sz="4" w:space="0" w:color="auto"/>
            </w:tcBorders>
            <w:shd w:val="clear" w:color="auto" w:fill="auto"/>
            <w:noWrap/>
            <w:vAlign w:val="center"/>
            <w:hideMark/>
          </w:tcPr>
          <w:p w14:paraId="67BAC5EA"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212,742</w:t>
            </w:r>
          </w:p>
        </w:tc>
        <w:tc>
          <w:tcPr>
            <w:tcW w:w="2976" w:type="dxa"/>
            <w:vMerge/>
            <w:tcBorders>
              <w:top w:val="nil"/>
              <w:left w:val="single" w:sz="4" w:space="0" w:color="auto"/>
              <w:bottom w:val="single" w:sz="4" w:space="0" w:color="auto"/>
              <w:right w:val="single" w:sz="4" w:space="0" w:color="auto"/>
            </w:tcBorders>
            <w:vAlign w:val="center"/>
            <w:hideMark/>
          </w:tcPr>
          <w:p w14:paraId="0347988C" w14:textId="77777777" w:rsidR="00FD35F7" w:rsidRPr="000708BC" w:rsidRDefault="00FD35F7" w:rsidP="00BE33B4">
            <w:pPr>
              <w:jc w:val="center"/>
              <w:rPr>
                <w:rFonts w:ascii="Arial" w:hAnsi="Arial" w:cs="Arial"/>
                <w:color w:val="000000"/>
                <w:sz w:val="20"/>
                <w:szCs w:val="20"/>
              </w:rPr>
            </w:pPr>
          </w:p>
        </w:tc>
      </w:tr>
      <w:tr w:rsidR="00FD35F7" w:rsidRPr="000708BC" w14:paraId="4D23A49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4EA36B6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2039</w:t>
            </w:r>
          </w:p>
        </w:tc>
        <w:tc>
          <w:tcPr>
            <w:tcW w:w="3441" w:type="dxa"/>
            <w:tcBorders>
              <w:top w:val="nil"/>
              <w:left w:val="nil"/>
              <w:bottom w:val="single" w:sz="4" w:space="0" w:color="auto"/>
              <w:right w:val="single" w:sz="4" w:space="0" w:color="auto"/>
            </w:tcBorders>
            <w:shd w:val="clear" w:color="auto" w:fill="auto"/>
            <w:noWrap/>
            <w:vAlign w:val="center"/>
            <w:hideMark/>
          </w:tcPr>
          <w:p w14:paraId="6E5B436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220,154</w:t>
            </w:r>
          </w:p>
        </w:tc>
        <w:tc>
          <w:tcPr>
            <w:tcW w:w="2976" w:type="dxa"/>
            <w:vMerge/>
            <w:tcBorders>
              <w:top w:val="nil"/>
              <w:left w:val="single" w:sz="4" w:space="0" w:color="auto"/>
              <w:bottom w:val="single" w:sz="4" w:space="0" w:color="auto"/>
              <w:right w:val="single" w:sz="4" w:space="0" w:color="auto"/>
            </w:tcBorders>
            <w:vAlign w:val="center"/>
            <w:hideMark/>
          </w:tcPr>
          <w:p w14:paraId="3E36889C" w14:textId="77777777" w:rsidR="00FD35F7" w:rsidRPr="000708BC" w:rsidRDefault="00FD35F7" w:rsidP="00BE33B4">
            <w:pPr>
              <w:jc w:val="center"/>
              <w:rPr>
                <w:rFonts w:ascii="Arial" w:hAnsi="Arial" w:cs="Arial"/>
                <w:color w:val="000000"/>
                <w:sz w:val="20"/>
                <w:szCs w:val="20"/>
              </w:rPr>
            </w:pPr>
          </w:p>
        </w:tc>
      </w:tr>
      <w:tr w:rsidR="00FD35F7" w:rsidRPr="000708BC" w14:paraId="04491EDB"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B6EC9A3"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2040</w:t>
            </w:r>
          </w:p>
        </w:tc>
        <w:tc>
          <w:tcPr>
            <w:tcW w:w="3441" w:type="dxa"/>
            <w:tcBorders>
              <w:top w:val="nil"/>
              <w:left w:val="nil"/>
              <w:bottom w:val="single" w:sz="4" w:space="0" w:color="auto"/>
              <w:right w:val="single" w:sz="4" w:space="0" w:color="auto"/>
            </w:tcBorders>
            <w:shd w:val="clear" w:color="auto" w:fill="auto"/>
            <w:noWrap/>
            <w:vAlign w:val="center"/>
            <w:hideMark/>
          </w:tcPr>
          <w:p w14:paraId="143A71AC"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227,713</w:t>
            </w:r>
          </w:p>
        </w:tc>
        <w:tc>
          <w:tcPr>
            <w:tcW w:w="2976" w:type="dxa"/>
            <w:vMerge/>
            <w:tcBorders>
              <w:top w:val="nil"/>
              <w:left w:val="single" w:sz="4" w:space="0" w:color="auto"/>
              <w:bottom w:val="single" w:sz="4" w:space="0" w:color="auto"/>
              <w:right w:val="single" w:sz="4" w:space="0" w:color="auto"/>
            </w:tcBorders>
            <w:vAlign w:val="center"/>
            <w:hideMark/>
          </w:tcPr>
          <w:p w14:paraId="212785EA" w14:textId="77777777" w:rsidR="00FD35F7" w:rsidRPr="000708BC" w:rsidRDefault="00FD35F7" w:rsidP="00BE33B4">
            <w:pPr>
              <w:jc w:val="center"/>
              <w:rPr>
                <w:rFonts w:ascii="Arial" w:hAnsi="Arial" w:cs="Arial"/>
                <w:color w:val="000000"/>
                <w:sz w:val="20"/>
                <w:szCs w:val="20"/>
              </w:rPr>
            </w:pPr>
          </w:p>
        </w:tc>
      </w:tr>
      <w:tr w:rsidR="00FD35F7" w:rsidRPr="000708BC" w14:paraId="51ACE621"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431578F"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2041</w:t>
            </w:r>
          </w:p>
        </w:tc>
        <w:tc>
          <w:tcPr>
            <w:tcW w:w="3441" w:type="dxa"/>
            <w:tcBorders>
              <w:top w:val="nil"/>
              <w:left w:val="nil"/>
              <w:bottom w:val="single" w:sz="4" w:space="0" w:color="auto"/>
              <w:right w:val="single" w:sz="4" w:space="0" w:color="auto"/>
            </w:tcBorders>
            <w:shd w:val="clear" w:color="auto" w:fill="auto"/>
            <w:noWrap/>
            <w:vAlign w:val="center"/>
            <w:hideMark/>
          </w:tcPr>
          <w:p w14:paraId="73F8AB9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235,424</w:t>
            </w:r>
          </w:p>
        </w:tc>
        <w:tc>
          <w:tcPr>
            <w:tcW w:w="2976" w:type="dxa"/>
            <w:vMerge/>
            <w:tcBorders>
              <w:top w:val="nil"/>
              <w:left w:val="single" w:sz="4" w:space="0" w:color="auto"/>
              <w:bottom w:val="single" w:sz="4" w:space="0" w:color="auto"/>
              <w:right w:val="single" w:sz="4" w:space="0" w:color="auto"/>
            </w:tcBorders>
            <w:vAlign w:val="center"/>
            <w:hideMark/>
          </w:tcPr>
          <w:p w14:paraId="25DAB05F" w14:textId="77777777" w:rsidR="00FD35F7" w:rsidRPr="000708BC" w:rsidRDefault="00FD35F7" w:rsidP="00BE33B4">
            <w:pPr>
              <w:jc w:val="center"/>
              <w:rPr>
                <w:rFonts w:ascii="Arial" w:hAnsi="Arial" w:cs="Arial"/>
                <w:color w:val="000000"/>
                <w:sz w:val="20"/>
                <w:szCs w:val="20"/>
              </w:rPr>
            </w:pPr>
          </w:p>
        </w:tc>
      </w:tr>
      <w:tr w:rsidR="00FD35F7" w:rsidRPr="000708BC" w14:paraId="323DD374"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710573F9"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lastRenderedPageBreak/>
              <w:t>2042</w:t>
            </w:r>
          </w:p>
        </w:tc>
        <w:tc>
          <w:tcPr>
            <w:tcW w:w="3441" w:type="dxa"/>
            <w:tcBorders>
              <w:top w:val="nil"/>
              <w:left w:val="nil"/>
              <w:bottom w:val="single" w:sz="4" w:space="0" w:color="auto"/>
              <w:right w:val="single" w:sz="4" w:space="0" w:color="auto"/>
            </w:tcBorders>
            <w:shd w:val="clear" w:color="auto" w:fill="auto"/>
            <w:noWrap/>
            <w:vAlign w:val="center"/>
            <w:hideMark/>
          </w:tcPr>
          <w:p w14:paraId="793F1E8D"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243,289</w:t>
            </w:r>
          </w:p>
        </w:tc>
        <w:tc>
          <w:tcPr>
            <w:tcW w:w="2976" w:type="dxa"/>
            <w:vMerge/>
            <w:tcBorders>
              <w:top w:val="nil"/>
              <w:left w:val="single" w:sz="4" w:space="0" w:color="auto"/>
              <w:bottom w:val="single" w:sz="4" w:space="0" w:color="auto"/>
              <w:right w:val="single" w:sz="4" w:space="0" w:color="auto"/>
            </w:tcBorders>
            <w:vAlign w:val="center"/>
            <w:hideMark/>
          </w:tcPr>
          <w:p w14:paraId="0583F43F" w14:textId="77777777" w:rsidR="00FD35F7" w:rsidRPr="000708BC" w:rsidRDefault="00FD35F7" w:rsidP="00BE33B4">
            <w:pPr>
              <w:jc w:val="center"/>
              <w:rPr>
                <w:rFonts w:ascii="Arial" w:hAnsi="Arial" w:cs="Arial"/>
                <w:color w:val="000000"/>
                <w:sz w:val="20"/>
                <w:szCs w:val="20"/>
              </w:rPr>
            </w:pPr>
          </w:p>
        </w:tc>
      </w:tr>
      <w:tr w:rsidR="00FD35F7" w:rsidRPr="000708BC" w14:paraId="477ED03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8E5D652"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2043</w:t>
            </w:r>
          </w:p>
        </w:tc>
        <w:tc>
          <w:tcPr>
            <w:tcW w:w="3441" w:type="dxa"/>
            <w:tcBorders>
              <w:top w:val="nil"/>
              <w:left w:val="nil"/>
              <w:bottom w:val="single" w:sz="4" w:space="0" w:color="auto"/>
              <w:right w:val="single" w:sz="4" w:space="0" w:color="auto"/>
            </w:tcBorders>
            <w:shd w:val="clear" w:color="auto" w:fill="auto"/>
            <w:noWrap/>
            <w:vAlign w:val="center"/>
            <w:hideMark/>
          </w:tcPr>
          <w:p w14:paraId="745BBEB5"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251,311</w:t>
            </w:r>
          </w:p>
        </w:tc>
        <w:tc>
          <w:tcPr>
            <w:tcW w:w="2976" w:type="dxa"/>
            <w:vMerge/>
            <w:tcBorders>
              <w:top w:val="nil"/>
              <w:left w:val="single" w:sz="4" w:space="0" w:color="auto"/>
              <w:bottom w:val="single" w:sz="4" w:space="0" w:color="auto"/>
              <w:right w:val="single" w:sz="4" w:space="0" w:color="auto"/>
            </w:tcBorders>
            <w:vAlign w:val="center"/>
            <w:hideMark/>
          </w:tcPr>
          <w:p w14:paraId="7EB02B6C" w14:textId="77777777" w:rsidR="00FD35F7" w:rsidRPr="000708BC" w:rsidRDefault="00FD35F7" w:rsidP="00BE33B4">
            <w:pPr>
              <w:jc w:val="center"/>
              <w:rPr>
                <w:rFonts w:ascii="Arial" w:hAnsi="Arial" w:cs="Arial"/>
                <w:color w:val="000000"/>
                <w:sz w:val="20"/>
                <w:szCs w:val="20"/>
              </w:rPr>
            </w:pPr>
          </w:p>
        </w:tc>
      </w:tr>
      <w:tr w:rsidR="00FD35F7" w:rsidRPr="000708BC" w14:paraId="2C4A6932"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7076D5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2044</w:t>
            </w:r>
          </w:p>
        </w:tc>
        <w:tc>
          <w:tcPr>
            <w:tcW w:w="3441" w:type="dxa"/>
            <w:tcBorders>
              <w:top w:val="nil"/>
              <w:left w:val="nil"/>
              <w:bottom w:val="single" w:sz="4" w:space="0" w:color="auto"/>
              <w:right w:val="single" w:sz="4" w:space="0" w:color="auto"/>
            </w:tcBorders>
            <w:shd w:val="clear" w:color="auto" w:fill="auto"/>
            <w:noWrap/>
            <w:vAlign w:val="center"/>
            <w:hideMark/>
          </w:tcPr>
          <w:p w14:paraId="22FA200F"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259,494</w:t>
            </w:r>
          </w:p>
        </w:tc>
        <w:tc>
          <w:tcPr>
            <w:tcW w:w="2976" w:type="dxa"/>
            <w:vMerge/>
            <w:tcBorders>
              <w:top w:val="nil"/>
              <w:left w:val="single" w:sz="4" w:space="0" w:color="auto"/>
              <w:bottom w:val="single" w:sz="4" w:space="0" w:color="auto"/>
              <w:right w:val="single" w:sz="4" w:space="0" w:color="auto"/>
            </w:tcBorders>
            <w:vAlign w:val="center"/>
            <w:hideMark/>
          </w:tcPr>
          <w:p w14:paraId="70ACB28B" w14:textId="77777777" w:rsidR="00FD35F7" w:rsidRPr="000708BC" w:rsidRDefault="00FD35F7" w:rsidP="00BE33B4">
            <w:pPr>
              <w:jc w:val="center"/>
              <w:rPr>
                <w:rFonts w:ascii="Arial" w:hAnsi="Arial" w:cs="Arial"/>
                <w:color w:val="000000"/>
                <w:sz w:val="20"/>
                <w:szCs w:val="20"/>
              </w:rPr>
            </w:pPr>
          </w:p>
        </w:tc>
      </w:tr>
      <w:tr w:rsidR="00FD35F7" w:rsidRPr="000708BC" w14:paraId="4BAE50EF"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3DB26FD1"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2045</w:t>
            </w:r>
          </w:p>
        </w:tc>
        <w:tc>
          <w:tcPr>
            <w:tcW w:w="3441" w:type="dxa"/>
            <w:tcBorders>
              <w:top w:val="nil"/>
              <w:left w:val="nil"/>
              <w:bottom w:val="single" w:sz="4" w:space="0" w:color="auto"/>
              <w:right w:val="single" w:sz="4" w:space="0" w:color="auto"/>
            </w:tcBorders>
            <w:shd w:val="clear" w:color="auto" w:fill="auto"/>
            <w:noWrap/>
            <w:vAlign w:val="center"/>
            <w:hideMark/>
          </w:tcPr>
          <w:p w14:paraId="017877CD"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267,840</w:t>
            </w:r>
          </w:p>
        </w:tc>
        <w:tc>
          <w:tcPr>
            <w:tcW w:w="2976" w:type="dxa"/>
            <w:vMerge/>
            <w:tcBorders>
              <w:top w:val="nil"/>
              <w:left w:val="single" w:sz="4" w:space="0" w:color="auto"/>
              <w:bottom w:val="single" w:sz="4" w:space="0" w:color="auto"/>
              <w:right w:val="single" w:sz="4" w:space="0" w:color="auto"/>
            </w:tcBorders>
            <w:vAlign w:val="center"/>
            <w:hideMark/>
          </w:tcPr>
          <w:p w14:paraId="0598A2E8" w14:textId="77777777" w:rsidR="00FD35F7" w:rsidRPr="000708BC" w:rsidRDefault="00FD35F7" w:rsidP="00BE33B4">
            <w:pPr>
              <w:jc w:val="center"/>
              <w:rPr>
                <w:rFonts w:ascii="Arial" w:hAnsi="Arial" w:cs="Arial"/>
                <w:color w:val="000000"/>
                <w:sz w:val="20"/>
                <w:szCs w:val="20"/>
              </w:rPr>
            </w:pPr>
          </w:p>
        </w:tc>
      </w:tr>
      <w:tr w:rsidR="00FD35F7" w:rsidRPr="000708BC" w14:paraId="7E462717"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7963BE12"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2046</w:t>
            </w:r>
          </w:p>
        </w:tc>
        <w:tc>
          <w:tcPr>
            <w:tcW w:w="3441" w:type="dxa"/>
            <w:tcBorders>
              <w:top w:val="nil"/>
              <w:left w:val="nil"/>
              <w:bottom w:val="single" w:sz="4" w:space="0" w:color="auto"/>
              <w:right w:val="single" w:sz="4" w:space="0" w:color="auto"/>
            </w:tcBorders>
            <w:shd w:val="clear" w:color="auto" w:fill="auto"/>
            <w:noWrap/>
            <w:vAlign w:val="center"/>
            <w:hideMark/>
          </w:tcPr>
          <w:p w14:paraId="027FA796"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276,353</w:t>
            </w:r>
          </w:p>
        </w:tc>
        <w:tc>
          <w:tcPr>
            <w:tcW w:w="2976" w:type="dxa"/>
            <w:vMerge/>
            <w:tcBorders>
              <w:top w:val="nil"/>
              <w:left w:val="single" w:sz="4" w:space="0" w:color="auto"/>
              <w:bottom w:val="single" w:sz="4" w:space="0" w:color="auto"/>
              <w:right w:val="single" w:sz="4" w:space="0" w:color="auto"/>
            </w:tcBorders>
            <w:vAlign w:val="center"/>
            <w:hideMark/>
          </w:tcPr>
          <w:p w14:paraId="764CE04F" w14:textId="77777777" w:rsidR="00FD35F7" w:rsidRPr="000708BC" w:rsidRDefault="00FD35F7" w:rsidP="00BE33B4">
            <w:pPr>
              <w:jc w:val="center"/>
              <w:rPr>
                <w:rFonts w:ascii="Arial" w:hAnsi="Arial" w:cs="Arial"/>
                <w:color w:val="000000"/>
                <w:sz w:val="20"/>
                <w:szCs w:val="20"/>
              </w:rPr>
            </w:pPr>
          </w:p>
        </w:tc>
      </w:tr>
      <w:tr w:rsidR="00FD35F7" w:rsidRPr="000708BC" w14:paraId="590AD75E"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64569FC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2047</w:t>
            </w:r>
          </w:p>
        </w:tc>
        <w:tc>
          <w:tcPr>
            <w:tcW w:w="3441" w:type="dxa"/>
            <w:tcBorders>
              <w:top w:val="nil"/>
              <w:left w:val="nil"/>
              <w:bottom w:val="single" w:sz="4" w:space="0" w:color="auto"/>
              <w:right w:val="single" w:sz="4" w:space="0" w:color="auto"/>
            </w:tcBorders>
            <w:shd w:val="clear" w:color="auto" w:fill="auto"/>
            <w:noWrap/>
            <w:vAlign w:val="center"/>
            <w:hideMark/>
          </w:tcPr>
          <w:p w14:paraId="6A3D84D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285,037</w:t>
            </w:r>
          </w:p>
        </w:tc>
        <w:tc>
          <w:tcPr>
            <w:tcW w:w="2976" w:type="dxa"/>
            <w:vMerge/>
            <w:tcBorders>
              <w:top w:val="nil"/>
              <w:left w:val="single" w:sz="4" w:space="0" w:color="auto"/>
              <w:bottom w:val="single" w:sz="4" w:space="0" w:color="auto"/>
              <w:right w:val="single" w:sz="4" w:space="0" w:color="auto"/>
            </w:tcBorders>
            <w:vAlign w:val="center"/>
            <w:hideMark/>
          </w:tcPr>
          <w:p w14:paraId="551D1DBE" w14:textId="77777777" w:rsidR="00FD35F7" w:rsidRPr="000708BC" w:rsidRDefault="00FD35F7" w:rsidP="00BE33B4">
            <w:pPr>
              <w:jc w:val="center"/>
              <w:rPr>
                <w:rFonts w:ascii="Arial" w:hAnsi="Arial" w:cs="Arial"/>
                <w:color w:val="000000"/>
                <w:sz w:val="20"/>
                <w:szCs w:val="20"/>
              </w:rPr>
            </w:pPr>
          </w:p>
        </w:tc>
      </w:tr>
      <w:tr w:rsidR="00FD35F7" w:rsidRPr="000708BC" w14:paraId="45153EF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0FF506B8"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2048</w:t>
            </w:r>
          </w:p>
        </w:tc>
        <w:tc>
          <w:tcPr>
            <w:tcW w:w="3441" w:type="dxa"/>
            <w:tcBorders>
              <w:top w:val="nil"/>
              <w:left w:val="nil"/>
              <w:bottom w:val="single" w:sz="4" w:space="0" w:color="auto"/>
              <w:right w:val="single" w:sz="4" w:space="0" w:color="auto"/>
            </w:tcBorders>
            <w:shd w:val="clear" w:color="auto" w:fill="auto"/>
            <w:noWrap/>
            <w:vAlign w:val="center"/>
            <w:hideMark/>
          </w:tcPr>
          <w:p w14:paraId="460F84F4"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293,894</w:t>
            </w:r>
          </w:p>
        </w:tc>
        <w:tc>
          <w:tcPr>
            <w:tcW w:w="2976" w:type="dxa"/>
            <w:vMerge/>
            <w:tcBorders>
              <w:top w:val="nil"/>
              <w:left w:val="single" w:sz="4" w:space="0" w:color="auto"/>
              <w:bottom w:val="single" w:sz="4" w:space="0" w:color="auto"/>
              <w:right w:val="single" w:sz="4" w:space="0" w:color="auto"/>
            </w:tcBorders>
            <w:vAlign w:val="center"/>
            <w:hideMark/>
          </w:tcPr>
          <w:p w14:paraId="5C6C62C0" w14:textId="77777777" w:rsidR="00FD35F7" w:rsidRPr="000708BC" w:rsidRDefault="00FD35F7" w:rsidP="00BE33B4">
            <w:pPr>
              <w:jc w:val="center"/>
              <w:rPr>
                <w:rFonts w:ascii="Arial" w:hAnsi="Arial" w:cs="Arial"/>
                <w:color w:val="000000"/>
                <w:sz w:val="20"/>
                <w:szCs w:val="20"/>
              </w:rPr>
            </w:pPr>
          </w:p>
        </w:tc>
      </w:tr>
      <w:tr w:rsidR="00FD35F7" w:rsidRPr="000708BC" w14:paraId="1470A68C"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5B1E1E37"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2049</w:t>
            </w:r>
          </w:p>
        </w:tc>
        <w:tc>
          <w:tcPr>
            <w:tcW w:w="3441" w:type="dxa"/>
            <w:tcBorders>
              <w:top w:val="nil"/>
              <w:left w:val="nil"/>
              <w:bottom w:val="single" w:sz="4" w:space="0" w:color="auto"/>
              <w:right w:val="single" w:sz="4" w:space="0" w:color="auto"/>
            </w:tcBorders>
            <w:shd w:val="clear" w:color="auto" w:fill="auto"/>
            <w:noWrap/>
            <w:vAlign w:val="center"/>
            <w:hideMark/>
          </w:tcPr>
          <w:p w14:paraId="2D7A079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302,928</w:t>
            </w:r>
          </w:p>
        </w:tc>
        <w:tc>
          <w:tcPr>
            <w:tcW w:w="2976" w:type="dxa"/>
            <w:vMerge/>
            <w:tcBorders>
              <w:top w:val="nil"/>
              <w:left w:val="single" w:sz="4" w:space="0" w:color="auto"/>
              <w:bottom w:val="single" w:sz="4" w:space="0" w:color="auto"/>
              <w:right w:val="single" w:sz="4" w:space="0" w:color="auto"/>
            </w:tcBorders>
            <w:vAlign w:val="center"/>
            <w:hideMark/>
          </w:tcPr>
          <w:p w14:paraId="3D80E226" w14:textId="77777777" w:rsidR="00FD35F7" w:rsidRPr="000708BC" w:rsidRDefault="00FD35F7" w:rsidP="00BE33B4">
            <w:pPr>
              <w:jc w:val="center"/>
              <w:rPr>
                <w:rFonts w:ascii="Arial" w:hAnsi="Arial" w:cs="Arial"/>
                <w:color w:val="000000"/>
                <w:sz w:val="20"/>
                <w:szCs w:val="20"/>
              </w:rPr>
            </w:pPr>
          </w:p>
        </w:tc>
      </w:tr>
      <w:tr w:rsidR="00FD35F7" w:rsidRPr="000708BC" w14:paraId="719B05D5" w14:textId="77777777" w:rsidTr="00BE33B4">
        <w:trPr>
          <w:trHeight w:val="260"/>
          <w:jc w:val="center"/>
        </w:trPr>
        <w:tc>
          <w:tcPr>
            <w:tcW w:w="2933" w:type="dxa"/>
            <w:tcBorders>
              <w:top w:val="nil"/>
              <w:left w:val="single" w:sz="4" w:space="0" w:color="auto"/>
              <w:bottom w:val="single" w:sz="4" w:space="0" w:color="auto"/>
              <w:right w:val="single" w:sz="4" w:space="0" w:color="auto"/>
            </w:tcBorders>
            <w:shd w:val="clear" w:color="auto" w:fill="auto"/>
            <w:noWrap/>
            <w:vAlign w:val="center"/>
            <w:hideMark/>
          </w:tcPr>
          <w:p w14:paraId="40B1FB10"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2050</w:t>
            </w:r>
          </w:p>
        </w:tc>
        <w:tc>
          <w:tcPr>
            <w:tcW w:w="3441" w:type="dxa"/>
            <w:tcBorders>
              <w:top w:val="nil"/>
              <w:left w:val="nil"/>
              <w:bottom w:val="single" w:sz="4" w:space="0" w:color="auto"/>
              <w:right w:val="single" w:sz="4" w:space="0" w:color="auto"/>
            </w:tcBorders>
            <w:shd w:val="clear" w:color="auto" w:fill="auto"/>
            <w:noWrap/>
            <w:vAlign w:val="center"/>
            <w:hideMark/>
          </w:tcPr>
          <w:p w14:paraId="06F9631E" w14:textId="77777777" w:rsidR="00FD35F7" w:rsidRPr="000708BC" w:rsidRDefault="00FD35F7" w:rsidP="00BE33B4">
            <w:pPr>
              <w:jc w:val="center"/>
              <w:rPr>
                <w:rFonts w:ascii="Arial" w:hAnsi="Arial" w:cs="Arial"/>
                <w:color w:val="000000"/>
                <w:sz w:val="20"/>
                <w:szCs w:val="20"/>
              </w:rPr>
            </w:pPr>
            <w:r w:rsidRPr="000708BC">
              <w:rPr>
                <w:rFonts w:ascii="Arial" w:hAnsi="Arial" w:cs="Arial"/>
                <w:color w:val="000000"/>
                <w:sz w:val="20"/>
                <w:szCs w:val="20"/>
              </w:rPr>
              <w:t>312,143</w:t>
            </w:r>
          </w:p>
        </w:tc>
        <w:tc>
          <w:tcPr>
            <w:tcW w:w="2976" w:type="dxa"/>
            <w:vMerge/>
            <w:tcBorders>
              <w:top w:val="nil"/>
              <w:left w:val="single" w:sz="4" w:space="0" w:color="auto"/>
              <w:bottom w:val="single" w:sz="4" w:space="0" w:color="auto"/>
              <w:right w:val="single" w:sz="4" w:space="0" w:color="auto"/>
            </w:tcBorders>
            <w:vAlign w:val="center"/>
            <w:hideMark/>
          </w:tcPr>
          <w:p w14:paraId="285C2242" w14:textId="77777777" w:rsidR="00FD35F7" w:rsidRPr="000708BC" w:rsidRDefault="00FD35F7" w:rsidP="00BE33B4">
            <w:pPr>
              <w:jc w:val="center"/>
              <w:rPr>
                <w:rFonts w:ascii="Arial" w:hAnsi="Arial" w:cs="Arial"/>
                <w:color w:val="000000"/>
                <w:sz w:val="20"/>
                <w:szCs w:val="20"/>
              </w:rPr>
            </w:pPr>
          </w:p>
        </w:tc>
      </w:tr>
    </w:tbl>
    <w:p w14:paraId="633B9DA2" w14:textId="77777777" w:rsidR="00FD35F7" w:rsidRPr="000708BC" w:rsidRDefault="00FD35F7" w:rsidP="00FD35F7">
      <w:pPr>
        <w:pStyle w:val="JIEreferencelist"/>
        <w:ind w:left="0" w:firstLine="0"/>
        <w:jc w:val="both"/>
        <w:rPr>
          <w:rFonts w:ascii="Arial" w:hAnsi="Arial" w:cs="Arial"/>
          <w:iCs/>
          <w:sz w:val="22"/>
          <w:szCs w:val="22"/>
        </w:rPr>
      </w:pPr>
    </w:p>
    <w:p w14:paraId="011B4737" w14:textId="77777777" w:rsidR="00FD35F7" w:rsidRPr="000708BC" w:rsidRDefault="00FD35F7" w:rsidP="00FD35F7">
      <w:pPr>
        <w:pStyle w:val="JIEreferencelist"/>
        <w:ind w:left="0" w:firstLine="0"/>
        <w:jc w:val="both"/>
        <w:rPr>
          <w:rFonts w:ascii="Arial" w:hAnsi="Arial" w:cs="Arial"/>
          <w:iCs/>
          <w:sz w:val="22"/>
          <w:szCs w:val="22"/>
        </w:rPr>
      </w:pPr>
    </w:p>
    <w:p w14:paraId="0E87CA06" w14:textId="77777777" w:rsidR="00FD35F7" w:rsidRPr="000708BC" w:rsidRDefault="00FD35F7" w:rsidP="00FD35F7">
      <w:pPr>
        <w:pStyle w:val="JIEreferencelist"/>
        <w:ind w:left="0" w:firstLine="0"/>
        <w:jc w:val="center"/>
        <w:rPr>
          <w:rFonts w:ascii="Arial" w:hAnsi="Arial" w:cs="Arial"/>
          <w:iCs/>
          <w:sz w:val="22"/>
          <w:szCs w:val="22"/>
        </w:rPr>
      </w:pPr>
      <w:r w:rsidRPr="000708BC">
        <w:rPr>
          <w:rFonts w:ascii="Arial" w:hAnsi="Arial" w:cs="Arial"/>
          <w:iCs/>
          <w:noProof/>
          <w:sz w:val="22"/>
          <w:szCs w:val="22"/>
        </w:rPr>
        <w:drawing>
          <wp:inline distT="0" distB="0" distL="0" distR="0" wp14:anchorId="1C92B502" wp14:editId="4336BDFB">
            <wp:extent cx="3600000" cy="2276250"/>
            <wp:effectExtent l="0" t="0" r="0" b="0"/>
            <wp:docPr id="1284834117"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834117" name="Picture 1" descr="A graph with a l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00000" cy="2276250"/>
                    </a:xfrm>
                    <a:prstGeom prst="rect">
                      <a:avLst/>
                    </a:prstGeom>
                  </pic:spPr>
                </pic:pic>
              </a:graphicData>
            </a:graphic>
          </wp:inline>
        </w:drawing>
      </w:r>
    </w:p>
    <w:p w14:paraId="0A5DEEC6" w14:textId="73E994CA" w:rsidR="00FD35F7" w:rsidRPr="000708BC" w:rsidRDefault="00FD35F7" w:rsidP="00E73B61">
      <w:pPr>
        <w:pStyle w:val="JIEreferencelist"/>
        <w:spacing w:line="276" w:lineRule="auto"/>
        <w:ind w:left="0" w:firstLine="0"/>
        <w:jc w:val="center"/>
        <w:rPr>
          <w:rFonts w:ascii="Arial" w:hAnsi="Arial" w:cs="Arial"/>
          <w:i/>
          <w:sz w:val="20"/>
        </w:rPr>
      </w:pPr>
      <w:r w:rsidRPr="000708BC">
        <w:rPr>
          <w:rFonts w:ascii="Arial" w:hAnsi="Arial" w:cs="Arial"/>
          <w:i/>
          <w:sz w:val="20"/>
        </w:rPr>
        <w:t>Figure S1-2: Copper ore grade trend by cumulative production, from 2002 to 2023.</w:t>
      </w:r>
    </w:p>
    <w:p w14:paraId="509DCF73" w14:textId="77777777" w:rsidR="00FD35F7" w:rsidRPr="000708BC" w:rsidRDefault="00FD35F7" w:rsidP="00FD35F7">
      <w:pPr>
        <w:pStyle w:val="JIEreferencelist"/>
        <w:ind w:left="0" w:firstLine="0"/>
        <w:jc w:val="both"/>
        <w:rPr>
          <w:rFonts w:ascii="Arial" w:hAnsi="Arial" w:cs="Arial"/>
          <w:iCs/>
          <w:sz w:val="22"/>
          <w:szCs w:val="22"/>
        </w:rPr>
      </w:pPr>
    </w:p>
    <w:p w14:paraId="512C42BC" w14:textId="4A44BF38" w:rsidR="00FD35F7" w:rsidRPr="000708BC" w:rsidRDefault="00FD35F7" w:rsidP="00FD35F7">
      <w:pPr>
        <w:pStyle w:val="JIEreferencelist"/>
        <w:ind w:left="0" w:firstLine="0"/>
        <w:jc w:val="both"/>
        <w:rPr>
          <w:rFonts w:ascii="Arial" w:hAnsi="Arial" w:cs="Arial"/>
          <w:iCs/>
          <w:sz w:val="22"/>
          <w:szCs w:val="22"/>
        </w:rPr>
      </w:pPr>
      <w:r w:rsidRPr="000708BC">
        <w:rPr>
          <w:rFonts w:ascii="Arial" w:hAnsi="Arial" w:cs="Arial"/>
          <w:iCs/>
          <w:sz w:val="22"/>
          <w:szCs w:val="22"/>
        </w:rPr>
        <w:t>Copper ore grade is closely linked to greenhouse gas (GHG) emissions due to its significant impact on energy consumption. Declining ore grades greatly influence environmental impacts, particularly when they fall below 1%</w:t>
      </w:r>
      <w:r w:rsidR="00682EB2" w:rsidRPr="000708BC">
        <w:rPr>
          <w:rFonts w:ascii="Arial" w:hAnsi="Arial" w:cs="Arial"/>
          <w:iCs/>
          <w:sz w:val="22"/>
          <w:szCs w:val="22"/>
        </w:rPr>
        <w:t>.</w:t>
      </w:r>
      <w:r w:rsidR="00D36905"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"/>
          <w:id w:val="345608000"/>
          <w:placeholder>
            <w:docPart w:val="DefaultPlaceholder_-1854013440"/>
          </w:placeholder>
        </w:sdtPr>
        <w:sdtEndPr/>
        <w:sdtContent>
          <w:r w:rsidR="002422C9" w:rsidRPr="000708BC">
            <w:rPr>
              <w:rFonts w:ascii="Arial" w:eastAsia="Times New Roman" w:hAnsi="Arial" w:cs="Arial"/>
              <w:color w:val="000000"/>
              <w:sz w:val="22"/>
            </w:rPr>
            <w:t xml:space="preserve">Norgate &amp; </w:t>
          </w:r>
          <w:proofErr w:type="spellStart"/>
          <w:r w:rsidR="002422C9" w:rsidRPr="000708BC">
            <w:rPr>
              <w:rFonts w:ascii="Arial" w:eastAsia="Times New Roman" w:hAnsi="Arial" w:cs="Arial"/>
              <w:color w:val="000000"/>
              <w:sz w:val="22"/>
            </w:rPr>
            <w:t>Jahanshahi</w:t>
          </w:r>
          <w:proofErr w:type="spellEnd"/>
          <w:r w:rsidR="002422C9" w:rsidRPr="000708BC">
            <w:rPr>
              <w:rFonts w:ascii="Arial" w:eastAsia="Times New Roman" w:hAnsi="Arial" w:cs="Arial"/>
              <w:color w:val="000000"/>
              <w:sz w:val="22"/>
            </w:rPr>
            <w:t xml:space="preserve"> (2006, 2010)</w:t>
          </w:r>
        </w:sdtContent>
      </w:sdt>
      <w:r w:rsidR="00605261" w:rsidRPr="000708BC">
        <w:rPr>
          <w:rFonts w:ascii="Arial" w:hAnsi="Arial" w:cs="Arial"/>
          <w:iCs/>
          <w:sz w:val="22"/>
          <w:szCs w:val="22"/>
        </w:rPr>
        <w:t xml:space="preserve"> </w:t>
      </w:r>
      <w:r w:rsidRPr="000708BC">
        <w:rPr>
          <w:rFonts w:ascii="Arial" w:hAnsi="Arial" w:cs="Arial"/>
          <w:iCs/>
          <w:sz w:val="22"/>
          <w:szCs w:val="22"/>
        </w:rPr>
        <w:t>developed a power function that correlates copper ore grade with embodied energy, specifically for the stages of concentrating, smelting, and leaching (Figure S</w:t>
      </w:r>
      <w:r w:rsidR="00682EB2" w:rsidRPr="000708BC">
        <w:rPr>
          <w:rFonts w:ascii="Arial" w:hAnsi="Arial" w:cs="Arial"/>
          <w:iCs/>
          <w:sz w:val="22"/>
          <w:szCs w:val="22"/>
        </w:rPr>
        <w:t>1</w:t>
      </w:r>
      <w:r w:rsidRPr="000708BC">
        <w:rPr>
          <w:rFonts w:ascii="Arial" w:hAnsi="Arial" w:cs="Arial"/>
          <w:iCs/>
          <w:sz w:val="22"/>
          <w:szCs w:val="22"/>
        </w:rPr>
        <w:t>-3). However, the effect of ore grade on energy requirements is mainly confined to the initial stages of the mining process, such as mining and beneficiation</w:t>
      </w:r>
      <w:r w:rsidR="00682EB2"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"/>
          <w:id w:val="-1644889601"/>
          <w:placeholder>
            <w:docPart w:val="DefaultPlaceholder_-1854013440"/>
          </w:placeholder>
        </w:sdtPr>
        <w:sdtEndPr/>
        <w:sdtContent>
          <w:r w:rsidR="002422C9" w:rsidRPr="000708BC">
            <w:rPr>
              <w:rFonts w:ascii="Arial" w:eastAsia="Times New Roman" w:hAnsi="Arial" w:cs="Arial"/>
              <w:color w:val="000000"/>
              <w:sz w:val="22"/>
            </w:rPr>
            <w:t>(</w:t>
          </w:r>
          <w:proofErr w:type="spellStart"/>
          <w:r w:rsidR="002422C9" w:rsidRPr="000708BC">
            <w:rPr>
              <w:rFonts w:ascii="Arial" w:eastAsia="Times New Roman" w:hAnsi="Arial" w:cs="Arial"/>
              <w:color w:val="000000"/>
              <w:sz w:val="22"/>
            </w:rPr>
            <w:t>Harmsen</w:t>
          </w:r>
          <w:proofErr w:type="spellEnd"/>
          <w:r w:rsidR="002422C9" w:rsidRPr="000708BC">
            <w:rPr>
              <w:rFonts w:ascii="Arial" w:eastAsia="Times New Roman" w:hAnsi="Arial" w:cs="Arial"/>
              <w:color w:val="000000"/>
              <w:sz w:val="22"/>
            </w:rPr>
            <w:t>, Roes, &amp; Patel, 2013)</w:t>
          </w:r>
        </w:sdtContent>
      </w:sdt>
      <w:r w:rsidR="00682EB2" w:rsidRPr="000708BC">
        <w:rPr>
          <w:rFonts w:ascii="Arial" w:hAnsi="Arial" w:cs="Arial"/>
          <w:iCs/>
          <w:color w:val="000000"/>
          <w:sz w:val="22"/>
          <w:szCs w:val="22"/>
        </w:rPr>
        <w:t>.</w:t>
      </w:r>
      <w:r w:rsidR="00682EB2" w:rsidRPr="000708BC">
        <w:rPr>
          <w:rFonts w:ascii="Arial" w:hAnsi="Arial" w:cs="Arial"/>
          <w:iCs/>
          <w:sz w:val="22"/>
          <w:szCs w:val="22"/>
        </w:rPr>
        <w:t xml:space="preserve"> </w:t>
      </w:r>
      <w:r w:rsidRPr="000708BC">
        <w:rPr>
          <w:rFonts w:ascii="Arial" w:hAnsi="Arial" w:cs="Arial"/>
          <w:iCs/>
          <w:sz w:val="22"/>
          <w:szCs w:val="22"/>
        </w:rPr>
        <w:t>Using the projected ore grade of 0.50% and the power function, it was estimated that energy requirements for mining and beneficiation activities in the Renewable</w:t>
      </w:r>
      <w:r w:rsidR="00340BAB" w:rsidRPr="000708BC">
        <w:rPr>
          <w:rFonts w:ascii="Arial" w:hAnsi="Arial" w:cs="Arial"/>
          <w:iCs/>
          <w:sz w:val="22"/>
          <w:szCs w:val="22"/>
        </w:rPr>
        <w:t>s</w:t>
      </w:r>
      <w:r w:rsidRPr="000708BC">
        <w:rPr>
          <w:rFonts w:ascii="Arial" w:hAnsi="Arial" w:cs="Arial"/>
          <w:iCs/>
          <w:sz w:val="22"/>
          <w:szCs w:val="22"/>
        </w:rPr>
        <w:t>-led scenario would rise by 22%.</w:t>
      </w:r>
    </w:p>
    <w:p w14:paraId="2A090143" w14:textId="77777777" w:rsidR="00FD35F7" w:rsidRPr="000708BC" w:rsidRDefault="00FD35F7" w:rsidP="00FD35F7">
      <w:pPr>
        <w:pStyle w:val="JIEreferencelist"/>
        <w:ind w:left="0" w:firstLine="0"/>
        <w:jc w:val="both"/>
        <w:rPr>
          <w:rFonts w:ascii="Arial" w:hAnsi="Arial" w:cs="Arial"/>
          <w:iCs/>
          <w:sz w:val="22"/>
          <w:szCs w:val="22"/>
        </w:rPr>
      </w:pPr>
    </w:p>
    <w:p w14:paraId="36822E73" w14:textId="77777777" w:rsidR="00FD35F7" w:rsidRPr="000708BC" w:rsidRDefault="00FD35F7" w:rsidP="00FD35F7">
      <w:pPr>
        <w:pStyle w:val="JIEreferencelist"/>
        <w:ind w:left="0" w:firstLine="0"/>
        <w:jc w:val="both"/>
        <w:rPr>
          <w:rFonts w:ascii="Arial" w:hAnsi="Arial" w:cs="Arial"/>
          <w:iCs/>
          <w:sz w:val="22"/>
          <w:szCs w:val="22"/>
        </w:rPr>
      </w:pPr>
      <w:r w:rsidRPr="000708BC">
        <w:rPr>
          <w:rFonts w:ascii="Arial" w:hAnsi="Arial" w:cs="Arial"/>
          <w:iCs/>
          <w:noProof/>
          <w:sz w:val="22"/>
          <w:szCs w:val="22"/>
        </w:rPr>
        <w:lastRenderedPageBreak/>
        <w:drawing>
          <wp:inline distT="0" distB="0" distL="0" distR="0" wp14:anchorId="26231F20" wp14:editId="2C6DD968">
            <wp:extent cx="5486400" cy="2657475"/>
            <wp:effectExtent l="0" t="0" r="0" b="0"/>
            <wp:docPr id="1201398161" name="Picture 1" descr="A graph of energy prod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98161" name="Picture 1" descr="A graph of energy production&#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486400" cy="2657475"/>
                    </a:xfrm>
                    <a:prstGeom prst="rect">
                      <a:avLst/>
                    </a:prstGeom>
                  </pic:spPr>
                </pic:pic>
              </a:graphicData>
            </a:graphic>
          </wp:inline>
        </w:drawing>
      </w:r>
    </w:p>
    <w:p w14:paraId="3B3CB3B7" w14:textId="15A585F1" w:rsidR="00FD35F7" w:rsidRPr="000708BC" w:rsidRDefault="00FD35F7" w:rsidP="00FD35F7">
      <w:pPr>
        <w:pStyle w:val="JIEreferencelist"/>
        <w:ind w:left="0" w:firstLine="0"/>
        <w:jc w:val="both"/>
        <w:rPr>
          <w:rFonts w:ascii="Arial" w:hAnsi="Arial" w:cs="Arial"/>
          <w:i/>
          <w:sz w:val="20"/>
        </w:rPr>
      </w:pPr>
      <w:r w:rsidRPr="000708BC">
        <w:rPr>
          <w:rFonts w:ascii="Arial" w:hAnsi="Arial" w:cs="Arial"/>
          <w:i/>
          <w:sz w:val="20"/>
        </w:rPr>
        <w:t xml:space="preserve">Figure S1-3: Effect of ore grade and grind size on the embodied energy of copper production (Redraw </w:t>
      </w:r>
      <w:proofErr w:type="spellStart"/>
      <w:r w:rsidRPr="000708BC">
        <w:rPr>
          <w:rFonts w:ascii="Arial" w:hAnsi="Arial" w:cs="Arial"/>
          <w:i/>
          <w:sz w:val="20"/>
        </w:rPr>
        <w:t>from</w:t>
      </w:r>
      <w:sdt>
        <w:sdtPr>
          <w:rPr>
            <w:rFonts w:ascii="Arial" w:hAnsi="Arial" w:cs="Arial"/>
            <w:i/>
            <w:color w:val="000000"/>
            <w:sz w:val="20"/>
          </w:rPr>
          <w:tag w:val="MENDELEY_CITATION_v3_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"/>
          <w:id w:val="542574802"/>
          <w:placeholder>
            <w:docPart w:val="DefaultPlaceholder_-1854013440"/>
          </w:placeholder>
        </w:sdtPr>
        <w:sdtEndPr/>
        <w:sdtContent>
          <w:r w:rsidR="002422C9" w:rsidRPr="000708BC">
            <w:rPr>
              <w:rFonts w:ascii="Arial" w:eastAsia="Times New Roman" w:hAnsi="Arial" w:cs="Arial"/>
              <w:color w:val="000000"/>
              <w:sz w:val="20"/>
            </w:rPr>
            <w:t>Norgate</w:t>
          </w:r>
          <w:proofErr w:type="spellEnd"/>
          <w:r w:rsidR="002422C9" w:rsidRPr="000708BC">
            <w:rPr>
              <w:rFonts w:ascii="Arial" w:eastAsia="Times New Roman" w:hAnsi="Arial" w:cs="Arial"/>
              <w:color w:val="000000"/>
              <w:sz w:val="20"/>
            </w:rPr>
            <w:t xml:space="preserve"> &amp; </w:t>
          </w:r>
          <w:proofErr w:type="spellStart"/>
          <w:r w:rsidR="002422C9" w:rsidRPr="000708BC">
            <w:rPr>
              <w:rFonts w:ascii="Arial" w:eastAsia="Times New Roman" w:hAnsi="Arial" w:cs="Arial"/>
              <w:color w:val="000000"/>
              <w:sz w:val="20"/>
            </w:rPr>
            <w:t>Jahanshahi</w:t>
          </w:r>
          <w:proofErr w:type="spellEnd"/>
          <w:r w:rsidR="002422C9" w:rsidRPr="000708BC">
            <w:rPr>
              <w:rFonts w:ascii="Arial" w:eastAsia="Times New Roman" w:hAnsi="Arial" w:cs="Arial"/>
              <w:color w:val="000000"/>
              <w:sz w:val="20"/>
            </w:rPr>
            <w:t xml:space="preserve"> (2010)</w:t>
          </w:r>
        </w:sdtContent>
      </w:sdt>
      <w:r w:rsidRPr="000708BC">
        <w:rPr>
          <w:rFonts w:ascii="Arial" w:hAnsi="Arial" w:cs="Arial"/>
          <w:i/>
          <w:sz w:val="20"/>
        </w:rPr>
        <w:t>)</w:t>
      </w:r>
    </w:p>
    <w:p w14:paraId="79D6AFC6" w14:textId="77777777" w:rsidR="00FD35F7" w:rsidRPr="000708BC" w:rsidRDefault="00FD35F7" w:rsidP="00753B61">
      <w:pPr>
        <w:pStyle w:val="JIEreferencelist"/>
        <w:ind w:left="0" w:firstLine="0"/>
        <w:jc w:val="both"/>
        <w:rPr>
          <w:rFonts w:ascii="Arial" w:hAnsi="Arial" w:cs="Arial"/>
          <w:iCs/>
          <w:sz w:val="22"/>
          <w:szCs w:val="22"/>
        </w:rPr>
      </w:pPr>
    </w:p>
    <w:p w14:paraId="1311360A" w14:textId="3EE6A84D" w:rsidR="001748F0" w:rsidRPr="000708BC" w:rsidRDefault="001748F0" w:rsidP="00724D19">
      <w:pPr>
        <w:pStyle w:val="Heading1"/>
        <w:rPr>
          <w:rFonts w:cs="Arial"/>
        </w:rPr>
      </w:pPr>
      <w:r w:rsidRPr="000708BC">
        <w:rPr>
          <w:rFonts w:cs="Arial"/>
        </w:rPr>
        <w:t>Stage 1: Electricity Mix</w:t>
      </w:r>
    </w:p>
    <w:p w14:paraId="746786B3" w14:textId="77777777" w:rsidR="001748F0" w:rsidRPr="000708BC" w:rsidRDefault="001748F0" w:rsidP="00753B61">
      <w:pPr>
        <w:pStyle w:val="JIEreferencelist"/>
        <w:ind w:left="0" w:firstLine="0"/>
        <w:jc w:val="both"/>
        <w:rPr>
          <w:rFonts w:ascii="Arial" w:hAnsi="Arial" w:cs="Arial"/>
          <w:iCs/>
          <w:sz w:val="22"/>
          <w:szCs w:val="22"/>
        </w:rPr>
      </w:pPr>
    </w:p>
    <w:p w14:paraId="4FD49E57" w14:textId="290B101F" w:rsidR="00753B61" w:rsidRPr="000708BC" w:rsidRDefault="00753B61" w:rsidP="00753B61">
      <w:pPr>
        <w:pStyle w:val="JIEreferencelist"/>
        <w:ind w:left="0" w:firstLine="0"/>
        <w:jc w:val="both"/>
        <w:rPr>
          <w:rFonts w:ascii="Arial" w:hAnsi="Arial" w:cs="Arial"/>
          <w:iCs/>
          <w:sz w:val="22"/>
          <w:szCs w:val="22"/>
        </w:rPr>
      </w:pPr>
      <w:r w:rsidRPr="000708BC">
        <w:rPr>
          <w:rFonts w:ascii="Arial" w:hAnsi="Arial" w:cs="Arial"/>
          <w:iCs/>
          <w:sz w:val="22"/>
          <w:szCs w:val="22"/>
        </w:rPr>
        <w:t>The electricity matrices for BAU and renewable</w:t>
      </w:r>
      <w:r w:rsidR="00340BAB" w:rsidRPr="000708BC">
        <w:rPr>
          <w:rFonts w:ascii="Arial" w:hAnsi="Arial" w:cs="Arial"/>
          <w:iCs/>
          <w:sz w:val="22"/>
          <w:szCs w:val="22"/>
        </w:rPr>
        <w:t>s</w:t>
      </w:r>
      <w:r w:rsidRPr="000708BC">
        <w:rPr>
          <w:rFonts w:ascii="Arial" w:hAnsi="Arial" w:cs="Arial"/>
          <w:iCs/>
          <w:sz w:val="22"/>
          <w:szCs w:val="22"/>
        </w:rPr>
        <w:t xml:space="preserve">-led scenarios were derived from Chile’s Long-Term Energy Planning </w:t>
      </w:r>
      <w:sdt>
        <w:sdtPr>
          <w:rPr>
            <w:rFonts w:ascii="Arial" w:hAnsi="Arial" w:cs="Arial"/>
            <w:iCs/>
            <w:color w:val="000000"/>
            <w:sz w:val="22"/>
            <w:szCs w:val="22"/>
          </w:rPr>
          <w:tag w:val="MENDELEY_CITATION_v3_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"/>
          <w:id w:val="141559648"/>
          <w:placeholder>
            <w:docPart w:val="DefaultPlaceholder_-1854013440"/>
          </w:placeholder>
        </w:sdtPr>
        <w:sdtEndPr/>
        <w:sdtContent>
          <w:r w:rsidR="002422C9" w:rsidRPr="000708BC">
            <w:rPr>
              <w:rFonts w:ascii="Arial" w:hAnsi="Arial" w:cs="Arial"/>
              <w:iCs/>
              <w:color w:val="000000"/>
              <w:sz w:val="22"/>
              <w:szCs w:val="22"/>
            </w:rPr>
            <w:t>(Ministry of Energy, 2021)</w:t>
          </w:r>
        </w:sdtContent>
      </w:sdt>
      <w:r w:rsidRPr="000708BC">
        <w:rPr>
          <w:rFonts w:ascii="Arial" w:hAnsi="Arial" w:cs="Arial"/>
          <w:iCs/>
          <w:sz w:val="22"/>
          <w:szCs w:val="22"/>
        </w:rPr>
        <w:t>. In the BAU system, approximately 39% of the energy is generated from fossil fuels, while 61% comes from renewable sources. In contrast, the renewable</w:t>
      </w:r>
      <w:r w:rsidR="00340BAB" w:rsidRPr="000708BC">
        <w:rPr>
          <w:rFonts w:ascii="Arial" w:hAnsi="Arial" w:cs="Arial"/>
          <w:iCs/>
          <w:sz w:val="22"/>
          <w:szCs w:val="22"/>
        </w:rPr>
        <w:t>s</w:t>
      </w:r>
      <w:r w:rsidRPr="000708BC">
        <w:rPr>
          <w:rFonts w:ascii="Arial" w:hAnsi="Arial" w:cs="Arial"/>
          <w:iCs/>
          <w:sz w:val="22"/>
          <w:szCs w:val="22"/>
        </w:rPr>
        <w:t>-led scenario features a fully renewable electricity mix, primarily dominated by wind power (41%) and solar PV (31.7%). The primary data for this analysis w</w:t>
      </w:r>
      <w:r w:rsidR="002422C9" w:rsidRPr="000708BC">
        <w:rPr>
          <w:rFonts w:ascii="Arial" w:hAnsi="Arial" w:cs="Arial"/>
          <w:iCs/>
          <w:sz w:val="22"/>
          <w:szCs w:val="22"/>
        </w:rPr>
        <w:t>ere obtained from</w:t>
      </w:r>
      <w:r w:rsidRPr="000708BC">
        <w:rPr>
          <w:rFonts w:ascii="Arial" w:hAnsi="Arial" w:cs="Arial"/>
          <w:iCs/>
          <w:sz w:val="22"/>
          <w:szCs w:val="22"/>
        </w:rPr>
        <w:t xml:space="preserve"> Ecoinvent 3.8 (Table S</w:t>
      </w:r>
      <w:r w:rsidR="007673C9" w:rsidRPr="000708BC">
        <w:rPr>
          <w:rFonts w:ascii="Arial" w:hAnsi="Arial" w:cs="Arial"/>
          <w:iCs/>
          <w:sz w:val="22"/>
          <w:szCs w:val="22"/>
        </w:rPr>
        <w:t>1</w:t>
      </w:r>
      <w:r w:rsidRPr="000708BC">
        <w:rPr>
          <w:rFonts w:ascii="Arial" w:hAnsi="Arial" w:cs="Arial"/>
          <w:iCs/>
          <w:sz w:val="22"/>
          <w:szCs w:val="22"/>
        </w:rPr>
        <w:t>-</w:t>
      </w:r>
      <w:r w:rsidR="007673C9" w:rsidRPr="000708BC">
        <w:rPr>
          <w:rFonts w:ascii="Arial" w:hAnsi="Arial" w:cs="Arial"/>
          <w:iCs/>
          <w:sz w:val="22"/>
          <w:szCs w:val="22"/>
        </w:rPr>
        <w:t>3</w:t>
      </w:r>
      <w:r w:rsidRPr="000708BC">
        <w:rPr>
          <w:rFonts w:ascii="Arial" w:hAnsi="Arial" w:cs="Arial"/>
          <w:iCs/>
          <w:sz w:val="22"/>
          <w:szCs w:val="22"/>
        </w:rPr>
        <w:t>). The sole exception was solar PV generation, as representative data specific to the Chilean context were unavailable.</w:t>
      </w:r>
    </w:p>
    <w:p w14:paraId="2ACB3D88" w14:textId="77777777" w:rsidR="00753B61" w:rsidRPr="000708BC" w:rsidRDefault="00753B61" w:rsidP="00753B61">
      <w:pPr>
        <w:pStyle w:val="JIEreferencelist"/>
        <w:ind w:left="0" w:firstLine="0"/>
        <w:jc w:val="both"/>
        <w:rPr>
          <w:rFonts w:ascii="Arial" w:hAnsi="Arial" w:cs="Arial"/>
          <w:iCs/>
          <w:sz w:val="22"/>
          <w:szCs w:val="22"/>
        </w:rPr>
      </w:pPr>
    </w:p>
    <w:p w14:paraId="2C83F8A8" w14:textId="1F413E7C" w:rsidR="00753B61" w:rsidRPr="000708BC" w:rsidRDefault="00753B61" w:rsidP="00753B61">
      <w:pPr>
        <w:pStyle w:val="JIEreferencelist"/>
        <w:ind w:left="0" w:firstLine="0"/>
        <w:jc w:val="both"/>
        <w:rPr>
          <w:rFonts w:ascii="Arial" w:hAnsi="Arial" w:cs="Arial"/>
          <w:iCs/>
          <w:sz w:val="22"/>
          <w:szCs w:val="22"/>
        </w:rPr>
      </w:pPr>
      <w:r w:rsidRPr="000708BC">
        <w:rPr>
          <w:rFonts w:ascii="Arial" w:hAnsi="Arial" w:cs="Arial"/>
          <w:iCs/>
          <w:sz w:val="22"/>
          <w:szCs w:val="22"/>
        </w:rPr>
        <w:t xml:space="preserve">In Chile, the performance of solar technologies is primarily driven by large-scale solar plants rather than urban rooftop installations. Data for such large-scale solar infrastructure were obtained from </w:t>
      </w:r>
      <w:sdt>
        <w:sdtPr>
          <w:rPr>
            <w:rFonts w:ascii="Arial" w:hAnsi="Arial" w:cs="Arial"/>
            <w:iCs/>
            <w:color w:val="000000"/>
            <w:sz w:val="22"/>
            <w:szCs w:val="22"/>
          </w:rPr>
          <w:tag w:val="MENDELEY_CITATION_v3_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"/>
          <w:id w:val="-281888746"/>
          <w:placeholder>
            <w:docPart w:val="DefaultPlaceholder_-1854013440"/>
          </w:placeholder>
        </w:sdtPr>
        <w:sdtEndPr/>
        <w:sdtContent>
          <w:r w:rsidR="002422C9" w:rsidRPr="000708BC">
            <w:rPr>
              <w:rFonts w:ascii="Arial" w:eastAsia="Times New Roman" w:hAnsi="Arial" w:cs="Arial"/>
              <w:color w:val="000000"/>
              <w:sz w:val="22"/>
            </w:rPr>
            <w:t xml:space="preserve">Smith, </w:t>
          </w:r>
          <w:proofErr w:type="spellStart"/>
          <w:r w:rsidR="002422C9" w:rsidRPr="000708BC">
            <w:rPr>
              <w:rFonts w:ascii="Arial" w:eastAsia="Times New Roman" w:hAnsi="Arial" w:cs="Arial"/>
              <w:color w:val="000000"/>
              <w:sz w:val="22"/>
            </w:rPr>
            <w:t>Sekar</w:t>
          </w:r>
          <w:proofErr w:type="spellEnd"/>
          <w:r w:rsidR="002422C9" w:rsidRPr="000708BC">
            <w:rPr>
              <w:rFonts w:ascii="Arial" w:eastAsia="Times New Roman" w:hAnsi="Arial" w:cs="Arial"/>
              <w:color w:val="000000"/>
              <w:sz w:val="22"/>
            </w:rPr>
            <w:t xml:space="preserve">, </w:t>
          </w:r>
          <w:proofErr w:type="spellStart"/>
          <w:r w:rsidR="002422C9" w:rsidRPr="000708BC">
            <w:rPr>
              <w:rFonts w:ascii="Arial" w:eastAsia="Times New Roman" w:hAnsi="Arial" w:cs="Arial"/>
              <w:color w:val="000000"/>
              <w:sz w:val="22"/>
            </w:rPr>
            <w:t>Mirletz</w:t>
          </w:r>
          <w:proofErr w:type="spellEnd"/>
          <w:r w:rsidR="002422C9" w:rsidRPr="000708BC">
            <w:rPr>
              <w:rFonts w:ascii="Arial" w:eastAsia="Times New Roman" w:hAnsi="Arial" w:cs="Arial"/>
              <w:color w:val="000000"/>
              <w:sz w:val="22"/>
            </w:rPr>
            <w:t>, Heath, and Margolis (2024)</w:t>
          </w:r>
        </w:sdtContent>
      </w:sdt>
      <w:r w:rsidR="001C7728" w:rsidRPr="000708BC">
        <w:rPr>
          <w:rFonts w:ascii="Arial" w:hAnsi="Arial" w:cs="Arial"/>
          <w:iCs/>
          <w:color w:val="000000"/>
          <w:sz w:val="22"/>
          <w:szCs w:val="22"/>
        </w:rPr>
        <w:t>.</w:t>
      </w:r>
      <w:r w:rsidRPr="000708BC">
        <w:rPr>
          <w:rFonts w:ascii="Arial" w:hAnsi="Arial" w:cs="Arial"/>
          <w:iCs/>
          <w:sz w:val="22"/>
          <w:szCs w:val="22"/>
        </w:rPr>
        <w:t xml:space="preserve"> Solar PV systems are assumed to be imported from China by direct shipping. Finally, regarding solar energy potential, the average annual solar irradiation is estimated at 2,400 [kWh/m</w:t>
      </w:r>
      <w:r w:rsidRPr="000708BC">
        <w:rPr>
          <w:rFonts w:ascii="Arial" w:hAnsi="Arial" w:cs="Arial"/>
          <w:iCs/>
          <w:sz w:val="22"/>
          <w:szCs w:val="22"/>
          <w:vertAlign w:val="superscript"/>
        </w:rPr>
        <w:t>2</w:t>
      </w:r>
      <w:r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"/>
          <w:id w:val="-689602407"/>
          <w:placeholder>
            <w:docPart w:val="DefaultPlaceholder_-1854013440"/>
          </w:placeholder>
        </w:sdtPr>
        <w:sdtEndPr/>
        <w:sdtContent>
          <w:r w:rsidR="002422C9" w:rsidRPr="000708BC">
            <w:rPr>
              <w:rFonts w:ascii="Arial" w:eastAsia="Times New Roman" w:hAnsi="Arial" w:cs="Arial"/>
              <w:color w:val="000000"/>
              <w:sz w:val="22"/>
            </w:rPr>
            <w:t xml:space="preserve">(Molina, Falvey, &amp; </w:t>
          </w:r>
          <w:proofErr w:type="spellStart"/>
          <w:r w:rsidR="002422C9" w:rsidRPr="000708BC">
            <w:rPr>
              <w:rFonts w:ascii="Arial" w:eastAsia="Times New Roman" w:hAnsi="Arial" w:cs="Arial"/>
              <w:color w:val="000000"/>
              <w:sz w:val="22"/>
            </w:rPr>
            <w:t>Rondanelli</w:t>
          </w:r>
          <w:proofErr w:type="spellEnd"/>
          <w:r w:rsidR="002422C9" w:rsidRPr="000708BC">
            <w:rPr>
              <w:rFonts w:ascii="Arial" w:eastAsia="Times New Roman" w:hAnsi="Arial" w:cs="Arial"/>
              <w:color w:val="000000"/>
              <w:sz w:val="22"/>
            </w:rPr>
            <w:t>, 2017)</w:t>
          </w:r>
        </w:sdtContent>
      </w:sdt>
      <w:r w:rsidRPr="000708BC">
        <w:rPr>
          <w:rFonts w:ascii="Arial" w:hAnsi="Arial" w:cs="Arial"/>
          <w:iCs/>
          <w:sz w:val="22"/>
          <w:szCs w:val="22"/>
        </w:rPr>
        <w:t>.</w:t>
      </w:r>
    </w:p>
    <w:p w14:paraId="06D75FD8" w14:textId="77777777" w:rsidR="00753B61" w:rsidRPr="000708BC" w:rsidRDefault="00753B61" w:rsidP="00753B61">
      <w:pPr>
        <w:pStyle w:val="JIEreferencelist"/>
        <w:ind w:left="0" w:firstLine="0"/>
        <w:jc w:val="both"/>
        <w:rPr>
          <w:rFonts w:ascii="Arial" w:hAnsi="Arial" w:cs="Arial"/>
          <w:iCs/>
          <w:sz w:val="22"/>
          <w:szCs w:val="22"/>
        </w:rPr>
      </w:pPr>
    </w:p>
    <w:p w14:paraId="06448692" w14:textId="28763EB1" w:rsidR="009C7008" w:rsidRPr="000708BC" w:rsidRDefault="009C7008">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w:t>
      </w:r>
      <w:r w:rsidR="00966C3C" w:rsidRPr="000708BC">
        <w:rPr>
          <w:rFonts w:ascii="Arial" w:hAnsi="Arial" w:cs="Arial"/>
          <w:i/>
          <w:sz w:val="20"/>
        </w:rPr>
        <w:t>3</w:t>
      </w:r>
      <w:r w:rsidRPr="000708BC">
        <w:rPr>
          <w:rFonts w:ascii="Arial" w:hAnsi="Arial" w:cs="Arial"/>
          <w:i/>
          <w:sz w:val="20"/>
        </w:rPr>
        <w:t xml:space="preserve"> Electricity Mix BAU and Renewable</w:t>
      </w:r>
      <w:r w:rsidR="00340BAB" w:rsidRPr="000708BC">
        <w:rPr>
          <w:rFonts w:ascii="Arial" w:hAnsi="Arial" w:cs="Arial"/>
          <w:i/>
          <w:sz w:val="20"/>
        </w:rPr>
        <w:t>s</w:t>
      </w:r>
      <w:r w:rsidRPr="000708BC">
        <w:rPr>
          <w:rFonts w:ascii="Arial" w:hAnsi="Arial" w:cs="Arial"/>
          <w:i/>
          <w:sz w:val="20"/>
        </w:rPr>
        <w:t xml:space="preserve">-led </w:t>
      </w:r>
      <w:r w:rsidR="00462D12" w:rsidRPr="000708BC">
        <w:rPr>
          <w:rFonts w:ascii="Arial" w:hAnsi="Arial" w:cs="Arial"/>
          <w:i/>
          <w:sz w:val="20"/>
        </w:rPr>
        <w:t>s</w:t>
      </w:r>
      <w:r w:rsidRPr="000708BC">
        <w:rPr>
          <w:rFonts w:ascii="Arial" w:hAnsi="Arial" w:cs="Arial"/>
          <w:i/>
          <w:sz w:val="20"/>
        </w:rPr>
        <w:t>cenario</w:t>
      </w:r>
      <w:r w:rsidR="00462D12" w:rsidRPr="000708BC">
        <w:rPr>
          <w:rFonts w:ascii="Arial" w:hAnsi="Arial" w:cs="Arial"/>
          <w:i/>
          <w:sz w:val="20"/>
        </w:rPr>
        <w:t>.</w:t>
      </w:r>
    </w:p>
    <w:tbl>
      <w:tblPr>
        <w:tblW w:w="5000" w:type="pct"/>
        <w:jc w:val="center"/>
        <w:tblLook w:val="04A0" w:firstRow="1" w:lastRow="0" w:firstColumn="1" w:lastColumn="0" w:noHBand="0" w:noVBand="1"/>
      </w:tblPr>
      <w:tblGrid>
        <w:gridCol w:w="1653"/>
        <w:gridCol w:w="1696"/>
        <w:gridCol w:w="1682"/>
        <w:gridCol w:w="3599"/>
      </w:tblGrid>
      <w:tr w:rsidR="00E04C9A" w:rsidRPr="000708BC" w14:paraId="3EB022E5" w14:textId="77777777" w:rsidTr="00E04C9A">
        <w:trPr>
          <w:trHeight w:val="560"/>
          <w:tblHeader/>
          <w:jc w:val="center"/>
        </w:trPr>
        <w:tc>
          <w:tcPr>
            <w:tcW w:w="16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EB516E" w14:textId="77777777" w:rsidR="00E04C9A" w:rsidRPr="000708BC" w:rsidRDefault="00E04C9A" w:rsidP="00E04C9A">
            <w:pPr>
              <w:jc w:val="center"/>
              <w:rPr>
                <w:rFonts w:ascii="Arial" w:hAnsi="Arial" w:cs="Arial"/>
                <w:b/>
                <w:bCs/>
                <w:color w:val="000000"/>
                <w:sz w:val="20"/>
              </w:rPr>
            </w:pPr>
            <w:r w:rsidRPr="000708BC">
              <w:rPr>
                <w:rFonts w:ascii="Arial" w:hAnsi="Arial" w:cs="Arial"/>
                <w:b/>
                <w:bCs/>
                <w:color w:val="000000"/>
                <w:sz w:val="20"/>
              </w:rPr>
              <w:lastRenderedPageBreak/>
              <w:t>Energy source</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179F99E4" w14:textId="77777777" w:rsidR="00E04C9A" w:rsidRPr="000708BC" w:rsidRDefault="00E04C9A" w:rsidP="00E04C9A">
            <w:pPr>
              <w:jc w:val="center"/>
              <w:rPr>
                <w:rFonts w:ascii="Arial" w:hAnsi="Arial" w:cs="Arial"/>
                <w:b/>
                <w:bCs/>
                <w:color w:val="000000"/>
                <w:sz w:val="20"/>
              </w:rPr>
            </w:pPr>
            <w:r w:rsidRPr="000708BC">
              <w:rPr>
                <w:rFonts w:ascii="Arial" w:hAnsi="Arial" w:cs="Arial"/>
                <w:b/>
                <w:bCs/>
                <w:color w:val="000000"/>
                <w:sz w:val="20"/>
              </w:rPr>
              <w:t>BAU Scenario(2023)</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60DF8AC1" w14:textId="0C33D931" w:rsidR="00E04C9A" w:rsidRPr="000708BC" w:rsidRDefault="00E04C9A" w:rsidP="00E04C9A">
            <w:pPr>
              <w:jc w:val="center"/>
              <w:rPr>
                <w:rFonts w:ascii="Arial" w:hAnsi="Arial" w:cs="Arial"/>
                <w:b/>
                <w:bCs/>
                <w:color w:val="000000"/>
                <w:sz w:val="20"/>
              </w:rPr>
            </w:pPr>
            <w:r w:rsidRPr="000708BC">
              <w:rPr>
                <w:rFonts w:ascii="Arial" w:hAnsi="Arial" w:cs="Arial"/>
                <w:b/>
                <w:bCs/>
                <w:color w:val="000000"/>
                <w:sz w:val="20"/>
              </w:rPr>
              <w:t>Renewable</w:t>
            </w:r>
            <w:r w:rsidR="002D3FD8" w:rsidRPr="000708BC">
              <w:rPr>
                <w:rFonts w:ascii="Arial" w:hAnsi="Arial" w:cs="Arial"/>
                <w:b/>
                <w:bCs/>
                <w:color w:val="000000"/>
                <w:sz w:val="20"/>
              </w:rPr>
              <w:t>s</w:t>
            </w:r>
            <w:r w:rsidRPr="000708BC">
              <w:rPr>
                <w:rFonts w:ascii="Arial" w:hAnsi="Arial" w:cs="Arial"/>
                <w:b/>
                <w:bCs/>
                <w:color w:val="000000"/>
                <w:sz w:val="20"/>
              </w:rPr>
              <w:t>-led Scenario (2050</w:t>
            </w:r>
            <w:r w:rsidR="007673C9" w:rsidRPr="000708BC">
              <w:rPr>
                <w:rFonts w:ascii="Arial" w:hAnsi="Arial" w:cs="Arial"/>
                <w:b/>
                <w:bCs/>
                <w:color w:val="000000"/>
                <w:sz w:val="20"/>
              </w:rPr>
              <w:t>)</w:t>
            </w:r>
          </w:p>
        </w:tc>
        <w:tc>
          <w:tcPr>
            <w:tcW w:w="3786" w:type="dxa"/>
            <w:tcBorders>
              <w:top w:val="single" w:sz="4" w:space="0" w:color="auto"/>
              <w:left w:val="nil"/>
              <w:bottom w:val="single" w:sz="4" w:space="0" w:color="auto"/>
              <w:right w:val="single" w:sz="4" w:space="0" w:color="auto"/>
            </w:tcBorders>
            <w:shd w:val="clear" w:color="000000" w:fill="D9D9D9"/>
            <w:vAlign w:val="center"/>
            <w:hideMark/>
          </w:tcPr>
          <w:p w14:paraId="7ADB0087" w14:textId="77777777" w:rsidR="00E04C9A" w:rsidRPr="000708BC" w:rsidRDefault="00E04C9A" w:rsidP="00E04C9A">
            <w:pPr>
              <w:rPr>
                <w:rFonts w:ascii="Arial" w:hAnsi="Arial" w:cs="Arial"/>
                <w:b/>
                <w:bCs/>
                <w:color w:val="000000"/>
                <w:sz w:val="20"/>
              </w:rPr>
            </w:pPr>
            <w:r w:rsidRPr="000708BC">
              <w:rPr>
                <w:rFonts w:ascii="Arial" w:hAnsi="Arial" w:cs="Arial"/>
                <w:b/>
                <w:bCs/>
                <w:color w:val="000000"/>
                <w:sz w:val="20"/>
              </w:rPr>
              <w:t>Ecoivent data source</w:t>
            </w:r>
          </w:p>
        </w:tc>
      </w:tr>
      <w:tr w:rsidR="00E04C9A" w:rsidRPr="000708BC" w14:paraId="2C0421BD" w14:textId="77777777" w:rsidTr="00E04C9A">
        <w:trPr>
          <w:trHeight w:val="84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06377B98"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Wind</w:t>
            </w:r>
          </w:p>
        </w:tc>
        <w:tc>
          <w:tcPr>
            <w:tcW w:w="1701" w:type="dxa"/>
            <w:tcBorders>
              <w:top w:val="nil"/>
              <w:left w:val="nil"/>
              <w:bottom w:val="single" w:sz="4" w:space="0" w:color="auto"/>
              <w:right w:val="single" w:sz="4" w:space="0" w:color="auto"/>
            </w:tcBorders>
            <w:shd w:val="clear" w:color="auto" w:fill="auto"/>
            <w:vAlign w:val="center"/>
            <w:hideMark/>
          </w:tcPr>
          <w:p w14:paraId="198D25E0"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12.20%</w:t>
            </w:r>
          </w:p>
        </w:tc>
        <w:tc>
          <w:tcPr>
            <w:tcW w:w="1701" w:type="dxa"/>
            <w:tcBorders>
              <w:top w:val="nil"/>
              <w:left w:val="nil"/>
              <w:bottom w:val="single" w:sz="4" w:space="0" w:color="auto"/>
              <w:right w:val="single" w:sz="4" w:space="0" w:color="auto"/>
            </w:tcBorders>
            <w:shd w:val="clear" w:color="auto" w:fill="auto"/>
            <w:vAlign w:val="center"/>
            <w:hideMark/>
          </w:tcPr>
          <w:p w14:paraId="56F2C9EE"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41.00%</w:t>
            </w:r>
          </w:p>
        </w:tc>
        <w:tc>
          <w:tcPr>
            <w:tcW w:w="3786" w:type="dxa"/>
            <w:tcBorders>
              <w:top w:val="nil"/>
              <w:left w:val="nil"/>
              <w:bottom w:val="single" w:sz="4" w:space="0" w:color="auto"/>
              <w:right w:val="single" w:sz="4" w:space="0" w:color="auto"/>
            </w:tcBorders>
            <w:shd w:val="clear" w:color="auto" w:fill="auto"/>
            <w:vAlign w:val="center"/>
            <w:hideMark/>
          </w:tcPr>
          <w:p w14:paraId="3B399B35"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wind, 1-3MW turbine, onshore | Cut-off, U</w:t>
            </w:r>
          </w:p>
        </w:tc>
      </w:tr>
      <w:tr w:rsidR="00E04C9A" w:rsidRPr="000708BC" w14:paraId="4D6065AE" w14:textId="77777777" w:rsidTr="00E04C9A">
        <w:trPr>
          <w:trHeight w:val="28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358F0F33"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Solar</w:t>
            </w:r>
          </w:p>
        </w:tc>
        <w:tc>
          <w:tcPr>
            <w:tcW w:w="1701" w:type="dxa"/>
            <w:tcBorders>
              <w:top w:val="nil"/>
              <w:left w:val="nil"/>
              <w:bottom w:val="single" w:sz="4" w:space="0" w:color="auto"/>
              <w:right w:val="single" w:sz="4" w:space="0" w:color="auto"/>
            </w:tcBorders>
            <w:shd w:val="clear" w:color="auto" w:fill="auto"/>
            <w:vAlign w:val="center"/>
            <w:hideMark/>
          </w:tcPr>
          <w:p w14:paraId="4C46F291"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22.20%</w:t>
            </w:r>
          </w:p>
        </w:tc>
        <w:tc>
          <w:tcPr>
            <w:tcW w:w="1701" w:type="dxa"/>
            <w:tcBorders>
              <w:top w:val="nil"/>
              <w:left w:val="nil"/>
              <w:bottom w:val="single" w:sz="4" w:space="0" w:color="auto"/>
              <w:right w:val="single" w:sz="4" w:space="0" w:color="auto"/>
            </w:tcBorders>
            <w:shd w:val="clear" w:color="auto" w:fill="auto"/>
            <w:vAlign w:val="center"/>
            <w:hideMark/>
          </w:tcPr>
          <w:p w14:paraId="58D472C0"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31.70%</w:t>
            </w:r>
          </w:p>
        </w:tc>
        <w:sdt>
          <w:sdtPr>
            <w:rPr>
              <w:rFonts w:ascii="Arial" w:hAnsi="Arial" w:cs="Arial"/>
              <w:color w:val="000000"/>
              <w:sz w:val="20"/>
            </w:rPr>
            <w:tag w:val="MENDELEY_CITATION_v3_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"/>
            <w:id w:val="1956744485"/>
            <w:placeholder>
              <w:docPart w:val="DefaultPlaceholder_-1854013440"/>
            </w:placeholder>
          </w:sdtPr>
          <w:sdtEndPr/>
          <w:sdtContent>
            <w:tc>
              <w:tcPr>
                <w:tcW w:w="3786" w:type="dxa"/>
                <w:tcBorders>
                  <w:top w:val="nil"/>
                  <w:left w:val="nil"/>
                  <w:bottom w:val="single" w:sz="4" w:space="0" w:color="auto"/>
                  <w:right w:val="single" w:sz="4" w:space="0" w:color="auto"/>
                </w:tcBorders>
                <w:shd w:val="clear" w:color="auto" w:fill="auto"/>
                <w:vAlign w:val="center"/>
                <w:hideMark/>
              </w:tcPr>
              <w:p w14:paraId="694313ED" w14:textId="73113C07" w:rsidR="00E04C9A" w:rsidRPr="000708BC" w:rsidRDefault="002422C9" w:rsidP="00E04C9A">
                <w:pPr>
                  <w:rPr>
                    <w:rFonts w:ascii="Arial" w:hAnsi="Arial" w:cs="Arial"/>
                    <w:color w:val="000000"/>
                    <w:sz w:val="20"/>
                  </w:rPr>
                </w:pPr>
                <w:r w:rsidRPr="000708BC">
                  <w:rPr>
                    <w:rFonts w:ascii="Arial" w:hAnsi="Arial" w:cs="Arial"/>
                    <w:color w:val="000000"/>
                    <w:sz w:val="20"/>
                  </w:rPr>
                  <w:t>(Smith et al., 2024)</w:t>
                </w:r>
              </w:p>
            </w:tc>
          </w:sdtContent>
        </w:sdt>
      </w:tr>
      <w:tr w:rsidR="00E04C9A" w:rsidRPr="000708BC" w14:paraId="13CC3D4F" w14:textId="77777777" w:rsidTr="00E04C9A">
        <w:trPr>
          <w:trHeight w:val="84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0629A459"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Concentration Solar Plant (CSP)</w:t>
            </w:r>
          </w:p>
        </w:tc>
        <w:tc>
          <w:tcPr>
            <w:tcW w:w="1701" w:type="dxa"/>
            <w:tcBorders>
              <w:top w:val="nil"/>
              <w:left w:val="nil"/>
              <w:bottom w:val="single" w:sz="4" w:space="0" w:color="auto"/>
              <w:right w:val="single" w:sz="4" w:space="0" w:color="auto"/>
            </w:tcBorders>
            <w:shd w:val="clear" w:color="auto" w:fill="auto"/>
            <w:vAlign w:val="center"/>
            <w:hideMark/>
          </w:tcPr>
          <w:p w14:paraId="06929F89"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0%</w:t>
            </w:r>
          </w:p>
        </w:tc>
        <w:tc>
          <w:tcPr>
            <w:tcW w:w="1701" w:type="dxa"/>
            <w:tcBorders>
              <w:top w:val="nil"/>
              <w:left w:val="nil"/>
              <w:bottom w:val="single" w:sz="4" w:space="0" w:color="auto"/>
              <w:right w:val="single" w:sz="4" w:space="0" w:color="auto"/>
            </w:tcBorders>
            <w:shd w:val="clear" w:color="auto" w:fill="auto"/>
            <w:vAlign w:val="center"/>
            <w:hideMark/>
          </w:tcPr>
          <w:p w14:paraId="41FEFCE6"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17.00%</w:t>
            </w:r>
          </w:p>
        </w:tc>
        <w:tc>
          <w:tcPr>
            <w:tcW w:w="3786" w:type="dxa"/>
            <w:tcBorders>
              <w:top w:val="nil"/>
              <w:left w:val="nil"/>
              <w:bottom w:val="single" w:sz="4" w:space="0" w:color="auto"/>
              <w:right w:val="single" w:sz="4" w:space="0" w:color="auto"/>
            </w:tcBorders>
            <w:shd w:val="clear" w:color="auto" w:fill="auto"/>
            <w:vAlign w:val="center"/>
            <w:hideMark/>
          </w:tcPr>
          <w:p w14:paraId="6E38CAE2"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S.1 Electricity, high voltage {RoW}| electricity production, solar tower power plant, 20 MW | Cut-off, U</w:t>
            </w:r>
          </w:p>
        </w:tc>
      </w:tr>
      <w:tr w:rsidR="00E04C9A" w:rsidRPr="000708BC" w14:paraId="6A5A0832" w14:textId="77777777" w:rsidTr="00E04C9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1D58C742"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Run-of-River (ROR) Hydropower</w:t>
            </w:r>
          </w:p>
        </w:tc>
        <w:tc>
          <w:tcPr>
            <w:tcW w:w="1701" w:type="dxa"/>
            <w:tcBorders>
              <w:top w:val="nil"/>
              <w:left w:val="nil"/>
              <w:bottom w:val="single" w:sz="4" w:space="0" w:color="auto"/>
              <w:right w:val="single" w:sz="4" w:space="0" w:color="auto"/>
            </w:tcBorders>
            <w:shd w:val="clear" w:color="auto" w:fill="auto"/>
            <w:vAlign w:val="center"/>
            <w:hideMark/>
          </w:tcPr>
          <w:p w14:paraId="71E0F45C"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15.30%</w:t>
            </w:r>
          </w:p>
        </w:tc>
        <w:tc>
          <w:tcPr>
            <w:tcW w:w="1701" w:type="dxa"/>
            <w:tcBorders>
              <w:top w:val="nil"/>
              <w:left w:val="nil"/>
              <w:bottom w:val="single" w:sz="4" w:space="0" w:color="auto"/>
              <w:right w:val="single" w:sz="4" w:space="0" w:color="auto"/>
            </w:tcBorders>
            <w:shd w:val="clear" w:color="auto" w:fill="auto"/>
            <w:vAlign w:val="center"/>
            <w:hideMark/>
          </w:tcPr>
          <w:p w14:paraId="5E0B4EE7"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6.00%</w:t>
            </w:r>
          </w:p>
        </w:tc>
        <w:tc>
          <w:tcPr>
            <w:tcW w:w="3786" w:type="dxa"/>
            <w:tcBorders>
              <w:top w:val="nil"/>
              <w:left w:val="nil"/>
              <w:bottom w:val="single" w:sz="4" w:space="0" w:color="auto"/>
              <w:right w:val="single" w:sz="4" w:space="0" w:color="auto"/>
            </w:tcBorders>
            <w:shd w:val="clear" w:color="auto" w:fill="auto"/>
            <w:vAlign w:val="center"/>
            <w:hideMark/>
          </w:tcPr>
          <w:p w14:paraId="72DED9E5"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hydro, run-of-river | Cut-off, U</w:t>
            </w:r>
          </w:p>
        </w:tc>
      </w:tr>
      <w:tr w:rsidR="00E04C9A" w:rsidRPr="000708BC" w14:paraId="4BAE5936" w14:textId="77777777" w:rsidTr="00E04C9A">
        <w:trPr>
          <w:trHeight w:val="84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1AF9567C"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Storage Hydropower</w:t>
            </w:r>
          </w:p>
        </w:tc>
        <w:tc>
          <w:tcPr>
            <w:tcW w:w="1701" w:type="dxa"/>
            <w:tcBorders>
              <w:top w:val="nil"/>
              <w:left w:val="nil"/>
              <w:bottom w:val="single" w:sz="4" w:space="0" w:color="auto"/>
              <w:right w:val="single" w:sz="4" w:space="0" w:color="auto"/>
            </w:tcBorders>
            <w:shd w:val="clear" w:color="auto" w:fill="auto"/>
            <w:vAlign w:val="center"/>
            <w:hideMark/>
          </w:tcPr>
          <w:p w14:paraId="6A77913C"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7.60%</w:t>
            </w:r>
          </w:p>
        </w:tc>
        <w:tc>
          <w:tcPr>
            <w:tcW w:w="1701" w:type="dxa"/>
            <w:tcBorders>
              <w:top w:val="nil"/>
              <w:left w:val="nil"/>
              <w:bottom w:val="single" w:sz="4" w:space="0" w:color="auto"/>
              <w:right w:val="single" w:sz="4" w:space="0" w:color="auto"/>
            </w:tcBorders>
            <w:shd w:val="clear" w:color="auto" w:fill="auto"/>
            <w:vAlign w:val="center"/>
            <w:hideMark/>
          </w:tcPr>
          <w:p w14:paraId="080BA1DD"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2.90%</w:t>
            </w:r>
          </w:p>
        </w:tc>
        <w:tc>
          <w:tcPr>
            <w:tcW w:w="3786" w:type="dxa"/>
            <w:tcBorders>
              <w:top w:val="nil"/>
              <w:left w:val="nil"/>
              <w:bottom w:val="single" w:sz="4" w:space="0" w:color="auto"/>
              <w:right w:val="single" w:sz="4" w:space="0" w:color="auto"/>
            </w:tcBorders>
            <w:shd w:val="clear" w:color="auto" w:fill="auto"/>
            <w:vAlign w:val="center"/>
            <w:hideMark/>
          </w:tcPr>
          <w:p w14:paraId="414D4073"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hydro, reservoir, alpine region | Cut-off, U</w:t>
            </w:r>
          </w:p>
        </w:tc>
      </w:tr>
      <w:tr w:rsidR="00E04C9A" w:rsidRPr="000708BC" w14:paraId="457835AE" w14:textId="77777777" w:rsidTr="00E04C9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7AA159DC"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Biofuel</w:t>
            </w:r>
          </w:p>
        </w:tc>
        <w:tc>
          <w:tcPr>
            <w:tcW w:w="1701" w:type="dxa"/>
            <w:tcBorders>
              <w:top w:val="nil"/>
              <w:left w:val="nil"/>
              <w:bottom w:val="single" w:sz="4" w:space="0" w:color="auto"/>
              <w:right w:val="single" w:sz="4" w:space="0" w:color="auto"/>
            </w:tcBorders>
            <w:shd w:val="clear" w:color="auto" w:fill="auto"/>
            <w:vAlign w:val="center"/>
            <w:hideMark/>
          </w:tcPr>
          <w:p w14:paraId="1B0146AF"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3.90%</w:t>
            </w:r>
          </w:p>
        </w:tc>
        <w:tc>
          <w:tcPr>
            <w:tcW w:w="1701" w:type="dxa"/>
            <w:tcBorders>
              <w:top w:val="nil"/>
              <w:left w:val="nil"/>
              <w:bottom w:val="single" w:sz="4" w:space="0" w:color="auto"/>
              <w:right w:val="single" w:sz="4" w:space="0" w:color="auto"/>
            </w:tcBorders>
            <w:shd w:val="clear" w:color="auto" w:fill="auto"/>
            <w:vAlign w:val="center"/>
            <w:hideMark/>
          </w:tcPr>
          <w:p w14:paraId="1B01617F"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1.00%</w:t>
            </w:r>
          </w:p>
        </w:tc>
        <w:tc>
          <w:tcPr>
            <w:tcW w:w="3786" w:type="dxa"/>
            <w:tcBorders>
              <w:top w:val="nil"/>
              <w:left w:val="nil"/>
              <w:bottom w:val="single" w:sz="4" w:space="0" w:color="auto"/>
              <w:right w:val="single" w:sz="4" w:space="0" w:color="auto"/>
            </w:tcBorders>
            <w:shd w:val="clear" w:color="auto" w:fill="auto"/>
            <w:vAlign w:val="center"/>
            <w:hideMark/>
          </w:tcPr>
          <w:p w14:paraId="1F060846"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heat and power co-generation, biogas, gas engine | Cut-off, U</w:t>
            </w:r>
          </w:p>
        </w:tc>
      </w:tr>
      <w:tr w:rsidR="00E04C9A" w:rsidRPr="000708BC" w14:paraId="4EE9BFDC" w14:textId="77777777" w:rsidTr="00E04C9A">
        <w:trPr>
          <w:trHeight w:val="112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2FB01C4B"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Geothermal</w:t>
            </w:r>
          </w:p>
        </w:tc>
        <w:tc>
          <w:tcPr>
            <w:tcW w:w="1701" w:type="dxa"/>
            <w:tcBorders>
              <w:top w:val="nil"/>
              <w:left w:val="nil"/>
              <w:bottom w:val="single" w:sz="4" w:space="0" w:color="auto"/>
              <w:right w:val="single" w:sz="4" w:space="0" w:color="auto"/>
            </w:tcBorders>
            <w:shd w:val="clear" w:color="auto" w:fill="auto"/>
            <w:vAlign w:val="center"/>
            <w:hideMark/>
          </w:tcPr>
          <w:p w14:paraId="123A390C"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0.70%</w:t>
            </w:r>
          </w:p>
        </w:tc>
        <w:tc>
          <w:tcPr>
            <w:tcW w:w="1701" w:type="dxa"/>
            <w:tcBorders>
              <w:top w:val="nil"/>
              <w:left w:val="nil"/>
              <w:bottom w:val="single" w:sz="4" w:space="0" w:color="auto"/>
              <w:right w:val="single" w:sz="4" w:space="0" w:color="auto"/>
            </w:tcBorders>
            <w:shd w:val="clear" w:color="auto" w:fill="auto"/>
            <w:vAlign w:val="center"/>
            <w:hideMark/>
          </w:tcPr>
          <w:p w14:paraId="5EAB45FE"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0%</w:t>
            </w:r>
          </w:p>
        </w:tc>
        <w:tc>
          <w:tcPr>
            <w:tcW w:w="3786" w:type="dxa"/>
            <w:tcBorders>
              <w:top w:val="nil"/>
              <w:left w:val="nil"/>
              <w:bottom w:val="single" w:sz="4" w:space="0" w:color="auto"/>
              <w:right w:val="single" w:sz="4" w:space="0" w:color="auto"/>
            </w:tcBorders>
            <w:shd w:val="clear" w:color="auto" w:fill="auto"/>
            <w:vAlign w:val="center"/>
            <w:hideMark/>
          </w:tcPr>
          <w:p w14:paraId="6BA909CC"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deep geothermal | Cut-off, U</w:t>
            </w:r>
            <w:r w:rsidRPr="000708BC">
              <w:rPr>
                <w:rFonts w:ascii="Arial" w:hAnsi="Arial" w:cs="Arial"/>
                <w:color w:val="000000"/>
                <w:sz w:val="20"/>
              </w:rPr>
              <w:br/>
              <w:t>Electricity, high voltage {CL}| heat and power co-generation, wood chips, 6667 kW | Cut-off, U</w:t>
            </w:r>
          </w:p>
        </w:tc>
      </w:tr>
      <w:tr w:rsidR="00E04C9A" w:rsidRPr="000708BC" w14:paraId="494F3C5A" w14:textId="77777777" w:rsidTr="00E04C9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78723236"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Coal</w:t>
            </w:r>
          </w:p>
        </w:tc>
        <w:tc>
          <w:tcPr>
            <w:tcW w:w="1701" w:type="dxa"/>
            <w:tcBorders>
              <w:top w:val="nil"/>
              <w:left w:val="nil"/>
              <w:bottom w:val="single" w:sz="4" w:space="0" w:color="auto"/>
              <w:right w:val="single" w:sz="4" w:space="0" w:color="auto"/>
            </w:tcBorders>
            <w:shd w:val="clear" w:color="auto" w:fill="auto"/>
            <w:vAlign w:val="center"/>
            <w:hideMark/>
          </w:tcPr>
          <w:p w14:paraId="4FFD32E8"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25.40%</w:t>
            </w:r>
          </w:p>
        </w:tc>
        <w:tc>
          <w:tcPr>
            <w:tcW w:w="1701" w:type="dxa"/>
            <w:tcBorders>
              <w:top w:val="nil"/>
              <w:left w:val="nil"/>
              <w:bottom w:val="single" w:sz="4" w:space="0" w:color="auto"/>
              <w:right w:val="single" w:sz="4" w:space="0" w:color="auto"/>
            </w:tcBorders>
            <w:shd w:val="clear" w:color="auto" w:fill="auto"/>
            <w:vAlign w:val="center"/>
            <w:hideMark/>
          </w:tcPr>
          <w:p w14:paraId="3F96E0B2"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0%</w:t>
            </w:r>
          </w:p>
        </w:tc>
        <w:tc>
          <w:tcPr>
            <w:tcW w:w="3786" w:type="dxa"/>
            <w:tcBorders>
              <w:top w:val="nil"/>
              <w:left w:val="nil"/>
              <w:bottom w:val="single" w:sz="4" w:space="0" w:color="auto"/>
              <w:right w:val="single" w:sz="4" w:space="0" w:color="auto"/>
            </w:tcBorders>
            <w:shd w:val="clear" w:color="auto" w:fill="auto"/>
            <w:vAlign w:val="center"/>
            <w:hideMark/>
          </w:tcPr>
          <w:p w14:paraId="1A36F484"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hard coal | Cut-off, U</w:t>
            </w:r>
          </w:p>
        </w:tc>
      </w:tr>
      <w:tr w:rsidR="00E04C9A" w:rsidRPr="000708BC" w14:paraId="39EC219E" w14:textId="77777777" w:rsidTr="00E04C9A">
        <w:trPr>
          <w:trHeight w:val="84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7FCB1EB6"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Liquid Natural Gas (LNG)</w:t>
            </w:r>
          </w:p>
        </w:tc>
        <w:tc>
          <w:tcPr>
            <w:tcW w:w="1701" w:type="dxa"/>
            <w:tcBorders>
              <w:top w:val="nil"/>
              <w:left w:val="nil"/>
              <w:bottom w:val="single" w:sz="4" w:space="0" w:color="auto"/>
              <w:right w:val="single" w:sz="4" w:space="0" w:color="auto"/>
            </w:tcBorders>
            <w:shd w:val="clear" w:color="auto" w:fill="auto"/>
            <w:vAlign w:val="center"/>
            <w:hideMark/>
          </w:tcPr>
          <w:p w14:paraId="2E661A0A"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6.60%</w:t>
            </w:r>
          </w:p>
        </w:tc>
        <w:tc>
          <w:tcPr>
            <w:tcW w:w="1701" w:type="dxa"/>
            <w:tcBorders>
              <w:top w:val="nil"/>
              <w:left w:val="nil"/>
              <w:bottom w:val="single" w:sz="4" w:space="0" w:color="auto"/>
              <w:right w:val="single" w:sz="4" w:space="0" w:color="auto"/>
            </w:tcBorders>
            <w:shd w:val="clear" w:color="auto" w:fill="auto"/>
            <w:vAlign w:val="center"/>
            <w:hideMark/>
          </w:tcPr>
          <w:p w14:paraId="1E01B718"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0%</w:t>
            </w:r>
          </w:p>
        </w:tc>
        <w:tc>
          <w:tcPr>
            <w:tcW w:w="3786" w:type="dxa"/>
            <w:tcBorders>
              <w:top w:val="nil"/>
              <w:left w:val="nil"/>
              <w:bottom w:val="single" w:sz="4" w:space="0" w:color="auto"/>
              <w:right w:val="single" w:sz="4" w:space="0" w:color="auto"/>
            </w:tcBorders>
            <w:shd w:val="clear" w:color="auto" w:fill="auto"/>
            <w:vAlign w:val="center"/>
            <w:hideMark/>
          </w:tcPr>
          <w:p w14:paraId="42D9D5CE"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natural gas, combined cycle power plant | Cut-off, U</w:t>
            </w:r>
          </w:p>
        </w:tc>
      </w:tr>
      <w:tr w:rsidR="00E04C9A" w:rsidRPr="000708BC" w14:paraId="3AB87A40" w14:textId="77777777" w:rsidTr="00E04C9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32D285D0"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Diesel</w:t>
            </w:r>
          </w:p>
        </w:tc>
        <w:tc>
          <w:tcPr>
            <w:tcW w:w="1701" w:type="dxa"/>
            <w:tcBorders>
              <w:top w:val="nil"/>
              <w:left w:val="nil"/>
              <w:bottom w:val="single" w:sz="4" w:space="0" w:color="auto"/>
              <w:right w:val="single" w:sz="4" w:space="0" w:color="auto"/>
            </w:tcBorders>
            <w:shd w:val="clear" w:color="auto" w:fill="auto"/>
            <w:vAlign w:val="center"/>
            <w:hideMark/>
          </w:tcPr>
          <w:p w14:paraId="5164471E"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6.10%</w:t>
            </w:r>
          </w:p>
        </w:tc>
        <w:tc>
          <w:tcPr>
            <w:tcW w:w="1701" w:type="dxa"/>
            <w:tcBorders>
              <w:top w:val="nil"/>
              <w:left w:val="nil"/>
              <w:bottom w:val="single" w:sz="4" w:space="0" w:color="auto"/>
              <w:right w:val="single" w:sz="4" w:space="0" w:color="auto"/>
            </w:tcBorders>
            <w:shd w:val="clear" w:color="auto" w:fill="auto"/>
            <w:vAlign w:val="center"/>
            <w:hideMark/>
          </w:tcPr>
          <w:p w14:paraId="0F09197A" w14:textId="77777777" w:rsidR="00E04C9A" w:rsidRPr="000708BC" w:rsidRDefault="00E04C9A" w:rsidP="00E04C9A">
            <w:pPr>
              <w:jc w:val="center"/>
              <w:rPr>
                <w:rFonts w:ascii="Arial" w:hAnsi="Arial" w:cs="Arial"/>
                <w:color w:val="000000"/>
                <w:sz w:val="20"/>
              </w:rPr>
            </w:pPr>
            <w:r w:rsidRPr="000708BC">
              <w:rPr>
                <w:rFonts w:ascii="Arial" w:hAnsi="Arial" w:cs="Arial"/>
                <w:color w:val="000000"/>
                <w:sz w:val="20"/>
              </w:rPr>
              <w:t>0%</w:t>
            </w:r>
          </w:p>
        </w:tc>
        <w:tc>
          <w:tcPr>
            <w:tcW w:w="3786" w:type="dxa"/>
            <w:tcBorders>
              <w:top w:val="nil"/>
              <w:left w:val="nil"/>
              <w:bottom w:val="single" w:sz="4" w:space="0" w:color="auto"/>
              <w:right w:val="single" w:sz="4" w:space="0" w:color="auto"/>
            </w:tcBorders>
            <w:shd w:val="clear" w:color="auto" w:fill="auto"/>
            <w:vAlign w:val="center"/>
            <w:hideMark/>
          </w:tcPr>
          <w:p w14:paraId="6B230D0C" w14:textId="77777777" w:rsidR="00E04C9A" w:rsidRPr="000708BC" w:rsidRDefault="00E04C9A" w:rsidP="00E04C9A">
            <w:pPr>
              <w:rPr>
                <w:rFonts w:ascii="Arial" w:hAnsi="Arial" w:cs="Arial"/>
                <w:color w:val="000000"/>
                <w:sz w:val="20"/>
              </w:rPr>
            </w:pPr>
            <w:r w:rsidRPr="000708BC">
              <w:rPr>
                <w:rFonts w:ascii="Arial" w:hAnsi="Arial" w:cs="Arial"/>
                <w:color w:val="000000"/>
                <w:sz w:val="20"/>
              </w:rPr>
              <w:t>Electricity, high voltage {CL}| electricity production, oil | Cut-off, U</w:t>
            </w:r>
          </w:p>
        </w:tc>
      </w:tr>
    </w:tbl>
    <w:p w14:paraId="5236AA83" w14:textId="77777777" w:rsidR="009C7008" w:rsidRPr="000708BC" w:rsidRDefault="009C7008">
      <w:pPr>
        <w:pStyle w:val="JIEreferencelist"/>
        <w:ind w:left="0" w:firstLine="0"/>
        <w:rPr>
          <w:rFonts w:ascii="Arial" w:hAnsi="Arial" w:cs="Arial"/>
          <w:iCs/>
          <w:sz w:val="22"/>
          <w:szCs w:val="22"/>
        </w:rPr>
      </w:pPr>
    </w:p>
    <w:p w14:paraId="154F8244" w14:textId="03C80C06" w:rsidR="001748F0" w:rsidRPr="000708BC" w:rsidRDefault="001748F0" w:rsidP="00724D19">
      <w:pPr>
        <w:pStyle w:val="Heading1"/>
        <w:rPr>
          <w:rFonts w:cs="Arial"/>
        </w:rPr>
      </w:pPr>
      <w:r w:rsidRPr="000708BC">
        <w:rPr>
          <w:rFonts w:cs="Arial"/>
        </w:rPr>
        <w:t>Stage 2: Green Hydrogen Production</w:t>
      </w:r>
    </w:p>
    <w:p w14:paraId="2DB6D5F6" w14:textId="77777777" w:rsidR="001748F0" w:rsidRPr="000708BC" w:rsidRDefault="001748F0" w:rsidP="00B60924">
      <w:pPr>
        <w:pStyle w:val="JIEreferencelist"/>
        <w:ind w:left="0" w:firstLine="0"/>
        <w:jc w:val="both"/>
        <w:rPr>
          <w:rFonts w:ascii="Arial" w:hAnsi="Arial" w:cs="Arial"/>
          <w:iCs/>
          <w:sz w:val="22"/>
          <w:szCs w:val="22"/>
        </w:rPr>
      </w:pPr>
    </w:p>
    <w:p w14:paraId="07FFE729" w14:textId="07BF5A29" w:rsidR="00373EB2" w:rsidRPr="000708BC" w:rsidRDefault="007673C9" w:rsidP="00B60924">
      <w:pPr>
        <w:pStyle w:val="JIEreferencelist"/>
        <w:ind w:left="0" w:firstLine="0"/>
        <w:jc w:val="both"/>
        <w:rPr>
          <w:rFonts w:ascii="Arial" w:hAnsi="Arial" w:cs="Arial"/>
          <w:iCs/>
          <w:sz w:val="22"/>
          <w:szCs w:val="22"/>
        </w:rPr>
      </w:pPr>
      <w:r w:rsidRPr="000708BC">
        <w:rPr>
          <w:rFonts w:ascii="Arial" w:hAnsi="Arial" w:cs="Arial"/>
          <w:iCs/>
          <w:sz w:val="22"/>
          <w:szCs w:val="22"/>
        </w:rPr>
        <w:t>Alkaline (</w:t>
      </w:r>
      <w:r w:rsidR="00B60924" w:rsidRPr="000708BC">
        <w:rPr>
          <w:rFonts w:ascii="Arial" w:hAnsi="Arial" w:cs="Arial"/>
          <w:iCs/>
          <w:sz w:val="22"/>
          <w:szCs w:val="22"/>
        </w:rPr>
        <w:t>AEL</w:t>
      </w:r>
      <w:r w:rsidRPr="000708BC">
        <w:rPr>
          <w:rFonts w:ascii="Arial" w:hAnsi="Arial" w:cs="Arial"/>
          <w:iCs/>
          <w:sz w:val="22"/>
          <w:szCs w:val="22"/>
        </w:rPr>
        <w:t>)</w:t>
      </w:r>
      <w:r w:rsidR="00B60924" w:rsidRPr="000708BC">
        <w:rPr>
          <w:rFonts w:ascii="Arial" w:hAnsi="Arial" w:cs="Arial"/>
          <w:iCs/>
          <w:sz w:val="22"/>
          <w:szCs w:val="22"/>
        </w:rPr>
        <w:t xml:space="preserve"> and </w:t>
      </w:r>
      <w:r w:rsidRPr="000708BC">
        <w:rPr>
          <w:rFonts w:ascii="Arial" w:hAnsi="Arial" w:cs="Arial"/>
          <w:iCs/>
          <w:sz w:val="22"/>
          <w:szCs w:val="22"/>
        </w:rPr>
        <w:t>Proton exchange membrane (</w:t>
      </w:r>
      <w:r w:rsidR="00B60924" w:rsidRPr="000708BC">
        <w:rPr>
          <w:rFonts w:ascii="Arial" w:hAnsi="Arial" w:cs="Arial"/>
          <w:iCs/>
          <w:sz w:val="22"/>
          <w:szCs w:val="22"/>
        </w:rPr>
        <w:t>PEMEL</w:t>
      </w:r>
      <w:r w:rsidRPr="000708BC">
        <w:rPr>
          <w:rFonts w:ascii="Arial" w:hAnsi="Arial" w:cs="Arial"/>
          <w:iCs/>
          <w:sz w:val="22"/>
          <w:szCs w:val="22"/>
        </w:rPr>
        <w:t>) electrolyzer</w:t>
      </w:r>
      <w:r w:rsidR="00B60924" w:rsidRPr="000708BC">
        <w:rPr>
          <w:rFonts w:ascii="Arial" w:hAnsi="Arial" w:cs="Arial"/>
          <w:iCs/>
          <w:sz w:val="22"/>
          <w:szCs w:val="22"/>
        </w:rPr>
        <w:t xml:space="preserve"> technologies were selected for this study due to their advanced technological development and maturity in market production</w:t>
      </w:r>
      <w:r w:rsidR="00F40714"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"/>
          <w:id w:val="-1444602966"/>
          <w:placeholder>
            <w:docPart w:val="DefaultPlaceholder_-1854013440"/>
          </w:placeholder>
        </w:sdtPr>
        <w:sdtEndPr/>
        <w:sdtContent>
          <w:r w:rsidR="002422C9" w:rsidRPr="000708BC">
            <w:rPr>
              <w:rFonts w:ascii="Arial" w:eastAsia="Times New Roman" w:hAnsi="Arial" w:cs="Arial"/>
              <w:color w:val="000000"/>
              <w:sz w:val="22"/>
            </w:rPr>
            <w:t>(</w:t>
          </w:r>
          <w:proofErr w:type="spellStart"/>
          <w:r w:rsidR="002422C9" w:rsidRPr="000708BC">
            <w:rPr>
              <w:rFonts w:ascii="Arial" w:eastAsia="Times New Roman" w:hAnsi="Arial" w:cs="Arial"/>
              <w:color w:val="000000"/>
              <w:sz w:val="22"/>
            </w:rPr>
            <w:t>Lotrič</w:t>
          </w:r>
          <w:proofErr w:type="spellEnd"/>
          <w:r w:rsidR="002422C9" w:rsidRPr="000708BC">
            <w:rPr>
              <w:rFonts w:ascii="Arial" w:eastAsia="Times New Roman" w:hAnsi="Arial" w:cs="Arial"/>
              <w:color w:val="000000"/>
              <w:sz w:val="22"/>
            </w:rPr>
            <w:t xml:space="preserve">, </w:t>
          </w:r>
          <w:proofErr w:type="spellStart"/>
          <w:r w:rsidR="002422C9" w:rsidRPr="000708BC">
            <w:rPr>
              <w:rFonts w:ascii="Arial" w:eastAsia="Times New Roman" w:hAnsi="Arial" w:cs="Arial"/>
              <w:color w:val="000000"/>
              <w:sz w:val="22"/>
            </w:rPr>
            <w:t>Sekavčnik</w:t>
          </w:r>
          <w:proofErr w:type="spellEnd"/>
          <w:r w:rsidR="002422C9" w:rsidRPr="000708BC">
            <w:rPr>
              <w:rFonts w:ascii="Arial" w:eastAsia="Times New Roman" w:hAnsi="Arial" w:cs="Arial"/>
              <w:color w:val="000000"/>
              <w:sz w:val="22"/>
            </w:rPr>
            <w:t xml:space="preserve">, </w:t>
          </w:r>
          <w:proofErr w:type="spellStart"/>
          <w:r w:rsidR="002422C9" w:rsidRPr="000708BC">
            <w:rPr>
              <w:rFonts w:ascii="Arial" w:eastAsia="Times New Roman" w:hAnsi="Arial" w:cs="Arial"/>
              <w:color w:val="000000"/>
              <w:sz w:val="22"/>
            </w:rPr>
            <w:t>Kuštrin</w:t>
          </w:r>
          <w:proofErr w:type="spellEnd"/>
          <w:r w:rsidR="002422C9" w:rsidRPr="000708BC">
            <w:rPr>
              <w:rFonts w:ascii="Arial" w:eastAsia="Times New Roman" w:hAnsi="Arial" w:cs="Arial"/>
              <w:color w:val="000000"/>
              <w:sz w:val="22"/>
            </w:rPr>
            <w:t>, &amp; Mori, 2021)</w:t>
          </w:r>
        </w:sdtContent>
      </w:sdt>
      <w:r w:rsidR="00B60924" w:rsidRPr="000708BC">
        <w:rPr>
          <w:rFonts w:ascii="Arial" w:hAnsi="Arial" w:cs="Arial"/>
          <w:iCs/>
          <w:sz w:val="22"/>
          <w:szCs w:val="22"/>
        </w:rPr>
        <w:t>. The inventory was developed for a 50 MW hydrogen plant. The electrolyzers are assumed to be imported from China</w:t>
      </w:r>
      <w:r w:rsidR="00520A56" w:rsidRPr="000708BC">
        <w:rPr>
          <w:rFonts w:ascii="Arial" w:hAnsi="Arial" w:cs="Arial"/>
          <w:iCs/>
          <w:sz w:val="22"/>
          <w:szCs w:val="22"/>
        </w:rPr>
        <w:t xml:space="preserve">. </w:t>
      </w:r>
      <w:r w:rsidR="00B60924" w:rsidRPr="000708BC">
        <w:rPr>
          <w:rFonts w:ascii="Arial" w:hAnsi="Arial" w:cs="Arial"/>
          <w:iCs/>
          <w:sz w:val="22"/>
          <w:szCs w:val="22"/>
        </w:rPr>
        <w:t>Hydrogen production is based on current projects in Chile, with an operational capacity of 7,300 hrs/yr</w:t>
      </w:r>
      <w:r w:rsidR="00F40714"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"/>
          <w:id w:val="-987712950"/>
          <w:placeholder>
            <w:docPart w:val="DefaultPlaceholder_-1854013440"/>
          </w:placeholder>
        </w:sdtPr>
        <w:sdtEndPr/>
        <w:sdtContent>
          <w:r w:rsidR="002422C9" w:rsidRPr="000708BC">
            <w:rPr>
              <w:rFonts w:ascii="Arial" w:hAnsi="Arial" w:cs="Arial"/>
              <w:iCs/>
              <w:color w:val="000000"/>
              <w:sz w:val="22"/>
              <w:szCs w:val="22"/>
            </w:rPr>
            <w:t>(Evaluation Commission Antofagasta Region, 2022)</w:t>
          </w:r>
        </w:sdtContent>
      </w:sdt>
      <w:r w:rsidR="00F40714" w:rsidRPr="000708BC">
        <w:rPr>
          <w:rFonts w:ascii="Arial" w:hAnsi="Arial" w:cs="Arial"/>
          <w:iCs/>
          <w:color w:val="000000"/>
          <w:sz w:val="22"/>
          <w:szCs w:val="22"/>
        </w:rPr>
        <w:t>.</w:t>
      </w:r>
      <w:r w:rsidR="00B60924" w:rsidRPr="000708BC">
        <w:rPr>
          <w:rFonts w:ascii="Arial" w:hAnsi="Arial" w:cs="Arial"/>
          <w:iCs/>
          <w:sz w:val="22"/>
          <w:szCs w:val="22"/>
        </w:rPr>
        <w:t xml:space="preserve"> Details on the design and production parameters are presented in Table S1-</w:t>
      </w:r>
      <w:r w:rsidR="00A205DA" w:rsidRPr="000708BC">
        <w:rPr>
          <w:rFonts w:ascii="Arial" w:hAnsi="Arial" w:cs="Arial"/>
          <w:iCs/>
          <w:sz w:val="22"/>
          <w:szCs w:val="22"/>
        </w:rPr>
        <w:t>4</w:t>
      </w:r>
      <w:r w:rsidR="00B60924" w:rsidRPr="000708BC">
        <w:rPr>
          <w:rFonts w:ascii="Arial" w:hAnsi="Arial" w:cs="Arial"/>
          <w:iCs/>
          <w:sz w:val="22"/>
          <w:szCs w:val="22"/>
        </w:rPr>
        <w:t xml:space="preserve">. </w:t>
      </w:r>
    </w:p>
    <w:p w14:paraId="49AC1A01" w14:textId="77777777" w:rsidR="00373EB2" w:rsidRPr="000708BC" w:rsidRDefault="00373EB2" w:rsidP="00B60924">
      <w:pPr>
        <w:pStyle w:val="JIEreferencelist"/>
        <w:ind w:left="0" w:firstLine="0"/>
        <w:jc w:val="both"/>
        <w:rPr>
          <w:rFonts w:ascii="Arial" w:hAnsi="Arial" w:cs="Arial"/>
          <w:iCs/>
          <w:sz w:val="22"/>
          <w:szCs w:val="22"/>
        </w:rPr>
      </w:pPr>
    </w:p>
    <w:p w14:paraId="35228535" w14:textId="77777777" w:rsidR="00373EB2" w:rsidRPr="000708BC" w:rsidRDefault="00373EB2" w:rsidP="00373EB2">
      <w:pPr>
        <w:pStyle w:val="JIEreferencelist"/>
        <w:ind w:left="0" w:firstLine="0"/>
        <w:rPr>
          <w:rFonts w:ascii="Arial" w:hAnsi="Arial" w:cs="Arial"/>
          <w:i/>
          <w:sz w:val="20"/>
        </w:rPr>
      </w:pPr>
      <w:r w:rsidRPr="000708BC">
        <w:rPr>
          <w:rFonts w:ascii="Arial" w:hAnsi="Arial" w:cs="Arial"/>
          <w:i/>
          <w:sz w:val="20"/>
        </w:rPr>
        <w:lastRenderedPageBreak/>
        <w:t>Table S1-4 Hydrogen plant operation design.</w:t>
      </w:r>
    </w:p>
    <w:tbl>
      <w:tblPr>
        <w:tblW w:w="5000" w:type="pct"/>
        <w:jc w:val="center"/>
        <w:tblLook w:val="04A0" w:firstRow="1" w:lastRow="0" w:firstColumn="1" w:lastColumn="0" w:noHBand="0" w:noVBand="1"/>
      </w:tblPr>
      <w:tblGrid>
        <w:gridCol w:w="1650"/>
        <w:gridCol w:w="1261"/>
        <w:gridCol w:w="1525"/>
        <w:gridCol w:w="1903"/>
        <w:gridCol w:w="2291"/>
      </w:tblGrid>
      <w:tr w:rsidR="006574A0" w:rsidRPr="000708BC" w14:paraId="34841911" w14:textId="77777777" w:rsidTr="008661AA">
        <w:trPr>
          <w:trHeight w:val="560"/>
          <w:tblHeader/>
          <w:jc w:val="center"/>
        </w:trPr>
        <w:tc>
          <w:tcPr>
            <w:tcW w:w="166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5D08EA" w14:textId="77777777" w:rsidR="00373EB2" w:rsidRPr="000708BC" w:rsidRDefault="00373EB2" w:rsidP="008661AA">
            <w:pPr>
              <w:jc w:val="center"/>
              <w:rPr>
                <w:rFonts w:ascii="Arial" w:hAnsi="Arial" w:cs="Arial"/>
                <w:b/>
                <w:bCs/>
                <w:color w:val="000000"/>
                <w:sz w:val="20"/>
              </w:rPr>
            </w:pPr>
            <w:r w:rsidRPr="000708BC">
              <w:rPr>
                <w:rFonts w:ascii="Arial" w:hAnsi="Arial" w:cs="Arial"/>
                <w:b/>
                <w:bCs/>
                <w:sz w:val="20"/>
              </w:rPr>
              <w:t>Parameter</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742BB77F" w14:textId="77777777" w:rsidR="00373EB2" w:rsidRPr="000708BC" w:rsidRDefault="00373EB2" w:rsidP="008661AA">
            <w:pPr>
              <w:jc w:val="center"/>
              <w:rPr>
                <w:rFonts w:ascii="Arial" w:hAnsi="Arial" w:cs="Arial"/>
                <w:b/>
                <w:bCs/>
                <w:color w:val="000000"/>
                <w:sz w:val="20"/>
              </w:rPr>
            </w:pPr>
            <w:r w:rsidRPr="000708BC">
              <w:rPr>
                <w:rFonts w:ascii="Arial" w:hAnsi="Arial" w:cs="Arial"/>
                <w:b/>
                <w:bCs/>
                <w:sz w:val="20"/>
              </w:rPr>
              <w:t>Unit</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4C2B6FB5" w14:textId="77777777" w:rsidR="00373EB2" w:rsidRPr="000708BC" w:rsidRDefault="00373EB2" w:rsidP="008661AA">
            <w:pPr>
              <w:jc w:val="center"/>
              <w:rPr>
                <w:rFonts w:ascii="Arial" w:hAnsi="Arial" w:cs="Arial"/>
                <w:b/>
                <w:bCs/>
                <w:color w:val="000000"/>
                <w:sz w:val="20"/>
              </w:rPr>
            </w:pPr>
            <w:r w:rsidRPr="000708BC">
              <w:rPr>
                <w:rFonts w:ascii="Arial" w:hAnsi="Arial" w:cs="Arial"/>
                <w:b/>
                <w:bCs/>
                <w:sz w:val="20"/>
              </w:rPr>
              <w:t>AEL Plant</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3969543D" w14:textId="77777777" w:rsidR="00373EB2" w:rsidRPr="000708BC" w:rsidRDefault="00373EB2" w:rsidP="008661AA">
            <w:pPr>
              <w:jc w:val="center"/>
              <w:rPr>
                <w:rFonts w:ascii="Arial" w:hAnsi="Arial" w:cs="Arial"/>
                <w:b/>
                <w:bCs/>
                <w:color w:val="000000"/>
                <w:sz w:val="20"/>
              </w:rPr>
            </w:pPr>
            <w:r w:rsidRPr="000708BC">
              <w:rPr>
                <w:rFonts w:ascii="Arial" w:hAnsi="Arial" w:cs="Arial"/>
                <w:b/>
                <w:bCs/>
                <w:sz w:val="20"/>
              </w:rPr>
              <w:t>PEMEL Plant</w:t>
            </w:r>
          </w:p>
        </w:tc>
        <w:tc>
          <w:tcPr>
            <w:tcW w:w="2369" w:type="dxa"/>
            <w:tcBorders>
              <w:top w:val="single" w:sz="4" w:space="0" w:color="auto"/>
              <w:left w:val="nil"/>
              <w:bottom w:val="single" w:sz="4" w:space="0" w:color="auto"/>
              <w:right w:val="single" w:sz="4" w:space="0" w:color="auto"/>
            </w:tcBorders>
            <w:shd w:val="clear" w:color="000000" w:fill="D9D9D9"/>
            <w:vAlign w:val="center"/>
            <w:hideMark/>
          </w:tcPr>
          <w:p w14:paraId="18D167B4" w14:textId="77777777" w:rsidR="00373EB2" w:rsidRPr="000708BC" w:rsidRDefault="00373EB2" w:rsidP="008661AA">
            <w:pPr>
              <w:jc w:val="center"/>
              <w:rPr>
                <w:rFonts w:ascii="Arial" w:hAnsi="Arial" w:cs="Arial"/>
                <w:b/>
                <w:bCs/>
                <w:color w:val="000000"/>
                <w:sz w:val="20"/>
              </w:rPr>
            </w:pPr>
            <w:r w:rsidRPr="000708BC">
              <w:rPr>
                <w:rFonts w:ascii="Arial" w:hAnsi="Arial" w:cs="Arial"/>
                <w:b/>
                <w:bCs/>
                <w:sz w:val="20"/>
              </w:rPr>
              <w:t>Reference</w:t>
            </w:r>
          </w:p>
        </w:tc>
      </w:tr>
      <w:tr w:rsidR="006574A0" w:rsidRPr="000708BC" w14:paraId="1FBFBF66" w14:textId="77777777" w:rsidTr="008661AA">
        <w:trPr>
          <w:trHeight w:val="28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4AC26F4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Capacity</w:t>
            </w:r>
          </w:p>
        </w:tc>
        <w:tc>
          <w:tcPr>
            <w:tcW w:w="1275" w:type="dxa"/>
            <w:tcBorders>
              <w:top w:val="nil"/>
              <w:left w:val="nil"/>
              <w:bottom w:val="single" w:sz="4" w:space="0" w:color="auto"/>
              <w:right w:val="single" w:sz="4" w:space="0" w:color="auto"/>
            </w:tcBorders>
            <w:shd w:val="clear" w:color="auto" w:fill="auto"/>
            <w:vAlign w:val="center"/>
            <w:hideMark/>
          </w:tcPr>
          <w:p w14:paraId="2032CE6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MW</w:t>
            </w:r>
          </w:p>
        </w:tc>
        <w:tc>
          <w:tcPr>
            <w:tcW w:w="1560" w:type="dxa"/>
            <w:tcBorders>
              <w:top w:val="nil"/>
              <w:left w:val="nil"/>
              <w:bottom w:val="single" w:sz="4" w:space="0" w:color="auto"/>
              <w:right w:val="single" w:sz="4" w:space="0" w:color="auto"/>
            </w:tcBorders>
            <w:shd w:val="clear" w:color="auto" w:fill="auto"/>
            <w:vAlign w:val="center"/>
            <w:hideMark/>
          </w:tcPr>
          <w:p w14:paraId="5826262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50</w:t>
            </w:r>
          </w:p>
        </w:tc>
        <w:tc>
          <w:tcPr>
            <w:tcW w:w="1984" w:type="dxa"/>
            <w:tcBorders>
              <w:top w:val="nil"/>
              <w:left w:val="nil"/>
              <w:bottom w:val="single" w:sz="4" w:space="0" w:color="auto"/>
              <w:right w:val="single" w:sz="4" w:space="0" w:color="auto"/>
            </w:tcBorders>
            <w:shd w:val="clear" w:color="auto" w:fill="auto"/>
            <w:vAlign w:val="center"/>
            <w:hideMark/>
          </w:tcPr>
          <w:p w14:paraId="4A9392D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50</w:t>
            </w:r>
          </w:p>
        </w:tc>
        <w:tc>
          <w:tcPr>
            <w:tcW w:w="2369" w:type="dxa"/>
            <w:tcBorders>
              <w:top w:val="nil"/>
              <w:left w:val="nil"/>
              <w:bottom w:val="single" w:sz="4" w:space="0" w:color="auto"/>
              <w:right w:val="single" w:sz="4" w:space="0" w:color="auto"/>
            </w:tcBorders>
            <w:shd w:val="clear" w:color="auto" w:fill="auto"/>
            <w:vAlign w:val="center"/>
            <w:hideMark/>
          </w:tcPr>
          <w:p w14:paraId="1A75440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tr>
      <w:tr w:rsidR="006574A0" w:rsidRPr="000708BC" w14:paraId="41ED881E" w14:textId="77777777" w:rsidTr="008661A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1A1E736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Efficiency</w:t>
            </w:r>
          </w:p>
        </w:tc>
        <w:tc>
          <w:tcPr>
            <w:tcW w:w="1275" w:type="dxa"/>
            <w:tcBorders>
              <w:top w:val="nil"/>
              <w:left w:val="nil"/>
              <w:bottom w:val="single" w:sz="4" w:space="0" w:color="auto"/>
              <w:right w:val="single" w:sz="4" w:space="0" w:color="auto"/>
            </w:tcBorders>
            <w:shd w:val="clear" w:color="auto" w:fill="auto"/>
            <w:vAlign w:val="center"/>
            <w:hideMark/>
          </w:tcPr>
          <w:p w14:paraId="1D3D73C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kWh/kgH</w:t>
            </w:r>
            <w:r w:rsidRPr="000708BC">
              <w:rPr>
                <w:rFonts w:ascii="Arial" w:hAnsi="Arial" w:cs="Arial"/>
                <w:color w:val="000000"/>
                <w:sz w:val="20"/>
                <w:vertAlign w:val="subscript"/>
              </w:rPr>
              <w:t>2</w:t>
            </w:r>
          </w:p>
        </w:tc>
        <w:tc>
          <w:tcPr>
            <w:tcW w:w="1560" w:type="dxa"/>
            <w:tcBorders>
              <w:top w:val="nil"/>
              <w:left w:val="nil"/>
              <w:bottom w:val="single" w:sz="4" w:space="0" w:color="auto"/>
              <w:right w:val="single" w:sz="4" w:space="0" w:color="auto"/>
            </w:tcBorders>
            <w:shd w:val="clear" w:color="auto" w:fill="auto"/>
            <w:vAlign w:val="center"/>
            <w:hideMark/>
          </w:tcPr>
          <w:p w14:paraId="599093A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50</w:t>
            </w:r>
          </w:p>
        </w:tc>
        <w:tc>
          <w:tcPr>
            <w:tcW w:w="1984" w:type="dxa"/>
            <w:tcBorders>
              <w:top w:val="nil"/>
              <w:left w:val="nil"/>
              <w:bottom w:val="single" w:sz="4" w:space="0" w:color="auto"/>
              <w:right w:val="single" w:sz="4" w:space="0" w:color="auto"/>
            </w:tcBorders>
            <w:shd w:val="clear" w:color="auto" w:fill="auto"/>
            <w:vAlign w:val="center"/>
            <w:hideMark/>
          </w:tcPr>
          <w:p w14:paraId="1A7E5EF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60</w:t>
            </w:r>
          </w:p>
        </w:tc>
        <w:tc>
          <w:tcPr>
            <w:tcW w:w="2369" w:type="dxa"/>
            <w:tcBorders>
              <w:top w:val="nil"/>
              <w:left w:val="nil"/>
              <w:bottom w:val="single" w:sz="4" w:space="0" w:color="auto"/>
              <w:right w:val="single" w:sz="4" w:space="0" w:color="auto"/>
            </w:tcBorders>
            <w:shd w:val="clear" w:color="auto" w:fill="auto"/>
            <w:vAlign w:val="center"/>
            <w:hideMark/>
          </w:tcPr>
          <w:p w14:paraId="7D0EF582" w14:textId="0249D773" w:rsidR="00373EB2" w:rsidRPr="000708BC" w:rsidRDefault="00A208B1" w:rsidP="008661AA">
            <w:pPr>
              <w:jc w:val="center"/>
              <w:rPr>
                <w:rFonts w:ascii="Arial" w:hAnsi="Arial" w:cs="Arial"/>
                <w:color w:val="000000"/>
                <w:sz w:val="20"/>
              </w:rPr>
            </w:pPr>
            <w:sdt>
              <w:sdtPr>
                <w:rPr>
                  <w:rFonts w:ascii="Arial" w:hAnsi="Arial" w:cs="Arial"/>
                  <w:color w:val="000000"/>
                  <w:sz w:val="20"/>
                </w:rPr>
                <w:tag w:val="MENDELEY_CITATION_v3_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"/>
                <w:id w:val="-1639721971"/>
                <w:placeholder>
                  <w:docPart w:val="935CADE145A7FE4FB2A3D08652FEB404"/>
                </w:placeholder>
              </w:sdtPr>
              <w:sdtEndPr/>
              <w:sdtContent>
                <w:r w:rsidR="002422C9" w:rsidRPr="000708BC">
                  <w:rPr>
                    <w:rFonts w:ascii="Arial" w:hAnsi="Arial" w:cs="Arial"/>
                    <w:color w:val="000000"/>
                    <w:sz w:val="20"/>
                  </w:rPr>
                  <w:t>(Khan et al., 2024)</w:t>
                </w:r>
              </w:sdtContent>
            </w:sdt>
          </w:p>
        </w:tc>
      </w:tr>
      <w:tr w:rsidR="006574A0" w:rsidRPr="000708BC" w14:paraId="274EE9FE" w14:textId="77777777" w:rsidTr="008661A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508BC58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Electrolyzer lifetime</w:t>
            </w:r>
          </w:p>
        </w:tc>
        <w:tc>
          <w:tcPr>
            <w:tcW w:w="1275" w:type="dxa"/>
            <w:tcBorders>
              <w:top w:val="nil"/>
              <w:left w:val="nil"/>
              <w:bottom w:val="single" w:sz="4" w:space="0" w:color="auto"/>
              <w:right w:val="single" w:sz="4" w:space="0" w:color="auto"/>
            </w:tcBorders>
            <w:shd w:val="clear" w:color="auto" w:fill="auto"/>
            <w:vAlign w:val="center"/>
            <w:hideMark/>
          </w:tcPr>
          <w:p w14:paraId="1D25DC0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hrs</w:t>
            </w:r>
          </w:p>
        </w:tc>
        <w:tc>
          <w:tcPr>
            <w:tcW w:w="1560" w:type="dxa"/>
            <w:tcBorders>
              <w:top w:val="nil"/>
              <w:left w:val="nil"/>
              <w:bottom w:val="single" w:sz="4" w:space="0" w:color="auto"/>
              <w:right w:val="single" w:sz="4" w:space="0" w:color="auto"/>
            </w:tcBorders>
            <w:shd w:val="clear" w:color="auto" w:fill="auto"/>
            <w:vAlign w:val="center"/>
            <w:hideMark/>
          </w:tcPr>
          <w:p w14:paraId="5077E34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100,000</w:t>
            </w:r>
          </w:p>
        </w:tc>
        <w:tc>
          <w:tcPr>
            <w:tcW w:w="1984" w:type="dxa"/>
            <w:tcBorders>
              <w:top w:val="nil"/>
              <w:left w:val="nil"/>
              <w:bottom w:val="single" w:sz="4" w:space="0" w:color="auto"/>
              <w:right w:val="single" w:sz="4" w:space="0" w:color="auto"/>
            </w:tcBorders>
            <w:shd w:val="clear" w:color="auto" w:fill="auto"/>
            <w:vAlign w:val="center"/>
            <w:hideMark/>
          </w:tcPr>
          <w:p w14:paraId="2256B44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80,000</w:t>
            </w:r>
          </w:p>
        </w:tc>
        <w:sdt>
          <w:sdtPr>
            <w:rPr>
              <w:rFonts w:ascii="Arial" w:hAnsi="Arial" w:cs="Arial"/>
              <w:color w:val="000000"/>
              <w:sz w:val="20"/>
            </w:rPr>
            <w:tag w:val="MENDELEY_CITATION_v3_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"/>
            <w:id w:val="1764954867"/>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734E8B9D" w14:textId="1D3FCDBA" w:rsidR="00373EB2" w:rsidRPr="000708BC" w:rsidRDefault="002422C9" w:rsidP="008661AA">
                <w:pPr>
                  <w:jc w:val="center"/>
                  <w:rPr>
                    <w:rFonts w:ascii="Arial" w:hAnsi="Arial" w:cs="Arial"/>
                    <w:color w:val="000000"/>
                    <w:sz w:val="20"/>
                  </w:rPr>
                </w:pPr>
                <w:r w:rsidRPr="000708BC">
                  <w:rPr>
                    <w:rFonts w:ascii="Arial" w:hAnsi="Arial" w:cs="Arial"/>
                    <w:color w:val="000000"/>
                    <w:sz w:val="20"/>
                  </w:rPr>
                  <w:t>(Khan et al., 2024)</w:t>
                </w:r>
              </w:p>
            </w:tc>
          </w:sdtContent>
        </w:sdt>
      </w:tr>
      <w:tr w:rsidR="006574A0" w:rsidRPr="000708BC" w14:paraId="3E0783BC" w14:textId="77777777" w:rsidTr="008661AA">
        <w:trPr>
          <w:trHeight w:val="438"/>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1973749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Annual working hours</w:t>
            </w:r>
          </w:p>
        </w:tc>
        <w:tc>
          <w:tcPr>
            <w:tcW w:w="1275" w:type="dxa"/>
            <w:tcBorders>
              <w:top w:val="nil"/>
              <w:left w:val="nil"/>
              <w:bottom w:val="single" w:sz="4" w:space="0" w:color="auto"/>
              <w:right w:val="single" w:sz="4" w:space="0" w:color="auto"/>
            </w:tcBorders>
            <w:shd w:val="clear" w:color="auto" w:fill="auto"/>
            <w:vAlign w:val="center"/>
            <w:hideMark/>
          </w:tcPr>
          <w:p w14:paraId="7D4C8AF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Hrs/yr</w:t>
            </w:r>
          </w:p>
        </w:tc>
        <w:tc>
          <w:tcPr>
            <w:tcW w:w="1560" w:type="dxa"/>
            <w:tcBorders>
              <w:top w:val="nil"/>
              <w:left w:val="nil"/>
              <w:bottom w:val="single" w:sz="4" w:space="0" w:color="auto"/>
              <w:right w:val="single" w:sz="4" w:space="0" w:color="auto"/>
            </w:tcBorders>
            <w:shd w:val="clear" w:color="auto" w:fill="auto"/>
            <w:vAlign w:val="center"/>
            <w:hideMark/>
          </w:tcPr>
          <w:p w14:paraId="7C7CE65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7,300</w:t>
            </w:r>
          </w:p>
        </w:tc>
        <w:tc>
          <w:tcPr>
            <w:tcW w:w="1984" w:type="dxa"/>
            <w:tcBorders>
              <w:top w:val="nil"/>
              <w:left w:val="nil"/>
              <w:bottom w:val="single" w:sz="4" w:space="0" w:color="auto"/>
              <w:right w:val="single" w:sz="4" w:space="0" w:color="auto"/>
            </w:tcBorders>
            <w:shd w:val="clear" w:color="auto" w:fill="auto"/>
            <w:vAlign w:val="center"/>
            <w:hideMark/>
          </w:tcPr>
          <w:p w14:paraId="5E9DC77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7,300</w:t>
            </w:r>
          </w:p>
        </w:tc>
        <w:sdt>
          <w:sdtPr>
            <w:rPr>
              <w:rFonts w:ascii="Arial" w:hAnsi="Arial" w:cs="Arial"/>
              <w:color w:val="000000"/>
              <w:sz w:val="20"/>
            </w:rPr>
            <w:tag w:val="MENDELEY_CITATION_v3_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"/>
            <w:id w:val="1184940786"/>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65F9DFB1" w14:textId="31C386C5" w:rsidR="00373EB2" w:rsidRPr="000708BC" w:rsidRDefault="002422C9" w:rsidP="008661AA">
                <w:pPr>
                  <w:jc w:val="center"/>
                  <w:rPr>
                    <w:rFonts w:ascii="Arial" w:hAnsi="Arial" w:cs="Arial"/>
                    <w:color w:val="000000"/>
                    <w:sz w:val="20"/>
                  </w:rPr>
                </w:pPr>
                <w:r w:rsidRPr="000708BC">
                  <w:rPr>
                    <w:rFonts w:ascii="Arial" w:hAnsi="Arial" w:cs="Arial"/>
                    <w:color w:val="000000"/>
                    <w:sz w:val="20"/>
                  </w:rPr>
                  <w:t>(Evaluation Commission Antofagasta Region, 2022)</w:t>
                </w:r>
              </w:p>
            </w:tc>
          </w:sdtContent>
        </w:sdt>
      </w:tr>
      <w:tr w:rsidR="006574A0" w:rsidRPr="000708BC" w14:paraId="110F79F4" w14:textId="77777777" w:rsidTr="008661AA">
        <w:trPr>
          <w:trHeight w:val="764"/>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4155957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BOP Lifetime</w:t>
            </w:r>
          </w:p>
        </w:tc>
        <w:tc>
          <w:tcPr>
            <w:tcW w:w="1275" w:type="dxa"/>
            <w:tcBorders>
              <w:top w:val="nil"/>
              <w:left w:val="nil"/>
              <w:bottom w:val="single" w:sz="4" w:space="0" w:color="auto"/>
              <w:right w:val="single" w:sz="4" w:space="0" w:color="auto"/>
            </w:tcBorders>
            <w:shd w:val="clear" w:color="auto" w:fill="auto"/>
            <w:vAlign w:val="center"/>
            <w:hideMark/>
          </w:tcPr>
          <w:p w14:paraId="0B54E69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yrs</w:t>
            </w:r>
          </w:p>
        </w:tc>
        <w:tc>
          <w:tcPr>
            <w:tcW w:w="1560" w:type="dxa"/>
            <w:tcBorders>
              <w:top w:val="nil"/>
              <w:left w:val="nil"/>
              <w:bottom w:val="single" w:sz="4" w:space="0" w:color="auto"/>
              <w:right w:val="single" w:sz="4" w:space="0" w:color="auto"/>
            </w:tcBorders>
            <w:shd w:val="clear" w:color="auto" w:fill="auto"/>
            <w:vAlign w:val="center"/>
            <w:hideMark/>
          </w:tcPr>
          <w:p w14:paraId="531E938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30</w:t>
            </w:r>
          </w:p>
        </w:tc>
        <w:tc>
          <w:tcPr>
            <w:tcW w:w="1984" w:type="dxa"/>
            <w:tcBorders>
              <w:top w:val="nil"/>
              <w:left w:val="nil"/>
              <w:bottom w:val="single" w:sz="4" w:space="0" w:color="auto"/>
              <w:right w:val="single" w:sz="4" w:space="0" w:color="auto"/>
            </w:tcBorders>
            <w:shd w:val="clear" w:color="auto" w:fill="auto"/>
            <w:vAlign w:val="center"/>
            <w:hideMark/>
          </w:tcPr>
          <w:p w14:paraId="570DB09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30</w:t>
            </w:r>
          </w:p>
        </w:tc>
        <w:tc>
          <w:tcPr>
            <w:tcW w:w="2369" w:type="dxa"/>
            <w:tcBorders>
              <w:top w:val="nil"/>
              <w:left w:val="nil"/>
              <w:bottom w:val="single" w:sz="4" w:space="0" w:color="auto"/>
              <w:right w:val="single" w:sz="4" w:space="0" w:color="auto"/>
            </w:tcBorders>
            <w:shd w:val="clear" w:color="auto" w:fill="auto"/>
            <w:vAlign w:val="center"/>
            <w:hideMark/>
          </w:tcPr>
          <w:sdt>
            <w:sdtPr>
              <w:rPr>
                <w:rFonts w:ascii="Arial" w:hAnsi="Arial" w:cs="Arial"/>
                <w:color w:val="000000"/>
                <w:sz w:val="20"/>
              </w:rPr>
              <w:tag w:val="MENDELEY_CITATION_v3_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"/>
              <w:id w:val="2123961422"/>
              <w:placeholder>
                <w:docPart w:val="935CADE145A7FE4FB2A3D08652FEB404"/>
              </w:placeholder>
            </w:sdtPr>
            <w:sdtEndPr/>
            <w:sdtContent>
              <w:p w14:paraId="433CDDA2" w14:textId="2E6A038B" w:rsidR="00373EB2" w:rsidRPr="000708BC" w:rsidRDefault="002422C9" w:rsidP="008661AA">
                <w:pPr>
                  <w:jc w:val="center"/>
                  <w:rPr>
                    <w:rFonts w:ascii="Arial" w:hAnsi="Arial" w:cs="Arial"/>
                    <w:color w:val="000000"/>
                    <w:sz w:val="20"/>
                  </w:rPr>
                </w:pPr>
                <w:r w:rsidRPr="000708BC">
                  <w:rPr>
                    <w:rFonts w:ascii="Arial" w:hAnsi="Arial" w:cs="Arial"/>
                    <w:color w:val="000000"/>
                    <w:sz w:val="20"/>
                  </w:rPr>
                  <w:t>(Delpierre, Quist, Mertens, Prieur-Vernat, &amp; Cucurachi, 2021)</w:t>
                </w:r>
              </w:p>
            </w:sdtContent>
          </w:sdt>
        </w:tc>
      </w:tr>
      <w:tr w:rsidR="006574A0" w:rsidRPr="000708BC" w14:paraId="25C00C0D" w14:textId="77777777" w:rsidTr="008661AA">
        <w:trPr>
          <w:trHeight w:val="47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19C640E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Capacity Factor (solar)</w:t>
            </w:r>
          </w:p>
        </w:tc>
        <w:tc>
          <w:tcPr>
            <w:tcW w:w="1275" w:type="dxa"/>
            <w:tcBorders>
              <w:top w:val="nil"/>
              <w:left w:val="nil"/>
              <w:bottom w:val="single" w:sz="4" w:space="0" w:color="auto"/>
              <w:right w:val="single" w:sz="4" w:space="0" w:color="auto"/>
            </w:tcBorders>
            <w:shd w:val="clear" w:color="auto" w:fill="auto"/>
            <w:vAlign w:val="center"/>
            <w:hideMark/>
          </w:tcPr>
          <w:p w14:paraId="65B4F81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tc>
          <w:tcPr>
            <w:tcW w:w="1560" w:type="dxa"/>
            <w:tcBorders>
              <w:top w:val="nil"/>
              <w:left w:val="nil"/>
              <w:bottom w:val="single" w:sz="4" w:space="0" w:color="auto"/>
              <w:right w:val="single" w:sz="4" w:space="0" w:color="auto"/>
            </w:tcBorders>
            <w:shd w:val="clear" w:color="auto" w:fill="auto"/>
            <w:vAlign w:val="center"/>
            <w:hideMark/>
          </w:tcPr>
          <w:p w14:paraId="6A9F900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40</w:t>
            </w:r>
          </w:p>
        </w:tc>
        <w:tc>
          <w:tcPr>
            <w:tcW w:w="1984" w:type="dxa"/>
            <w:tcBorders>
              <w:top w:val="nil"/>
              <w:left w:val="nil"/>
              <w:bottom w:val="single" w:sz="4" w:space="0" w:color="auto"/>
              <w:right w:val="single" w:sz="4" w:space="0" w:color="auto"/>
            </w:tcBorders>
            <w:shd w:val="clear" w:color="auto" w:fill="auto"/>
            <w:vAlign w:val="center"/>
            <w:hideMark/>
          </w:tcPr>
          <w:p w14:paraId="06665E4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40</w:t>
            </w:r>
          </w:p>
        </w:tc>
        <w:sdt>
          <w:sdtPr>
            <w:rPr>
              <w:rFonts w:ascii="Arial" w:hAnsi="Arial" w:cs="Arial"/>
              <w:color w:val="000000"/>
              <w:sz w:val="20"/>
            </w:rPr>
            <w:tag w:val="MENDELEY_CITATION_v3_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"/>
            <w:id w:val="-92787471"/>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203B8091" w14:textId="77CA715C" w:rsidR="00373EB2" w:rsidRPr="000708BC" w:rsidRDefault="002422C9" w:rsidP="008661AA">
                <w:pPr>
                  <w:jc w:val="center"/>
                  <w:rPr>
                    <w:rFonts w:ascii="Arial" w:hAnsi="Arial" w:cs="Arial"/>
                    <w:color w:val="000000"/>
                    <w:sz w:val="20"/>
                  </w:rPr>
                </w:pPr>
                <w:r w:rsidRPr="000708BC">
                  <w:rPr>
                    <w:rFonts w:ascii="Arial" w:hAnsi="Arial" w:cs="Arial"/>
                    <w:color w:val="000000"/>
                    <w:sz w:val="20"/>
                  </w:rPr>
                  <w:t>(Khan et al., 2024)</w:t>
                </w:r>
              </w:p>
            </w:tc>
          </w:sdtContent>
        </w:sdt>
      </w:tr>
      <w:tr w:rsidR="006574A0" w:rsidRPr="000708BC" w14:paraId="5EF1E192" w14:textId="77777777" w:rsidTr="008661AA">
        <w:trPr>
          <w:trHeight w:val="596"/>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539B0C3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Deionised water</w:t>
            </w:r>
          </w:p>
        </w:tc>
        <w:tc>
          <w:tcPr>
            <w:tcW w:w="1275" w:type="dxa"/>
            <w:tcBorders>
              <w:top w:val="nil"/>
              <w:left w:val="nil"/>
              <w:bottom w:val="single" w:sz="4" w:space="0" w:color="auto"/>
              <w:right w:val="single" w:sz="4" w:space="0" w:color="auto"/>
            </w:tcBorders>
            <w:shd w:val="clear" w:color="auto" w:fill="auto"/>
            <w:vAlign w:val="center"/>
            <w:hideMark/>
          </w:tcPr>
          <w:p w14:paraId="7E315ED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l/kgH</w:t>
            </w:r>
            <w:r w:rsidRPr="000708BC">
              <w:rPr>
                <w:rFonts w:ascii="Arial" w:hAnsi="Arial" w:cs="Arial"/>
                <w:color w:val="000000"/>
                <w:sz w:val="20"/>
                <w:vertAlign w:val="subscript"/>
              </w:rPr>
              <w:t>2</w:t>
            </w:r>
          </w:p>
        </w:tc>
        <w:tc>
          <w:tcPr>
            <w:tcW w:w="1560" w:type="dxa"/>
            <w:tcBorders>
              <w:top w:val="nil"/>
              <w:left w:val="nil"/>
              <w:bottom w:val="single" w:sz="4" w:space="0" w:color="auto"/>
              <w:right w:val="single" w:sz="4" w:space="0" w:color="auto"/>
            </w:tcBorders>
            <w:shd w:val="clear" w:color="auto" w:fill="auto"/>
            <w:vAlign w:val="center"/>
            <w:hideMark/>
          </w:tcPr>
          <w:p w14:paraId="47115B4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10</w:t>
            </w:r>
          </w:p>
        </w:tc>
        <w:tc>
          <w:tcPr>
            <w:tcW w:w="1984" w:type="dxa"/>
            <w:tcBorders>
              <w:top w:val="nil"/>
              <w:left w:val="nil"/>
              <w:bottom w:val="single" w:sz="4" w:space="0" w:color="auto"/>
              <w:right w:val="single" w:sz="4" w:space="0" w:color="auto"/>
            </w:tcBorders>
            <w:shd w:val="clear" w:color="auto" w:fill="auto"/>
            <w:vAlign w:val="center"/>
            <w:hideMark/>
          </w:tcPr>
          <w:p w14:paraId="7FE719D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10</w:t>
            </w:r>
          </w:p>
        </w:tc>
        <w:sdt>
          <w:sdtPr>
            <w:rPr>
              <w:rFonts w:ascii="Arial" w:hAnsi="Arial" w:cs="Arial"/>
              <w:color w:val="000000"/>
              <w:sz w:val="20"/>
            </w:rPr>
            <w:tag w:val="MENDELEY_CITATION_v3_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"/>
            <w:id w:val="-1879464797"/>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5FD73AA6" w14:textId="45FA9E92" w:rsidR="00373EB2" w:rsidRPr="000708BC" w:rsidRDefault="002422C9" w:rsidP="008661AA">
                <w:pPr>
                  <w:jc w:val="center"/>
                  <w:rPr>
                    <w:rFonts w:ascii="Arial" w:hAnsi="Arial" w:cs="Arial"/>
                    <w:color w:val="000000"/>
                    <w:sz w:val="20"/>
                  </w:rPr>
                </w:pPr>
                <w:r w:rsidRPr="000708BC">
                  <w:rPr>
                    <w:rFonts w:ascii="Arial" w:hAnsi="Arial" w:cs="Arial"/>
                    <w:color w:val="000000"/>
                    <w:sz w:val="20"/>
                  </w:rPr>
                  <w:t>(Ellersdorfer, Omar, Taylor, Daiyan, &amp; Leslie, 2023)</w:t>
                </w:r>
              </w:p>
            </w:tc>
          </w:sdtContent>
        </w:sdt>
      </w:tr>
      <w:tr w:rsidR="006574A0" w:rsidRPr="000708BC" w14:paraId="28851F0B" w14:textId="77777777" w:rsidTr="008661AA">
        <w:trPr>
          <w:trHeight w:val="41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0067942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Water, Cooling system</w:t>
            </w:r>
          </w:p>
        </w:tc>
        <w:tc>
          <w:tcPr>
            <w:tcW w:w="1275" w:type="dxa"/>
            <w:tcBorders>
              <w:top w:val="nil"/>
              <w:left w:val="nil"/>
              <w:bottom w:val="single" w:sz="4" w:space="0" w:color="auto"/>
              <w:right w:val="single" w:sz="4" w:space="0" w:color="auto"/>
            </w:tcBorders>
            <w:shd w:val="clear" w:color="auto" w:fill="auto"/>
            <w:vAlign w:val="center"/>
            <w:hideMark/>
          </w:tcPr>
          <w:p w14:paraId="20AA73A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l/kgH</w:t>
            </w:r>
            <w:r w:rsidRPr="000708BC">
              <w:rPr>
                <w:rFonts w:ascii="Arial" w:hAnsi="Arial" w:cs="Arial"/>
                <w:color w:val="000000"/>
                <w:sz w:val="20"/>
                <w:vertAlign w:val="subscript"/>
              </w:rPr>
              <w:t>2</w:t>
            </w:r>
          </w:p>
        </w:tc>
        <w:tc>
          <w:tcPr>
            <w:tcW w:w="1560" w:type="dxa"/>
            <w:tcBorders>
              <w:top w:val="nil"/>
              <w:left w:val="nil"/>
              <w:bottom w:val="single" w:sz="4" w:space="0" w:color="auto"/>
              <w:right w:val="single" w:sz="4" w:space="0" w:color="auto"/>
            </w:tcBorders>
            <w:shd w:val="clear" w:color="auto" w:fill="auto"/>
            <w:vAlign w:val="center"/>
            <w:hideMark/>
          </w:tcPr>
          <w:p w14:paraId="4623BA5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40</w:t>
            </w:r>
          </w:p>
        </w:tc>
        <w:tc>
          <w:tcPr>
            <w:tcW w:w="1984" w:type="dxa"/>
            <w:tcBorders>
              <w:top w:val="nil"/>
              <w:left w:val="nil"/>
              <w:bottom w:val="single" w:sz="4" w:space="0" w:color="auto"/>
              <w:right w:val="single" w:sz="4" w:space="0" w:color="auto"/>
            </w:tcBorders>
            <w:shd w:val="clear" w:color="auto" w:fill="auto"/>
            <w:vAlign w:val="center"/>
            <w:hideMark/>
          </w:tcPr>
          <w:p w14:paraId="63AF85D2"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40</w:t>
            </w:r>
          </w:p>
        </w:tc>
        <w:sdt>
          <w:sdtPr>
            <w:rPr>
              <w:rFonts w:ascii="Arial" w:hAnsi="Arial" w:cs="Arial"/>
              <w:color w:val="000000"/>
              <w:sz w:val="20"/>
            </w:rPr>
            <w:tag w:val="MENDELEY_CITATION_v3_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"/>
            <w:id w:val="547338069"/>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5FADC5AB" w14:textId="7FAA7192" w:rsidR="00373EB2" w:rsidRPr="000708BC" w:rsidRDefault="002422C9" w:rsidP="008661AA">
                <w:pPr>
                  <w:jc w:val="center"/>
                  <w:rPr>
                    <w:rFonts w:ascii="Arial" w:hAnsi="Arial" w:cs="Arial"/>
                    <w:color w:val="000000"/>
                    <w:sz w:val="20"/>
                  </w:rPr>
                </w:pPr>
                <w:r w:rsidRPr="000708BC">
                  <w:rPr>
                    <w:rFonts w:ascii="Arial" w:hAnsi="Arial" w:cs="Arial"/>
                    <w:color w:val="000000"/>
                    <w:sz w:val="20"/>
                  </w:rPr>
                  <w:t>(Ellersdorfer et al., 2023)</w:t>
                </w:r>
              </w:p>
            </w:tc>
          </w:sdtContent>
        </w:sdt>
      </w:tr>
      <w:tr w:rsidR="006574A0" w:rsidRPr="000708BC" w14:paraId="4D4023AA" w14:textId="77777777" w:rsidTr="008661AA">
        <w:trPr>
          <w:trHeight w:val="549"/>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1604AE62"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Nitrogen</w:t>
            </w:r>
          </w:p>
        </w:tc>
        <w:tc>
          <w:tcPr>
            <w:tcW w:w="1275" w:type="dxa"/>
            <w:tcBorders>
              <w:top w:val="nil"/>
              <w:left w:val="nil"/>
              <w:bottom w:val="single" w:sz="4" w:space="0" w:color="auto"/>
              <w:right w:val="single" w:sz="4" w:space="0" w:color="auto"/>
            </w:tcBorders>
            <w:shd w:val="clear" w:color="auto" w:fill="auto"/>
            <w:vAlign w:val="center"/>
            <w:hideMark/>
          </w:tcPr>
          <w:p w14:paraId="4CA2A0B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g/kgH</w:t>
            </w:r>
            <w:r w:rsidRPr="000708BC">
              <w:rPr>
                <w:rFonts w:ascii="Arial" w:hAnsi="Arial" w:cs="Arial"/>
                <w:color w:val="000000"/>
                <w:sz w:val="20"/>
                <w:vertAlign w:val="subscript"/>
              </w:rPr>
              <w:t>2</w:t>
            </w:r>
          </w:p>
        </w:tc>
        <w:tc>
          <w:tcPr>
            <w:tcW w:w="1560" w:type="dxa"/>
            <w:tcBorders>
              <w:top w:val="nil"/>
              <w:left w:val="nil"/>
              <w:bottom w:val="single" w:sz="4" w:space="0" w:color="auto"/>
              <w:right w:val="single" w:sz="4" w:space="0" w:color="auto"/>
            </w:tcBorders>
            <w:shd w:val="clear" w:color="auto" w:fill="auto"/>
            <w:vAlign w:val="center"/>
            <w:hideMark/>
          </w:tcPr>
          <w:p w14:paraId="15FC98C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0.3</w:t>
            </w:r>
          </w:p>
        </w:tc>
        <w:tc>
          <w:tcPr>
            <w:tcW w:w="1984" w:type="dxa"/>
            <w:tcBorders>
              <w:top w:val="nil"/>
              <w:left w:val="nil"/>
              <w:bottom w:val="single" w:sz="4" w:space="0" w:color="auto"/>
              <w:right w:val="single" w:sz="4" w:space="0" w:color="auto"/>
            </w:tcBorders>
            <w:shd w:val="clear" w:color="auto" w:fill="auto"/>
            <w:vAlign w:val="center"/>
            <w:hideMark/>
          </w:tcPr>
          <w:p w14:paraId="167CB26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sdt>
          <w:sdtPr>
            <w:rPr>
              <w:rFonts w:ascii="Arial" w:hAnsi="Arial" w:cs="Arial"/>
              <w:color w:val="000000"/>
              <w:sz w:val="20"/>
            </w:rPr>
            <w:tag w:val="MENDELEY_CITATION_v3_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"/>
            <w:id w:val="394868426"/>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48D5CDAC" w14:textId="32867322" w:rsidR="00373EB2" w:rsidRPr="000708BC" w:rsidRDefault="002422C9" w:rsidP="008661AA">
                <w:pPr>
                  <w:jc w:val="center"/>
                  <w:rPr>
                    <w:rFonts w:ascii="Arial" w:hAnsi="Arial" w:cs="Arial"/>
                    <w:color w:val="000000"/>
                    <w:sz w:val="20"/>
                  </w:rPr>
                </w:pPr>
                <w:r w:rsidRPr="000708BC">
                  <w:rPr>
                    <w:rFonts w:ascii="Arial" w:hAnsi="Arial" w:cs="Arial"/>
                    <w:color w:val="000000"/>
                    <w:sz w:val="20"/>
                  </w:rPr>
                  <w:t>(Koj, Wulf, Schreiber, &amp; Zapp, 2017)</w:t>
                </w:r>
              </w:p>
            </w:tc>
          </w:sdtContent>
        </w:sdt>
      </w:tr>
      <w:tr w:rsidR="006574A0" w:rsidRPr="000708BC" w14:paraId="70FA6689" w14:textId="77777777" w:rsidTr="008661AA">
        <w:trPr>
          <w:trHeight w:val="560"/>
          <w:jc w:val="center"/>
        </w:trPr>
        <w:tc>
          <w:tcPr>
            <w:tcW w:w="1668" w:type="dxa"/>
            <w:tcBorders>
              <w:top w:val="nil"/>
              <w:left w:val="single" w:sz="4" w:space="0" w:color="auto"/>
              <w:bottom w:val="single" w:sz="4" w:space="0" w:color="auto"/>
              <w:right w:val="single" w:sz="4" w:space="0" w:color="auto"/>
            </w:tcBorders>
            <w:shd w:val="clear" w:color="auto" w:fill="auto"/>
            <w:vAlign w:val="center"/>
            <w:hideMark/>
          </w:tcPr>
          <w:p w14:paraId="30A504F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Potassium Hidroxide</w:t>
            </w:r>
          </w:p>
        </w:tc>
        <w:tc>
          <w:tcPr>
            <w:tcW w:w="1275" w:type="dxa"/>
            <w:tcBorders>
              <w:top w:val="nil"/>
              <w:left w:val="nil"/>
              <w:bottom w:val="single" w:sz="4" w:space="0" w:color="auto"/>
              <w:right w:val="single" w:sz="4" w:space="0" w:color="auto"/>
            </w:tcBorders>
            <w:shd w:val="clear" w:color="auto" w:fill="auto"/>
            <w:vAlign w:val="center"/>
            <w:hideMark/>
          </w:tcPr>
          <w:p w14:paraId="45BCCAF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Kg/kgH</w:t>
            </w:r>
            <w:r w:rsidRPr="000708BC">
              <w:rPr>
                <w:rFonts w:ascii="Arial" w:hAnsi="Arial" w:cs="Arial"/>
                <w:color w:val="000000"/>
                <w:sz w:val="20"/>
                <w:vertAlign w:val="subscript"/>
              </w:rPr>
              <w:t>2</w:t>
            </w:r>
          </w:p>
        </w:tc>
        <w:tc>
          <w:tcPr>
            <w:tcW w:w="1560" w:type="dxa"/>
            <w:tcBorders>
              <w:top w:val="nil"/>
              <w:left w:val="nil"/>
              <w:bottom w:val="single" w:sz="4" w:space="0" w:color="auto"/>
              <w:right w:val="single" w:sz="4" w:space="0" w:color="auto"/>
            </w:tcBorders>
            <w:shd w:val="clear" w:color="auto" w:fill="auto"/>
            <w:vAlign w:val="center"/>
            <w:hideMark/>
          </w:tcPr>
          <w:p w14:paraId="76C2CE3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0.0025</w:t>
            </w:r>
          </w:p>
        </w:tc>
        <w:tc>
          <w:tcPr>
            <w:tcW w:w="1984" w:type="dxa"/>
            <w:tcBorders>
              <w:top w:val="nil"/>
              <w:left w:val="nil"/>
              <w:bottom w:val="single" w:sz="4" w:space="0" w:color="auto"/>
              <w:right w:val="single" w:sz="4" w:space="0" w:color="auto"/>
            </w:tcBorders>
            <w:shd w:val="clear" w:color="auto" w:fill="auto"/>
            <w:vAlign w:val="center"/>
            <w:hideMark/>
          </w:tcPr>
          <w:p w14:paraId="2A6D7962"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sdt>
          <w:sdtPr>
            <w:rPr>
              <w:rFonts w:ascii="Arial" w:hAnsi="Arial" w:cs="Arial"/>
              <w:color w:val="000000"/>
              <w:sz w:val="20"/>
            </w:rPr>
            <w:tag w:val="MENDELEY_CITATION_v3_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"/>
            <w:id w:val="-1988704279"/>
            <w:placeholder>
              <w:docPart w:val="935CADE145A7FE4FB2A3D08652FEB404"/>
            </w:placeholder>
          </w:sdtPr>
          <w:sdtEndPr/>
          <w:sdtContent>
            <w:tc>
              <w:tcPr>
                <w:tcW w:w="2369" w:type="dxa"/>
                <w:tcBorders>
                  <w:top w:val="nil"/>
                  <w:left w:val="nil"/>
                  <w:bottom w:val="single" w:sz="4" w:space="0" w:color="auto"/>
                  <w:right w:val="single" w:sz="4" w:space="0" w:color="auto"/>
                </w:tcBorders>
                <w:shd w:val="clear" w:color="auto" w:fill="auto"/>
                <w:vAlign w:val="center"/>
                <w:hideMark/>
              </w:tcPr>
              <w:p w14:paraId="44D66C02" w14:textId="2733FAB5" w:rsidR="00373EB2" w:rsidRPr="000708BC" w:rsidRDefault="002422C9" w:rsidP="008661AA">
                <w:pPr>
                  <w:jc w:val="center"/>
                  <w:rPr>
                    <w:rFonts w:ascii="Arial" w:hAnsi="Arial" w:cs="Arial"/>
                    <w:color w:val="000000"/>
                    <w:sz w:val="20"/>
                  </w:rPr>
                </w:pPr>
                <w:r w:rsidRPr="000708BC">
                  <w:rPr>
                    <w:rFonts w:ascii="Arial" w:hAnsi="Arial" w:cs="Arial"/>
                    <w:color w:val="000000"/>
                    <w:sz w:val="20"/>
                  </w:rPr>
                  <w:t>(Delpierre et al., 2021)</w:t>
                </w:r>
              </w:p>
            </w:tc>
          </w:sdtContent>
        </w:sdt>
      </w:tr>
      <w:tr w:rsidR="006574A0" w:rsidRPr="000708BC" w14:paraId="679E17F5" w14:textId="77777777" w:rsidTr="008661AA">
        <w:trPr>
          <w:trHeight w:val="560"/>
          <w:jc w:val="center"/>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513C7F7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Stack and BOP component transportation from Factory to port in China</w:t>
            </w:r>
          </w:p>
        </w:tc>
        <w:tc>
          <w:tcPr>
            <w:tcW w:w="1275" w:type="dxa"/>
            <w:tcBorders>
              <w:top w:val="single" w:sz="4" w:space="0" w:color="auto"/>
              <w:left w:val="nil"/>
              <w:bottom w:val="single" w:sz="4" w:space="0" w:color="auto"/>
              <w:right w:val="single" w:sz="4" w:space="0" w:color="auto"/>
            </w:tcBorders>
            <w:shd w:val="clear" w:color="auto" w:fill="auto"/>
            <w:vAlign w:val="center"/>
          </w:tcPr>
          <w:p w14:paraId="18F3EA0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tkm</w:t>
            </w:r>
          </w:p>
        </w:tc>
        <w:tc>
          <w:tcPr>
            <w:tcW w:w="1560" w:type="dxa"/>
            <w:tcBorders>
              <w:top w:val="single" w:sz="4" w:space="0" w:color="auto"/>
              <w:left w:val="nil"/>
              <w:bottom w:val="single" w:sz="4" w:space="0" w:color="auto"/>
              <w:right w:val="single" w:sz="4" w:space="0" w:color="auto"/>
            </w:tcBorders>
            <w:shd w:val="clear" w:color="auto" w:fill="auto"/>
            <w:vAlign w:val="center"/>
          </w:tcPr>
          <w:p w14:paraId="6064EB0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1,873,497</w:t>
            </w:r>
          </w:p>
        </w:tc>
        <w:tc>
          <w:tcPr>
            <w:tcW w:w="1984" w:type="dxa"/>
            <w:tcBorders>
              <w:top w:val="single" w:sz="4" w:space="0" w:color="auto"/>
              <w:left w:val="nil"/>
              <w:bottom w:val="single" w:sz="4" w:space="0" w:color="auto"/>
              <w:right w:val="single" w:sz="4" w:space="0" w:color="auto"/>
            </w:tcBorders>
            <w:shd w:val="clear" w:color="auto" w:fill="auto"/>
            <w:vAlign w:val="center"/>
          </w:tcPr>
          <w:p w14:paraId="1A9A1E8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969,050</w:t>
            </w:r>
          </w:p>
        </w:tc>
        <w:tc>
          <w:tcPr>
            <w:tcW w:w="2369" w:type="dxa"/>
            <w:tcBorders>
              <w:top w:val="single" w:sz="4" w:space="0" w:color="auto"/>
              <w:left w:val="nil"/>
              <w:bottom w:val="single" w:sz="4" w:space="0" w:color="auto"/>
              <w:right w:val="single" w:sz="4" w:space="0" w:color="auto"/>
            </w:tcBorders>
            <w:shd w:val="clear" w:color="auto" w:fill="auto"/>
            <w:vAlign w:val="center"/>
          </w:tcPr>
          <w:p w14:paraId="2591DB7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tr>
      <w:tr w:rsidR="006574A0" w:rsidRPr="000708BC" w14:paraId="43AD792A" w14:textId="77777777" w:rsidTr="008661AA">
        <w:trPr>
          <w:trHeight w:val="560"/>
          <w:jc w:val="center"/>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370A1222"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Stack and BOP component transportation from Port in China to port in Chile</w:t>
            </w:r>
          </w:p>
        </w:tc>
        <w:tc>
          <w:tcPr>
            <w:tcW w:w="1275" w:type="dxa"/>
            <w:tcBorders>
              <w:top w:val="single" w:sz="4" w:space="0" w:color="auto"/>
              <w:left w:val="nil"/>
              <w:bottom w:val="single" w:sz="4" w:space="0" w:color="auto"/>
              <w:right w:val="single" w:sz="4" w:space="0" w:color="auto"/>
            </w:tcBorders>
            <w:shd w:val="clear" w:color="auto" w:fill="auto"/>
            <w:vAlign w:val="center"/>
          </w:tcPr>
          <w:p w14:paraId="18666D0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tkm</w:t>
            </w:r>
          </w:p>
        </w:tc>
        <w:tc>
          <w:tcPr>
            <w:tcW w:w="1560" w:type="dxa"/>
            <w:tcBorders>
              <w:top w:val="single" w:sz="4" w:space="0" w:color="auto"/>
              <w:left w:val="nil"/>
              <w:bottom w:val="single" w:sz="4" w:space="0" w:color="auto"/>
              <w:right w:val="single" w:sz="4" w:space="0" w:color="auto"/>
            </w:tcBorders>
            <w:shd w:val="clear" w:color="auto" w:fill="auto"/>
            <w:vAlign w:val="center"/>
          </w:tcPr>
          <w:p w14:paraId="2C728F9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9,667</w:t>
            </w:r>
          </w:p>
        </w:tc>
        <w:tc>
          <w:tcPr>
            <w:tcW w:w="1984" w:type="dxa"/>
            <w:tcBorders>
              <w:top w:val="single" w:sz="4" w:space="0" w:color="auto"/>
              <w:left w:val="nil"/>
              <w:bottom w:val="single" w:sz="4" w:space="0" w:color="auto"/>
              <w:right w:val="single" w:sz="4" w:space="0" w:color="auto"/>
            </w:tcBorders>
            <w:shd w:val="clear" w:color="auto" w:fill="auto"/>
            <w:vAlign w:val="center"/>
          </w:tcPr>
          <w:p w14:paraId="41FBAE6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5,000</w:t>
            </w:r>
          </w:p>
        </w:tc>
        <w:tc>
          <w:tcPr>
            <w:tcW w:w="2369" w:type="dxa"/>
            <w:tcBorders>
              <w:top w:val="single" w:sz="4" w:space="0" w:color="auto"/>
              <w:left w:val="nil"/>
              <w:bottom w:val="single" w:sz="4" w:space="0" w:color="auto"/>
              <w:right w:val="single" w:sz="4" w:space="0" w:color="auto"/>
            </w:tcBorders>
            <w:shd w:val="clear" w:color="auto" w:fill="auto"/>
            <w:vAlign w:val="center"/>
          </w:tcPr>
          <w:p w14:paraId="6F5FA79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tr>
      <w:tr w:rsidR="006574A0" w:rsidRPr="000708BC" w14:paraId="4488C59A" w14:textId="77777777" w:rsidTr="008661AA">
        <w:trPr>
          <w:trHeight w:val="560"/>
          <w:jc w:val="center"/>
        </w:trPr>
        <w:tc>
          <w:tcPr>
            <w:tcW w:w="1668" w:type="dxa"/>
            <w:tcBorders>
              <w:top w:val="single" w:sz="4" w:space="0" w:color="auto"/>
              <w:left w:val="single" w:sz="4" w:space="0" w:color="auto"/>
              <w:bottom w:val="single" w:sz="4" w:space="0" w:color="auto"/>
              <w:right w:val="single" w:sz="4" w:space="0" w:color="auto"/>
            </w:tcBorders>
            <w:shd w:val="clear" w:color="auto" w:fill="auto"/>
            <w:vAlign w:val="center"/>
          </w:tcPr>
          <w:p w14:paraId="710E1F5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Stack and BOP component transportation from port in Chile to Plant location</w:t>
            </w:r>
          </w:p>
        </w:tc>
        <w:tc>
          <w:tcPr>
            <w:tcW w:w="1275" w:type="dxa"/>
            <w:tcBorders>
              <w:top w:val="single" w:sz="4" w:space="0" w:color="auto"/>
              <w:left w:val="nil"/>
              <w:bottom w:val="single" w:sz="4" w:space="0" w:color="auto"/>
              <w:right w:val="single" w:sz="4" w:space="0" w:color="auto"/>
            </w:tcBorders>
            <w:shd w:val="clear" w:color="auto" w:fill="auto"/>
            <w:vAlign w:val="center"/>
          </w:tcPr>
          <w:p w14:paraId="45D539B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tkm</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1373D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9,667</w:t>
            </w:r>
          </w:p>
        </w:tc>
        <w:tc>
          <w:tcPr>
            <w:tcW w:w="1984" w:type="dxa"/>
            <w:tcBorders>
              <w:top w:val="single" w:sz="4" w:space="0" w:color="auto"/>
              <w:left w:val="nil"/>
              <w:bottom w:val="single" w:sz="4" w:space="0" w:color="auto"/>
              <w:right w:val="single" w:sz="4" w:space="0" w:color="auto"/>
            </w:tcBorders>
            <w:shd w:val="clear" w:color="auto" w:fill="auto"/>
            <w:vAlign w:val="center"/>
          </w:tcPr>
          <w:p w14:paraId="2550344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5,000</w:t>
            </w:r>
          </w:p>
        </w:tc>
        <w:tc>
          <w:tcPr>
            <w:tcW w:w="2369" w:type="dxa"/>
            <w:tcBorders>
              <w:top w:val="single" w:sz="4" w:space="0" w:color="auto"/>
              <w:left w:val="nil"/>
              <w:bottom w:val="single" w:sz="4" w:space="0" w:color="auto"/>
              <w:right w:val="single" w:sz="4" w:space="0" w:color="auto"/>
            </w:tcBorders>
            <w:shd w:val="clear" w:color="auto" w:fill="auto"/>
            <w:vAlign w:val="center"/>
          </w:tcPr>
          <w:p w14:paraId="10F28FF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w:t>
            </w:r>
          </w:p>
        </w:tc>
      </w:tr>
    </w:tbl>
    <w:p w14:paraId="5071957A" w14:textId="77777777" w:rsidR="00373EB2" w:rsidRPr="000708BC" w:rsidRDefault="00373EB2" w:rsidP="00B60924">
      <w:pPr>
        <w:pStyle w:val="JIEreferencelist"/>
        <w:ind w:left="0" w:firstLine="0"/>
        <w:jc w:val="both"/>
        <w:rPr>
          <w:rFonts w:ascii="Arial" w:hAnsi="Arial" w:cs="Arial"/>
          <w:iCs/>
          <w:sz w:val="22"/>
          <w:szCs w:val="22"/>
        </w:rPr>
      </w:pPr>
    </w:p>
    <w:p w14:paraId="66A0ED43" w14:textId="3929DE66" w:rsidR="00B60924" w:rsidRPr="000708BC" w:rsidRDefault="00B60924" w:rsidP="00B60924">
      <w:pPr>
        <w:pStyle w:val="JIEreferencelist"/>
        <w:ind w:left="0" w:firstLine="0"/>
        <w:jc w:val="both"/>
        <w:rPr>
          <w:rFonts w:ascii="Arial" w:hAnsi="Arial" w:cs="Arial"/>
          <w:iCs/>
          <w:sz w:val="22"/>
          <w:szCs w:val="22"/>
        </w:rPr>
      </w:pPr>
      <w:r w:rsidRPr="000708BC">
        <w:rPr>
          <w:rFonts w:ascii="Arial" w:hAnsi="Arial" w:cs="Arial"/>
          <w:iCs/>
          <w:sz w:val="22"/>
          <w:szCs w:val="22"/>
        </w:rPr>
        <w:t>The Life Cycle Inventory of stack components was scaled to match the plant’s projected capacity, while the Balance of Plant (BOP) materials were adjusted proportionately. Stack and BOP components were replaced based on their respective lifespan. Data for the LCI of AEL systems were sourced from</w:t>
      </w:r>
      <w:r w:rsidR="002E0FA9"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"/>
          <w:id w:val="-2113188918"/>
          <w:placeholder>
            <w:docPart w:val="DefaultPlaceholder_-1854013440"/>
          </w:placeholder>
        </w:sdtPr>
        <w:sdtEndPr/>
        <w:sdtContent>
          <w:r w:rsidR="002422C9" w:rsidRPr="000708BC">
            <w:rPr>
              <w:rFonts w:ascii="Arial" w:eastAsia="Times New Roman" w:hAnsi="Arial" w:cs="Arial"/>
              <w:color w:val="000000"/>
              <w:sz w:val="22"/>
            </w:rPr>
            <w:t>(</w:t>
          </w:r>
          <w:proofErr w:type="spellStart"/>
          <w:r w:rsidR="002422C9" w:rsidRPr="000708BC">
            <w:rPr>
              <w:rFonts w:ascii="Arial" w:eastAsia="Times New Roman" w:hAnsi="Arial" w:cs="Arial"/>
              <w:color w:val="000000"/>
              <w:sz w:val="22"/>
            </w:rPr>
            <w:t>Koj</w:t>
          </w:r>
          <w:proofErr w:type="spellEnd"/>
          <w:r w:rsidR="002422C9" w:rsidRPr="000708BC">
            <w:rPr>
              <w:rFonts w:ascii="Arial" w:eastAsia="Times New Roman" w:hAnsi="Arial" w:cs="Arial"/>
              <w:color w:val="000000"/>
              <w:sz w:val="22"/>
            </w:rPr>
            <w:t xml:space="preserve"> et al., 2017; Krishnan, Corona, Kramer, </w:t>
          </w:r>
          <w:proofErr w:type="spellStart"/>
          <w:r w:rsidR="002422C9" w:rsidRPr="000708BC">
            <w:rPr>
              <w:rFonts w:ascii="Arial" w:eastAsia="Times New Roman" w:hAnsi="Arial" w:cs="Arial"/>
              <w:color w:val="000000"/>
              <w:sz w:val="22"/>
            </w:rPr>
            <w:lastRenderedPageBreak/>
            <w:t>Junginger</w:t>
          </w:r>
          <w:proofErr w:type="spellEnd"/>
          <w:r w:rsidR="002422C9" w:rsidRPr="000708BC">
            <w:rPr>
              <w:rFonts w:ascii="Arial" w:eastAsia="Times New Roman" w:hAnsi="Arial" w:cs="Arial"/>
              <w:color w:val="000000"/>
              <w:sz w:val="22"/>
            </w:rPr>
            <w:t>, &amp; Koning, 2024)</w:t>
          </w:r>
        </w:sdtContent>
      </w:sdt>
      <w:r w:rsidRPr="000708BC">
        <w:rPr>
          <w:rFonts w:ascii="Arial" w:hAnsi="Arial" w:cs="Arial"/>
          <w:iCs/>
          <w:sz w:val="22"/>
          <w:szCs w:val="22"/>
        </w:rPr>
        <w:t>. For PEMEL systems, data were drawn from</w:t>
      </w:r>
      <w:r w:rsidR="006E36CA"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"/>
          <w:id w:val="-231854301"/>
          <w:placeholder>
            <w:docPart w:val="DefaultPlaceholder_-1854013440"/>
          </w:placeholder>
        </w:sdtPr>
        <w:sdtEndPr/>
        <w:sdtContent>
          <w:proofErr w:type="spellStart"/>
          <w:r w:rsidR="002422C9" w:rsidRPr="000708BC">
            <w:rPr>
              <w:rFonts w:ascii="Arial" w:eastAsia="Times New Roman" w:hAnsi="Arial" w:cs="Arial"/>
              <w:color w:val="000000"/>
              <w:sz w:val="22"/>
            </w:rPr>
            <w:t>Bareiß</w:t>
          </w:r>
          <w:proofErr w:type="spellEnd"/>
          <w:r w:rsidR="002422C9" w:rsidRPr="000708BC">
            <w:rPr>
              <w:rFonts w:ascii="Arial" w:eastAsia="Times New Roman" w:hAnsi="Arial" w:cs="Arial"/>
              <w:color w:val="000000"/>
              <w:sz w:val="22"/>
            </w:rPr>
            <w:t xml:space="preserve">, de la </w:t>
          </w:r>
          <w:proofErr w:type="spellStart"/>
          <w:r w:rsidR="002422C9" w:rsidRPr="000708BC">
            <w:rPr>
              <w:rFonts w:ascii="Arial" w:eastAsia="Times New Roman" w:hAnsi="Arial" w:cs="Arial"/>
              <w:color w:val="000000"/>
              <w:sz w:val="22"/>
            </w:rPr>
            <w:t>Rua</w:t>
          </w:r>
          <w:proofErr w:type="spellEnd"/>
          <w:r w:rsidR="002422C9" w:rsidRPr="000708BC">
            <w:rPr>
              <w:rFonts w:ascii="Arial" w:eastAsia="Times New Roman" w:hAnsi="Arial" w:cs="Arial"/>
              <w:color w:val="000000"/>
              <w:sz w:val="22"/>
            </w:rPr>
            <w:t xml:space="preserve">, </w:t>
          </w:r>
          <w:proofErr w:type="spellStart"/>
          <w:r w:rsidR="002422C9" w:rsidRPr="000708BC">
            <w:rPr>
              <w:rFonts w:ascii="Arial" w:eastAsia="Times New Roman" w:hAnsi="Arial" w:cs="Arial"/>
              <w:color w:val="000000"/>
              <w:sz w:val="22"/>
            </w:rPr>
            <w:t>Möckl</w:t>
          </w:r>
          <w:proofErr w:type="spellEnd"/>
          <w:r w:rsidR="002422C9" w:rsidRPr="000708BC">
            <w:rPr>
              <w:rFonts w:ascii="Arial" w:eastAsia="Times New Roman" w:hAnsi="Arial" w:cs="Arial"/>
              <w:color w:val="000000"/>
              <w:sz w:val="22"/>
            </w:rPr>
            <w:t xml:space="preserve">, and </w:t>
          </w:r>
          <w:proofErr w:type="spellStart"/>
          <w:r w:rsidR="002422C9" w:rsidRPr="000708BC">
            <w:rPr>
              <w:rFonts w:ascii="Arial" w:eastAsia="Times New Roman" w:hAnsi="Arial" w:cs="Arial"/>
              <w:color w:val="000000"/>
              <w:sz w:val="22"/>
            </w:rPr>
            <w:t>Hamacher</w:t>
          </w:r>
          <w:proofErr w:type="spellEnd"/>
          <w:r w:rsidR="002422C9" w:rsidRPr="000708BC">
            <w:rPr>
              <w:rFonts w:ascii="Arial" w:eastAsia="Times New Roman" w:hAnsi="Arial" w:cs="Arial"/>
              <w:color w:val="000000"/>
              <w:sz w:val="22"/>
            </w:rPr>
            <w:t xml:space="preserve"> (2019), </w:t>
          </w:r>
          <w:proofErr w:type="spellStart"/>
          <w:r w:rsidR="002422C9" w:rsidRPr="000708BC">
            <w:rPr>
              <w:rFonts w:ascii="Arial" w:eastAsia="Times New Roman" w:hAnsi="Arial" w:cs="Arial"/>
              <w:color w:val="000000"/>
              <w:sz w:val="22"/>
            </w:rPr>
            <w:t>Delpierre</w:t>
          </w:r>
          <w:proofErr w:type="spellEnd"/>
          <w:r w:rsidR="002422C9" w:rsidRPr="000708BC">
            <w:rPr>
              <w:rFonts w:ascii="Arial" w:eastAsia="Times New Roman" w:hAnsi="Arial" w:cs="Arial"/>
              <w:color w:val="000000"/>
              <w:sz w:val="22"/>
            </w:rPr>
            <w:t xml:space="preserve">, Quist, Mertens, </w:t>
          </w:r>
          <w:proofErr w:type="spellStart"/>
          <w:r w:rsidR="002422C9" w:rsidRPr="000708BC">
            <w:rPr>
              <w:rFonts w:ascii="Arial" w:eastAsia="Times New Roman" w:hAnsi="Arial" w:cs="Arial"/>
              <w:color w:val="000000"/>
              <w:sz w:val="22"/>
            </w:rPr>
            <w:t>Prieur-Vernat</w:t>
          </w:r>
          <w:proofErr w:type="spellEnd"/>
          <w:r w:rsidR="002422C9" w:rsidRPr="000708BC">
            <w:rPr>
              <w:rFonts w:ascii="Arial" w:eastAsia="Times New Roman" w:hAnsi="Arial" w:cs="Arial"/>
              <w:color w:val="000000"/>
              <w:sz w:val="22"/>
            </w:rPr>
            <w:t xml:space="preserve">, and </w:t>
          </w:r>
          <w:proofErr w:type="spellStart"/>
          <w:r w:rsidR="002422C9" w:rsidRPr="000708BC">
            <w:rPr>
              <w:rFonts w:ascii="Arial" w:eastAsia="Times New Roman" w:hAnsi="Arial" w:cs="Arial"/>
              <w:color w:val="000000"/>
              <w:sz w:val="22"/>
            </w:rPr>
            <w:t>Cucurachi</w:t>
          </w:r>
          <w:proofErr w:type="spellEnd"/>
          <w:r w:rsidR="002422C9" w:rsidRPr="000708BC">
            <w:rPr>
              <w:rFonts w:ascii="Arial" w:eastAsia="Times New Roman" w:hAnsi="Arial" w:cs="Arial"/>
              <w:color w:val="000000"/>
              <w:sz w:val="22"/>
            </w:rPr>
            <w:t xml:space="preserve"> (2021) and Krishnan et al. (2024)</w:t>
          </w:r>
        </w:sdtContent>
      </w:sdt>
      <w:r w:rsidRPr="000708BC">
        <w:rPr>
          <w:rFonts w:ascii="Arial" w:hAnsi="Arial" w:cs="Arial"/>
          <w:iCs/>
          <w:sz w:val="22"/>
          <w:szCs w:val="22"/>
        </w:rPr>
        <w:t xml:space="preserve"> (Tables S1-</w:t>
      </w:r>
      <w:r w:rsidR="00A205DA" w:rsidRPr="000708BC">
        <w:rPr>
          <w:rFonts w:ascii="Arial" w:hAnsi="Arial" w:cs="Arial"/>
          <w:iCs/>
          <w:sz w:val="22"/>
          <w:szCs w:val="22"/>
        </w:rPr>
        <w:t>5</w:t>
      </w:r>
      <w:r w:rsidRPr="000708BC">
        <w:rPr>
          <w:rFonts w:ascii="Arial" w:hAnsi="Arial" w:cs="Arial"/>
          <w:iCs/>
          <w:sz w:val="22"/>
          <w:szCs w:val="22"/>
        </w:rPr>
        <w:t xml:space="preserve"> and S1-</w:t>
      </w:r>
      <w:r w:rsidR="00A205DA" w:rsidRPr="000708BC">
        <w:rPr>
          <w:rFonts w:ascii="Arial" w:hAnsi="Arial" w:cs="Arial"/>
          <w:iCs/>
          <w:sz w:val="22"/>
          <w:szCs w:val="22"/>
        </w:rPr>
        <w:t>6</w:t>
      </w:r>
      <w:r w:rsidRPr="000708BC">
        <w:rPr>
          <w:rFonts w:ascii="Arial" w:hAnsi="Arial" w:cs="Arial"/>
          <w:iCs/>
          <w:sz w:val="22"/>
          <w:szCs w:val="22"/>
        </w:rPr>
        <w:t>).</w:t>
      </w:r>
    </w:p>
    <w:p w14:paraId="22015DCB" w14:textId="77777777" w:rsidR="00373EB2" w:rsidRPr="000708BC" w:rsidRDefault="00373EB2" w:rsidP="00B60924">
      <w:pPr>
        <w:pStyle w:val="JIEreferencelist"/>
        <w:ind w:left="0" w:firstLine="0"/>
        <w:jc w:val="both"/>
        <w:rPr>
          <w:rFonts w:ascii="Arial" w:hAnsi="Arial" w:cs="Arial"/>
          <w:iCs/>
          <w:sz w:val="22"/>
          <w:szCs w:val="22"/>
        </w:rPr>
      </w:pPr>
    </w:p>
    <w:p w14:paraId="5A299615" w14:textId="77777777" w:rsidR="00373EB2" w:rsidRPr="000708BC" w:rsidRDefault="00373EB2" w:rsidP="00373EB2">
      <w:pPr>
        <w:pStyle w:val="JIEreferencelist"/>
        <w:ind w:left="0" w:firstLine="0"/>
        <w:rPr>
          <w:rFonts w:ascii="Arial" w:hAnsi="Arial" w:cs="Arial"/>
          <w:i/>
          <w:sz w:val="20"/>
        </w:rPr>
      </w:pPr>
      <w:r w:rsidRPr="000708BC">
        <w:rPr>
          <w:rFonts w:ascii="Arial" w:hAnsi="Arial" w:cs="Arial"/>
          <w:i/>
          <w:sz w:val="20"/>
        </w:rPr>
        <w:t>Table S1-5 Construction materials AEL hydrogen plant.</w:t>
      </w:r>
    </w:p>
    <w:tbl>
      <w:tblPr>
        <w:tblW w:w="5000" w:type="pct"/>
        <w:jc w:val="center"/>
        <w:tblLook w:val="04A0" w:firstRow="1" w:lastRow="0" w:firstColumn="1" w:lastColumn="0" w:noHBand="0" w:noVBand="1"/>
      </w:tblPr>
      <w:tblGrid>
        <w:gridCol w:w="1583"/>
        <w:gridCol w:w="2410"/>
        <w:gridCol w:w="1559"/>
        <w:gridCol w:w="1418"/>
        <w:gridCol w:w="1660"/>
      </w:tblGrid>
      <w:tr w:rsidR="00373EB2" w:rsidRPr="000708BC" w14:paraId="1CFDAAF2" w14:textId="77777777" w:rsidTr="008661AA">
        <w:trPr>
          <w:trHeight w:val="280"/>
          <w:tblHeader/>
          <w:jc w:val="center"/>
        </w:trPr>
        <w:tc>
          <w:tcPr>
            <w:tcW w:w="18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86F899C"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Structure</w:t>
            </w:r>
          </w:p>
        </w:tc>
        <w:tc>
          <w:tcPr>
            <w:tcW w:w="2410" w:type="dxa"/>
            <w:tcBorders>
              <w:top w:val="single" w:sz="4" w:space="0" w:color="auto"/>
              <w:left w:val="nil"/>
              <w:bottom w:val="single" w:sz="4" w:space="0" w:color="auto"/>
              <w:right w:val="single" w:sz="4" w:space="0" w:color="auto"/>
            </w:tcBorders>
            <w:shd w:val="clear" w:color="000000" w:fill="D9D9D9"/>
            <w:noWrap/>
            <w:vAlign w:val="center"/>
            <w:hideMark/>
          </w:tcPr>
          <w:p w14:paraId="39FEE151"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Material</w:t>
            </w:r>
          </w:p>
        </w:tc>
        <w:tc>
          <w:tcPr>
            <w:tcW w:w="1559" w:type="dxa"/>
            <w:tcBorders>
              <w:top w:val="single" w:sz="4" w:space="0" w:color="auto"/>
              <w:left w:val="nil"/>
              <w:bottom w:val="single" w:sz="4" w:space="0" w:color="auto"/>
              <w:right w:val="single" w:sz="4" w:space="0" w:color="auto"/>
            </w:tcBorders>
            <w:shd w:val="clear" w:color="000000" w:fill="D9D9D9"/>
            <w:noWrap/>
            <w:vAlign w:val="center"/>
            <w:hideMark/>
          </w:tcPr>
          <w:p w14:paraId="0216AA62"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Unit</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3A932FCB"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Value</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3B9D4F72"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Reference</w:t>
            </w:r>
          </w:p>
        </w:tc>
      </w:tr>
      <w:tr w:rsidR="00373EB2" w:rsidRPr="000708BC" w14:paraId="7198C282"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4A93DA4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Balance of Plant (1MWp)</w:t>
            </w:r>
          </w:p>
        </w:tc>
        <w:tc>
          <w:tcPr>
            <w:tcW w:w="2410" w:type="dxa"/>
            <w:tcBorders>
              <w:top w:val="nil"/>
              <w:left w:val="nil"/>
              <w:bottom w:val="single" w:sz="4" w:space="0" w:color="auto"/>
              <w:right w:val="single" w:sz="4" w:space="0" w:color="auto"/>
            </w:tcBorders>
            <w:shd w:val="clear" w:color="auto" w:fill="auto"/>
            <w:noWrap/>
            <w:vAlign w:val="center"/>
            <w:hideMark/>
          </w:tcPr>
          <w:p w14:paraId="2529EA3A"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Low alloyes steel</w:t>
            </w:r>
          </w:p>
        </w:tc>
        <w:tc>
          <w:tcPr>
            <w:tcW w:w="1559" w:type="dxa"/>
            <w:tcBorders>
              <w:top w:val="nil"/>
              <w:left w:val="nil"/>
              <w:bottom w:val="single" w:sz="4" w:space="0" w:color="auto"/>
              <w:right w:val="single" w:sz="4" w:space="0" w:color="auto"/>
            </w:tcBorders>
            <w:shd w:val="clear" w:color="auto" w:fill="auto"/>
            <w:noWrap/>
            <w:vAlign w:val="center"/>
            <w:hideMark/>
          </w:tcPr>
          <w:p w14:paraId="540B866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592F839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4.8</w:t>
            </w:r>
          </w:p>
        </w:tc>
        <w:sdt>
          <w:sdtPr>
            <w:rPr>
              <w:rFonts w:ascii="Arial" w:hAnsi="Arial" w:cs="Arial"/>
              <w:color w:val="000000"/>
              <w:sz w:val="20"/>
            </w:rPr>
            <w:tag w:val="MENDELEY_CITATION_v3_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"/>
            <w:id w:val="379984487"/>
            <w:placeholder>
              <w:docPart w:val="E23D2864DABFB34E8C3F5E77B9CAF000"/>
            </w:placeholder>
          </w:sdtPr>
          <w:sdtEndPr/>
          <w:sdtContent>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D73855" w14:textId="5F5A7D01" w:rsidR="00373EB2" w:rsidRPr="000708BC" w:rsidRDefault="002422C9" w:rsidP="008661AA">
                <w:pPr>
                  <w:jc w:val="center"/>
                  <w:rPr>
                    <w:rFonts w:ascii="Arial" w:hAnsi="Arial" w:cs="Arial"/>
                    <w:color w:val="000000"/>
                    <w:sz w:val="20"/>
                  </w:rPr>
                </w:pPr>
                <w:r w:rsidRPr="000708BC">
                  <w:rPr>
                    <w:rFonts w:ascii="Arial" w:hAnsi="Arial" w:cs="Arial"/>
                    <w:color w:val="000000"/>
                    <w:sz w:val="20"/>
                  </w:rPr>
                  <w:t>(Krishnan et al., 2024)</w:t>
                </w:r>
              </w:p>
            </w:tc>
          </w:sdtContent>
        </w:sdt>
      </w:tr>
      <w:tr w:rsidR="00373EB2" w:rsidRPr="000708BC" w14:paraId="017CFD17"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0C6AE6D2"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C25C7D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High alloyed steel</w:t>
            </w:r>
          </w:p>
        </w:tc>
        <w:tc>
          <w:tcPr>
            <w:tcW w:w="1559" w:type="dxa"/>
            <w:tcBorders>
              <w:top w:val="nil"/>
              <w:left w:val="nil"/>
              <w:bottom w:val="single" w:sz="4" w:space="0" w:color="auto"/>
              <w:right w:val="single" w:sz="4" w:space="0" w:color="auto"/>
            </w:tcBorders>
            <w:shd w:val="clear" w:color="auto" w:fill="auto"/>
            <w:noWrap/>
            <w:vAlign w:val="center"/>
            <w:hideMark/>
          </w:tcPr>
          <w:p w14:paraId="5070CD9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128ADF3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1.9</w:t>
            </w:r>
          </w:p>
        </w:tc>
        <w:tc>
          <w:tcPr>
            <w:tcW w:w="1660" w:type="dxa"/>
            <w:vMerge/>
            <w:tcBorders>
              <w:top w:val="nil"/>
              <w:left w:val="single" w:sz="4" w:space="0" w:color="auto"/>
              <w:bottom w:val="single" w:sz="4" w:space="0" w:color="auto"/>
              <w:right w:val="single" w:sz="4" w:space="0" w:color="auto"/>
            </w:tcBorders>
            <w:vAlign w:val="center"/>
            <w:hideMark/>
          </w:tcPr>
          <w:p w14:paraId="74A1E28C" w14:textId="77777777" w:rsidR="00373EB2" w:rsidRPr="000708BC" w:rsidRDefault="00373EB2" w:rsidP="008661AA">
            <w:pPr>
              <w:rPr>
                <w:rFonts w:ascii="Arial" w:hAnsi="Arial" w:cs="Arial"/>
                <w:color w:val="000000"/>
                <w:sz w:val="20"/>
              </w:rPr>
            </w:pPr>
          </w:p>
        </w:tc>
      </w:tr>
      <w:tr w:rsidR="00373EB2" w:rsidRPr="000708BC" w14:paraId="4C2F4AEA"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330601F2"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885694D"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Aluminum</w:t>
            </w:r>
          </w:p>
        </w:tc>
        <w:tc>
          <w:tcPr>
            <w:tcW w:w="1559" w:type="dxa"/>
            <w:tcBorders>
              <w:top w:val="nil"/>
              <w:left w:val="nil"/>
              <w:bottom w:val="single" w:sz="4" w:space="0" w:color="auto"/>
              <w:right w:val="single" w:sz="4" w:space="0" w:color="auto"/>
            </w:tcBorders>
            <w:shd w:val="clear" w:color="auto" w:fill="auto"/>
            <w:noWrap/>
            <w:vAlign w:val="center"/>
            <w:hideMark/>
          </w:tcPr>
          <w:p w14:paraId="0125596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10E4470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0.1</w:t>
            </w:r>
          </w:p>
        </w:tc>
        <w:tc>
          <w:tcPr>
            <w:tcW w:w="1660" w:type="dxa"/>
            <w:vMerge/>
            <w:tcBorders>
              <w:top w:val="nil"/>
              <w:left w:val="single" w:sz="4" w:space="0" w:color="auto"/>
              <w:bottom w:val="single" w:sz="4" w:space="0" w:color="auto"/>
              <w:right w:val="single" w:sz="4" w:space="0" w:color="auto"/>
            </w:tcBorders>
            <w:vAlign w:val="center"/>
            <w:hideMark/>
          </w:tcPr>
          <w:p w14:paraId="2085E858" w14:textId="77777777" w:rsidR="00373EB2" w:rsidRPr="000708BC" w:rsidRDefault="00373EB2" w:rsidP="008661AA">
            <w:pPr>
              <w:rPr>
                <w:rFonts w:ascii="Arial" w:hAnsi="Arial" w:cs="Arial"/>
                <w:color w:val="000000"/>
                <w:sz w:val="20"/>
              </w:rPr>
            </w:pPr>
          </w:p>
        </w:tc>
      </w:tr>
      <w:tr w:rsidR="00373EB2" w:rsidRPr="000708BC" w14:paraId="48002740"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4D59CFC5"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9848D77"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Copper</w:t>
            </w:r>
          </w:p>
        </w:tc>
        <w:tc>
          <w:tcPr>
            <w:tcW w:w="1559" w:type="dxa"/>
            <w:tcBorders>
              <w:top w:val="nil"/>
              <w:left w:val="nil"/>
              <w:bottom w:val="single" w:sz="4" w:space="0" w:color="auto"/>
              <w:right w:val="single" w:sz="4" w:space="0" w:color="auto"/>
            </w:tcBorders>
            <w:shd w:val="clear" w:color="auto" w:fill="auto"/>
            <w:noWrap/>
            <w:vAlign w:val="center"/>
            <w:hideMark/>
          </w:tcPr>
          <w:p w14:paraId="3D33B9F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0472FBC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0.1</w:t>
            </w:r>
          </w:p>
        </w:tc>
        <w:tc>
          <w:tcPr>
            <w:tcW w:w="1660" w:type="dxa"/>
            <w:vMerge/>
            <w:tcBorders>
              <w:top w:val="nil"/>
              <w:left w:val="single" w:sz="4" w:space="0" w:color="auto"/>
              <w:bottom w:val="single" w:sz="4" w:space="0" w:color="auto"/>
              <w:right w:val="single" w:sz="4" w:space="0" w:color="auto"/>
            </w:tcBorders>
            <w:vAlign w:val="center"/>
            <w:hideMark/>
          </w:tcPr>
          <w:p w14:paraId="4A30AA40" w14:textId="77777777" w:rsidR="00373EB2" w:rsidRPr="000708BC" w:rsidRDefault="00373EB2" w:rsidP="008661AA">
            <w:pPr>
              <w:rPr>
                <w:rFonts w:ascii="Arial" w:hAnsi="Arial" w:cs="Arial"/>
                <w:color w:val="000000"/>
                <w:sz w:val="20"/>
              </w:rPr>
            </w:pPr>
          </w:p>
        </w:tc>
      </w:tr>
      <w:tr w:rsidR="00373EB2" w:rsidRPr="000708BC" w14:paraId="457F1D16"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48EE9F76"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5684A36"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Plastic</w:t>
            </w:r>
          </w:p>
        </w:tc>
        <w:tc>
          <w:tcPr>
            <w:tcW w:w="1559" w:type="dxa"/>
            <w:tcBorders>
              <w:top w:val="nil"/>
              <w:left w:val="nil"/>
              <w:bottom w:val="single" w:sz="4" w:space="0" w:color="auto"/>
              <w:right w:val="single" w:sz="4" w:space="0" w:color="auto"/>
            </w:tcBorders>
            <w:shd w:val="clear" w:color="auto" w:fill="auto"/>
            <w:noWrap/>
            <w:vAlign w:val="center"/>
            <w:hideMark/>
          </w:tcPr>
          <w:p w14:paraId="0CF3B30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7C27592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0.3</w:t>
            </w:r>
          </w:p>
        </w:tc>
        <w:tc>
          <w:tcPr>
            <w:tcW w:w="1660" w:type="dxa"/>
            <w:vMerge/>
            <w:tcBorders>
              <w:top w:val="nil"/>
              <w:left w:val="single" w:sz="4" w:space="0" w:color="auto"/>
              <w:bottom w:val="single" w:sz="4" w:space="0" w:color="auto"/>
              <w:right w:val="single" w:sz="4" w:space="0" w:color="auto"/>
            </w:tcBorders>
            <w:vAlign w:val="center"/>
            <w:hideMark/>
          </w:tcPr>
          <w:p w14:paraId="0C94DA15" w14:textId="77777777" w:rsidR="00373EB2" w:rsidRPr="000708BC" w:rsidRDefault="00373EB2" w:rsidP="008661AA">
            <w:pPr>
              <w:rPr>
                <w:rFonts w:ascii="Arial" w:hAnsi="Arial" w:cs="Arial"/>
                <w:color w:val="000000"/>
                <w:sz w:val="20"/>
              </w:rPr>
            </w:pPr>
          </w:p>
        </w:tc>
      </w:tr>
      <w:tr w:rsidR="00373EB2" w:rsidRPr="000708BC" w14:paraId="5ABF12D2"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388BBD71"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3EF79D5"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Electronic material</w:t>
            </w:r>
          </w:p>
        </w:tc>
        <w:tc>
          <w:tcPr>
            <w:tcW w:w="1559" w:type="dxa"/>
            <w:tcBorders>
              <w:top w:val="nil"/>
              <w:left w:val="nil"/>
              <w:bottom w:val="single" w:sz="4" w:space="0" w:color="auto"/>
              <w:right w:val="single" w:sz="4" w:space="0" w:color="auto"/>
            </w:tcBorders>
            <w:shd w:val="clear" w:color="auto" w:fill="auto"/>
            <w:noWrap/>
            <w:vAlign w:val="center"/>
            <w:hideMark/>
          </w:tcPr>
          <w:p w14:paraId="7521BBC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2A2E254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1.1</w:t>
            </w:r>
          </w:p>
        </w:tc>
        <w:tc>
          <w:tcPr>
            <w:tcW w:w="1660" w:type="dxa"/>
            <w:vMerge/>
            <w:tcBorders>
              <w:top w:val="nil"/>
              <w:left w:val="single" w:sz="4" w:space="0" w:color="auto"/>
              <w:bottom w:val="single" w:sz="4" w:space="0" w:color="auto"/>
              <w:right w:val="single" w:sz="4" w:space="0" w:color="auto"/>
            </w:tcBorders>
            <w:vAlign w:val="center"/>
            <w:hideMark/>
          </w:tcPr>
          <w:p w14:paraId="4759CA9F" w14:textId="77777777" w:rsidR="00373EB2" w:rsidRPr="000708BC" w:rsidRDefault="00373EB2" w:rsidP="008661AA">
            <w:pPr>
              <w:rPr>
                <w:rFonts w:ascii="Arial" w:hAnsi="Arial" w:cs="Arial"/>
                <w:color w:val="000000"/>
                <w:sz w:val="20"/>
              </w:rPr>
            </w:pPr>
          </w:p>
        </w:tc>
      </w:tr>
      <w:tr w:rsidR="00373EB2" w:rsidRPr="000708BC" w14:paraId="44A70BEE"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F41F30E"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50164816"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Process material</w:t>
            </w:r>
          </w:p>
        </w:tc>
        <w:tc>
          <w:tcPr>
            <w:tcW w:w="1559" w:type="dxa"/>
            <w:tcBorders>
              <w:top w:val="nil"/>
              <w:left w:val="nil"/>
              <w:bottom w:val="single" w:sz="4" w:space="0" w:color="auto"/>
              <w:right w:val="single" w:sz="4" w:space="0" w:color="auto"/>
            </w:tcBorders>
            <w:shd w:val="clear" w:color="auto" w:fill="auto"/>
            <w:noWrap/>
            <w:vAlign w:val="center"/>
            <w:hideMark/>
          </w:tcPr>
          <w:p w14:paraId="01D8525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62DB2E4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0.2</w:t>
            </w:r>
          </w:p>
        </w:tc>
        <w:tc>
          <w:tcPr>
            <w:tcW w:w="1660" w:type="dxa"/>
            <w:vMerge/>
            <w:tcBorders>
              <w:top w:val="nil"/>
              <w:left w:val="single" w:sz="4" w:space="0" w:color="auto"/>
              <w:bottom w:val="single" w:sz="4" w:space="0" w:color="auto"/>
              <w:right w:val="single" w:sz="4" w:space="0" w:color="auto"/>
            </w:tcBorders>
            <w:vAlign w:val="center"/>
            <w:hideMark/>
          </w:tcPr>
          <w:p w14:paraId="0D8BBB8F" w14:textId="77777777" w:rsidR="00373EB2" w:rsidRPr="000708BC" w:rsidRDefault="00373EB2" w:rsidP="008661AA">
            <w:pPr>
              <w:rPr>
                <w:rFonts w:ascii="Arial" w:hAnsi="Arial" w:cs="Arial"/>
                <w:color w:val="000000"/>
                <w:sz w:val="20"/>
              </w:rPr>
            </w:pPr>
          </w:p>
        </w:tc>
      </w:tr>
      <w:tr w:rsidR="00373EB2" w:rsidRPr="000708BC" w14:paraId="294029A0"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7817F07"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1DF31A05"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Concrete</w:t>
            </w:r>
          </w:p>
        </w:tc>
        <w:tc>
          <w:tcPr>
            <w:tcW w:w="1559" w:type="dxa"/>
            <w:tcBorders>
              <w:top w:val="nil"/>
              <w:left w:val="nil"/>
              <w:bottom w:val="single" w:sz="4" w:space="0" w:color="auto"/>
              <w:right w:val="single" w:sz="4" w:space="0" w:color="auto"/>
            </w:tcBorders>
            <w:shd w:val="clear" w:color="auto" w:fill="auto"/>
            <w:noWrap/>
            <w:vAlign w:val="center"/>
            <w:hideMark/>
          </w:tcPr>
          <w:p w14:paraId="1239E99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52C2188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5.6</w:t>
            </w:r>
          </w:p>
        </w:tc>
        <w:tc>
          <w:tcPr>
            <w:tcW w:w="1660" w:type="dxa"/>
            <w:vMerge/>
            <w:tcBorders>
              <w:top w:val="nil"/>
              <w:left w:val="single" w:sz="4" w:space="0" w:color="auto"/>
              <w:bottom w:val="single" w:sz="4" w:space="0" w:color="auto"/>
              <w:right w:val="single" w:sz="4" w:space="0" w:color="auto"/>
            </w:tcBorders>
            <w:vAlign w:val="center"/>
            <w:hideMark/>
          </w:tcPr>
          <w:p w14:paraId="7B348786" w14:textId="77777777" w:rsidR="00373EB2" w:rsidRPr="000708BC" w:rsidRDefault="00373EB2" w:rsidP="008661AA">
            <w:pPr>
              <w:rPr>
                <w:rFonts w:ascii="Arial" w:hAnsi="Arial" w:cs="Arial"/>
                <w:color w:val="000000"/>
                <w:sz w:val="20"/>
              </w:rPr>
            </w:pPr>
          </w:p>
        </w:tc>
      </w:tr>
      <w:tr w:rsidR="00373EB2" w:rsidRPr="000708BC" w14:paraId="3E579C4D" w14:textId="77777777" w:rsidTr="008661AA">
        <w:trPr>
          <w:trHeight w:val="44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1D89A20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Cell stack Framework (6MWp)</w:t>
            </w:r>
          </w:p>
        </w:tc>
        <w:tc>
          <w:tcPr>
            <w:tcW w:w="2410" w:type="dxa"/>
            <w:tcBorders>
              <w:top w:val="nil"/>
              <w:left w:val="nil"/>
              <w:bottom w:val="single" w:sz="4" w:space="0" w:color="auto"/>
              <w:right w:val="single" w:sz="4" w:space="0" w:color="auto"/>
            </w:tcBorders>
            <w:shd w:val="clear" w:color="auto" w:fill="auto"/>
            <w:noWrap/>
            <w:vAlign w:val="center"/>
            <w:hideMark/>
          </w:tcPr>
          <w:p w14:paraId="441A14FA"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Copper</w:t>
            </w:r>
          </w:p>
        </w:tc>
        <w:tc>
          <w:tcPr>
            <w:tcW w:w="1559" w:type="dxa"/>
            <w:tcBorders>
              <w:top w:val="nil"/>
              <w:left w:val="nil"/>
              <w:bottom w:val="single" w:sz="4" w:space="0" w:color="auto"/>
              <w:right w:val="single" w:sz="4" w:space="0" w:color="auto"/>
            </w:tcBorders>
            <w:shd w:val="clear" w:color="auto" w:fill="auto"/>
            <w:noWrap/>
            <w:vAlign w:val="center"/>
            <w:hideMark/>
          </w:tcPr>
          <w:p w14:paraId="37A38F4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18BBF26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2</w:t>
            </w:r>
          </w:p>
        </w:tc>
        <w:sdt>
          <w:sdtPr>
            <w:rPr>
              <w:rFonts w:ascii="Arial" w:hAnsi="Arial" w:cs="Arial"/>
              <w:color w:val="000000"/>
              <w:sz w:val="20"/>
            </w:rPr>
            <w:tag w:val="MENDELEY_CITATION_v3_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"/>
            <w:id w:val="1600533025"/>
            <w:placeholder>
              <w:docPart w:val="E23D2864DABFB34E8C3F5E77B9CAF000"/>
            </w:placeholder>
          </w:sdtPr>
          <w:sdtEndPr/>
          <w:sdtContent>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4E426F" w14:textId="1995FC06" w:rsidR="00373EB2" w:rsidRPr="000708BC" w:rsidRDefault="002422C9" w:rsidP="008661AA">
                <w:pPr>
                  <w:jc w:val="center"/>
                  <w:rPr>
                    <w:rFonts w:ascii="Arial" w:hAnsi="Arial" w:cs="Arial"/>
                    <w:color w:val="000000"/>
                    <w:sz w:val="20"/>
                  </w:rPr>
                </w:pPr>
                <w:r w:rsidRPr="000708BC">
                  <w:rPr>
                    <w:rFonts w:ascii="Arial" w:hAnsi="Arial" w:cs="Arial"/>
                    <w:color w:val="000000"/>
                    <w:sz w:val="20"/>
                  </w:rPr>
                  <w:t>(Koj et al., 2017)</w:t>
                </w:r>
              </w:p>
            </w:tc>
          </w:sdtContent>
        </w:sdt>
      </w:tr>
      <w:tr w:rsidR="00373EB2" w:rsidRPr="000708BC" w14:paraId="6673C0F7"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4214191A"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1813E033"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Unalloyed steel</w:t>
            </w:r>
          </w:p>
        </w:tc>
        <w:tc>
          <w:tcPr>
            <w:tcW w:w="1559" w:type="dxa"/>
            <w:tcBorders>
              <w:top w:val="nil"/>
              <w:left w:val="nil"/>
              <w:bottom w:val="single" w:sz="4" w:space="0" w:color="auto"/>
              <w:right w:val="single" w:sz="4" w:space="0" w:color="auto"/>
            </w:tcBorders>
            <w:shd w:val="clear" w:color="auto" w:fill="auto"/>
            <w:noWrap/>
            <w:vAlign w:val="center"/>
            <w:hideMark/>
          </w:tcPr>
          <w:p w14:paraId="4D8CD1A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2E52E3C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200</w:t>
            </w:r>
          </w:p>
        </w:tc>
        <w:tc>
          <w:tcPr>
            <w:tcW w:w="1660" w:type="dxa"/>
            <w:vMerge/>
            <w:tcBorders>
              <w:top w:val="nil"/>
              <w:left w:val="single" w:sz="4" w:space="0" w:color="auto"/>
              <w:bottom w:val="single" w:sz="4" w:space="0" w:color="auto"/>
              <w:right w:val="single" w:sz="4" w:space="0" w:color="auto"/>
            </w:tcBorders>
            <w:vAlign w:val="center"/>
            <w:hideMark/>
          </w:tcPr>
          <w:p w14:paraId="3CFA3944" w14:textId="77777777" w:rsidR="00373EB2" w:rsidRPr="000708BC" w:rsidRDefault="00373EB2" w:rsidP="008661AA">
            <w:pPr>
              <w:rPr>
                <w:rFonts w:ascii="Arial" w:hAnsi="Arial" w:cs="Arial"/>
                <w:color w:val="000000"/>
                <w:sz w:val="20"/>
              </w:rPr>
            </w:pPr>
          </w:p>
        </w:tc>
      </w:tr>
      <w:tr w:rsidR="00373EB2" w:rsidRPr="000708BC" w14:paraId="532A0B00"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01BEA6B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Cells (6MWp)</w:t>
            </w:r>
          </w:p>
        </w:tc>
        <w:tc>
          <w:tcPr>
            <w:tcW w:w="2410" w:type="dxa"/>
            <w:tcBorders>
              <w:top w:val="nil"/>
              <w:left w:val="nil"/>
              <w:bottom w:val="single" w:sz="4" w:space="0" w:color="auto"/>
              <w:right w:val="single" w:sz="4" w:space="0" w:color="auto"/>
            </w:tcBorders>
            <w:shd w:val="clear" w:color="auto" w:fill="auto"/>
            <w:noWrap/>
            <w:vAlign w:val="center"/>
            <w:hideMark/>
          </w:tcPr>
          <w:p w14:paraId="0A0E6BF0"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Nickel</w:t>
            </w:r>
          </w:p>
        </w:tc>
        <w:tc>
          <w:tcPr>
            <w:tcW w:w="1559" w:type="dxa"/>
            <w:tcBorders>
              <w:top w:val="nil"/>
              <w:left w:val="nil"/>
              <w:bottom w:val="single" w:sz="4" w:space="0" w:color="auto"/>
              <w:right w:val="single" w:sz="4" w:space="0" w:color="auto"/>
            </w:tcBorders>
            <w:shd w:val="clear" w:color="auto" w:fill="auto"/>
            <w:noWrap/>
            <w:vAlign w:val="center"/>
            <w:hideMark/>
          </w:tcPr>
          <w:p w14:paraId="664F852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13B4AF3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19</w:t>
            </w:r>
          </w:p>
        </w:tc>
        <w:tc>
          <w:tcPr>
            <w:tcW w:w="1660" w:type="dxa"/>
            <w:vMerge/>
            <w:tcBorders>
              <w:top w:val="nil"/>
              <w:left w:val="single" w:sz="4" w:space="0" w:color="auto"/>
              <w:bottom w:val="single" w:sz="4" w:space="0" w:color="auto"/>
              <w:right w:val="single" w:sz="4" w:space="0" w:color="auto"/>
            </w:tcBorders>
            <w:vAlign w:val="center"/>
            <w:hideMark/>
          </w:tcPr>
          <w:p w14:paraId="15B17033" w14:textId="77777777" w:rsidR="00373EB2" w:rsidRPr="000708BC" w:rsidRDefault="00373EB2" w:rsidP="008661AA">
            <w:pPr>
              <w:rPr>
                <w:rFonts w:ascii="Arial" w:hAnsi="Arial" w:cs="Arial"/>
                <w:color w:val="000000"/>
                <w:sz w:val="20"/>
              </w:rPr>
            </w:pPr>
          </w:p>
        </w:tc>
      </w:tr>
      <w:tr w:rsidR="00373EB2" w:rsidRPr="000708BC" w14:paraId="21348665"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0EF4DADE"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27D1E4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Aluminum</w:t>
            </w:r>
          </w:p>
        </w:tc>
        <w:tc>
          <w:tcPr>
            <w:tcW w:w="1559" w:type="dxa"/>
            <w:tcBorders>
              <w:top w:val="nil"/>
              <w:left w:val="nil"/>
              <w:bottom w:val="single" w:sz="4" w:space="0" w:color="auto"/>
              <w:right w:val="single" w:sz="4" w:space="0" w:color="auto"/>
            </w:tcBorders>
            <w:shd w:val="clear" w:color="auto" w:fill="auto"/>
            <w:noWrap/>
            <w:vAlign w:val="center"/>
            <w:hideMark/>
          </w:tcPr>
          <w:p w14:paraId="74FFB3B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109EE54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450</w:t>
            </w:r>
          </w:p>
        </w:tc>
        <w:tc>
          <w:tcPr>
            <w:tcW w:w="1660" w:type="dxa"/>
            <w:vMerge/>
            <w:tcBorders>
              <w:top w:val="nil"/>
              <w:left w:val="single" w:sz="4" w:space="0" w:color="auto"/>
              <w:bottom w:val="single" w:sz="4" w:space="0" w:color="auto"/>
              <w:right w:val="single" w:sz="4" w:space="0" w:color="auto"/>
            </w:tcBorders>
            <w:vAlign w:val="center"/>
            <w:hideMark/>
          </w:tcPr>
          <w:p w14:paraId="3ACE8E43" w14:textId="77777777" w:rsidR="00373EB2" w:rsidRPr="000708BC" w:rsidRDefault="00373EB2" w:rsidP="008661AA">
            <w:pPr>
              <w:rPr>
                <w:rFonts w:ascii="Arial" w:hAnsi="Arial" w:cs="Arial"/>
                <w:color w:val="000000"/>
                <w:sz w:val="20"/>
              </w:rPr>
            </w:pPr>
          </w:p>
        </w:tc>
      </w:tr>
      <w:tr w:rsidR="00373EB2" w:rsidRPr="000708BC" w14:paraId="7B9DF9AC"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714934D"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6B63DD2B"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Calendered rigid plastic</w:t>
            </w:r>
          </w:p>
        </w:tc>
        <w:tc>
          <w:tcPr>
            <w:tcW w:w="1559" w:type="dxa"/>
            <w:tcBorders>
              <w:top w:val="nil"/>
              <w:left w:val="nil"/>
              <w:bottom w:val="single" w:sz="4" w:space="0" w:color="auto"/>
              <w:right w:val="single" w:sz="4" w:space="0" w:color="auto"/>
            </w:tcBorders>
            <w:shd w:val="clear" w:color="auto" w:fill="auto"/>
            <w:noWrap/>
            <w:vAlign w:val="center"/>
            <w:hideMark/>
          </w:tcPr>
          <w:p w14:paraId="71289F8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3E7DB17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780</w:t>
            </w:r>
          </w:p>
        </w:tc>
        <w:tc>
          <w:tcPr>
            <w:tcW w:w="1660" w:type="dxa"/>
            <w:vMerge/>
            <w:tcBorders>
              <w:top w:val="nil"/>
              <w:left w:val="single" w:sz="4" w:space="0" w:color="auto"/>
              <w:bottom w:val="single" w:sz="4" w:space="0" w:color="auto"/>
              <w:right w:val="single" w:sz="4" w:space="0" w:color="auto"/>
            </w:tcBorders>
            <w:vAlign w:val="center"/>
            <w:hideMark/>
          </w:tcPr>
          <w:p w14:paraId="770E5348" w14:textId="77777777" w:rsidR="00373EB2" w:rsidRPr="000708BC" w:rsidRDefault="00373EB2" w:rsidP="008661AA">
            <w:pPr>
              <w:rPr>
                <w:rFonts w:ascii="Arial" w:hAnsi="Arial" w:cs="Arial"/>
                <w:color w:val="000000"/>
                <w:sz w:val="20"/>
              </w:rPr>
            </w:pPr>
          </w:p>
        </w:tc>
      </w:tr>
      <w:tr w:rsidR="00373EB2" w:rsidRPr="000708BC" w14:paraId="2F12D2F3"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68039BC"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3033E40C"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Polytetrafluoroethylene</w:t>
            </w:r>
          </w:p>
        </w:tc>
        <w:tc>
          <w:tcPr>
            <w:tcW w:w="1559" w:type="dxa"/>
            <w:tcBorders>
              <w:top w:val="nil"/>
              <w:left w:val="nil"/>
              <w:bottom w:val="single" w:sz="4" w:space="0" w:color="auto"/>
              <w:right w:val="single" w:sz="4" w:space="0" w:color="auto"/>
            </w:tcBorders>
            <w:shd w:val="clear" w:color="auto" w:fill="auto"/>
            <w:noWrap/>
            <w:vAlign w:val="center"/>
            <w:hideMark/>
          </w:tcPr>
          <w:p w14:paraId="51C078D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5FE90A8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78</w:t>
            </w:r>
          </w:p>
        </w:tc>
        <w:tc>
          <w:tcPr>
            <w:tcW w:w="1660" w:type="dxa"/>
            <w:vMerge/>
            <w:tcBorders>
              <w:top w:val="nil"/>
              <w:left w:val="single" w:sz="4" w:space="0" w:color="auto"/>
              <w:bottom w:val="single" w:sz="4" w:space="0" w:color="auto"/>
              <w:right w:val="single" w:sz="4" w:space="0" w:color="auto"/>
            </w:tcBorders>
            <w:vAlign w:val="center"/>
            <w:hideMark/>
          </w:tcPr>
          <w:p w14:paraId="0A45B3E3" w14:textId="77777777" w:rsidR="00373EB2" w:rsidRPr="000708BC" w:rsidRDefault="00373EB2" w:rsidP="008661AA">
            <w:pPr>
              <w:rPr>
                <w:rFonts w:ascii="Arial" w:hAnsi="Arial" w:cs="Arial"/>
                <w:color w:val="000000"/>
                <w:sz w:val="20"/>
              </w:rPr>
            </w:pPr>
          </w:p>
        </w:tc>
      </w:tr>
      <w:tr w:rsidR="00373EB2" w:rsidRPr="000708BC" w14:paraId="5274521A"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003372B2"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50C3D5E7"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Acrylonitrile butadiene styrene</w:t>
            </w:r>
          </w:p>
        </w:tc>
        <w:tc>
          <w:tcPr>
            <w:tcW w:w="1559" w:type="dxa"/>
            <w:tcBorders>
              <w:top w:val="nil"/>
              <w:left w:val="nil"/>
              <w:bottom w:val="single" w:sz="4" w:space="0" w:color="auto"/>
              <w:right w:val="single" w:sz="4" w:space="0" w:color="auto"/>
            </w:tcBorders>
            <w:shd w:val="clear" w:color="auto" w:fill="auto"/>
            <w:noWrap/>
            <w:vAlign w:val="center"/>
            <w:hideMark/>
          </w:tcPr>
          <w:p w14:paraId="03F1E47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71D5D65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160</w:t>
            </w:r>
          </w:p>
        </w:tc>
        <w:tc>
          <w:tcPr>
            <w:tcW w:w="1660" w:type="dxa"/>
            <w:vMerge/>
            <w:tcBorders>
              <w:top w:val="nil"/>
              <w:left w:val="single" w:sz="4" w:space="0" w:color="auto"/>
              <w:bottom w:val="single" w:sz="4" w:space="0" w:color="auto"/>
              <w:right w:val="single" w:sz="4" w:space="0" w:color="auto"/>
            </w:tcBorders>
            <w:vAlign w:val="center"/>
            <w:hideMark/>
          </w:tcPr>
          <w:p w14:paraId="338D654F" w14:textId="77777777" w:rsidR="00373EB2" w:rsidRPr="000708BC" w:rsidRDefault="00373EB2" w:rsidP="008661AA">
            <w:pPr>
              <w:rPr>
                <w:rFonts w:ascii="Arial" w:hAnsi="Arial" w:cs="Arial"/>
                <w:color w:val="000000"/>
                <w:sz w:val="20"/>
              </w:rPr>
            </w:pPr>
          </w:p>
        </w:tc>
      </w:tr>
      <w:tr w:rsidR="00373EB2" w:rsidRPr="000708BC" w14:paraId="62700EE7"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37E9772"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3A84CEC0"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Polyphenylene sulfide</w:t>
            </w:r>
          </w:p>
        </w:tc>
        <w:tc>
          <w:tcPr>
            <w:tcW w:w="1559" w:type="dxa"/>
            <w:tcBorders>
              <w:top w:val="nil"/>
              <w:left w:val="nil"/>
              <w:bottom w:val="single" w:sz="4" w:space="0" w:color="auto"/>
              <w:right w:val="single" w:sz="4" w:space="0" w:color="auto"/>
            </w:tcBorders>
            <w:shd w:val="clear" w:color="auto" w:fill="auto"/>
            <w:noWrap/>
            <w:vAlign w:val="center"/>
            <w:hideMark/>
          </w:tcPr>
          <w:p w14:paraId="13FC698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5569285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340</w:t>
            </w:r>
          </w:p>
        </w:tc>
        <w:tc>
          <w:tcPr>
            <w:tcW w:w="1660" w:type="dxa"/>
            <w:vMerge/>
            <w:tcBorders>
              <w:top w:val="nil"/>
              <w:left w:val="single" w:sz="4" w:space="0" w:color="auto"/>
              <w:bottom w:val="single" w:sz="4" w:space="0" w:color="auto"/>
              <w:right w:val="single" w:sz="4" w:space="0" w:color="auto"/>
            </w:tcBorders>
            <w:vAlign w:val="center"/>
            <w:hideMark/>
          </w:tcPr>
          <w:p w14:paraId="3E3DC309" w14:textId="77777777" w:rsidR="00373EB2" w:rsidRPr="000708BC" w:rsidRDefault="00373EB2" w:rsidP="008661AA">
            <w:pPr>
              <w:rPr>
                <w:rFonts w:ascii="Arial" w:hAnsi="Arial" w:cs="Arial"/>
                <w:color w:val="000000"/>
                <w:sz w:val="20"/>
              </w:rPr>
            </w:pPr>
          </w:p>
        </w:tc>
      </w:tr>
      <w:tr w:rsidR="00373EB2" w:rsidRPr="000708BC" w14:paraId="184988F6"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FF89D90"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FC1A1DB"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Polysulfones</w:t>
            </w:r>
          </w:p>
        </w:tc>
        <w:tc>
          <w:tcPr>
            <w:tcW w:w="1559" w:type="dxa"/>
            <w:tcBorders>
              <w:top w:val="nil"/>
              <w:left w:val="nil"/>
              <w:bottom w:val="single" w:sz="4" w:space="0" w:color="auto"/>
              <w:right w:val="single" w:sz="4" w:space="0" w:color="auto"/>
            </w:tcBorders>
            <w:shd w:val="clear" w:color="auto" w:fill="auto"/>
            <w:noWrap/>
            <w:vAlign w:val="center"/>
            <w:hideMark/>
          </w:tcPr>
          <w:p w14:paraId="426B5B3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2B968B1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260</w:t>
            </w:r>
          </w:p>
        </w:tc>
        <w:tc>
          <w:tcPr>
            <w:tcW w:w="1660" w:type="dxa"/>
            <w:vMerge/>
            <w:tcBorders>
              <w:top w:val="nil"/>
              <w:left w:val="single" w:sz="4" w:space="0" w:color="auto"/>
              <w:bottom w:val="single" w:sz="4" w:space="0" w:color="auto"/>
              <w:right w:val="single" w:sz="4" w:space="0" w:color="auto"/>
            </w:tcBorders>
            <w:vAlign w:val="center"/>
            <w:hideMark/>
          </w:tcPr>
          <w:p w14:paraId="4963E4B3" w14:textId="77777777" w:rsidR="00373EB2" w:rsidRPr="000708BC" w:rsidRDefault="00373EB2" w:rsidP="008661AA">
            <w:pPr>
              <w:rPr>
                <w:rFonts w:ascii="Arial" w:hAnsi="Arial" w:cs="Arial"/>
                <w:color w:val="000000"/>
                <w:sz w:val="20"/>
              </w:rPr>
            </w:pPr>
          </w:p>
        </w:tc>
      </w:tr>
      <w:tr w:rsidR="00373EB2" w:rsidRPr="000708BC" w14:paraId="0BCC0E9C"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818085A"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2D054D5F"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N-Methyl-2-pyrrolidone</w:t>
            </w:r>
          </w:p>
        </w:tc>
        <w:tc>
          <w:tcPr>
            <w:tcW w:w="1559" w:type="dxa"/>
            <w:tcBorders>
              <w:top w:val="nil"/>
              <w:left w:val="nil"/>
              <w:bottom w:val="single" w:sz="4" w:space="0" w:color="auto"/>
              <w:right w:val="single" w:sz="4" w:space="0" w:color="auto"/>
            </w:tcBorders>
            <w:shd w:val="clear" w:color="auto" w:fill="auto"/>
            <w:noWrap/>
            <w:vAlign w:val="center"/>
            <w:hideMark/>
          </w:tcPr>
          <w:p w14:paraId="3F7605D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2DCAB1C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1.3</w:t>
            </w:r>
          </w:p>
        </w:tc>
        <w:tc>
          <w:tcPr>
            <w:tcW w:w="1660" w:type="dxa"/>
            <w:vMerge/>
            <w:tcBorders>
              <w:top w:val="nil"/>
              <w:left w:val="single" w:sz="4" w:space="0" w:color="auto"/>
              <w:bottom w:val="single" w:sz="4" w:space="0" w:color="auto"/>
              <w:right w:val="single" w:sz="4" w:space="0" w:color="auto"/>
            </w:tcBorders>
            <w:vAlign w:val="center"/>
            <w:hideMark/>
          </w:tcPr>
          <w:p w14:paraId="5413846C" w14:textId="77777777" w:rsidR="00373EB2" w:rsidRPr="000708BC" w:rsidRDefault="00373EB2" w:rsidP="008661AA">
            <w:pPr>
              <w:rPr>
                <w:rFonts w:ascii="Arial" w:hAnsi="Arial" w:cs="Arial"/>
                <w:color w:val="000000"/>
                <w:sz w:val="20"/>
              </w:rPr>
            </w:pPr>
          </w:p>
        </w:tc>
      </w:tr>
      <w:tr w:rsidR="00373EB2" w:rsidRPr="000708BC" w14:paraId="3037B31E"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2E593550"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2F5F1235"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Aniline</w:t>
            </w:r>
          </w:p>
        </w:tc>
        <w:tc>
          <w:tcPr>
            <w:tcW w:w="1559" w:type="dxa"/>
            <w:tcBorders>
              <w:top w:val="nil"/>
              <w:left w:val="nil"/>
              <w:bottom w:val="single" w:sz="4" w:space="0" w:color="auto"/>
              <w:right w:val="single" w:sz="4" w:space="0" w:color="auto"/>
            </w:tcBorders>
            <w:shd w:val="clear" w:color="auto" w:fill="auto"/>
            <w:noWrap/>
            <w:vAlign w:val="center"/>
            <w:hideMark/>
          </w:tcPr>
          <w:p w14:paraId="6D4A546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57956C8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49</w:t>
            </w:r>
          </w:p>
        </w:tc>
        <w:tc>
          <w:tcPr>
            <w:tcW w:w="1660" w:type="dxa"/>
            <w:vMerge/>
            <w:tcBorders>
              <w:top w:val="nil"/>
              <w:left w:val="single" w:sz="4" w:space="0" w:color="auto"/>
              <w:bottom w:val="single" w:sz="4" w:space="0" w:color="auto"/>
              <w:right w:val="single" w:sz="4" w:space="0" w:color="auto"/>
            </w:tcBorders>
            <w:vAlign w:val="center"/>
            <w:hideMark/>
          </w:tcPr>
          <w:p w14:paraId="1A725BC7" w14:textId="77777777" w:rsidR="00373EB2" w:rsidRPr="000708BC" w:rsidRDefault="00373EB2" w:rsidP="008661AA">
            <w:pPr>
              <w:rPr>
                <w:rFonts w:ascii="Arial" w:hAnsi="Arial" w:cs="Arial"/>
                <w:color w:val="000000"/>
                <w:sz w:val="20"/>
              </w:rPr>
            </w:pPr>
          </w:p>
        </w:tc>
      </w:tr>
      <w:tr w:rsidR="00373EB2" w:rsidRPr="000708BC" w14:paraId="084D9E0B"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3DF46DC"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7AE5246"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Acetic anhydride</w:t>
            </w:r>
          </w:p>
        </w:tc>
        <w:tc>
          <w:tcPr>
            <w:tcW w:w="1559" w:type="dxa"/>
            <w:tcBorders>
              <w:top w:val="nil"/>
              <w:left w:val="nil"/>
              <w:bottom w:val="single" w:sz="4" w:space="0" w:color="auto"/>
              <w:right w:val="single" w:sz="4" w:space="0" w:color="auto"/>
            </w:tcBorders>
            <w:shd w:val="clear" w:color="auto" w:fill="auto"/>
            <w:noWrap/>
            <w:vAlign w:val="center"/>
            <w:hideMark/>
          </w:tcPr>
          <w:p w14:paraId="4596ED9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4A24BEF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54</w:t>
            </w:r>
          </w:p>
        </w:tc>
        <w:tc>
          <w:tcPr>
            <w:tcW w:w="1660" w:type="dxa"/>
            <w:vMerge/>
            <w:tcBorders>
              <w:top w:val="nil"/>
              <w:left w:val="single" w:sz="4" w:space="0" w:color="auto"/>
              <w:bottom w:val="single" w:sz="4" w:space="0" w:color="auto"/>
              <w:right w:val="single" w:sz="4" w:space="0" w:color="auto"/>
            </w:tcBorders>
            <w:vAlign w:val="center"/>
            <w:hideMark/>
          </w:tcPr>
          <w:p w14:paraId="7EBF347D" w14:textId="77777777" w:rsidR="00373EB2" w:rsidRPr="000708BC" w:rsidRDefault="00373EB2" w:rsidP="008661AA">
            <w:pPr>
              <w:rPr>
                <w:rFonts w:ascii="Arial" w:hAnsi="Arial" w:cs="Arial"/>
                <w:color w:val="000000"/>
                <w:sz w:val="20"/>
              </w:rPr>
            </w:pPr>
          </w:p>
        </w:tc>
      </w:tr>
      <w:tr w:rsidR="00373EB2" w:rsidRPr="000708BC" w14:paraId="7CF46B55"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24B4BE6D"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44FA1871"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Terephthalic acid</w:t>
            </w:r>
          </w:p>
        </w:tc>
        <w:tc>
          <w:tcPr>
            <w:tcW w:w="1559" w:type="dxa"/>
            <w:tcBorders>
              <w:top w:val="nil"/>
              <w:left w:val="nil"/>
              <w:bottom w:val="single" w:sz="4" w:space="0" w:color="auto"/>
              <w:right w:val="single" w:sz="4" w:space="0" w:color="auto"/>
            </w:tcBorders>
            <w:shd w:val="clear" w:color="auto" w:fill="auto"/>
            <w:noWrap/>
            <w:vAlign w:val="center"/>
            <w:hideMark/>
          </w:tcPr>
          <w:p w14:paraId="49886D6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11DA1E2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88</w:t>
            </w:r>
          </w:p>
        </w:tc>
        <w:tc>
          <w:tcPr>
            <w:tcW w:w="1660" w:type="dxa"/>
            <w:vMerge/>
            <w:tcBorders>
              <w:top w:val="nil"/>
              <w:left w:val="single" w:sz="4" w:space="0" w:color="auto"/>
              <w:bottom w:val="single" w:sz="4" w:space="0" w:color="auto"/>
              <w:right w:val="single" w:sz="4" w:space="0" w:color="auto"/>
            </w:tcBorders>
            <w:vAlign w:val="center"/>
            <w:hideMark/>
          </w:tcPr>
          <w:p w14:paraId="77C28850" w14:textId="77777777" w:rsidR="00373EB2" w:rsidRPr="000708BC" w:rsidRDefault="00373EB2" w:rsidP="008661AA">
            <w:pPr>
              <w:rPr>
                <w:rFonts w:ascii="Arial" w:hAnsi="Arial" w:cs="Arial"/>
                <w:color w:val="000000"/>
                <w:sz w:val="20"/>
              </w:rPr>
            </w:pPr>
          </w:p>
        </w:tc>
      </w:tr>
      <w:tr w:rsidR="00373EB2" w:rsidRPr="000708BC" w14:paraId="367DCFC4"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47C688E6"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267EC47C"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Nitric acid</w:t>
            </w:r>
          </w:p>
        </w:tc>
        <w:tc>
          <w:tcPr>
            <w:tcW w:w="1559" w:type="dxa"/>
            <w:tcBorders>
              <w:top w:val="nil"/>
              <w:left w:val="nil"/>
              <w:bottom w:val="single" w:sz="4" w:space="0" w:color="auto"/>
              <w:right w:val="single" w:sz="4" w:space="0" w:color="auto"/>
            </w:tcBorders>
            <w:shd w:val="clear" w:color="auto" w:fill="auto"/>
            <w:noWrap/>
            <w:vAlign w:val="center"/>
            <w:hideMark/>
          </w:tcPr>
          <w:p w14:paraId="6844963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2A43E5F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33</w:t>
            </w:r>
          </w:p>
        </w:tc>
        <w:tc>
          <w:tcPr>
            <w:tcW w:w="1660" w:type="dxa"/>
            <w:vMerge/>
            <w:tcBorders>
              <w:top w:val="nil"/>
              <w:left w:val="single" w:sz="4" w:space="0" w:color="auto"/>
              <w:bottom w:val="single" w:sz="4" w:space="0" w:color="auto"/>
              <w:right w:val="single" w:sz="4" w:space="0" w:color="auto"/>
            </w:tcBorders>
            <w:vAlign w:val="center"/>
            <w:hideMark/>
          </w:tcPr>
          <w:p w14:paraId="09DB2096" w14:textId="77777777" w:rsidR="00373EB2" w:rsidRPr="000708BC" w:rsidRDefault="00373EB2" w:rsidP="008661AA">
            <w:pPr>
              <w:rPr>
                <w:rFonts w:ascii="Arial" w:hAnsi="Arial" w:cs="Arial"/>
                <w:color w:val="000000"/>
                <w:sz w:val="20"/>
              </w:rPr>
            </w:pPr>
          </w:p>
        </w:tc>
      </w:tr>
      <w:tr w:rsidR="00373EB2" w:rsidRPr="000708BC" w14:paraId="613FA92B"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139871AA"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5A4D49F8"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Hydrochloric acid</w:t>
            </w:r>
          </w:p>
        </w:tc>
        <w:tc>
          <w:tcPr>
            <w:tcW w:w="1559" w:type="dxa"/>
            <w:tcBorders>
              <w:top w:val="nil"/>
              <w:left w:val="nil"/>
              <w:bottom w:val="single" w:sz="4" w:space="0" w:color="auto"/>
              <w:right w:val="single" w:sz="4" w:space="0" w:color="auto"/>
            </w:tcBorders>
            <w:shd w:val="clear" w:color="auto" w:fill="auto"/>
            <w:noWrap/>
            <w:vAlign w:val="center"/>
            <w:hideMark/>
          </w:tcPr>
          <w:p w14:paraId="621B864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54FC6F0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130</w:t>
            </w:r>
          </w:p>
        </w:tc>
        <w:tc>
          <w:tcPr>
            <w:tcW w:w="1660" w:type="dxa"/>
            <w:vMerge/>
            <w:tcBorders>
              <w:top w:val="nil"/>
              <w:left w:val="single" w:sz="4" w:space="0" w:color="auto"/>
              <w:bottom w:val="single" w:sz="4" w:space="0" w:color="auto"/>
              <w:right w:val="single" w:sz="4" w:space="0" w:color="auto"/>
            </w:tcBorders>
            <w:vAlign w:val="center"/>
            <w:hideMark/>
          </w:tcPr>
          <w:p w14:paraId="733C095A" w14:textId="77777777" w:rsidR="00373EB2" w:rsidRPr="000708BC" w:rsidRDefault="00373EB2" w:rsidP="008661AA">
            <w:pPr>
              <w:rPr>
                <w:rFonts w:ascii="Arial" w:hAnsi="Arial" w:cs="Arial"/>
                <w:color w:val="000000"/>
                <w:sz w:val="20"/>
              </w:rPr>
            </w:pPr>
          </w:p>
        </w:tc>
      </w:tr>
      <w:tr w:rsidR="00373EB2" w:rsidRPr="000708BC" w14:paraId="1CBC67A5"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249D0FA"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44E2F86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Graphite</w:t>
            </w:r>
          </w:p>
        </w:tc>
        <w:tc>
          <w:tcPr>
            <w:tcW w:w="1559" w:type="dxa"/>
            <w:tcBorders>
              <w:top w:val="nil"/>
              <w:left w:val="nil"/>
              <w:bottom w:val="single" w:sz="4" w:space="0" w:color="auto"/>
              <w:right w:val="single" w:sz="4" w:space="0" w:color="auto"/>
            </w:tcBorders>
            <w:shd w:val="clear" w:color="auto" w:fill="auto"/>
            <w:noWrap/>
            <w:vAlign w:val="center"/>
            <w:hideMark/>
          </w:tcPr>
          <w:p w14:paraId="5260BC12"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641BD5E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430</w:t>
            </w:r>
          </w:p>
        </w:tc>
        <w:tc>
          <w:tcPr>
            <w:tcW w:w="1660" w:type="dxa"/>
            <w:vMerge/>
            <w:tcBorders>
              <w:top w:val="nil"/>
              <w:left w:val="single" w:sz="4" w:space="0" w:color="auto"/>
              <w:bottom w:val="single" w:sz="4" w:space="0" w:color="auto"/>
              <w:right w:val="single" w:sz="4" w:space="0" w:color="auto"/>
            </w:tcBorders>
            <w:vAlign w:val="center"/>
            <w:hideMark/>
          </w:tcPr>
          <w:p w14:paraId="1AE9F72E" w14:textId="77777777" w:rsidR="00373EB2" w:rsidRPr="000708BC" w:rsidRDefault="00373EB2" w:rsidP="008661AA">
            <w:pPr>
              <w:rPr>
                <w:rFonts w:ascii="Arial" w:hAnsi="Arial" w:cs="Arial"/>
                <w:color w:val="000000"/>
                <w:sz w:val="20"/>
              </w:rPr>
            </w:pPr>
          </w:p>
        </w:tc>
      </w:tr>
      <w:tr w:rsidR="00373EB2" w:rsidRPr="000708BC" w14:paraId="67862D58"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02E0E6CF"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90339B7"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Lubricating oil</w:t>
            </w:r>
          </w:p>
        </w:tc>
        <w:tc>
          <w:tcPr>
            <w:tcW w:w="1559" w:type="dxa"/>
            <w:tcBorders>
              <w:top w:val="nil"/>
              <w:left w:val="nil"/>
              <w:bottom w:val="single" w:sz="4" w:space="0" w:color="auto"/>
              <w:right w:val="single" w:sz="4" w:space="0" w:color="auto"/>
            </w:tcBorders>
            <w:shd w:val="clear" w:color="auto" w:fill="auto"/>
            <w:noWrap/>
            <w:vAlign w:val="center"/>
            <w:hideMark/>
          </w:tcPr>
          <w:p w14:paraId="5BC9E2E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6B124B9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0.48</w:t>
            </w:r>
          </w:p>
        </w:tc>
        <w:tc>
          <w:tcPr>
            <w:tcW w:w="1660" w:type="dxa"/>
            <w:vMerge/>
            <w:tcBorders>
              <w:top w:val="nil"/>
              <w:left w:val="single" w:sz="4" w:space="0" w:color="auto"/>
              <w:bottom w:val="single" w:sz="4" w:space="0" w:color="auto"/>
              <w:right w:val="single" w:sz="4" w:space="0" w:color="auto"/>
            </w:tcBorders>
            <w:vAlign w:val="center"/>
            <w:hideMark/>
          </w:tcPr>
          <w:p w14:paraId="37EBAE30" w14:textId="77777777" w:rsidR="00373EB2" w:rsidRPr="000708BC" w:rsidRDefault="00373EB2" w:rsidP="008661AA">
            <w:pPr>
              <w:rPr>
                <w:rFonts w:ascii="Arial" w:hAnsi="Arial" w:cs="Arial"/>
                <w:color w:val="000000"/>
                <w:sz w:val="20"/>
              </w:rPr>
            </w:pPr>
          </w:p>
        </w:tc>
      </w:tr>
      <w:tr w:rsidR="00373EB2" w:rsidRPr="000708BC" w14:paraId="774F4EF6"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218674DE"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3E3E31B4"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Zirconium oxide</w:t>
            </w:r>
          </w:p>
        </w:tc>
        <w:tc>
          <w:tcPr>
            <w:tcW w:w="1559" w:type="dxa"/>
            <w:tcBorders>
              <w:top w:val="nil"/>
              <w:left w:val="nil"/>
              <w:bottom w:val="single" w:sz="4" w:space="0" w:color="auto"/>
              <w:right w:val="single" w:sz="4" w:space="0" w:color="auto"/>
            </w:tcBorders>
            <w:shd w:val="clear" w:color="auto" w:fill="auto"/>
            <w:noWrap/>
            <w:vAlign w:val="center"/>
            <w:hideMark/>
          </w:tcPr>
          <w:p w14:paraId="7305A40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3A73628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1.1</w:t>
            </w:r>
          </w:p>
        </w:tc>
        <w:tc>
          <w:tcPr>
            <w:tcW w:w="1660" w:type="dxa"/>
            <w:vMerge/>
            <w:tcBorders>
              <w:top w:val="nil"/>
              <w:left w:val="single" w:sz="4" w:space="0" w:color="auto"/>
              <w:bottom w:val="single" w:sz="4" w:space="0" w:color="auto"/>
              <w:right w:val="single" w:sz="4" w:space="0" w:color="auto"/>
            </w:tcBorders>
            <w:vAlign w:val="center"/>
            <w:hideMark/>
          </w:tcPr>
          <w:p w14:paraId="779702B2" w14:textId="77777777" w:rsidR="00373EB2" w:rsidRPr="000708BC" w:rsidRDefault="00373EB2" w:rsidP="008661AA">
            <w:pPr>
              <w:rPr>
                <w:rFonts w:ascii="Arial" w:hAnsi="Arial" w:cs="Arial"/>
                <w:color w:val="000000"/>
                <w:sz w:val="20"/>
              </w:rPr>
            </w:pPr>
          </w:p>
        </w:tc>
      </w:tr>
      <w:tr w:rsidR="00373EB2" w:rsidRPr="000708BC" w14:paraId="5743DA05"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38952D93"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4E024422"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Carbon monoxide</w:t>
            </w:r>
          </w:p>
        </w:tc>
        <w:tc>
          <w:tcPr>
            <w:tcW w:w="1559" w:type="dxa"/>
            <w:tcBorders>
              <w:top w:val="nil"/>
              <w:left w:val="nil"/>
              <w:bottom w:val="single" w:sz="4" w:space="0" w:color="auto"/>
              <w:right w:val="single" w:sz="4" w:space="0" w:color="auto"/>
            </w:tcBorders>
            <w:shd w:val="clear" w:color="auto" w:fill="auto"/>
            <w:noWrap/>
            <w:vAlign w:val="center"/>
            <w:hideMark/>
          </w:tcPr>
          <w:p w14:paraId="47FC9D2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4124A71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150</w:t>
            </w:r>
          </w:p>
        </w:tc>
        <w:tc>
          <w:tcPr>
            <w:tcW w:w="1660" w:type="dxa"/>
            <w:vMerge/>
            <w:tcBorders>
              <w:top w:val="nil"/>
              <w:left w:val="single" w:sz="4" w:space="0" w:color="auto"/>
              <w:bottom w:val="single" w:sz="4" w:space="0" w:color="auto"/>
              <w:right w:val="single" w:sz="4" w:space="0" w:color="auto"/>
            </w:tcBorders>
            <w:vAlign w:val="center"/>
            <w:hideMark/>
          </w:tcPr>
          <w:p w14:paraId="362C2994" w14:textId="77777777" w:rsidR="00373EB2" w:rsidRPr="000708BC" w:rsidRDefault="00373EB2" w:rsidP="008661AA">
            <w:pPr>
              <w:rPr>
                <w:rFonts w:ascii="Arial" w:hAnsi="Arial" w:cs="Arial"/>
                <w:color w:val="000000"/>
                <w:sz w:val="20"/>
              </w:rPr>
            </w:pPr>
          </w:p>
        </w:tc>
      </w:tr>
      <w:tr w:rsidR="00373EB2" w:rsidRPr="000708BC" w14:paraId="161FED14"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10FE80D"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3A462CB0"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Decarbonized water</w:t>
            </w:r>
          </w:p>
        </w:tc>
        <w:tc>
          <w:tcPr>
            <w:tcW w:w="1559" w:type="dxa"/>
            <w:tcBorders>
              <w:top w:val="nil"/>
              <w:left w:val="nil"/>
              <w:bottom w:val="single" w:sz="4" w:space="0" w:color="auto"/>
              <w:right w:val="single" w:sz="4" w:space="0" w:color="auto"/>
            </w:tcBorders>
            <w:shd w:val="clear" w:color="auto" w:fill="auto"/>
            <w:noWrap/>
            <w:vAlign w:val="center"/>
            <w:hideMark/>
          </w:tcPr>
          <w:p w14:paraId="312D405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300A32B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11</w:t>
            </w:r>
          </w:p>
        </w:tc>
        <w:tc>
          <w:tcPr>
            <w:tcW w:w="1660" w:type="dxa"/>
            <w:vMerge/>
            <w:tcBorders>
              <w:top w:val="nil"/>
              <w:left w:val="single" w:sz="4" w:space="0" w:color="auto"/>
              <w:bottom w:val="single" w:sz="4" w:space="0" w:color="auto"/>
              <w:right w:val="single" w:sz="4" w:space="0" w:color="auto"/>
            </w:tcBorders>
            <w:vAlign w:val="center"/>
            <w:hideMark/>
          </w:tcPr>
          <w:p w14:paraId="124903B5" w14:textId="77777777" w:rsidR="00373EB2" w:rsidRPr="000708BC" w:rsidRDefault="00373EB2" w:rsidP="008661AA">
            <w:pPr>
              <w:rPr>
                <w:rFonts w:ascii="Arial" w:hAnsi="Arial" w:cs="Arial"/>
                <w:color w:val="000000"/>
                <w:sz w:val="20"/>
              </w:rPr>
            </w:pPr>
          </w:p>
        </w:tc>
      </w:tr>
      <w:tr w:rsidR="00373EB2" w:rsidRPr="000708BC" w14:paraId="3CFC5DE1"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1D6E630"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0C49BC0C"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Deionized water</w:t>
            </w:r>
          </w:p>
        </w:tc>
        <w:tc>
          <w:tcPr>
            <w:tcW w:w="1559" w:type="dxa"/>
            <w:tcBorders>
              <w:top w:val="nil"/>
              <w:left w:val="nil"/>
              <w:bottom w:val="single" w:sz="4" w:space="0" w:color="auto"/>
              <w:right w:val="single" w:sz="4" w:space="0" w:color="auto"/>
            </w:tcBorders>
            <w:shd w:val="clear" w:color="auto" w:fill="auto"/>
            <w:noWrap/>
            <w:vAlign w:val="center"/>
            <w:hideMark/>
          </w:tcPr>
          <w:p w14:paraId="03BFCE7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70603DE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86</w:t>
            </w:r>
          </w:p>
        </w:tc>
        <w:tc>
          <w:tcPr>
            <w:tcW w:w="1660" w:type="dxa"/>
            <w:vMerge/>
            <w:tcBorders>
              <w:top w:val="nil"/>
              <w:left w:val="single" w:sz="4" w:space="0" w:color="auto"/>
              <w:bottom w:val="single" w:sz="4" w:space="0" w:color="auto"/>
              <w:right w:val="single" w:sz="4" w:space="0" w:color="auto"/>
            </w:tcBorders>
            <w:vAlign w:val="center"/>
            <w:hideMark/>
          </w:tcPr>
          <w:p w14:paraId="37331012" w14:textId="77777777" w:rsidR="00373EB2" w:rsidRPr="000708BC" w:rsidRDefault="00373EB2" w:rsidP="008661AA">
            <w:pPr>
              <w:rPr>
                <w:rFonts w:ascii="Arial" w:hAnsi="Arial" w:cs="Arial"/>
                <w:color w:val="000000"/>
                <w:sz w:val="20"/>
              </w:rPr>
            </w:pPr>
          </w:p>
        </w:tc>
      </w:tr>
      <w:tr w:rsidR="00373EB2" w:rsidRPr="000708BC" w14:paraId="138AE0CF"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38AA4453"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70BF7D8"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Industrial machine production</w:t>
            </w:r>
          </w:p>
        </w:tc>
        <w:tc>
          <w:tcPr>
            <w:tcW w:w="1559" w:type="dxa"/>
            <w:tcBorders>
              <w:top w:val="nil"/>
              <w:left w:val="nil"/>
              <w:bottom w:val="single" w:sz="4" w:space="0" w:color="auto"/>
              <w:right w:val="single" w:sz="4" w:space="0" w:color="auto"/>
            </w:tcBorders>
            <w:shd w:val="clear" w:color="auto" w:fill="auto"/>
            <w:noWrap/>
            <w:vAlign w:val="center"/>
            <w:hideMark/>
          </w:tcPr>
          <w:p w14:paraId="2130158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4CB7944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0.16</w:t>
            </w:r>
          </w:p>
        </w:tc>
        <w:tc>
          <w:tcPr>
            <w:tcW w:w="1660" w:type="dxa"/>
            <w:vMerge/>
            <w:tcBorders>
              <w:top w:val="nil"/>
              <w:left w:val="single" w:sz="4" w:space="0" w:color="auto"/>
              <w:bottom w:val="single" w:sz="4" w:space="0" w:color="auto"/>
              <w:right w:val="single" w:sz="4" w:space="0" w:color="auto"/>
            </w:tcBorders>
            <w:vAlign w:val="center"/>
            <w:hideMark/>
          </w:tcPr>
          <w:p w14:paraId="39BFF0EF" w14:textId="77777777" w:rsidR="00373EB2" w:rsidRPr="000708BC" w:rsidRDefault="00373EB2" w:rsidP="008661AA">
            <w:pPr>
              <w:rPr>
                <w:rFonts w:ascii="Arial" w:hAnsi="Arial" w:cs="Arial"/>
                <w:color w:val="000000"/>
                <w:sz w:val="20"/>
              </w:rPr>
            </w:pPr>
          </w:p>
        </w:tc>
      </w:tr>
      <w:tr w:rsidR="00373EB2" w:rsidRPr="000708BC" w14:paraId="6506EF62"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1DF32D3"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AADA962"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Plaster mixing</w:t>
            </w:r>
          </w:p>
        </w:tc>
        <w:tc>
          <w:tcPr>
            <w:tcW w:w="1559" w:type="dxa"/>
            <w:tcBorders>
              <w:top w:val="nil"/>
              <w:left w:val="nil"/>
              <w:bottom w:val="single" w:sz="4" w:space="0" w:color="auto"/>
              <w:right w:val="single" w:sz="4" w:space="0" w:color="auto"/>
            </w:tcBorders>
            <w:shd w:val="clear" w:color="auto" w:fill="auto"/>
            <w:noWrap/>
            <w:vAlign w:val="center"/>
            <w:hideMark/>
          </w:tcPr>
          <w:p w14:paraId="7348018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2C7035B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780</w:t>
            </w:r>
          </w:p>
        </w:tc>
        <w:tc>
          <w:tcPr>
            <w:tcW w:w="1660" w:type="dxa"/>
            <w:vMerge/>
            <w:tcBorders>
              <w:top w:val="nil"/>
              <w:left w:val="single" w:sz="4" w:space="0" w:color="auto"/>
              <w:bottom w:val="single" w:sz="4" w:space="0" w:color="auto"/>
              <w:right w:val="single" w:sz="4" w:space="0" w:color="auto"/>
            </w:tcBorders>
            <w:vAlign w:val="center"/>
            <w:hideMark/>
          </w:tcPr>
          <w:p w14:paraId="67CAAACA" w14:textId="77777777" w:rsidR="00373EB2" w:rsidRPr="000708BC" w:rsidRDefault="00373EB2" w:rsidP="008661AA">
            <w:pPr>
              <w:rPr>
                <w:rFonts w:ascii="Arial" w:hAnsi="Arial" w:cs="Arial"/>
                <w:color w:val="000000"/>
                <w:sz w:val="20"/>
              </w:rPr>
            </w:pPr>
          </w:p>
        </w:tc>
      </w:tr>
      <w:tr w:rsidR="00373EB2" w:rsidRPr="000708BC" w14:paraId="6D6C3400"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561A60E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Energy (6MWp)</w:t>
            </w:r>
          </w:p>
        </w:tc>
        <w:tc>
          <w:tcPr>
            <w:tcW w:w="2410" w:type="dxa"/>
            <w:tcBorders>
              <w:top w:val="nil"/>
              <w:left w:val="nil"/>
              <w:bottom w:val="single" w:sz="4" w:space="0" w:color="auto"/>
              <w:right w:val="single" w:sz="4" w:space="0" w:color="auto"/>
            </w:tcBorders>
            <w:shd w:val="clear" w:color="auto" w:fill="auto"/>
            <w:noWrap/>
            <w:vAlign w:val="center"/>
            <w:hideMark/>
          </w:tcPr>
          <w:p w14:paraId="4D05A4F6"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Electricity</w:t>
            </w:r>
          </w:p>
        </w:tc>
        <w:tc>
          <w:tcPr>
            <w:tcW w:w="1559" w:type="dxa"/>
            <w:tcBorders>
              <w:top w:val="nil"/>
              <w:left w:val="nil"/>
              <w:bottom w:val="single" w:sz="4" w:space="0" w:color="auto"/>
              <w:right w:val="single" w:sz="4" w:space="0" w:color="auto"/>
            </w:tcBorders>
            <w:shd w:val="clear" w:color="auto" w:fill="auto"/>
            <w:noWrap/>
            <w:vAlign w:val="center"/>
            <w:hideMark/>
          </w:tcPr>
          <w:p w14:paraId="6C96600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GJ</w:t>
            </w:r>
          </w:p>
        </w:tc>
        <w:tc>
          <w:tcPr>
            <w:tcW w:w="1418" w:type="dxa"/>
            <w:tcBorders>
              <w:top w:val="nil"/>
              <w:left w:val="nil"/>
              <w:bottom w:val="single" w:sz="4" w:space="0" w:color="auto"/>
              <w:right w:val="single" w:sz="4" w:space="0" w:color="auto"/>
            </w:tcBorders>
            <w:shd w:val="clear" w:color="auto" w:fill="auto"/>
            <w:noWrap/>
            <w:vAlign w:val="center"/>
            <w:hideMark/>
          </w:tcPr>
          <w:p w14:paraId="5FEF1DF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36</w:t>
            </w:r>
          </w:p>
        </w:tc>
        <w:tc>
          <w:tcPr>
            <w:tcW w:w="1660" w:type="dxa"/>
            <w:vMerge/>
            <w:tcBorders>
              <w:top w:val="nil"/>
              <w:left w:val="single" w:sz="4" w:space="0" w:color="auto"/>
              <w:bottom w:val="single" w:sz="4" w:space="0" w:color="auto"/>
              <w:right w:val="single" w:sz="4" w:space="0" w:color="auto"/>
            </w:tcBorders>
            <w:vAlign w:val="center"/>
            <w:hideMark/>
          </w:tcPr>
          <w:p w14:paraId="735DB817" w14:textId="77777777" w:rsidR="00373EB2" w:rsidRPr="000708BC" w:rsidRDefault="00373EB2" w:rsidP="008661AA">
            <w:pPr>
              <w:rPr>
                <w:rFonts w:ascii="Arial" w:hAnsi="Arial" w:cs="Arial"/>
                <w:color w:val="000000"/>
                <w:sz w:val="20"/>
              </w:rPr>
            </w:pPr>
          </w:p>
        </w:tc>
      </w:tr>
      <w:tr w:rsidR="00373EB2" w:rsidRPr="000708BC" w14:paraId="4913232E"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B13E88C"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5CD2922"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Heat</w:t>
            </w:r>
          </w:p>
        </w:tc>
        <w:tc>
          <w:tcPr>
            <w:tcW w:w="1559" w:type="dxa"/>
            <w:tcBorders>
              <w:top w:val="nil"/>
              <w:left w:val="nil"/>
              <w:bottom w:val="single" w:sz="4" w:space="0" w:color="auto"/>
              <w:right w:val="single" w:sz="4" w:space="0" w:color="auto"/>
            </w:tcBorders>
            <w:shd w:val="clear" w:color="auto" w:fill="auto"/>
            <w:noWrap/>
            <w:vAlign w:val="center"/>
            <w:hideMark/>
          </w:tcPr>
          <w:p w14:paraId="5AAFFB4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GJ</w:t>
            </w:r>
          </w:p>
        </w:tc>
        <w:tc>
          <w:tcPr>
            <w:tcW w:w="1418" w:type="dxa"/>
            <w:tcBorders>
              <w:top w:val="nil"/>
              <w:left w:val="nil"/>
              <w:bottom w:val="single" w:sz="4" w:space="0" w:color="auto"/>
              <w:right w:val="single" w:sz="4" w:space="0" w:color="auto"/>
            </w:tcBorders>
            <w:shd w:val="clear" w:color="auto" w:fill="auto"/>
            <w:noWrap/>
            <w:vAlign w:val="center"/>
            <w:hideMark/>
          </w:tcPr>
          <w:p w14:paraId="2C48C63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88</w:t>
            </w:r>
          </w:p>
        </w:tc>
        <w:tc>
          <w:tcPr>
            <w:tcW w:w="1660" w:type="dxa"/>
            <w:vMerge/>
            <w:tcBorders>
              <w:top w:val="nil"/>
              <w:left w:val="single" w:sz="4" w:space="0" w:color="auto"/>
              <w:bottom w:val="single" w:sz="4" w:space="0" w:color="auto"/>
              <w:right w:val="single" w:sz="4" w:space="0" w:color="auto"/>
            </w:tcBorders>
            <w:vAlign w:val="center"/>
            <w:hideMark/>
          </w:tcPr>
          <w:p w14:paraId="7EE8EE83" w14:textId="77777777" w:rsidR="00373EB2" w:rsidRPr="000708BC" w:rsidRDefault="00373EB2" w:rsidP="008661AA">
            <w:pPr>
              <w:rPr>
                <w:rFonts w:ascii="Arial" w:hAnsi="Arial" w:cs="Arial"/>
                <w:color w:val="000000"/>
                <w:sz w:val="20"/>
              </w:rPr>
            </w:pPr>
          </w:p>
        </w:tc>
      </w:tr>
      <w:tr w:rsidR="00373EB2" w:rsidRPr="000708BC" w14:paraId="3D7B0F58"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E3984D5" w14:textId="77777777" w:rsidR="00373EB2" w:rsidRPr="000708BC" w:rsidRDefault="00373EB2" w:rsidP="008661AA">
            <w:pPr>
              <w:rPr>
                <w:rFonts w:ascii="Arial" w:hAnsi="Arial" w:cs="Arial"/>
                <w:color w:val="000000"/>
                <w:sz w:val="20"/>
              </w:rPr>
            </w:pPr>
          </w:p>
        </w:tc>
        <w:tc>
          <w:tcPr>
            <w:tcW w:w="2410" w:type="dxa"/>
            <w:tcBorders>
              <w:top w:val="nil"/>
              <w:left w:val="nil"/>
              <w:bottom w:val="single" w:sz="4" w:space="0" w:color="auto"/>
              <w:right w:val="single" w:sz="4" w:space="0" w:color="auto"/>
            </w:tcBorders>
            <w:shd w:val="clear" w:color="auto" w:fill="auto"/>
            <w:noWrap/>
            <w:vAlign w:val="center"/>
            <w:hideMark/>
          </w:tcPr>
          <w:p w14:paraId="7FA9D982"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Steam</w:t>
            </w:r>
          </w:p>
        </w:tc>
        <w:tc>
          <w:tcPr>
            <w:tcW w:w="1559" w:type="dxa"/>
            <w:tcBorders>
              <w:top w:val="nil"/>
              <w:left w:val="nil"/>
              <w:bottom w:val="single" w:sz="4" w:space="0" w:color="auto"/>
              <w:right w:val="single" w:sz="4" w:space="0" w:color="auto"/>
            </w:tcBorders>
            <w:shd w:val="clear" w:color="auto" w:fill="auto"/>
            <w:noWrap/>
            <w:vAlign w:val="center"/>
            <w:hideMark/>
          </w:tcPr>
          <w:p w14:paraId="320A534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MJ</w:t>
            </w:r>
          </w:p>
        </w:tc>
        <w:tc>
          <w:tcPr>
            <w:tcW w:w="1418" w:type="dxa"/>
            <w:tcBorders>
              <w:top w:val="nil"/>
              <w:left w:val="nil"/>
              <w:bottom w:val="single" w:sz="4" w:space="0" w:color="auto"/>
              <w:right w:val="single" w:sz="4" w:space="0" w:color="auto"/>
            </w:tcBorders>
            <w:shd w:val="clear" w:color="auto" w:fill="auto"/>
            <w:noWrap/>
            <w:vAlign w:val="center"/>
            <w:hideMark/>
          </w:tcPr>
          <w:p w14:paraId="512998C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700</w:t>
            </w:r>
          </w:p>
        </w:tc>
        <w:tc>
          <w:tcPr>
            <w:tcW w:w="1660" w:type="dxa"/>
            <w:vMerge/>
            <w:tcBorders>
              <w:top w:val="nil"/>
              <w:left w:val="single" w:sz="4" w:space="0" w:color="auto"/>
              <w:bottom w:val="single" w:sz="4" w:space="0" w:color="auto"/>
              <w:right w:val="single" w:sz="4" w:space="0" w:color="auto"/>
            </w:tcBorders>
            <w:vAlign w:val="center"/>
            <w:hideMark/>
          </w:tcPr>
          <w:p w14:paraId="43D780F5" w14:textId="77777777" w:rsidR="00373EB2" w:rsidRPr="000708BC" w:rsidRDefault="00373EB2" w:rsidP="008661AA">
            <w:pPr>
              <w:rPr>
                <w:rFonts w:ascii="Arial" w:hAnsi="Arial" w:cs="Arial"/>
                <w:color w:val="000000"/>
                <w:sz w:val="20"/>
              </w:rPr>
            </w:pPr>
          </w:p>
        </w:tc>
      </w:tr>
    </w:tbl>
    <w:p w14:paraId="350882BA" w14:textId="77777777" w:rsidR="00373EB2" w:rsidRPr="000708BC" w:rsidRDefault="00373EB2" w:rsidP="00373EB2">
      <w:pPr>
        <w:pStyle w:val="JIEreferencelist"/>
        <w:ind w:left="0" w:firstLine="0"/>
        <w:rPr>
          <w:rFonts w:ascii="Arial" w:hAnsi="Arial" w:cs="Arial"/>
          <w:iCs/>
          <w:sz w:val="22"/>
          <w:szCs w:val="22"/>
        </w:rPr>
      </w:pPr>
    </w:p>
    <w:p w14:paraId="228BF8A8" w14:textId="77777777" w:rsidR="00373EB2" w:rsidRPr="000708BC" w:rsidRDefault="00373EB2" w:rsidP="00373EB2">
      <w:pPr>
        <w:pStyle w:val="JIEreferencelist"/>
        <w:ind w:left="0" w:firstLine="0"/>
        <w:rPr>
          <w:rFonts w:ascii="Arial" w:hAnsi="Arial" w:cs="Arial"/>
          <w:i/>
          <w:sz w:val="20"/>
        </w:rPr>
      </w:pPr>
      <w:r w:rsidRPr="000708BC">
        <w:rPr>
          <w:rFonts w:ascii="Arial" w:hAnsi="Arial" w:cs="Arial"/>
          <w:i/>
          <w:sz w:val="20"/>
        </w:rPr>
        <w:t>Table S1-6 Construction materials PEMEL hydrogen plant.</w:t>
      </w:r>
    </w:p>
    <w:tbl>
      <w:tblPr>
        <w:tblW w:w="5000" w:type="pct"/>
        <w:jc w:val="center"/>
        <w:tblLook w:val="04A0" w:firstRow="1" w:lastRow="0" w:firstColumn="1" w:lastColumn="0" w:noHBand="0" w:noVBand="1"/>
      </w:tblPr>
      <w:tblGrid>
        <w:gridCol w:w="1763"/>
        <w:gridCol w:w="2484"/>
        <w:gridCol w:w="1382"/>
        <w:gridCol w:w="1383"/>
        <w:gridCol w:w="1618"/>
      </w:tblGrid>
      <w:tr w:rsidR="00373EB2" w:rsidRPr="000708BC" w14:paraId="0DC8F898" w14:textId="77777777" w:rsidTr="008661AA">
        <w:trPr>
          <w:trHeight w:val="280"/>
          <w:tblHeader/>
          <w:jc w:val="center"/>
        </w:trPr>
        <w:tc>
          <w:tcPr>
            <w:tcW w:w="180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ECF0BC3"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lastRenderedPageBreak/>
              <w:t>Structure</w:t>
            </w:r>
          </w:p>
        </w:tc>
        <w:tc>
          <w:tcPr>
            <w:tcW w:w="2552" w:type="dxa"/>
            <w:tcBorders>
              <w:top w:val="single" w:sz="4" w:space="0" w:color="auto"/>
              <w:left w:val="nil"/>
              <w:bottom w:val="single" w:sz="4" w:space="0" w:color="auto"/>
              <w:right w:val="single" w:sz="4" w:space="0" w:color="auto"/>
            </w:tcBorders>
            <w:shd w:val="clear" w:color="000000" w:fill="D9D9D9"/>
            <w:noWrap/>
            <w:vAlign w:val="center"/>
            <w:hideMark/>
          </w:tcPr>
          <w:p w14:paraId="180323AA"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Material</w:t>
            </w:r>
          </w:p>
        </w:tc>
        <w:tc>
          <w:tcPr>
            <w:tcW w:w="1417" w:type="dxa"/>
            <w:tcBorders>
              <w:top w:val="single" w:sz="4" w:space="0" w:color="auto"/>
              <w:left w:val="nil"/>
              <w:bottom w:val="single" w:sz="4" w:space="0" w:color="auto"/>
              <w:right w:val="single" w:sz="4" w:space="0" w:color="auto"/>
            </w:tcBorders>
            <w:shd w:val="clear" w:color="000000" w:fill="D9D9D9"/>
            <w:noWrap/>
            <w:vAlign w:val="center"/>
            <w:hideMark/>
          </w:tcPr>
          <w:p w14:paraId="4B7BF2EB"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Unit</w:t>
            </w:r>
          </w:p>
        </w:tc>
        <w:tc>
          <w:tcPr>
            <w:tcW w:w="1418" w:type="dxa"/>
            <w:tcBorders>
              <w:top w:val="single" w:sz="4" w:space="0" w:color="auto"/>
              <w:left w:val="nil"/>
              <w:bottom w:val="single" w:sz="4" w:space="0" w:color="auto"/>
              <w:right w:val="single" w:sz="4" w:space="0" w:color="auto"/>
            </w:tcBorders>
            <w:shd w:val="clear" w:color="000000" w:fill="D9D9D9"/>
            <w:noWrap/>
            <w:vAlign w:val="center"/>
            <w:hideMark/>
          </w:tcPr>
          <w:p w14:paraId="6D230A1E"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Value</w:t>
            </w:r>
          </w:p>
        </w:tc>
        <w:tc>
          <w:tcPr>
            <w:tcW w:w="1660" w:type="dxa"/>
            <w:tcBorders>
              <w:top w:val="single" w:sz="4" w:space="0" w:color="auto"/>
              <w:left w:val="nil"/>
              <w:bottom w:val="single" w:sz="4" w:space="0" w:color="auto"/>
              <w:right w:val="single" w:sz="4" w:space="0" w:color="auto"/>
            </w:tcBorders>
            <w:shd w:val="clear" w:color="000000" w:fill="D9D9D9"/>
            <w:noWrap/>
            <w:vAlign w:val="center"/>
            <w:hideMark/>
          </w:tcPr>
          <w:p w14:paraId="74481E8D" w14:textId="77777777" w:rsidR="00373EB2" w:rsidRPr="000708BC" w:rsidRDefault="00373EB2" w:rsidP="008661AA">
            <w:pPr>
              <w:jc w:val="center"/>
              <w:rPr>
                <w:rFonts w:ascii="Arial" w:hAnsi="Arial" w:cs="Arial"/>
                <w:b/>
                <w:bCs/>
                <w:color w:val="000000"/>
                <w:sz w:val="20"/>
              </w:rPr>
            </w:pPr>
            <w:r w:rsidRPr="000708BC">
              <w:rPr>
                <w:rFonts w:ascii="Arial" w:hAnsi="Arial" w:cs="Arial"/>
                <w:b/>
                <w:bCs/>
                <w:color w:val="000000"/>
                <w:sz w:val="20"/>
              </w:rPr>
              <w:t>Reference</w:t>
            </w:r>
          </w:p>
        </w:tc>
      </w:tr>
      <w:tr w:rsidR="00373EB2" w:rsidRPr="000708BC" w14:paraId="16BE601C"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71F58BF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Balance of Plant (1MWp)</w:t>
            </w:r>
          </w:p>
        </w:tc>
        <w:tc>
          <w:tcPr>
            <w:tcW w:w="2552" w:type="dxa"/>
            <w:tcBorders>
              <w:top w:val="nil"/>
              <w:left w:val="nil"/>
              <w:bottom w:val="single" w:sz="4" w:space="0" w:color="auto"/>
              <w:right w:val="single" w:sz="4" w:space="0" w:color="auto"/>
            </w:tcBorders>
            <w:shd w:val="clear" w:color="auto" w:fill="auto"/>
            <w:noWrap/>
            <w:vAlign w:val="center"/>
            <w:hideMark/>
          </w:tcPr>
          <w:p w14:paraId="7406D3F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Low alloyes steel</w:t>
            </w:r>
          </w:p>
        </w:tc>
        <w:tc>
          <w:tcPr>
            <w:tcW w:w="1417" w:type="dxa"/>
            <w:tcBorders>
              <w:top w:val="nil"/>
              <w:left w:val="nil"/>
              <w:bottom w:val="single" w:sz="4" w:space="0" w:color="auto"/>
              <w:right w:val="single" w:sz="4" w:space="0" w:color="auto"/>
            </w:tcBorders>
            <w:shd w:val="clear" w:color="auto" w:fill="auto"/>
            <w:noWrap/>
            <w:vAlign w:val="center"/>
            <w:hideMark/>
          </w:tcPr>
          <w:p w14:paraId="44FEEA7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0275F6E8"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4.8</w:t>
            </w:r>
          </w:p>
        </w:tc>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sdt>
            <w:sdtPr>
              <w:rPr>
                <w:rFonts w:ascii="Arial" w:hAnsi="Arial" w:cs="Arial"/>
                <w:color w:val="000000"/>
                <w:sz w:val="20"/>
              </w:rPr>
              <w:tag w:val="MENDELEY_CITATION_v3_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"/>
              <w:id w:val="-950777368"/>
              <w:placeholder>
                <w:docPart w:val="E23D2864DABFB34E8C3F5E77B9CAF000"/>
              </w:placeholder>
            </w:sdtPr>
            <w:sdtEndPr/>
            <w:sdtContent>
              <w:p w14:paraId="028DD8AF" w14:textId="3FA3A331" w:rsidR="00373EB2" w:rsidRPr="000708BC" w:rsidRDefault="002422C9" w:rsidP="008661AA">
                <w:pPr>
                  <w:jc w:val="center"/>
                  <w:rPr>
                    <w:rFonts w:ascii="Arial" w:hAnsi="Arial" w:cs="Arial"/>
                    <w:color w:val="000000"/>
                    <w:sz w:val="20"/>
                  </w:rPr>
                </w:pPr>
                <w:r w:rsidRPr="000708BC">
                  <w:rPr>
                    <w:rFonts w:ascii="Arial" w:hAnsi="Arial" w:cs="Arial"/>
                    <w:color w:val="000000"/>
                    <w:sz w:val="20"/>
                    <w:lang w:val="es-ES"/>
                  </w:rPr>
                  <w:t>(</w:t>
                </w:r>
                <w:proofErr w:type="spellStart"/>
                <w:r w:rsidRPr="000708BC">
                  <w:rPr>
                    <w:rFonts w:ascii="Arial" w:hAnsi="Arial" w:cs="Arial"/>
                    <w:color w:val="000000"/>
                    <w:sz w:val="20"/>
                    <w:lang w:val="es-ES"/>
                  </w:rPr>
                  <w:t>Bareiß</w:t>
                </w:r>
                <w:proofErr w:type="spellEnd"/>
                <w:r w:rsidRPr="000708BC">
                  <w:rPr>
                    <w:rFonts w:ascii="Arial" w:hAnsi="Arial" w:cs="Arial"/>
                    <w:color w:val="000000"/>
                    <w:sz w:val="20"/>
                    <w:lang w:val="es-ES"/>
                  </w:rPr>
                  <w:t xml:space="preserve"> et al., 2019; </w:t>
                </w:r>
                <w:proofErr w:type="spellStart"/>
                <w:r w:rsidRPr="000708BC">
                  <w:rPr>
                    <w:rFonts w:ascii="Arial" w:hAnsi="Arial" w:cs="Arial"/>
                    <w:color w:val="000000"/>
                    <w:sz w:val="20"/>
                    <w:lang w:val="es-ES"/>
                  </w:rPr>
                  <w:t>Delpierre</w:t>
                </w:r>
                <w:proofErr w:type="spellEnd"/>
                <w:r w:rsidRPr="000708BC">
                  <w:rPr>
                    <w:rFonts w:ascii="Arial" w:hAnsi="Arial" w:cs="Arial"/>
                    <w:color w:val="000000"/>
                    <w:sz w:val="20"/>
                    <w:lang w:val="es-ES"/>
                  </w:rPr>
                  <w:t xml:space="preserve"> et al., 2021; Khan et al., 2024; </w:t>
                </w:r>
                <w:proofErr w:type="spellStart"/>
                <w:r w:rsidRPr="000708BC">
                  <w:rPr>
                    <w:rFonts w:ascii="Arial" w:hAnsi="Arial" w:cs="Arial"/>
                    <w:color w:val="000000"/>
                    <w:sz w:val="20"/>
                    <w:lang w:val="es-ES"/>
                  </w:rPr>
                  <w:t>Krishnan</w:t>
                </w:r>
                <w:proofErr w:type="spellEnd"/>
                <w:r w:rsidRPr="000708BC">
                  <w:rPr>
                    <w:rFonts w:ascii="Arial" w:hAnsi="Arial" w:cs="Arial"/>
                    <w:color w:val="000000"/>
                    <w:sz w:val="20"/>
                    <w:lang w:val="es-ES"/>
                  </w:rPr>
                  <w:t xml:space="preserve"> et al., 2024)</w:t>
                </w:r>
              </w:p>
            </w:sdtContent>
          </w:sdt>
        </w:tc>
      </w:tr>
      <w:tr w:rsidR="00373EB2" w:rsidRPr="000708BC" w14:paraId="4F22B0FB"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2079D4EE"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7CEA7A9A"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High alloyed steel</w:t>
            </w:r>
          </w:p>
        </w:tc>
        <w:tc>
          <w:tcPr>
            <w:tcW w:w="1417" w:type="dxa"/>
            <w:tcBorders>
              <w:top w:val="nil"/>
              <w:left w:val="nil"/>
              <w:bottom w:val="single" w:sz="4" w:space="0" w:color="auto"/>
              <w:right w:val="single" w:sz="4" w:space="0" w:color="auto"/>
            </w:tcBorders>
            <w:shd w:val="clear" w:color="auto" w:fill="auto"/>
            <w:noWrap/>
            <w:vAlign w:val="center"/>
            <w:hideMark/>
          </w:tcPr>
          <w:p w14:paraId="4A6E734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0A4A0AB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1.9</w:t>
            </w:r>
          </w:p>
        </w:tc>
        <w:tc>
          <w:tcPr>
            <w:tcW w:w="1660" w:type="dxa"/>
            <w:vMerge/>
            <w:tcBorders>
              <w:top w:val="nil"/>
              <w:left w:val="single" w:sz="4" w:space="0" w:color="auto"/>
              <w:bottom w:val="single" w:sz="4" w:space="0" w:color="auto"/>
              <w:right w:val="single" w:sz="4" w:space="0" w:color="auto"/>
            </w:tcBorders>
            <w:vAlign w:val="center"/>
            <w:hideMark/>
          </w:tcPr>
          <w:p w14:paraId="558AF696" w14:textId="77777777" w:rsidR="00373EB2" w:rsidRPr="000708BC" w:rsidRDefault="00373EB2" w:rsidP="008661AA">
            <w:pPr>
              <w:rPr>
                <w:rFonts w:ascii="Arial" w:hAnsi="Arial" w:cs="Arial"/>
                <w:color w:val="000000"/>
                <w:sz w:val="20"/>
              </w:rPr>
            </w:pPr>
          </w:p>
        </w:tc>
      </w:tr>
      <w:tr w:rsidR="00373EB2" w:rsidRPr="000708BC" w14:paraId="7108EDEA"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00EC7AE2"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0B32E095"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Aluminum</w:t>
            </w:r>
          </w:p>
        </w:tc>
        <w:tc>
          <w:tcPr>
            <w:tcW w:w="1417" w:type="dxa"/>
            <w:tcBorders>
              <w:top w:val="nil"/>
              <w:left w:val="nil"/>
              <w:bottom w:val="single" w:sz="4" w:space="0" w:color="auto"/>
              <w:right w:val="single" w:sz="4" w:space="0" w:color="auto"/>
            </w:tcBorders>
            <w:shd w:val="clear" w:color="auto" w:fill="auto"/>
            <w:noWrap/>
            <w:vAlign w:val="center"/>
            <w:hideMark/>
          </w:tcPr>
          <w:p w14:paraId="39DE7B9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2738FFF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0.1</w:t>
            </w:r>
          </w:p>
        </w:tc>
        <w:tc>
          <w:tcPr>
            <w:tcW w:w="1660" w:type="dxa"/>
            <w:vMerge/>
            <w:tcBorders>
              <w:top w:val="nil"/>
              <w:left w:val="single" w:sz="4" w:space="0" w:color="auto"/>
              <w:bottom w:val="single" w:sz="4" w:space="0" w:color="auto"/>
              <w:right w:val="single" w:sz="4" w:space="0" w:color="auto"/>
            </w:tcBorders>
            <w:vAlign w:val="center"/>
            <w:hideMark/>
          </w:tcPr>
          <w:p w14:paraId="50C00191" w14:textId="77777777" w:rsidR="00373EB2" w:rsidRPr="000708BC" w:rsidRDefault="00373EB2" w:rsidP="008661AA">
            <w:pPr>
              <w:rPr>
                <w:rFonts w:ascii="Arial" w:hAnsi="Arial" w:cs="Arial"/>
                <w:color w:val="000000"/>
                <w:sz w:val="20"/>
              </w:rPr>
            </w:pPr>
          </w:p>
        </w:tc>
      </w:tr>
      <w:tr w:rsidR="00373EB2" w:rsidRPr="000708BC" w14:paraId="12EA26EE"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E9C2CD4"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4870C6C3"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Copper</w:t>
            </w:r>
          </w:p>
        </w:tc>
        <w:tc>
          <w:tcPr>
            <w:tcW w:w="1417" w:type="dxa"/>
            <w:tcBorders>
              <w:top w:val="nil"/>
              <w:left w:val="nil"/>
              <w:bottom w:val="single" w:sz="4" w:space="0" w:color="auto"/>
              <w:right w:val="single" w:sz="4" w:space="0" w:color="auto"/>
            </w:tcBorders>
            <w:shd w:val="clear" w:color="auto" w:fill="auto"/>
            <w:noWrap/>
            <w:vAlign w:val="center"/>
            <w:hideMark/>
          </w:tcPr>
          <w:p w14:paraId="2986098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162815A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0.1</w:t>
            </w:r>
          </w:p>
        </w:tc>
        <w:tc>
          <w:tcPr>
            <w:tcW w:w="1660" w:type="dxa"/>
            <w:vMerge/>
            <w:tcBorders>
              <w:top w:val="nil"/>
              <w:left w:val="single" w:sz="4" w:space="0" w:color="auto"/>
              <w:bottom w:val="single" w:sz="4" w:space="0" w:color="auto"/>
              <w:right w:val="single" w:sz="4" w:space="0" w:color="auto"/>
            </w:tcBorders>
            <w:vAlign w:val="center"/>
            <w:hideMark/>
          </w:tcPr>
          <w:p w14:paraId="1AD25A98" w14:textId="77777777" w:rsidR="00373EB2" w:rsidRPr="000708BC" w:rsidRDefault="00373EB2" w:rsidP="008661AA">
            <w:pPr>
              <w:rPr>
                <w:rFonts w:ascii="Arial" w:hAnsi="Arial" w:cs="Arial"/>
                <w:color w:val="000000"/>
                <w:sz w:val="20"/>
              </w:rPr>
            </w:pPr>
          </w:p>
        </w:tc>
      </w:tr>
      <w:tr w:rsidR="00373EB2" w:rsidRPr="000708BC" w14:paraId="543E39BC"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3BE4244B"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3A51350D"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Plastic</w:t>
            </w:r>
          </w:p>
        </w:tc>
        <w:tc>
          <w:tcPr>
            <w:tcW w:w="1417" w:type="dxa"/>
            <w:tcBorders>
              <w:top w:val="nil"/>
              <w:left w:val="nil"/>
              <w:bottom w:val="single" w:sz="4" w:space="0" w:color="auto"/>
              <w:right w:val="single" w:sz="4" w:space="0" w:color="auto"/>
            </w:tcBorders>
            <w:shd w:val="clear" w:color="auto" w:fill="auto"/>
            <w:noWrap/>
            <w:vAlign w:val="center"/>
            <w:hideMark/>
          </w:tcPr>
          <w:p w14:paraId="586D0B7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6A5DA29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0.3</w:t>
            </w:r>
          </w:p>
        </w:tc>
        <w:tc>
          <w:tcPr>
            <w:tcW w:w="1660" w:type="dxa"/>
            <w:vMerge/>
            <w:tcBorders>
              <w:top w:val="nil"/>
              <w:left w:val="single" w:sz="4" w:space="0" w:color="auto"/>
              <w:bottom w:val="single" w:sz="4" w:space="0" w:color="auto"/>
              <w:right w:val="single" w:sz="4" w:space="0" w:color="auto"/>
            </w:tcBorders>
            <w:vAlign w:val="center"/>
            <w:hideMark/>
          </w:tcPr>
          <w:p w14:paraId="2533EE00" w14:textId="77777777" w:rsidR="00373EB2" w:rsidRPr="000708BC" w:rsidRDefault="00373EB2" w:rsidP="008661AA">
            <w:pPr>
              <w:rPr>
                <w:rFonts w:ascii="Arial" w:hAnsi="Arial" w:cs="Arial"/>
                <w:color w:val="000000"/>
                <w:sz w:val="20"/>
              </w:rPr>
            </w:pPr>
          </w:p>
        </w:tc>
      </w:tr>
      <w:tr w:rsidR="00373EB2" w:rsidRPr="000708BC" w14:paraId="009116AE"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239C2ED"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2CF7F1F0"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Electronic material</w:t>
            </w:r>
          </w:p>
        </w:tc>
        <w:tc>
          <w:tcPr>
            <w:tcW w:w="1417" w:type="dxa"/>
            <w:tcBorders>
              <w:top w:val="nil"/>
              <w:left w:val="nil"/>
              <w:bottom w:val="single" w:sz="4" w:space="0" w:color="auto"/>
              <w:right w:val="single" w:sz="4" w:space="0" w:color="auto"/>
            </w:tcBorders>
            <w:shd w:val="clear" w:color="auto" w:fill="auto"/>
            <w:noWrap/>
            <w:vAlign w:val="center"/>
            <w:hideMark/>
          </w:tcPr>
          <w:p w14:paraId="3F0956F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645AD05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1.1</w:t>
            </w:r>
          </w:p>
        </w:tc>
        <w:tc>
          <w:tcPr>
            <w:tcW w:w="1660" w:type="dxa"/>
            <w:vMerge/>
            <w:tcBorders>
              <w:top w:val="nil"/>
              <w:left w:val="single" w:sz="4" w:space="0" w:color="auto"/>
              <w:bottom w:val="single" w:sz="4" w:space="0" w:color="auto"/>
              <w:right w:val="single" w:sz="4" w:space="0" w:color="auto"/>
            </w:tcBorders>
            <w:vAlign w:val="center"/>
            <w:hideMark/>
          </w:tcPr>
          <w:p w14:paraId="0AF8A9A7" w14:textId="77777777" w:rsidR="00373EB2" w:rsidRPr="000708BC" w:rsidRDefault="00373EB2" w:rsidP="008661AA">
            <w:pPr>
              <w:rPr>
                <w:rFonts w:ascii="Arial" w:hAnsi="Arial" w:cs="Arial"/>
                <w:color w:val="000000"/>
                <w:sz w:val="20"/>
              </w:rPr>
            </w:pPr>
          </w:p>
        </w:tc>
      </w:tr>
      <w:tr w:rsidR="00373EB2" w:rsidRPr="000708BC" w14:paraId="71F9406D"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91FCEBA"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344A9448"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Process material</w:t>
            </w:r>
          </w:p>
        </w:tc>
        <w:tc>
          <w:tcPr>
            <w:tcW w:w="1417" w:type="dxa"/>
            <w:tcBorders>
              <w:top w:val="nil"/>
              <w:left w:val="nil"/>
              <w:bottom w:val="single" w:sz="4" w:space="0" w:color="auto"/>
              <w:right w:val="single" w:sz="4" w:space="0" w:color="auto"/>
            </w:tcBorders>
            <w:shd w:val="clear" w:color="auto" w:fill="auto"/>
            <w:noWrap/>
            <w:vAlign w:val="center"/>
            <w:hideMark/>
          </w:tcPr>
          <w:p w14:paraId="2C2763E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7E2F5A6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0.2</w:t>
            </w:r>
          </w:p>
        </w:tc>
        <w:tc>
          <w:tcPr>
            <w:tcW w:w="1660" w:type="dxa"/>
            <w:vMerge/>
            <w:tcBorders>
              <w:top w:val="nil"/>
              <w:left w:val="single" w:sz="4" w:space="0" w:color="auto"/>
              <w:bottom w:val="single" w:sz="4" w:space="0" w:color="auto"/>
              <w:right w:val="single" w:sz="4" w:space="0" w:color="auto"/>
            </w:tcBorders>
            <w:vAlign w:val="center"/>
            <w:hideMark/>
          </w:tcPr>
          <w:p w14:paraId="79ACB719" w14:textId="77777777" w:rsidR="00373EB2" w:rsidRPr="000708BC" w:rsidRDefault="00373EB2" w:rsidP="008661AA">
            <w:pPr>
              <w:rPr>
                <w:rFonts w:ascii="Arial" w:hAnsi="Arial" w:cs="Arial"/>
                <w:color w:val="000000"/>
                <w:sz w:val="20"/>
              </w:rPr>
            </w:pPr>
          </w:p>
        </w:tc>
      </w:tr>
      <w:tr w:rsidR="00373EB2" w:rsidRPr="000708BC" w14:paraId="3A8FACC0"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022989AA"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0E93002C"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Concrete</w:t>
            </w:r>
          </w:p>
        </w:tc>
        <w:tc>
          <w:tcPr>
            <w:tcW w:w="1417" w:type="dxa"/>
            <w:tcBorders>
              <w:top w:val="nil"/>
              <w:left w:val="nil"/>
              <w:bottom w:val="single" w:sz="4" w:space="0" w:color="auto"/>
              <w:right w:val="single" w:sz="4" w:space="0" w:color="auto"/>
            </w:tcBorders>
            <w:shd w:val="clear" w:color="auto" w:fill="auto"/>
            <w:noWrap/>
            <w:vAlign w:val="center"/>
            <w:hideMark/>
          </w:tcPr>
          <w:p w14:paraId="387A616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t</w:t>
            </w:r>
          </w:p>
        </w:tc>
        <w:tc>
          <w:tcPr>
            <w:tcW w:w="1418" w:type="dxa"/>
            <w:tcBorders>
              <w:top w:val="nil"/>
              <w:left w:val="nil"/>
              <w:bottom w:val="single" w:sz="4" w:space="0" w:color="auto"/>
              <w:right w:val="single" w:sz="4" w:space="0" w:color="auto"/>
            </w:tcBorders>
            <w:shd w:val="clear" w:color="auto" w:fill="auto"/>
            <w:noWrap/>
            <w:vAlign w:val="center"/>
            <w:hideMark/>
          </w:tcPr>
          <w:p w14:paraId="49F810A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5.6</w:t>
            </w:r>
          </w:p>
        </w:tc>
        <w:tc>
          <w:tcPr>
            <w:tcW w:w="1660" w:type="dxa"/>
            <w:vMerge/>
            <w:tcBorders>
              <w:top w:val="nil"/>
              <w:left w:val="single" w:sz="4" w:space="0" w:color="auto"/>
              <w:bottom w:val="single" w:sz="4" w:space="0" w:color="auto"/>
              <w:right w:val="single" w:sz="4" w:space="0" w:color="auto"/>
            </w:tcBorders>
            <w:vAlign w:val="center"/>
            <w:hideMark/>
          </w:tcPr>
          <w:p w14:paraId="4CA394C8" w14:textId="77777777" w:rsidR="00373EB2" w:rsidRPr="000708BC" w:rsidRDefault="00373EB2" w:rsidP="008661AA">
            <w:pPr>
              <w:rPr>
                <w:rFonts w:ascii="Arial" w:hAnsi="Arial" w:cs="Arial"/>
                <w:color w:val="000000"/>
                <w:sz w:val="20"/>
              </w:rPr>
            </w:pPr>
          </w:p>
        </w:tc>
      </w:tr>
      <w:tr w:rsidR="00373EB2" w:rsidRPr="000708BC" w14:paraId="3D2DD886"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34E3116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Stack (1MWp)</w:t>
            </w:r>
          </w:p>
        </w:tc>
        <w:tc>
          <w:tcPr>
            <w:tcW w:w="2552" w:type="dxa"/>
            <w:tcBorders>
              <w:top w:val="nil"/>
              <w:left w:val="nil"/>
              <w:bottom w:val="single" w:sz="4" w:space="0" w:color="auto"/>
              <w:right w:val="single" w:sz="4" w:space="0" w:color="auto"/>
            </w:tcBorders>
            <w:shd w:val="clear" w:color="auto" w:fill="auto"/>
            <w:noWrap/>
            <w:vAlign w:val="center"/>
            <w:hideMark/>
          </w:tcPr>
          <w:p w14:paraId="061F531F"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Titanium</w:t>
            </w:r>
          </w:p>
        </w:tc>
        <w:tc>
          <w:tcPr>
            <w:tcW w:w="1417" w:type="dxa"/>
            <w:tcBorders>
              <w:top w:val="nil"/>
              <w:left w:val="nil"/>
              <w:bottom w:val="single" w:sz="4" w:space="0" w:color="auto"/>
              <w:right w:val="single" w:sz="4" w:space="0" w:color="auto"/>
            </w:tcBorders>
            <w:shd w:val="clear" w:color="auto" w:fill="auto"/>
            <w:noWrap/>
            <w:vAlign w:val="center"/>
            <w:hideMark/>
          </w:tcPr>
          <w:p w14:paraId="7AC4704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5D1521F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13.85</w:t>
            </w:r>
          </w:p>
        </w:tc>
        <w:tc>
          <w:tcPr>
            <w:tcW w:w="1660" w:type="dxa"/>
            <w:vMerge/>
            <w:tcBorders>
              <w:top w:val="nil"/>
              <w:left w:val="single" w:sz="4" w:space="0" w:color="auto"/>
              <w:bottom w:val="single" w:sz="4" w:space="0" w:color="auto"/>
              <w:right w:val="single" w:sz="4" w:space="0" w:color="auto"/>
            </w:tcBorders>
            <w:vAlign w:val="center"/>
            <w:hideMark/>
          </w:tcPr>
          <w:p w14:paraId="0EC52BCC" w14:textId="77777777" w:rsidR="00373EB2" w:rsidRPr="000708BC" w:rsidRDefault="00373EB2" w:rsidP="008661AA">
            <w:pPr>
              <w:rPr>
                <w:rFonts w:ascii="Arial" w:hAnsi="Arial" w:cs="Arial"/>
                <w:color w:val="000000"/>
                <w:sz w:val="20"/>
              </w:rPr>
            </w:pPr>
          </w:p>
        </w:tc>
      </w:tr>
      <w:tr w:rsidR="00373EB2" w:rsidRPr="000708BC" w14:paraId="50E96207"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22D854FD"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60412C40"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Aluminium</w:t>
            </w:r>
          </w:p>
        </w:tc>
        <w:tc>
          <w:tcPr>
            <w:tcW w:w="1417" w:type="dxa"/>
            <w:tcBorders>
              <w:top w:val="nil"/>
              <w:left w:val="nil"/>
              <w:bottom w:val="single" w:sz="4" w:space="0" w:color="auto"/>
              <w:right w:val="single" w:sz="4" w:space="0" w:color="auto"/>
            </w:tcBorders>
            <w:shd w:val="clear" w:color="auto" w:fill="auto"/>
            <w:noWrap/>
            <w:vAlign w:val="center"/>
            <w:hideMark/>
          </w:tcPr>
          <w:p w14:paraId="3F4B71E3"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4C5CD4C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54</w:t>
            </w:r>
          </w:p>
        </w:tc>
        <w:tc>
          <w:tcPr>
            <w:tcW w:w="1660" w:type="dxa"/>
            <w:vMerge/>
            <w:tcBorders>
              <w:top w:val="nil"/>
              <w:left w:val="single" w:sz="4" w:space="0" w:color="auto"/>
              <w:bottom w:val="single" w:sz="4" w:space="0" w:color="auto"/>
              <w:right w:val="single" w:sz="4" w:space="0" w:color="auto"/>
            </w:tcBorders>
            <w:vAlign w:val="center"/>
            <w:hideMark/>
          </w:tcPr>
          <w:p w14:paraId="205AA7F0" w14:textId="77777777" w:rsidR="00373EB2" w:rsidRPr="000708BC" w:rsidRDefault="00373EB2" w:rsidP="008661AA">
            <w:pPr>
              <w:rPr>
                <w:rFonts w:ascii="Arial" w:hAnsi="Arial" w:cs="Arial"/>
                <w:color w:val="000000"/>
                <w:sz w:val="20"/>
              </w:rPr>
            </w:pPr>
          </w:p>
        </w:tc>
      </w:tr>
      <w:tr w:rsidR="00373EB2" w:rsidRPr="000708BC" w14:paraId="642EC939"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24627718"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707F914F"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Stainless steel</w:t>
            </w:r>
          </w:p>
        </w:tc>
        <w:tc>
          <w:tcPr>
            <w:tcW w:w="1417" w:type="dxa"/>
            <w:tcBorders>
              <w:top w:val="nil"/>
              <w:left w:val="nil"/>
              <w:bottom w:val="single" w:sz="4" w:space="0" w:color="auto"/>
              <w:right w:val="single" w:sz="4" w:space="0" w:color="auto"/>
            </w:tcBorders>
            <w:shd w:val="clear" w:color="auto" w:fill="auto"/>
            <w:noWrap/>
            <w:vAlign w:val="center"/>
            <w:hideMark/>
          </w:tcPr>
          <w:p w14:paraId="68F6696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50357472"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40</w:t>
            </w:r>
          </w:p>
        </w:tc>
        <w:tc>
          <w:tcPr>
            <w:tcW w:w="1660" w:type="dxa"/>
            <w:vMerge/>
            <w:tcBorders>
              <w:top w:val="nil"/>
              <w:left w:val="single" w:sz="4" w:space="0" w:color="auto"/>
              <w:bottom w:val="single" w:sz="4" w:space="0" w:color="auto"/>
              <w:right w:val="single" w:sz="4" w:space="0" w:color="auto"/>
            </w:tcBorders>
            <w:vAlign w:val="center"/>
            <w:hideMark/>
          </w:tcPr>
          <w:p w14:paraId="2DC11AD3" w14:textId="77777777" w:rsidR="00373EB2" w:rsidRPr="000708BC" w:rsidRDefault="00373EB2" w:rsidP="008661AA">
            <w:pPr>
              <w:rPr>
                <w:rFonts w:ascii="Arial" w:hAnsi="Arial" w:cs="Arial"/>
                <w:color w:val="000000"/>
                <w:sz w:val="20"/>
              </w:rPr>
            </w:pPr>
          </w:p>
        </w:tc>
      </w:tr>
      <w:tr w:rsidR="00373EB2" w:rsidRPr="000708BC" w14:paraId="59B35A2C"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71EA6EDD"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49AC085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Copper</w:t>
            </w:r>
          </w:p>
        </w:tc>
        <w:tc>
          <w:tcPr>
            <w:tcW w:w="1417" w:type="dxa"/>
            <w:tcBorders>
              <w:top w:val="nil"/>
              <w:left w:val="nil"/>
              <w:bottom w:val="single" w:sz="4" w:space="0" w:color="auto"/>
              <w:right w:val="single" w:sz="4" w:space="0" w:color="auto"/>
            </w:tcBorders>
            <w:shd w:val="clear" w:color="auto" w:fill="auto"/>
            <w:noWrap/>
            <w:vAlign w:val="center"/>
            <w:hideMark/>
          </w:tcPr>
          <w:p w14:paraId="67C9261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2AC7C99A"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0.9</w:t>
            </w:r>
          </w:p>
        </w:tc>
        <w:tc>
          <w:tcPr>
            <w:tcW w:w="1660" w:type="dxa"/>
            <w:vMerge/>
            <w:tcBorders>
              <w:top w:val="nil"/>
              <w:left w:val="single" w:sz="4" w:space="0" w:color="auto"/>
              <w:bottom w:val="single" w:sz="4" w:space="0" w:color="auto"/>
              <w:right w:val="single" w:sz="4" w:space="0" w:color="auto"/>
            </w:tcBorders>
            <w:vAlign w:val="center"/>
            <w:hideMark/>
          </w:tcPr>
          <w:p w14:paraId="4D8DF315" w14:textId="77777777" w:rsidR="00373EB2" w:rsidRPr="000708BC" w:rsidRDefault="00373EB2" w:rsidP="008661AA">
            <w:pPr>
              <w:rPr>
                <w:rFonts w:ascii="Arial" w:hAnsi="Arial" w:cs="Arial"/>
                <w:color w:val="000000"/>
                <w:sz w:val="20"/>
              </w:rPr>
            </w:pPr>
          </w:p>
        </w:tc>
      </w:tr>
      <w:tr w:rsidR="00373EB2" w:rsidRPr="000708BC" w14:paraId="463FD296"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0973941"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547C4256"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Nafion</w:t>
            </w:r>
          </w:p>
        </w:tc>
        <w:tc>
          <w:tcPr>
            <w:tcW w:w="1417" w:type="dxa"/>
            <w:tcBorders>
              <w:top w:val="nil"/>
              <w:left w:val="nil"/>
              <w:bottom w:val="single" w:sz="4" w:space="0" w:color="auto"/>
              <w:right w:val="single" w:sz="4" w:space="0" w:color="auto"/>
            </w:tcBorders>
            <w:shd w:val="clear" w:color="auto" w:fill="auto"/>
            <w:noWrap/>
            <w:vAlign w:val="center"/>
            <w:hideMark/>
          </w:tcPr>
          <w:p w14:paraId="3E09C14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174860B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2</w:t>
            </w:r>
          </w:p>
        </w:tc>
        <w:tc>
          <w:tcPr>
            <w:tcW w:w="1660" w:type="dxa"/>
            <w:vMerge/>
            <w:tcBorders>
              <w:top w:val="nil"/>
              <w:left w:val="single" w:sz="4" w:space="0" w:color="auto"/>
              <w:bottom w:val="single" w:sz="4" w:space="0" w:color="auto"/>
              <w:right w:val="single" w:sz="4" w:space="0" w:color="auto"/>
            </w:tcBorders>
            <w:vAlign w:val="center"/>
            <w:hideMark/>
          </w:tcPr>
          <w:p w14:paraId="4EB30E7E" w14:textId="77777777" w:rsidR="00373EB2" w:rsidRPr="000708BC" w:rsidRDefault="00373EB2" w:rsidP="008661AA">
            <w:pPr>
              <w:rPr>
                <w:rFonts w:ascii="Arial" w:hAnsi="Arial" w:cs="Arial"/>
                <w:color w:val="000000"/>
                <w:sz w:val="20"/>
              </w:rPr>
            </w:pPr>
          </w:p>
        </w:tc>
      </w:tr>
      <w:tr w:rsidR="00373EB2" w:rsidRPr="000708BC" w14:paraId="24FCD296"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197EA407"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2A676AB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Activated carbon</w:t>
            </w:r>
          </w:p>
        </w:tc>
        <w:tc>
          <w:tcPr>
            <w:tcW w:w="1417" w:type="dxa"/>
            <w:tcBorders>
              <w:top w:val="nil"/>
              <w:left w:val="nil"/>
              <w:bottom w:val="single" w:sz="4" w:space="0" w:color="auto"/>
              <w:right w:val="single" w:sz="4" w:space="0" w:color="auto"/>
            </w:tcBorders>
            <w:shd w:val="clear" w:color="auto" w:fill="auto"/>
            <w:noWrap/>
            <w:vAlign w:val="center"/>
            <w:hideMark/>
          </w:tcPr>
          <w:p w14:paraId="5C760E4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380F8AA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4.5</w:t>
            </w:r>
          </w:p>
        </w:tc>
        <w:tc>
          <w:tcPr>
            <w:tcW w:w="1660" w:type="dxa"/>
            <w:vMerge/>
            <w:tcBorders>
              <w:top w:val="nil"/>
              <w:left w:val="single" w:sz="4" w:space="0" w:color="auto"/>
              <w:bottom w:val="single" w:sz="4" w:space="0" w:color="auto"/>
              <w:right w:val="single" w:sz="4" w:space="0" w:color="auto"/>
            </w:tcBorders>
            <w:vAlign w:val="center"/>
            <w:hideMark/>
          </w:tcPr>
          <w:p w14:paraId="4747B523" w14:textId="77777777" w:rsidR="00373EB2" w:rsidRPr="000708BC" w:rsidRDefault="00373EB2" w:rsidP="008661AA">
            <w:pPr>
              <w:rPr>
                <w:rFonts w:ascii="Arial" w:hAnsi="Arial" w:cs="Arial"/>
                <w:color w:val="000000"/>
                <w:sz w:val="20"/>
              </w:rPr>
            </w:pPr>
          </w:p>
        </w:tc>
      </w:tr>
      <w:tr w:rsidR="00373EB2" w:rsidRPr="000708BC" w14:paraId="3183D8D3"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12279A4A"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1456BB8A"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Iridium</w:t>
            </w:r>
          </w:p>
        </w:tc>
        <w:tc>
          <w:tcPr>
            <w:tcW w:w="1417" w:type="dxa"/>
            <w:tcBorders>
              <w:top w:val="nil"/>
              <w:left w:val="nil"/>
              <w:bottom w:val="single" w:sz="4" w:space="0" w:color="auto"/>
              <w:right w:val="single" w:sz="4" w:space="0" w:color="auto"/>
            </w:tcBorders>
            <w:shd w:val="clear" w:color="auto" w:fill="auto"/>
            <w:noWrap/>
            <w:vAlign w:val="center"/>
            <w:hideMark/>
          </w:tcPr>
          <w:p w14:paraId="5E65488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6E9BD04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0.037</w:t>
            </w:r>
          </w:p>
        </w:tc>
        <w:tc>
          <w:tcPr>
            <w:tcW w:w="1660" w:type="dxa"/>
            <w:vMerge/>
            <w:tcBorders>
              <w:top w:val="nil"/>
              <w:left w:val="single" w:sz="4" w:space="0" w:color="auto"/>
              <w:bottom w:val="single" w:sz="4" w:space="0" w:color="auto"/>
              <w:right w:val="single" w:sz="4" w:space="0" w:color="auto"/>
            </w:tcBorders>
            <w:vAlign w:val="center"/>
            <w:hideMark/>
          </w:tcPr>
          <w:p w14:paraId="6A93572A" w14:textId="77777777" w:rsidR="00373EB2" w:rsidRPr="000708BC" w:rsidRDefault="00373EB2" w:rsidP="008661AA">
            <w:pPr>
              <w:rPr>
                <w:rFonts w:ascii="Arial" w:hAnsi="Arial" w:cs="Arial"/>
                <w:color w:val="000000"/>
                <w:sz w:val="20"/>
              </w:rPr>
            </w:pPr>
          </w:p>
        </w:tc>
      </w:tr>
      <w:tr w:rsidR="00373EB2" w:rsidRPr="000708BC" w14:paraId="6F84AD87"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vAlign w:val="center"/>
            <w:hideMark/>
          </w:tcPr>
          <w:p w14:paraId="2A21E614"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Platinum (1MWp)</w:t>
            </w:r>
          </w:p>
        </w:tc>
        <w:tc>
          <w:tcPr>
            <w:tcW w:w="2552" w:type="dxa"/>
            <w:tcBorders>
              <w:top w:val="nil"/>
              <w:left w:val="nil"/>
              <w:bottom w:val="single" w:sz="4" w:space="0" w:color="auto"/>
              <w:right w:val="single" w:sz="4" w:space="0" w:color="auto"/>
            </w:tcBorders>
            <w:shd w:val="clear" w:color="auto" w:fill="auto"/>
            <w:noWrap/>
            <w:vAlign w:val="center"/>
            <w:hideMark/>
          </w:tcPr>
          <w:p w14:paraId="7184556B"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Platinum</w:t>
            </w:r>
          </w:p>
        </w:tc>
        <w:tc>
          <w:tcPr>
            <w:tcW w:w="1417" w:type="dxa"/>
            <w:tcBorders>
              <w:top w:val="nil"/>
              <w:left w:val="nil"/>
              <w:bottom w:val="single" w:sz="4" w:space="0" w:color="auto"/>
              <w:right w:val="single" w:sz="4" w:space="0" w:color="auto"/>
            </w:tcBorders>
            <w:shd w:val="clear" w:color="auto" w:fill="auto"/>
            <w:noWrap/>
            <w:vAlign w:val="center"/>
            <w:hideMark/>
          </w:tcPr>
          <w:p w14:paraId="7CCDE6F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0223D1E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0.01</w:t>
            </w:r>
          </w:p>
        </w:tc>
        <w:tc>
          <w:tcPr>
            <w:tcW w:w="1660" w:type="dxa"/>
            <w:vMerge/>
            <w:tcBorders>
              <w:top w:val="nil"/>
              <w:left w:val="single" w:sz="4" w:space="0" w:color="auto"/>
              <w:bottom w:val="single" w:sz="4" w:space="0" w:color="auto"/>
              <w:right w:val="single" w:sz="4" w:space="0" w:color="auto"/>
            </w:tcBorders>
            <w:vAlign w:val="center"/>
            <w:hideMark/>
          </w:tcPr>
          <w:p w14:paraId="3337675A" w14:textId="77777777" w:rsidR="00373EB2" w:rsidRPr="000708BC" w:rsidRDefault="00373EB2" w:rsidP="008661AA">
            <w:pPr>
              <w:rPr>
                <w:rFonts w:ascii="Arial" w:hAnsi="Arial" w:cs="Arial"/>
                <w:color w:val="000000"/>
                <w:sz w:val="20"/>
              </w:rPr>
            </w:pPr>
          </w:p>
        </w:tc>
      </w:tr>
      <w:tr w:rsidR="00373EB2" w:rsidRPr="000708BC" w14:paraId="1936F19C"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50020FF9"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7A2BADED"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Cast iron</w:t>
            </w:r>
          </w:p>
        </w:tc>
        <w:tc>
          <w:tcPr>
            <w:tcW w:w="1417" w:type="dxa"/>
            <w:tcBorders>
              <w:top w:val="nil"/>
              <w:left w:val="nil"/>
              <w:bottom w:val="single" w:sz="4" w:space="0" w:color="auto"/>
              <w:right w:val="single" w:sz="4" w:space="0" w:color="auto"/>
            </w:tcBorders>
            <w:shd w:val="clear" w:color="auto" w:fill="auto"/>
            <w:noWrap/>
            <w:vAlign w:val="center"/>
            <w:hideMark/>
          </w:tcPr>
          <w:p w14:paraId="78BC619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6DF7FD45"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12</w:t>
            </w:r>
          </w:p>
        </w:tc>
        <w:tc>
          <w:tcPr>
            <w:tcW w:w="1660" w:type="dxa"/>
            <w:vMerge/>
            <w:tcBorders>
              <w:top w:val="nil"/>
              <w:left w:val="single" w:sz="4" w:space="0" w:color="auto"/>
              <w:bottom w:val="single" w:sz="4" w:space="0" w:color="auto"/>
              <w:right w:val="single" w:sz="4" w:space="0" w:color="auto"/>
            </w:tcBorders>
            <w:vAlign w:val="center"/>
            <w:hideMark/>
          </w:tcPr>
          <w:p w14:paraId="5DBC3B2C" w14:textId="77777777" w:rsidR="00373EB2" w:rsidRPr="000708BC" w:rsidRDefault="00373EB2" w:rsidP="008661AA">
            <w:pPr>
              <w:rPr>
                <w:rFonts w:ascii="Arial" w:hAnsi="Arial" w:cs="Arial"/>
                <w:color w:val="000000"/>
                <w:sz w:val="20"/>
              </w:rPr>
            </w:pPr>
          </w:p>
        </w:tc>
      </w:tr>
      <w:tr w:rsidR="00373EB2" w:rsidRPr="000708BC" w14:paraId="4E34498B"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6BDFB35A"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7FF0810C"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Silicon, metallurgical grade</w:t>
            </w:r>
          </w:p>
        </w:tc>
        <w:tc>
          <w:tcPr>
            <w:tcW w:w="1417" w:type="dxa"/>
            <w:tcBorders>
              <w:top w:val="nil"/>
              <w:left w:val="nil"/>
              <w:bottom w:val="single" w:sz="4" w:space="0" w:color="auto"/>
              <w:right w:val="single" w:sz="4" w:space="0" w:color="auto"/>
            </w:tcBorders>
            <w:shd w:val="clear" w:color="auto" w:fill="auto"/>
            <w:noWrap/>
            <w:vAlign w:val="center"/>
            <w:hideMark/>
          </w:tcPr>
          <w:p w14:paraId="4893A537"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6336128F"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1.05</w:t>
            </w:r>
          </w:p>
        </w:tc>
        <w:tc>
          <w:tcPr>
            <w:tcW w:w="1660" w:type="dxa"/>
            <w:vMerge/>
            <w:tcBorders>
              <w:top w:val="nil"/>
              <w:left w:val="single" w:sz="4" w:space="0" w:color="auto"/>
              <w:bottom w:val="single" w:sz="4" w:space="0" w:color="auto"/>
              <w:right w:val="single" w:sz="4" w:space="0" w:color="auto"/>
            </w:tcBorders>
            <w:vAlign w:val="center"/>
            <w:hideMark/>
          </w:tcPr>
          <w:p w14:paraId="2C72E126" w14:textId="77777777" w:rsidR="00373EB2" w:rsidRPr="000708BC" w:rsidRDefault="00373EB2" w:rsidP="008661AA">
            <w:pPr>
              <w:rPr>
                <w:rFonts w:ascii="Arial" w:hAnsi="Arial" w:cs="Arial"/>
                <w:color w:val="000000"/>
                <w:sz w:val="20"/>
              </w:rPr>
            </w:pPr>
          </w:p>
        </w:tc>
      </w:tr>
      <w:tr w:rsidR="00373EB2" w:rsidRPr="000708BC" w14:paraId="48A91215"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46F63210"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6DEB5E1C"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Graphite</w:t>
            </w:r>
          </w:p>
        </w:tc>
        <w:tc>
          <w:tcPr>
            <w:tcW w:w="1417" w:type="dxa"/>
            <w:tcBorders>
              <w:top w:val="nil"/>
              <w:left w:val="nil"/>
              <w:bottom w:val="single" w:sz="4" w:space="0" w:color="auto"/>
              <w:right w:val="single" w:sz="4" w:space="0" w:color="auto"/>
            </w:tcBorders>
            <w:shd w:val="clear" w:color="auto" w:fill="auto"/>
            <w:noWrap/>
            <w:vAlign w:val="center"/>
            <w:hideMark/>
          </w:tcPr>
          <w:p w14:paraId="7986514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30E818D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1.7</w:t>
            </w:r>
          </w:p>
        </w:tc>
        <w:tc>
          <w:tcPr>
            <w:tcW w:w="1660" w:type="dxa"/>
            <w:vMerge/>
            <w:tcBorders>
              <w:top w:val="nil"/>
              <w:left w:val="single" w:sz="4" w:space="0" w:color="auto"/>
              <w:bottom w:val="single" w:sz="4" w:space="0" w:color="auto"/>
              <w:right w:val="single" w:sz="4" w:space="0" w:color="auto"/>
            </w:tcBorders>
            <w:vAlign w:val="center"/>
            <w:hideMark/>
          </w:tcPr>
          <w:p w14:paraId="530D84B6" w14:textId="77777777" w:rsidR="00373EB2" w:rsidRPr="000708BC" w:rsidRDefault="00373EB2" w:rsidP="008661AA">
            <w:pPr>
              <w:rPr>
                <w:rFonts w:ascii="Arial" w:hAnsi="Arial" w:cs="Arial"/>
                <w:color w:val="000000"/>
                <w:sz w:val="20"/>
              </w:rPr>
            </w:pPr>
          </w:p>
        </w:tc>
      </w:tr>
      <w:tr w:rsidR="00373EB2" w:rsidRPr="000708BC" w14:paraId="39CF4750" w14:textId="77777777" w:rsidTr="008661AA">
        <w:trPr>
          <w:trHeight w:val="248"/>
          <w:jc w:val="center"/>
        </w:trPr>
        <w:tc>
          <w:tcPr>
            <w:tcW w:w="1809" w:type="dxa"/>
            <w:tcBorders>
              <w:top w:val="nil"/>
              <w:left w:val="single" w:sz="4" w:space="0" w:color="auto"/>
              <w:bottom w:val="single" w:sz="4" w:space="0" w:color="auto"/>
              <w:right w:val="single" w:sz="4" w:space="0" w:color="auto"/>
            </w:tcBorders>
            <w:shd w:val="clear" w:color="auto" w:fill="auto"/>
            <w:vAlign w:val="center"/>
            <w:hideMark/>
          </w:tcPr>
          <w:p w14:paraId="192792E9"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Energy (1MWp)</w:t>
            </w:r>
          </w:p>
        </w:tc>
        <w:tc>
          <w:tcPr>
            <w:tcW w:w="2552" w:type="dxa"/>
            <w:tcBorders>
              <w:top w:val="nil"/>
              <w:left w:val="nil"/>
              <w:bottom w:val="single" w:sz="4" w:space="0" w:color="auto"/>
              <w:right w:val="single" w:sz="4" w:space="0" w:color="auto"/>
            </w:tcBorders>
            <w:shd w:val="clear" w:color="auto" w:fill="auto"/>
            <w:noWrap/>
            <w:vAlign w:val="center"/>
            <w:hideMark/>
          </w:tcPr>
          <w:p w14:paraId="1E3BC1F9"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Electricity</w:t>
            </w:r>
          </w:p>
        </w:tc>
        <w:tc>
          <w:tcPr>
            <w:tcW w:w="1417" w:type="dxa"/>
            <w:tcBorders>
              <w:top w:val="nil"/>
              <w:left w:val="nil"/>
              <w:bottom w:val="single" w:sz="4" w:space="0" w:color="auto"/>
              <w:right w:val="single" w:sz="4" w:space="0" w:color="auto"/>
            </w:tcBorders>
            <w:shd w:val="clear" w:color="auto" w:fill="auto"/>
            <w:noWrap/>
            <w:vAlign w:val="center"/>
            <w:hideMark/>
          </w:tcPr>
          <w:p w14:paraId="758D3250"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kWh</w:t>
            </w:r>
          </w:p>
        </w:tc>
        <w:tc>
          <w:tcPr>
            <w:tcW w:w="1418" w:type="dxa"/>
            <w:tcBorders>
              <w:top w:val="nil"/>
              <w:left w:val="nil"/>
              <w:bottom w:val="single" w:sz="4" w:space="0" w:color="auto"/>
              <w:right w:val="single" w:sz="4" w:space="0" w:color="auto"/>
            </w:tcBorders>
            <w:shd w:val="clear" w:color="auto" w:fill="auto"/>
            <w:noWrap/>
            <w:vAlign w:val="center"/>
            <w:hideMark/>
          </w:tcPr>
          <w:p w14:paraId="44D0247E"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9,969.9</w:t>
            </w:r>
          </w:p>
        </w:tc>
        <w:tc>
          <w:tcPr>
            <w:tcW w:w="1660" w:type="dxa"/>
            <w:vMerge/>
            <w:tcBorders>
              <w:top w:val="nil"/>
              <w:left w:val="single" w:sz="4" w:space="0" w:color="auto"/>
              <w:bottom w:val="single" w:sz="4" w:space="0" w:color="auto"/>
              <w:right w:val="single" w:sz="4" w:space="0" w:color="auto"/>
            </w:tcBorders>
            <w:vAlign w:val="center"/>
            <w:hideMark/>
          </w:tcPr>
          <w:p w14:paraId="0014D22A" w14:textId="77777777" w:rsidR="00373EB2" w:rsidRPr="000708BC" w:rsidRDefault="00373EB2" w:rsidP="008661AA">
            <w:pPr>
              <w:rPr>
                <w:rFonts w:ascii="Arial" w:hAnsi="Arial" w:cs="Arial"/>
                <w:color w:val="000000"/>
                <w:sz w:val="20"/>
              </w:rPr>
            </w:pPr>
          </w:p>
        </w:tc>
      </w:tr>
      <w:tr w:rsidR="00373EB2" w:rsidRPr="000708BC" w14:paraId="6D145540" w14:textId="77777777" w:rsidTr="008661AA">
        <w:trPr>
          <w:trHeight w:val="260"/>
          <w:jc w:val="center"/>
        </w:trPr>
        <w:tc>
          <w:tcPr>
            <w:tcW w:w="18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EF886D"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Nafion (1kg)</w:t>
            </w:r>
          </w:p>
        </w:tc>
        <w:tc>
          <w:tcPr>
            <w:tcW w:w="2552" w:type="dxa"/>
            <w:tcBorders>
              <w:top w:val="nil"/>
              <w:left w:val="nil"/>
              <w:bottom w:val="single" w:sz="4" w:space="0" w:color="auto"/>
              <w:right w:val="single" w:sz="4" w:space="0" w:color="auto"/>
            </w:tcBorders>
            <w:shd w:val="clear" w:color="auto" w:fill="auto"/>
            <w:noWrap/>
            <w:vAlign w:val="center"/>
            <w:hideMark/>
          </w:tcPr>
          <w:p w14:paraId="0351A634"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Tetrafluoroethylene</w:t>
            </w:r>
          </w:p>
        </w:tc>
        <w:tc>
          <w:tcPr>
            <w:tcW w:w="1417" w:type="dxa"/>
            <w:tcBorders>
              <w:top w:val="nil"/>
              <w:left w:val="nil"/>
              <w:bottom w:val="single" w:sz="4" w:space="0" w:color="auto"/>
              <w:right w:val="single" w:sz="4" w:space="0" w:color="auto"/>
            </w:tcBorders>
            <w:shd w:val="clear" w:color="auto" w:fill="auto"/>
            <w:noWrap/>
            <w:vAlign w:val="center"/>
            <w:hideMark/>
          </w:tcPr>
          <w:p w14:paraId="6E61BBE1"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3671A046"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0.85</w:t>
            </w:r>
          </w:p>
        </w:tc>
        <w:tc>
          <w:tcPr>
            <w:tcW w:w="1660" w:type="dxa"/>
            <w:vMerge/>
            <w:tcBorders>
              <w:top w:val="nil"/>
              <w:left w:val="single" w:sz="4" w:space="0" w:color="auto"/>
              <w:bottom w:val="single" w:sz="4" w:space="0" w:color="auto"/>
              <w:right w:val="single" w:sz="4" w:space="0" w:color="auto"/>
            </w:tcBorders>
            <w:vAlign w:val="center"/>
            <w:hideMark/>
          </w:tcPr>
          <w:p w14:paraId="401E7FA9" w14:textId="77777777" w:rsidR="00373EB2" w:rsidRPr="000708BC" w:rsidRDefault="00373EB2" w:rsidP="008661AA">
            <w:pPr>
              <w:rPr>
                <w:rFonts w:ascii="Arial" w:hAnsi="Arial" w:cs="Arial"/>
                <w:color w:val="000000"/>
                <w:sz w:val="20"/>
              </w:rPr>
            </w:pPr>
          </w:p>
        </w:tc>
      </w:tr>
      <w:tr w:rsidR="00373EB2" w:rsidRPr="000708BC" w14:paraId="103ABFD3" w14:textId="77777777" w:rsidTr="008661AA">
        <w:trPr>
          <w:trHeight w:val="260"/>
          <w:jc w:val="center"/>
        </w:trPr>
        <w:tc>
          <w:tcPr>
            <w:tcW w:w="1809" w:type="dxa"/>
            <w:vMerge/>
            <w:tcBorders>
              <w:top w:val="nil"/>
              <w:left w:val="single" w:sz="4" w:space="0" w:color="auto"/>
              <w:bottom w:val="single" w:sz="4" w:space="0" w:color="auto"/>
              <w:right w:val="single" w:sz="4" w:space="0" w:color="auto"/>
            </w:tcBorders>
            <w:vAlign w:val="center"/>
            <w:hideMark/>
          </w:tcPr>
          <w:p w14:paraId="401776CE" w14:textId="77777777" w:rsidR="00373EB2" w:rsidRPr="000708BC" w:rsidRDefault="00373EB2" w:rsidP="008661AA">
            <w:pPr>
              <w:rPr>
                <w:rFonts w:ascii="Arial" w:hAnsi="Arial" w:cs="Arial"/>
                <w:color w:val="000000"/>
                <w:sz w:val="20"/>
              </w:rPr>
            </w:pPr>
          </w:p>
        </w:tc>
        <w:tc>
          <w:tcPr>
            <w:tcW w:w="2552" w:type="dxa"/>
            <w:tcBorders>
              <w:top w:val="nil"/>
              <w:left w:val="nil"/>
              <w:bottom w:val="single" w:sz="4" w:space="0" w:color="auto"/>
              <w:right w:val="single" w:sz="4" w:space="0" w:color="auto"/>
            </w:tcBorders>
            <w:shd w:val="clear" w:color="auto" w:fill="auto"/>
            <w:noWrap/>
            <w:vAlign w:val="center"/>
            <w:hideMark/>
          </w:tcPr>
          <w:p w14:paraId="5F358EBB" w14:textId="77777777" w:rsidR="00373EB2" w:rsidRPr="000708BC" w:rsidRDefault="00373EB2" w:rsidP="008661AA">
            <w:pPr>
              <w:rPr>
                <w:rFonts w:ascii="Arial" w:hAnsi="Arial" w:cs="Arial"/>
                <w:color w:val="000000"/>
                <w:sz w:val="20"/>
              </w:rPr>
            </w:pPr>
            <w:r w:rsidRPr="000708BC">
              <w:rPr>
                <w:rFonts w:ascii="Arial" w:hAnsi="Arial" w:cs="Arial"/>
                <w:color w:val="000000"/>
                <w:sz w:val="20"/>
              </w:rPr>
              <w:t>sulfuric acid</w:t>
            </w:r>
          </w:p>
        </w:tc>
        <w:tc>
          <w:tcPr>
            <w:tcW w:w="1417" w:type="dxa"/>
            <w:tcBorders>
              <w:top w:val="nil"/>
              <w:left w:val="nil"/>
              <w:bottom w:val="single" w:sz="4" w:space="0" w:color="auto"/>
              <w:right w:val="single" w:sz="4" w:space="0" w:color="auto"/>
            </w:tcBorders>
            <w:shd w:val="clear" w:color="auto" w:fill="auto"/>
            <w:noWrap/>
            <w:vAlign w:val="center"/>
            <w:hideMark/>
          </w:tcPr>
          <w:p w14:paraId="24B18A3B"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kg</w:t>
            </w:r>
          </w:p>
        </w:tc>
        <w:tc>
          <w:tcPr>
            <w:tcW w:w="1418" w:type="dxa"/>
            <w:tcBorders>
              <w:top w:val="nil"/>
              <w:left w:val="nil"/>
              <w:bottom w:val="single" w:sz="4" w:space="0" w:color="auto"/>
              <w:right w:val="single" w:sz="4" w:space="0" w:color="auto"/>
            </w:tcBorders>
            <w:shd w:val="clear" w:color="auto" w:fill="auto"/>
            <w:noWrap/>
            <w:vAlign w:val="center"/>
            <w:hideMark/>
          </w:tcPr>
          <w:p w14:paraId="4A10BB4C" w14:textId="77777777" w:rsidR="00373EB2" w:rsidRPr="000708BC" w:rsidRDefault="00373EB2" w:rsidP="008661AA">
            <w:pPr>
              <w:jc w:val="center"/>
              <w:rPr>
                <w:rFonts w:ascii="Arial" w:hAnsi="Arial" w:cs="Arial"/>
                <w:color w:val="000000"/>
                <w:sz w:val="20"/>
              </w:rPr>
            </w:pPr>
            <w:r w:rsidRPr="000708BC">
              <w:rPr>
                <w:rFonts w:ascii="Arial" w:hAnsi="Arial" w:cs="Arial"/>
                <w:color w:val="000000"/>
                <w:sz w:val="20"/>
              </w:rPr>
              <w:t>0.15</w:t>
            </w:r>
          </w:p>
        </w:tc>
        <w:tc>
          <w:tcPr>
            <w:tcW w:w="1660" w:type="dxa"/>
            <w:vMerge/>
            <w:tcBorders>
              <w:top w:val="nil"/>
              <w:left w:val="single" w:sz="4" w:space="0" w:color="auto"/>
              <w:bottom w:val="single" w:sz="4" w:space="0" w:color="auto"/>
              <w:right w:val="single" w:sz="4" w:space="0" w:color="auto"/>
            </w:tcBorders>
            <w:vAlign w:val="center"/>
            <w:hideMark/>
          </w:tcPr>
          <w:p w14:paraId="7EEE1F7B" w14:textId="77777777" w:rsidR="00373EB2" w:rsidRPr="000708BC" w:rsidRDefault="00373EB2" w:rsidP="008661AA">
            <w:pPr>
              <w:rPr>
                <w:rFonts w:ascii="Arial" w:hAnsi="Arial" w:cs="Arial"/>
                <w:color w:val="000000"/>
                <w:sz w:val="20"/>
              </w:rPr>
            </w:pPr>
          </w:p>
        </w:tc>
      </w:tr>
    </w:tbl>
    <w:p w14:paraId="46BB13BB" w14:textId="77777777" w:rsidR="00B60924" w:rsidRPr="000708BC" w:rsidRDefault="00B60924" w:rsidP="00B60924">
      <w:pPr>
        <w:pStyle w:val="JIEreferencelist"/>
        <w:ind w:left="0" w:firstLine="0"/>
        <w:jc w:val="both"/>
        <w:rPr>
          <w:rFonts w:ascii="Arial" w:hAnsi="Arial" w:cs="Arial"/>
          <w:iCs/>
          <w:sz w:val="22"/>
          <w:szCs w:val="22"/>
        </w:rPr>
      </w:pPr>
    </w:p>
    <w:p w14:paraId="11F0D875" w14:textId="45EF568A" w:rsidR="00B60924" w:rsidRPr="000708BC" w:rsidRDefault="00B60924" w:rsidP="00B60924">
      <w:pPr>
        <w:pStyle w:val="JIEreferencelist"/>
        <w:ind w:left="0" w:firstLine="0"/>
        <w:jc w:val="both"/>
        <w:rPr>
          <w:rFonts w:ascii="Arial" w:hAnsi="Arial" w:cs="Arial"/>
          <w:iCs/>
          <w:sz w:val="22"/>
          <w:szCs w:val="22"/>
        </w:rPr>
      </w:pPr>
      <w:r w:rsidRPr="000708BC">
        <w:rPr>
          <w:rFonts w:ascii="Arial" w:hAnsi="Arial" w:cs="Arial"/>
          <w:iCs/>
          <w:sz w:val="22"/>
          <w:szCs w:val="22"/>
        </w:rPr>
        <w:t>Two transportation options—road tankers and pipelines—were designed to transport hydrogen over 200 km to the mining site. The hydrogen production plant is assumed to be near the coast, which is considered the most conservative scenario. The transportation route spans an elevation gain from sea level to 2,500 meters above sea level, terminating in the foothills where copper mines are typically located in Chile. The pipeline design is based on natural gas pipeline standards, with modifications to accommodate hydrogen transport. It features a Galvalume coating to prevent hydrogen diffusion</w:t>
      </w:r>
      <w:r w:rsidR="003349B0"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ODE4N2JlMWEtMTk3Yy00NTg2LWFiM2ItYjY3ZTRhMmViMzhm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
          <w:id w:val="2054724927"/>
          <w:placeholder>
            <w:docPart w:val="DefaultPlaceholder_-1854013440"/>
          </w:placeholder>
        </w:sdtPr>
        <w:sdtEndPr/>
        <w:sdtContent>
          <w:r w:rsidR="002422C9" w:rsidRPr="000708BC">
            <w:rPr>
              <w:rFonts w:ascii="Arial" w:hAnsi="Arial" w:cs="Arial"/>
              <w:iCs/>
              <w:color w:val="000000"/>
              <w:sz w:val="22"/>
              <w:szCs w:val="22"/>
            </w:rPr>
            <w:t>(Wulf et al., 2018)</w:t>
          </w:r>
        </w:sdtContent>
      </w:sdt>
      <w:r w:rsidRPr="000708BC">
        <w:rPr>
          <w:rFonts w:ascii="Arial" w:hAnsi="Arial" w:cs="Arial"/>
          <w:iCs/>
          <w:sz w:val="22"/>
          <w:szCs w:val="22"/>
        </w:rPr>
        <w:t>. The hydrogen operates at a pressure of 100 bar with a diameter of 200 mm.</w:t>
      </w:r>
    </w:p>
    <w:p w14:paraId="5FACCD14" w14:textId="77777777" w:rsidR="00B60924" w:rsidRPr="000708BC" w:rsidRDefault="00B60924" w:rsidP="00B60924">
      <w:pPr>
        <w:pStyle w:val="JIEreferencelist"/>
        <w:ind w:left="0" w:firstLine="0"/>
        <w:jc w:val="both"/>
        <w:rPr>
          <w:rFonts w:ascii="Arial" w:hAnsi="Arial" w:cs="Arial"/>
          <w:iCs/>
          <w:sz w:val="22"/>
          <w:szCs w:val="22"/>
        </w:rPr>
      </w:pPr>
    </w:p>
    <w:p w14:paraId="03446A89" w14:textId="4EAD988A" w:rsidR="00B60924" w:rsidRPr="000708BC" w:rsidRDefault="00B60924" w:rsidP="00B60924">
      <w:pPr>
        <w:pStyle w:val="JIEreferencelist"/>
        <w:ind w:left="0" w:firstLine="0"/>
        <w:jc w:val="both"/>
        <w:rPr>
          <w:rFonts w:ascii="Arial" w:hAnsi="Arial" w:cs="Arial"/>
          <w:iCs/>
          <w:sz w:val="22"/>
          <w:szCs w:val="22"/>
        </w:rPr>
      </w:pPr>
      <w:r w:rsidRPr="000708BC">
        <w:rPr>
          <w:rFonts w:ascii="Arial" w:hAnsi="Arial" w:cs="Arial"/>
          <w:iCs/>
          <w:sz w:val="22"/>
          <w:szCs w:val="22"/>
        </w:rPr>
        <w:t xml:space="preserve">For road transportation, EUROVI trucks with a capacity of 40 tons were considered. Each truck can transport 1,100 kg of hydrogen distributed in 100 kg gaseous hydrogen tanks. The tanks are constructed from fiber-reinforced composites with a polymer liner and transport hydrogen at a pressure of 500 bar </w:t>
      </w:r>
      <w:sdt>
        <w:sdtPr>
          <w:rPr>
            <w:rFonts w:ascii="Arial" w:hAnsi="Arial" w:cs="Arial"/>
            <w:iCs/>
            <w:color w:val="000000"/>
            <w:sz w:val="22"/>
            <w:szCs w:val="22"/>
          </w:rPr>
          <w:tag w:val="MENDELEY_CITATION_v3_eyJjaXRhdGlvbklEIjoiTUVOREVMRVlfQ0lUQVRJT05fNTc2MmQ0YTYtNDhlNC00MTQ4LWFiZmMtYThkN2E1Mzg0MmMz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
          <w:id w:val="1983496631"/>
          <w:placeholder>
            <w:docPart w:val="DefaultPlaceholder_-1854013440"/>
          </w:placeholder>
        </w:sdtPr>
        <w:sdtEndPr/>
        <w:sdtContent>
          <w:r w:rsidR="002422C9" w:rsidRPr="000708BC">
            <w:rPr>
              <w:rFonts w:ascii="Arial" w:hAnsi="Arial" w:cs="Arial"/>
              <w:iCs/>
              <w:color w:val="000000"/>
              <w:sz w:val="22"/>
              <w:szCs w:val="22"/>
            </w:rPr>
            <w:t>(Wulf et al., 2018)</w:t>
          </w:r>
        </w:sdtContent>
      </w:sdt>
      <w:r w:rsidRPr="000708BC">
        <w:rPr>
          <w:rFonts w:ascii="Arial" w:hAnsi="Arial" w:cs="Arial"/>
          <w:iCs/>
          <w:sz w:val="22"/>
          <w:szCs w:val="22"/>
        </w:rPr>
        <w:t>. The design specifications and construction materials for both transportation methods are detailed in Tables S1-</w:t>
      </w:r>
      <w:r w:rsidR="00373EB2" w:rsidRPr="000708BC">
        <w:rPr>
          <w:rFonts w:ascii="Arial" w:hAnsi="Arial" w:cs="Arial"/>
          <w:iCs/>
          <w:sz w:val="22"/>
          <w:szCs w:val="22"/>
        </w:rPr>
        <w:t>7</w:t>
      </w:r>
      <w:r w:rsidRPr="000708BC">
        <w:rPr>
          <w:rFonts w:ascii="Arial" w:hAnsi="Arial" w:cs="Arial"/>
          <w:iCs/>
          <w:sz w:val="22"/>
          <w:szCs w:val="22"/>
        </w:rPr>
        <w:t>, S1-</w:t>
      </w:r>
      <w:r w:rsidR="00373EB2" w:rsidRPr="000708BC">
        <w:rPr>
          <w:rFonts w:ascii="Arial" w:hAnsi="Arial" w:cs="Arial"/>
          <w:iCs/>
          <w:sz w:val="22"/>
          <w:szCs w:val="22"/>
        </w:rPr>
        <w:t>8</w:t>
      </w:r>
      <w:r w:rsidRPr="000708BC">
        <w:rPr>
          <w:rFonts w:ascii="Arial" w:hAnsi="Arial" w:cs="Arial"/>
          <w:iCs/>
          <w:sz w:val="22"/>
          <w:szCs w:val="22"/>
        </w:rPr>
        <w:t>, and S1-</w:t>
      </w:r>
      <w:r w:rsidR="00373EB2" w:rsidRPr="000708BC">
        <w:rPr>
          <w:rFonts w:ascii="Arial" w:hAnsi="Arial" w:cs="Arial"/>
          <w:iCs/>
          <w:sz w:val="22"/>
          <w:szCs w:val="22"/>
        </w:rPr>
        <w:t>9</w:t>
      </w:r>
      <w:r w:rsidRPr="000708BC">
        <w:rPr>
          <w:rFonts w:ascii="Arial" w:hAnsi="Arial" w:cs="Arial"/>
          <w:iCs/>
          <w:sz w:val="22"/>
          <w:szCs w:val="22"/>
        </w:rPr>
        <w:t>.</w:t>
      </w:r>
    </w:p>
    <w:p w14:paraId="72B7BD51" w14:textId="77777777" w:rsidR="00B60924" w:rsidRPr="000708BC" w:rsidRDefault="00B60924" w:rsidP="00B60924">
      <w:pPr>
        <w:pStyle w:val="JIEreferencelist"/>
        <w:ind w:left="0" w:firstLine="0"/>
        <w:jc w:val="both"/>
        <w:rPr>
          <w:rFonts w:ascii="Arial" w:hAnsi="Arial" w:cs="Arial"/>
          <w:iCs/>
          <w:sz w:val="22"/>
          <w:szCs w:val="22"/>
        </w:rPr>
      </w:pPr>
    </w:p>
    <w:p w14:paraId="76C2F5C3" w14:textId="1D6274BF" w:rsidR="00D02CFB" w:rsidRPr="000708BC" w:rsidRDefault="00B60924" w:rsidP="00B60924">
      <w:pPr>
        <w:pStyle w:val="JIEreferencelist"/>
        <w:ind w:left="0" w:firstLine="0"/>
        <w:jc w:val="both"/>
        <w:rPr>
          <w:rFonts w:ascii="Arial" w:hAnsi="Arial" w:cs="Arial"/>
          <w:iCs/>
          <w:sz w:val="22"/>
          <w:szCs w:val="22"/>
        </w:rPr>
      </w:pPr>
      <w:r w:rsidRPr="000708BC">
        <w:rPr>
          <w:rFonts w:ascii="Arial" w:hAnsi="Arial" w:cs="Arial"/>
          <w:iCs/>
          <w:sz w:val="22"/>
          <w:szCs w:val="22"/>
        </w:rPr>
        <w:lastRenderedPageBreak/>
        <w:t>A fuel station was considered in the Mining Site to deliver the hydrogen to the mining haul trucks in the Open Pit at a pressure of 700 bar. The design and materials are referenced from the studies of</w:t>
      </w:r>
      <w:r w:rsidR="000F36B0"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V9XX0="/>
          <w:id w:val="-1740710753"/>
          <w:placeholder>
            <w:docPart w:val="DefaultPlaceholder_-1854013440"/>
          </w:placeholder>
        </w:sdtPr>
        <w:sdtEndPr/>
        <w:sdtContent>
          <w:r w:rsidR="002422C9" w:rsidRPr="000708BC">
            <w:rPr>
              <w:rFonts w:ascii="Arial" w:eastAsia="Times New Roman" w:hAnsi="Arial" w:cs="Arial"/>
              <w:color w:val="000000"/>
              <w:sz w:val="22"/>
            </w:rPr>
            <w:t xml:space="preserve">Burkhardt, </w:t>
          </w:r>
          <w:proofErr w:type="spellStart"/>
          <w:r w:rsidR="002422C9" w:rsidRPr="000708BC">
            <w:rPr>
              <w:rFonts w:ascii="Arial" w:eastAsia="Times New Roman" w:hAnsi="Arial" w:cs="Arial"/>
              <w:color w:val="000000"/>
              <w:sz w:val="22"/>
            </w:rPr>
            <w:t>Patyk</w:t>
          </w:r>
          <w:proofErr w:type="spellEnd"/>
          <w:r w:rsidR="002422C9" w:rsidRPr="000708BC">
            <w:rPr>
              <w:rFonts w:ascii="Arial" w:eastAsia="Times New Roman" w:hAnsi="Arial" w:cs="Arial"/>
              <w:color w:val="000000"/>
              <w:sz w:val="22"/>
            </w:rPr>
            <w:t xml:space="preserve">, Tanguy, and </w:t>
          </w:r>
          <w:proofErr w:type="spellStart"/>
          <w:r w:rsidR="002422C9" w:rsidRPr="000708BC">
            <w:rPr>
              <w:rFonts w:ascii="Arial" w:eastAsia="Times New Roman" w:hAnsi="Arial" w:cs="Arial"/>
              <w:color w:val="000000"/>
              <w:sz w:val="22"/>
            </w:rPr>
            <w:t>Retzke</w:t>
          </w:r>
          <w:proofErr w:type="spellEnd"/>
          <w:r w:rsidR="002422C9" w:rsidRPr="000708BC">
            <w:rPr>
              <w:rFonts w:ascii="Arial" w:eastAsia="Times New Roman" w:hAnsi="Arial" w:cs="Arial"/>
              <w:color w:val="000000"/>
              <w:sz w:val="22"/>
            </w:rPr>
            <w:t xml:space="preserve"> (2016) and Wulf et al. (2018)</w:t>
          </w:r>
        </w:sdtContent>
      </w:sdt>
      <w:r w:rsidRPr="000708BC">
        <w:rPr>
          <w:rFonts w:ascii="Arial" w:hAnsi="Arial" w:cs="Arial"/>
          <w:iCs/>
          <w:sz w:val="22"/>
          <w:szCs w:val="22"/>
        </w:rPr>
        <w:t xml:space="preserve"> (Table S1-</w:t>
      </w:r>
      <w:r w:rsidR="00373EB2" w:rsidRPr="000708BC">
        <w:rPr>
          <w:rFonts w:ascii="Arial" w:hAnsi="Arial" w:cs="Arial"/>
          <w:iCs/>
          <w:sz w:val="22"/>
          <w:szCs w:val="22"/>
        </w:rPr>
        <w:t>10</w:t>
      </w:r>
      <w:r w:rsidRPr="000708BC">
        <w:rPr>
          <w:rFonts w:ascii="Arial" w:hAnsi="Arial" w:cs="Arial"/>
          <w:iCs/>
          <w:sz w:val="22"/>
          <w:szCs w:val="22"/>
        </w:rPr>
        <w:t>).</w:t>
      </w:r>
    </w:p>
    <w:p w14:paraId="70026D61" w14:textId="77777777" w:rsidR="00373EB2" w:rsidRPr="000708BC" w:rsidRDefault="00373EB2">
      <w:pPr>
        <w:pStyle w:val="JIEreferencelist"/>
        <w:ind w:left="0" w:firstLine="0"/>
        <w:rPr>
          <w:rFonts w:ascii="Arial" w:hAnsi="Arial" w:cs="Arial"/>
          <w:iCs/>
          <w:sz w:val="22"/>
          <w:szCs w:val="22"/>
        </w:rPr>
      </w:pPr>
    </w:p>
    <w:p w14:paraId="59D61473" w14:textId="5D4F614F" w:rsidR="00FB0286" w:rsidRPr="000708BC" w:rsidRDefault="00FB0286">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w:t>
      </w:r>
      <w:r w:rsidR="00966C3C" w:rsidRPr="000708BC">
        <w:rPr>
          <w:rFonts w:ascii="Arial" w:hAnsi="Arial" w:cs="Arial"/>
          <w:i/>
          <w:sz w:val="20"/>
        </w:rPr>
        <w:t>7</w:t>
      </w:r>
      <w:r w:rsidRPr="000708BC">
        <w:rPr>
          <w:rFonts w:ascii="Arial" w:hAnsi="Arial" w:cs="Arial"/>
          <w:i/>
          <w:sz w:val="20"/>
        </w:rPr>
        <w:t xml:space="preserve"> Transportation </w:t>
      </w:r>
      <w:r w:rsidR="00462D12" w:rsidRPr="000708BC">
        <w:rPr>
          <w:rFonts w:ascii="Arial" w:hAnsi="Arial" w:cs="Arial"/>
          <w:i/>
          <w:sz w:val="20"/>
        </w:rPr>
        <w:t>i</w:t>
      </w:r>
      <w:r w:rsidRPr="000708BC">
        <w:rPr>
          <w:rFonts w:ascii="Arial" w:hAnsi="Arial" w:cs="Arial"/>
          <w:i/>
          <w:sz w:val="20"/>
        </w:rPr>
        <w:t xml:space="preserve">nfrastructure </w:t>
      </w:r>
      <w:r w:rsidR="00462D12" w:rsidRPr="000708BC">
        <w:rPr>
          <w:rFonts w:ascii="Arial" w:hAnsi="Arial" w:cs="Arial"/>
          <w:i/>
          <w:sz w:val="20"/>
        </w:rPr>
        <w:t>o</w:t>
      </w:r>
      <w:r w:rsidRPr="000708BC">
        <w:rPr>
          <w:rFonts w:ascii="Arial" w:hAnsi="Arial" w:cs="Arial"/>
          <w:i/>
          <w:sz w:val="20"/>
        </w:rPr>
        <w:t xml:space="preserve">peration </w:t>
      </w:r>
      <w:r w:rsidR="00462D12" w:rsidRPr="000708BC">
        <w:rPr>
          <w:rFonts w:ascii="Arial" w:hAnsi="Arial" w:cs="Arial"/>
          <w:i/>
          <w:sz w:val="20"/>
        </w:rPr>
        <w:t>d</w:t>
      </w:r>
      <w:r w:rsidRPr="000708BC">
        <w:rPr>
          <w:rFonts w:ascii="Arial" w:hAnsi="Arial" w:cs="Arial"/>
          <w:i/>
          <w:sz w:val="20"/>
        </w:rPr>
        <w:t>esign</w:t>
      </w:r>
      <w:r w:rsidR="00462D12" w:rsidRPr="000708BC">
        <w:rPr>
          <w:rFonts w:ascii="Arial" w:hAnsi="Arial" w:cs="Arial"/>
          <w:i/>
          <w:sz w:val="20"/>
        </w:rPr>
        <w:t>.</w:t>
      </w:r>
    </w:p>
    <w:tbl>
      <w:tblPr>
        <w:tblW w:w="5000" w:type="pct"/>
        <w:jc w:val="center"/>
        <w:tblLook w:val="04A0" w:firstRow="1" w:lastRow="0" w:firstColumn="1" w:lastColumn="0" w:noHBand="0" w:noVBand="1"/>
      </w:tblPr>
      <w:tblGrid>
        <w:gridCol w:w="1543"/>
        <w:gridCol w:w="2689"/>
        <w:gridCol w:w="1391"/>
        <w:gridCol w:w="1429"/>
        <w:gridCol w:w="1578"/>
      </w:tblGrid>
      <w:tr w:rsidR="00FB0286" w:rsidRPr="000708BC" w14:paraId="48AF583D" w14:textId="77777777" w:rsidTr="00FB0286">
        <w:trPr>
          <w:trHeight w:val="280"/>
          <w:tblHeader/>
          <w:jc w:val="center"/>
        </w:trPr>
        <w:tc>
          <w:tcPr>
            <w:tcW w:w="155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4DB5CC4"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Structure</w:t>
            </w:r>
          </w:p>
        </w:tc>
        <w:tc>
          <w:tcPr>
            <w:tcW w:w="2809" w:type="dxa"/>
            <w:tcBorders>
              <w:top w:val="single" w:sz="4" w:space="0" w:color="auto"/>
              <w:left w:val="nil"/>
              <w:bottom w:val="single" w:sz="4" w:space="0" w:color="auto"/>
              <w:right w:val="single" w:sz="4" w:space="0" w:color="auto"/>
            </w:tcBorders>
            <w:shd w:val="clear" w:color="000000" w:fill="D9D9D9"/>
            <w:vAlign w:val="center"/>
            <w:hideMark/>
          </w:tcPr>
          <w:p w14:paraId="6E828EA3"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Parameter</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21A6EF57"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Unit</w:t>
            </w:r>
          </w:p>
        </w:tc>
        <w:tc>
          <w:tcPr>
            <w:tcW w:w="1490" w:type="dxa"/>
            <w:tcBorders>
              <w:top w:val="single" w:sz="4" w:space="0" w:color="auto"/>
              <w:left w:val="nil"/>
              <w:bottom w:val="single" w:sz="4" w:space="0" w:color="auto"/>
              <w:right w:val="single" w:sz="4" w:space="0" w:color="auto"/>
            </w:tcBorders>
            <w:shd w:val="clear" w:color="000000" w:fill="D9D9D9"/>
            <w:vAlign w:val="center"/>
            <w:hideMark/>
          </w:tcPr>
          <w:p w14:paraId="1C389448"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Value</w:t>
            </w:r>
          </w:p>
        </w:tc>
        <w:tc>
          <w:tcPr>
            <w:tcW w:w="1588" w:type="dxa"/>
            <w:tcBorders>
              <w:top w:val="single" w:sz="4" w:space="0" w:color="auto"/>
              <w:left w:val="nil"/>
              <w:bottom w:val="single" w:sz="4" w:space="0" w:color="auto"/>
              <w:right w:val="single" w:sz="4" w:space="0" w:color="auto"/>
            </w:tcBorders>
            <w:shd w:val="clear" w:color="000000" w:fill="D9D9D9"/>
            <w:vAlign w:val="center"/>
            <w:hideMark/>
          </w:tcPr>
          <w:p w14:paraId="419D400F"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Reference</w:t>
            </w:r>
          </w:p>
        </w:tc>
      </w:tr>
      <w:tr w:rsidR="00FB0286" w:rsidRPr="000708BC" w14:paraId="5DCE5E4F" w14:textId="77777777" w:rsidTr="00FB0286">
        <w:trPr>
          <w:trHeight w:val="280"/>
          <w:jc w:val="center"/>
        </w:trPr>
        <w:tc>
          <w:tcPr>
            <w:tcW w:w="1552" w:type="dxa"/>
            <w:vMerge w:val="restart"/>
            <w:tcBorders>
              <w:top w:val="nil"/>
              <w:left w:val="single" w:sz="4" w:space="0" w:color="auto"/>
              <w:bottom w:val="single" w:sz="4" w:space="0" w:color="auto"/>
              <w:right w:val="single" w:sz="4" w:space="0" w:color="auto"/>
            </w:tcBorders>
            <w:shd w:val="clear" w:color="auto" w:fill="auto"/>
            <w:vAlign w:val="center"/>
            <w:hideMark/>
          </w:tcPr>
          <w:p w14:paraId="09D8FF5E"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Pipeline</w:t>
            </w:r>
          </w:p>
        </w:tc>
        <w:tc>
          <w:tcPr>
            <w:tcW w:w="2809" w:type="dxa"/>
            <w:tcBorders>
              <w:top w:val="nil"/>
              <w:left w:val="nil"/>
              <w:bottom w:val="single" w:sz="4" w:space="0" w:color="auto"/>
              <w:right w:val="single" w:sz="4" w:space="0" w:color="auto"/>
            </w:tcBorders>
            <w:shd w:val="clear" w:color="auto" w:fill="auto"/>
            <w:vAlign w:val="center"/>
            <w:hideMark/>
          </w:tcPr>
          <w:p w14:paraId="64C97F81"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Design capacity</w:t>
            </w:r>
          </w:p>
        </w:tc>
        <w:tc>
          <w:tcPr>
            <w:tcW w:w="1417" w:type="dxa"/>
            <w:tcBorders>
              <w:top w:val="nil"/>
              <w:left w:val="nil"/>
              <w:bottom w:val="single" w:sz="4" w:space="0" w:color="auto"/>
              <w:right w:val="single" w:sz="4" w:space="0" w:color="auto"/>
            </w:tcBorders>
            <w:shd w:val="clear" w:color="auto" w:fill="auto"/>
            <w:vAlign w:val="center"/>
            <w:hideMark/>
          </w:tcPr>
          <w:p w14:paraId="212D673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kg/day</w:t>
            </w:r>
          </w:p>
        </w:tc>
        <w:tc>
          <w:tcPr>
            <w:tcW w:w="1490" w:type="dxa"/>
            <w:tcBorders>
              <w:top w:val="nil"/>
              <w:left w:val="nil"/>
              <w:bottom w:val="single" w:sz="4" w:space="0" w:color="auto"/>
              <w:right w:val="single" w:sz="4" w:space="0" w:color="auto"/>
            </w:tcBorders>
            <w:shd w:val="clear" w:color="auto" w:fill="auto"/>
            <w:vAlign w:val="center"/>
            <w:hideMark/>
          </w:tcPr>
          <w:p w14:paraId="65DD32F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850</w:t>
            </w:r>
          </w:p>
        </w:tc>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sdt>
            <w:sdtPr>
              <w:rPr>
                <w:rFonts w:ascii="Arial" w:hAnsi="Arial" w:cs="Arial"/>
                <w:color w:val="000000"/>
                <w:sz w:val="20"/>
              </w:rPr>
              <w:tag w:val="MENDELEY_CITATION_v3_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V9XX0="/>
              <w:id w:val="1242365860"/>
              <w:placeholder>
                <w:docPart w:val="DefaultPlaceholder_-1854013440"/>
              </w:placeholder>
            </w:sdtPr>
            <w:sdtEndPr/>
            <w:sdtContent>
              <w:p w14:paraId="71F84DD2" w14:textId="246B1CAF" w:rsidR="00FB0286" w:rsidRPr="000708BC" w:rsidRDefault="002422C9" w:rsidP="00AE2C1B">
                <w:pPr>
                  <w:jc w:val="center"/>
                  <w:rPr>
                    <w:rFonts w:ascii="Arial" w:hAnsi="Arial" w:cs="Arial"/>
                    <w:color w:val="000000"/>
                    <w:sz w:val="20"/>
                  </w:rPr>
                </w:pPr>
                <w:r w:rsidRPr="000708BC">
                  <w:rPr>
                    <w:rFonts w:ascii="Arial" w:hAnsi="Arial" w:cs="Arial"/>
                    <w:color w:val="000000"/>
                    <w:sz w:val="20"/>
                  </w:rPr>
                  <w:t>(Reuß et al., 2017; Tsiklios, Hermesmann, &amp; Müller, 2022; Wulf et al., 2018)</w:t>
                </w:r>
              </w:p>
            </w:sdtContent>
          </w:sdt>
        </w:tc>
      </w:tr>
      <w:tr w:rsidR="00FB0286" w:rsidRPr="000708BC" w14:paraId="234E98EB"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5104E1A0"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4350AAAA"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Diameter</w:t>
            </w:r>
          </w:p>
        </w:tc>
        <w:tc>
          <w:tcPr>
            <w:tcW w:w="1417" w:type="dxa"/>
            <w:tcBorders>
              <w:top w:val="nil"/>
              <w:left w:val="nil"/>
              <w:bottom w:val="single" w:sz="4" w:space="0" w:color="auto"/>
              <w:right w:val="single" w:sz="4" w:space="0" w:color="auto"/>
            </w:tcBorders>
            <w:shd w:val="clear" w:color="auto" w:fill="auto"/>
            <w:vAlign w:val="center"/>
            <w:hideMark/>
          </w:tcPr>
          <w:p w14:paraId="08B0190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mm</w:t>
            </w:r>
          </w:p>
        </w:tc>
        <w:tc>
          <w:tcPr>
            <w:tcW w:w="1490" w:type="dxa"/>
            <w:tcBorders>
              <w:top w:val="nil"/>
              <w:left w:val="nil"/>
              <w:bottom w:val="single" w:sz="4" w:space="0" w:color="auto"/>
              <w:right w:val="single" w:sz="4" w:space="0" w:color="auto"/>
            </w:tcBorders>
            <w:shd w:val="clear" w:color="auto" w:fill="auto"/>
            <w:vAlign w:val="center"/>
            <w:hideMark/>
          </w:tcPr>
          <w:p w14:paraId="66BD9A4E"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200</w:t>
            </w:r>
          </w:p>
        </w:tc>
        <w:tc>
          <w:tcPr>
            <w:tcW w:w="1588" w:type="dxa"/>
            <w:vMerge/>
            <w:tcBorders>
              <w:top w:val="nil"/>
              <w:left w:val="single" w:sz="4" w:space="0" w:color="auto"/>
              <w:bottom w:val="single" w:sz="4" w:space="0" w:color="auto"/>
              <w:right w:val="single" w:sz="4" w:space="0" w:color="auto"/>
            </w:tcBorders>
            <w:vAlign w:val="center"/>
            <w:hideMark/>
          </w:tcPr>
          <w:p w14:paraId="12D57DFA" w14:textId="77777777" w:rsidR="00FB0286" w:rsidRPr="000708BC" w:rsidRDefault="00FB0286" w:rsidP="00FB0286">
            <w:pPr>
              <w:rPr>
                <w:rFonts w:ascii="Arial" w:hAnsi="Arial" w:cs="Arial"/>
                <w:color w:val="000000"/>
                <w:sz w:val="20"/>
              </w:rPr>
            </w:pPr>
          </w:p>
        </w:tc>
      </w:tr>
      <w:tr w:rsidR="00FB0286" w:rsidRPr="000708BC" w14:paraId="1BBD7641"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194D3296"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419A5558"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Distance</w:t>
            </w:r>
          </w:p>
        </w:tc>
        <w:tc>
          <w:tcPr>
            <w:tcW w:w="1417" w:type="dxa"/>
            <w:tcBorders>
              <w:top w:val="nil"/>
              <w:left w:val="nil"/>
              <w:bottom w:val="single" w:sz="4" w:space="0" w:color="auto"/>
              <w:right w:val="single" w:sz="4" w:space="0" w:color="auto"/>
            </w:tcBorders>
            <w:shd w:val="clear" w:color="auto" w:fill="auto"/>
            <w:vAlign w:val="center"/>
            <w:hideMark/>
          </w:tcPr>
          <w:p w14:paraId="58C8FB4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km</w:t>
            </w:r>
          </w:p>
        </w:tc>
        <w:tc>
          <w:tcPr>
            <w:tcW w:w="1490" w:type="dxa"/>
            <w:tcBorders>
              <w:top w:val="nil"/>
              <w:left w:val="nil"/>
              <w:bottom w:val="single" w:sz="4" w:space="0" w:color="auto"/>
              <w:right w:val="single" w:sz="4" w:space="0" w:color="auto"/>
            </w:tcBorders>
            <w:shd w:val="clear" w:color="auto" w:fill="auto"/>
            <w:vAlign w:val="center"/>
            <w:hideMark/>
          </w:tcPr>
          <w:p w14:paraId="315D3C6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200</w:t>
            </w:r>
          </w:p>
        </w:tc>
        <w:tc>
          <w:tcPr>
            <w:tcW w:w="1588" w:type="dxa"/>
            <w:vMerge/>
            <w:tcBorders>
              <w:top w:val="nil"/>
              <w:left w:val="single" w:sz="4" w:space="0" w:color="auto"/>
              <w:bottom w:val="single" w:sz="4" w:space="0" w:color="auto"/>
              <w:right w:val="single" w:sz="4" w:space="0" w:color="auto"/>
            </w:tcBorders>
            <w:vAlign w:val="center"/>
            <w:hideMark/>
          </w:tcPr>
          <w:p w14:paraId="60E3BC58" w14:textId="77777777" w:rsidR="00FB0286" w:rsidRPr="000708BC" w:rsidRDefault="00FB0286" w:rsidP="00FB0286">
            <w:pPr>
              <w:rPr>
                <w:rFonts w:ascii="Arial" w:hAnsi="Arial" w:cs="Arial"/>
                <w:color w:val="000000"/>
                <w:sz w:val="20"/>
              </w:rPr>
            </w:pPr>
          </w:p>
        </w:tc>
      </w:tr>
      <w:tr w:rsidR="00FB0286" w:rsidRPr="000708BC" w14:paraId="5BF3063B" w14:textId="77777777" w:rsidTr="00FB0286">
        <w:trPr>
          <w:trHeight w:val="560"/>
          <w:jc w:val="center"/>
        </w:trPr>
        <w:tc>
          <w:tcPr>
            <w:tcW w:w="1552" w:type="dxa"/>
            <w:vMerge/>
            <w:tcBorders>
              <w:top w:val="nil"/>
              <w:left w:val="single" w:sz="4" w:space="0" w:color="auto"/>
              <w:bottom w:val="single" w:sz="4" w:space="0" w:color="auto"/>
              <w:right w:val="single" w:sz="4" w:space="0" w:color="auto"/>
            </w:tcBorders>
            <w:vAlign w:val="center"/>
            <w:hideMark/>
          </w:tcPr>
          <w:p w14:paraId="4E6E5FDF"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7B60DA0E"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Adicional material for maintenance</w:t>
            </w:r>
          </w:p>
        </w:tc>
        <w:tc>
          <w:tcPr>
            <w:tcW w:w="1417" w:type="dxa"/>
            <w:tcBorders>
              <w:top w:val="nil"/>
              <w:left w:val="nil"/>
              <w:bottom w:val="single" w:sz="4" w:space="0" w:color="auto"/>
              <w:right w:val="single" w:sz="4" w:space="0" w:color="auto"/>
            </w:tcBorders>
            <w:shd w:val="clear" w:color="auto" w:fill="auto"/>
            <w:vAlign w:val="center"/>
            <w:hideMark/>
          </w:tcPr>
          <w:p w14:paraId="4D9A487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km</w:t>
            </w:r>
          </w:p>
        </w:tc>
        <w:tc>
          <w:tcPr>
            <w:tcW w:w="1490" w:type="dxa"/>
            <w:tcBorders>
              <w:top w:val="nil"/>
              <w:left w:val="nil"/>
              <w:bottom w:val="single" w:sz="4" w:space="0" w:color="auto"/>
              <w:right w:val="single" w:sz="4" w:space="0" w:color="auto"/>
            </w:tcBorders>
            <w:shd w:val="clear" w:color="auto" w:fill="auto"/>
            <w:vAlign w:val="center"/>
            <w:hideMark/>
          </w:tcPr>
          <w:p w14:paraId="32D9EC8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10</w:t>
            </w:r>
          </w:p>
        </w:tc>
        <w:tc>
          <w:tcPr>
            <w:tcW w:w="1588" w:type="dxa"/>
            <w:vMerge/>
            <w:tcBorders>
              <w:top w:val="nil"/>
              <w:left w:val="single" w:sz="4" w:space="0" w:color="auto"/>
              <w:bottom w:val="single" w:sz="4" w:space="0" w:color="auto"/>
              <w:right w:val="single" w:sz="4" w:space="0" w:color="auto"/>
            </w:tcBorders>
            <w:vAlign w:val="center"/>
            <w:hideMark/>
          </w:tcPr>
          <w:p w14:paraId="6D547400" w14:textId="77777777" w:rsidR="00FB0286" w:rsidRPr="000708BC" w:rsidRDefault="00FB0286" w:rsidP="00FB0286">
            <w:pPr>
              <w:rPr>
                <w:rFonts w:ascii="Arial" w:hAnsi="Arial" w:cs="Arial"/>
                <w:color w:val="000000"/>
                <w:sz w:val="20"/>
              </w:rPr>
            </w:pPr>
          </w:p>
        </w:tc>
      </w:tr>
      <w:tr w:rsidR="00FB0286" w:rsidRPr="000708BC" w14:paraId="6AF9D672"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1542E45F"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423FC94F"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Lifetime</w:t>
            </w:r>
          </w:p>
        </w:tc>
        <w:tc>
          <w:tcPr>
            <w:tcW w:w="1417" w:type="dxa"/>
            <w:tcBorders>
              <w:top w:val="nil"/>
              <w:left w:val="nil"/>
              <w:bottom w:val="single" w:sz="4" w:space="0" w:color="auto"/>
              <w:right w:val="single" w:sz="4" w:space="0" w:color="auto"/>
            </w:tcBorders>
            <w:shd w:val="clear" w:color="auto" w:fill="auto"/>
            <w:vAlign w:val="center"/>
            <w:hideMark/>
          </w:tcPr>
          <w:p w14:paraId="241AA96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year</w:t>
            </w:r>
          </w:p>
        </w:tc>
        <w:tc>
          <w:tcPr>
            <w:tcW w:w="1490" w:type="dxa"/>
            <w:tcBorders>
              <w:top w:val="nil"/>
              <w:left w:val="nil"/>
              <w:bottom w:val="single" w:sz="4" w:space="0" w:color="auto"/>
              <w:right w:val="single" w:sz="4" w:space="0" w:color="auto"/>
            </w:tcBorders>
            <w:shd w:val="clear" w:color="auto" w:fill="auto"/>
            <w:vAlign w:val="center"/>
            <w:hideMark/>
          </w:tcPr>
          <w:p w14:paraId="2DE195C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40</w:t>
            </w:r>
          </w:p>
        </w:tc>
        <w:tc>
          <w:tcPr>
            <w:tcW w:w="1588" w:type="dxa"/>
            <w:vMerge/>
            <w:tcBorders>
              <w:top w:val="nil"/>
              <w:left w:val="single" w:sz="4" w:space="0" w:color="auto"/>
              <w:bottom w:val="single" w:sz="4" w:space="0" w:color="auto"/>
              <w:right w:val="single" w:sz="4" w:space="0" w:color="auto"/>
            </w:tcBorders>
            <w:vAlign w:val="center"/>
            <w:hideMark/>
          </w:tcPr>
          <w:p w14:paraId="423AF5F0" w14:textId="77777777" w:rsidR="00FB0286" w:rsidRPr="000708BC" w:rsidRDefault="00FB0286" w:rsidP="00FB0286">
            <w:pPr>
              <w:rPr>
                <w:rFonts w:ascii="Arial" w:hAnsi="Arial" w:cs="Arial"/>
                <w:color w:val="000000"/>
                <w:sz w:val="20"/>
              </w:rPr>
            </w:pPr>
          </w:p>
        </w:tc>
      </w:tr>
      <w:tr w:rsidR="00FB0286" w:rsidRPr="000708BC" w14:paraId="2EEA5B6A"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0DA4C097"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047D06FF"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Flow velocity</w:t>
            </w:r>
          </w:p>
        </w:tc>
        <w:tc>
          <w:tcPr>
            <w:tcW w:w="1417" w:type="dxa"/>
            <w:tcBorders>
              <w:top w:val="nil"/>
              <w:left w:val="nil"/>
              <w:bottom w:val="single" w:sz="4" w:space="0" w:color="auto"/>
              <w:right w:val="single" w:sz="4" w:space="0" w:color="auto"/>
            </w:tcBorders>
            <w:shd w:val="clear" w:color="auto" w:fill="auto"/>
            <w:vAlign w:val="center"/>
            <w:hideMark/>
          </w:tcPr>
          <w:p w14:paraId="4B82299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m/s</w:t>
            </w:r>
          </w:p>
        </w:tc>
        <w:tc>
          <w:tcPr>
            <w:tcW w:w="1490" w:type="dxa"/>
            <w:tcBorders>
              <w:top w:val="nil"/>
              <w:left w:val="nil"/>
              <w:bottom w:val="single" w:sz="4" w:space="0" w:color="auto"/>
              <w:right w:val="single" w:sz="4" w:space="0" w:color="auto"/>
            </w:tcBorders>
            <w:shd w:val="clear" w:color="auto" w:fill="auto"/>
            <w:vAlign w:val="center"/>
            <w:hideMark/>
          </w:tcPr>
          <w:p w14:paraId="5B81A413" w14:textId="77777777" w:rsidR="00FB0286" w:rsidRPr="000708BC" w:rsidRDefault="0082531A" w:rsidP="00FB0286">
            <w:pPr>
              <w:jc w:val="center"/>
              <w:rPr>
                <w:rFonts w:ascii="Arial" w:hAnsi="Arial" w:cs="Arial"/>
                <w:color w:val="000000"/>
                <w:sz w:val="20"/>
              </w:rPr>
            </w:pPr>
            <w:r w:rsidRPr="000708BC">
              <w:rPr>
                <w:rFonts w:ascii="Arial" w:hAnsi="Arial" w:cs="Arial"/>
                <w:color w:val="000000"/>
                <w:sz w:val="20"/>
              </w:rPr>
              <w:t>10</w:t>
            </w:r>
            <w:r w:rsidR="00FB0286" w:rsidRPr="000708BC">
              <w:rPr>
                <w:rFonts w:ascii="Arial" w:hAnsi="Arial" w:cs="Arial"/>
                <w:color w:val="000000"/>
                <w:sz w:val="20"/>
              </w:rPr>
              <w:t>-20</w:t>
            </w:r>
          </w:p>
        </w:tc>
        <w:tc>
          <w:tcPr>
            <w:tcW w:w="1588" w:type="dxa"/>
            <w:vMerge/>
            <w:tcBorders>
              <w:top w:val="nil"/>
              <w:left w:val="single" w:sz="4" w:space="0" w:color="auto"/>
              <w:bottom w:val="single" w:sz="4" w:space="0" w:color="auto"/>
              <w:right w:val="single" w:sz="4" w:space="0" w:color="auto"/>
            </w:tcBorders>
            <w:vAlign w:val="center"/>
            <w:hideMark/>
          </w:tcPr>
          <w:p w14:paraId="1780452C" w14:textId="77777777" w:rsidR="00FB0286" w:rsidRPr="000708BC" w:rsidRDefault="00FB0286" w:rsidP="00FB0286">
            <w:pPr>
              <w:rPr>
                <w:rFonts w:ascii="Arial" w:hAnsi="Arial" w:cs="Arial"/>
                <w:color w:val="000000"/>
                <w:sz w:val="20"/>
              </w:rPr>
            </w:pPr>
          </w:p>
        </w:tc>
      </w:tr>
      <w:tr w:rsidR="00FB0286" w:rsidRPr="000708BC" w14:paraId="739427B2"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6FC1AE59"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744A790D"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Pressure level in</w:t>
            </w:r>
          </w:p>
        </w:tc>
        <w:tc>
          <w:tcPr>
            <w:tcW w:w="1417" w:type="dxa"/>
            <w:tcBorders>
              <w:top w:val="nil"/>
              <w:left w:val="nil"/>
              <w:bottom w:val="single" w:sz="4" w:space="0" w:color="auto"/>
              <w:right w:val="single" w:sz="4" w:space="0" w:color="auto"/>
            </w:tcBorders>
            <w:shd w:val="clear" w:color="auto" w:fill="auto"/>
            <w:vAlign w:val="center"/>
            <w:hideMark/>
          </w:tcPr>
          <w:p w14:paraId="6812D72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bar</w:t>
            </w:r>
          </w:p>
        </w:tc>
        <w:tc>
          <w:tcPr>
            <w:tcW w:w="1490" w:type="dxa"/>
            <w:tcBorders>
              <w:top w:val="nil"/>
              <w:left w:val="nil"/>
              <w:bottom w:val="single" w:sz="4" w:space="0" w:color="auto"/>
              <w:right w:val="single" w:sz="4" w:space="0" w:color="auto"/>
            </w:tcBorders>
            <w:shd w:val="clear" w:color="auto" w:fill="auto"/>
            <w:vAlign w:val="center"/>
            <w:hideMark/>
          </w:tcPr>
          <w:p w14:paraId="35D45DD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100</w:t>
            </w:r>
          </w:p>
        </w:tc>
        <w:tc>
          <w:tcPr>
            <w:tcW w:w="1588" w:type="dxa"/>
            <w:vMerge/>
            <w:tcBorders>
              <w:top w:val="nil"/>
              <w:left w:val="single" w:sz="4" w:space="0" w:color="auto"/>
              <w:bottom w:val="single" w:sz="4" w:space="0" w:color="auto"/>
              <w:right w:val="single" w:sz="4" w:space="0" w:color="auto"/>
            </w:tcBorders>
            <w:vAlign w:val="center"/>
            <w:hideMark/>
          </w:tcPr>
          <w:p w14:paraId="2F1FD752" w14:textId="77777777" w:rsidR="00FB0286" w:rsidRPr="000708BC" w:rsidRDefault="00FB0286" w:rsidP="00FB0286">
            <w:pPr>
              <w:rPr>
                <w:rFonts w:ascii="Arial" w:hAnsi="Arial" w:cs="Arial"/>
                <w:color w:val="000000"/>
                <w:sz w:val="20"/>
              </w:rPr>
            </w:pPr>
          </w:p>
        </w:tc>
      </w:tr>
      <w:tr w:rsidR="00FB0286" w:rsidRPr="000708BC" w14:paraId="1F0746B5"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15C3DFBD"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166B03BE"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Pressure level out</w:t>
            </w:r>
          </w:p>
        </w:tc>
        <w:tc>
          <w:tcPr>
            <w:tcW w:w="1417" w:type="dxa"/>
            <w:tcBorders>
              <w:top w:val="nil"/>
              <w:left w:val="nil"/>
              <w:bottom w:val="single" w:sz="4" w:space="0" w:color="auto"/>
              <w:right w:val="single" w:sz="4" w:space="0" w:color="auto"/>
            </w:tcBorders>
            <w:shd w:val="clear" w:color="auto" w:fill="auto"/>
            <w:vAlign w:val="center"/>
            <w:hideMark/>
          </w:tcPr>
          <w:p w14:paraId="227B5EB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bar</w:t>
            </w:r>
          </w:p>
        </w:tc>
        <w:tc>
          <w:tcPr>
            <w:tcW w:w="1490" w:type="dxa"/>
            <w:tcBorders>
              <w:top w:val="nil"/>
              <w:left w:val="nil"/>
              <w:bottom w:val="single" w:sz="4" w:space="0" w:color="auto"/>
              <w:right w:val="single" w:sz="4" w:space="0" w:color="auto"/>
            </w:tcBorders>
            <w:shd w:val="clear" w:color="auto" w:fill="auto"/>
            <w:vAlign w:val="center"/>
            <w:hideMark/>
          </w:tcPr>
          <w:p w14:paraId="71ECC839"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70</w:t>
            </w:r>
          </w:p>
        </w:tc>
        <w:tc>
          <w:tcPr>
            <w:tcW w:w="1588" w:type="dxa"/>
            <w:vMerge/>
            <w:tcBorders>
              <w:top w:val="nil"/>
              <w:left w:val="single" w:sz="4" w:space="0" w:color="auto"/>
              <w:bottom w:val="single" w:sz="4" w:space="0" w:color="auto"/>
              <w:right w:val="single" w:sz="4" w:space="0" w:color="auto"/>
            </w:tcBorders>
            <w:vAlign w:val="center"/>
            <w:hideMark/>
          </w:tcPr>
          <w:p w14:paraId="23CA32B0" w14:textId="77777777" w:rsidR="00FB0286" w:rsidRPr="000708BC" w:rsidRDefault="00FB0286" w:rsidP="00FB0286">
            <w:pPr>
              <w:rPr>
                <w:rFonts w:ascii="Arial" w:hAnsi="Arial" w:cs="Arial"/>
                <w:color w:val="000000"/>
                <w:sz w:val="20"/>
              </w:rPr>
            </w:pPr>
          </w:p>
        </w:tc>
      </w:tr>
      <w:tr w:rsidR="00FB0286" w:rsidRPr="000708BC" w14:paraId="16D98AF5"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75304D24"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590C518B"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Losses</w:t>
            </w:r>
          </w:p>
        </w:tc>
        <w:tc>
          <w:tcPr>
            <w:tcW w:w="1417" w:type="dxa"/>
            <w:tcBorders>
              <w:top w:val="nil"/>
              <w:left w:val="nil"/>
              <w:bottom w:val="single" w:sz="4" w:space="0" w:color="auto"/>
              <w:right w:val="single" w:sz="4" w:space="0" w:color="auto"/>
            </w:tcBorders>
            <w:shd w:val="clear" w:color="auto" w:fill="auto"/>
            <w:vAlign w:val="center"/>
            <w:hideMark/>
          </w:tcPr>
          <w:p w14:paraId="48A117E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w:t>
            </w:r>
          </w:p>
        </w:tc>
        <w:tc>
          <w:tcPr>
            <w:tcW w:w="1490" w:type="dxa"/>
            <w:tcBorders>
              <w:top w:val="nil"/>
              <w:left w:val="nil"/>
              <w:bottom w:val="single" w:sz="4" w:space="0" w:color="auto"/>
              <w:right w:val="single" w:sz="4" w:space="0" w:color="auto"/>
            </w:tcBorders>
            <w:shd w:val="clear" w:color="auto" w:fill="auto"/>
            <w:vAlign w:val="center"/>
            <w:hideMark/>
          </w:tcPr>
          <w:p w14:paraId="671E49D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0.013</w:t>
            </w:r>
          </w:p>
        </w:tc>
        <w:tc>
          <w:tcPr>
            <w:tcW w:w="1588" w:type="dxa"/>
            <w:vMerge/>
            <w:tcBorders>
              <w:top w:val="nil"/>
              <w:left w:val="single" w:sz="4" w:space="0" w:color="auto"/>
              <w:bottom w:val="single" w:sz="4" w:space="0" w:color="auto"/>
              <w:right w:val="single" w:sz="4" w:space="0" w:color="auto"/>
            </w:tcBorders>
            <w:vAlign w:val="center"/>
            <w:hideMark/>
          </w:tcPr>
          <w:p w14:paraId="10047A6E" w14:textId="77777777" w:rsidR="00FB0286" w:rsidRPr="000708BC" w:rsidRDefault="00FB0286" w:rsidP="00FB0286">
            <w:pPr>
              <w:rPr>
                <w:rFonts w:ascii="Arial" w:hAnsi="Arial" w:cs="Arial"/>
                <w:color w:val="000000"/>
                <w:sz w:val="20"/>
              </w:rPr>
            </w:pPr>
          </w:p>
        </w:tc>
      </w:tr>
      <w:tr w:rsidR="00FB0286" w:rsidRPr="000708BC" w14:paraId="2EB6FFE0" w14:textId="77777777" w:rsidTr="00FB0286">
        <w:trPr>
          <w:trHeight w:val="560"/>
          <w:jc w:val="center"/>
        </w:trPr>
        <w:tc>
          <w:tcPr>
            <w:tcW w:w="1552" w:type="dxa"/>
            <w:vMerge/>
            <w:tcBorders>
              <w:top w:val="nil"/>
              <w:left w:val="single" w:sz="4" w:space="0" w:color="auto"/>
              <w:bottom w:val="single" w:sz="4" w:space="0" w:color="auto"/>
              <w:right w:val="single" w:sz="4" w:space="0" w:color="auto"/>
            </w:tcBorders>
            <w:vAlign w:val="center"/>
            <w:hideMark/>
          </w:tcPr>
          <w:p w14:paraId="32B486F0"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52A965ED"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Electricity for compression (from 30bar to 100 bar)</w:t>
            </w:r>
          </w:p>
        </w:tc>
        <w:tc>
          <w:tcPr>
            <w:tcW w:w="1417" w:type="dxa"/>
            <w:tcBorders>
              <w:top w:val="nil"/>
              <w:left w:val="nil"/>
              <w:bottom w:val="single" w:sz="4" w:space="0" w:color="auto"/>
              <w:right w:val="single" w:sz="4" w:space="0" w:color="auto"/>
            </w:tcBorders>
            <w:shd w:val="clear" w:color="auto" w:fill="auto"/>
            <w:vAlign w:val="center"/>
            <w:hideMark/>
          </w:tcPr>
          <w:p w14:paraId="47B80C8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kWh</w:t>
            </w:r>
          </w:p>
        </w:tc>
        <w:tc>
          <w:tcPr>
            <w:tcW w:w="1490" w:type="dxa"/>
            <w:tcBorders>
              <w:top w:val="nil"/>
              <w:left w:val="nil"/>
              <w:bottom w:val="single" w:sz="4" w:space="0" w:color="auto"/>
              <w:right w:val="single" w:sz="4" w:space="0" w:color="auto"/>
            </w:tcBorders>
            <w:shd w:val="clear" w:color="auto" w:fill="auto"/>
            <w:vAlign w:val="center"/>
            <w:hideMark/>
          </w:tcPr>
          <w:p w14:paraId="7AC5E2F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0.6</w:t>
            </w:r>
          </w:p>
        </w:tc>
        <w:tc>
          <w:tcPr>
            <w:tcW w:w="1588" w:type="dxa"/>
            <w:vMerge/>
            <w:tcBorders>
              <w:top w:val="nil"/>
              <w:left w:val="single" w:sz="4" w:space="0" w:color="auto"/>
              <w:bottom w:val="single" w:sz="4" w:space="0" w:color="auto"/>
              <w:right w:val="single" w:sz="4" w:space="0" w:color="auto"/>
            </w:tcBorders>
            <w:vAlign w:val="center"/>
            <w:hideMark/>
          </w:tcPr>
          <w:p w14:paraId="14A23AD0" w14:textId="77777777" w:rsidR="00FB0286" w:rsidRPr="000708BC" w:rsidRDefault="00FB0286" w:rsidP="00FB0286">
            <w:pPr>
              <w:rPr>
                <w:rFonts w:ascii="Arial" w:hAnsi="Arial" w:cs="Arial"/>
                <w:color w:val="000000"/>
                <w:sz w:val="20"/>
              </w:rPr>
            </w:pPr>
          </w:p>
        </w:tc>
      </w:tr>
      <w:tr w:rsidR="00FB0286" w:rsidRPr="000708BC" w14:paraId="43C750CE" w14:textId="77777777" w:rsidTr="00FB0286">
        <w:trPr>
          <w:trHeight w:val="320"/>
          <w:jc w:val="center"/>
        </w:trPr>
        <w:tc>
          <w:tcPr>
            <w:tcW w:w="1552" w:type="dxa"/>
            <w:vMerge w:val="restart"/>
            <w:tcBorders>
              <w:top w:val="nil"/>
              <w:left w:val="single" w:sz="4" w:space="0" w:color="auto"/>
              <w:bottom w:val="single" w:sz="4" w:space="0" w:color="auto"/>
              <w:right w:val="single" w:sz="4" w:space="0" w:color="auto"/>
            </w:tcBorders>
            <w:shd w:val="clear" w:color="auto" w:fill="auto"/>
            <w:vAlign w:val="center"/>
            <w:hideMark/>
          </w:tcPr>
          <w:p w14:paraId="3D8304B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Gaseous Hydrogen tank, truck transportation</w:t>
            </w:r>
          </w:p>
        </w:tc>
        <w:tc>
          <w:tcPr>
            <w:tcW w:w="2809" w:type="dxa"/>
            <w:tcBorders>
              <w:top w:val="nil"/>
              <w:left w:val="nil"/>
              <w:bottom w:val="single" w:sz="4" w:space="0" w:color="auto"/>
              <w:right w:val="single" w:sz="4" w:space="0" w:color="auto"/>
            </w:tcBorders>
            <w:shd w:val="clear" w:color="auto" w:fill="auto"/>
            <w:vAlign w:val="center"/>
            <w:hideMark/>
          </w:tcPr>
          <w:p w14:paraId="66581613"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Storage capacity per tank</w:t>
            </w:r>
          </w:p>
        </w:tc>
        <w:tc>
          <w:tcPr>
            <w:tcW w:w="1417" w:type="dxa"/>
            <w:tcBorders>
              <w:top w:val="nil"/>
              <w:left w:val="nil"/>
              <w:bottom w:val="single" w:sz="4" w:space="0" w:color="auto"/>
              <w:right w:val="single" w:sz="4" w:space="0" w:color="auto"/>
            </w:tcBorders>
            <w:shd w:val="clear" w:color="auto" w:fill="auto"/>
            <w:vAlign w:val="center"/>
            <w:hideMark/>
          </w:tcPr>
          <w:p w14:paraId="5C53C8F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kgH</w:t>
            </w:r>
            <w:r w:rsidRPr="000708BC">
              <w:rPr>
                <w:rFonts w:ascii="Arial" w:hAnsi="Arial" w:cs="Arial"/>
                <w:color w:val="000000"/>
                <w:sz w:val="20"/>
                <w:vertAlign w:val="subscript"/>
              </w:rPr>
              <w:t>2</w:t>
            </w:r>
          </w:p>
        </w:tc>
        <w:tc>
          <w:tcPr>
            <w:tcW w:w="1490" w:type="dxa"/>
            <w:tcBorders>
              <w:top w:val="nil"/>
              <w:left w:val="nil"/>
              <w:bottom w:val="single" w:sz="4" w:space="0" w:color="auto"/>
              <w:right w:val="single" w:sz="4" w:space="0" w:color="auto"/>
            </w:tcBorders>
            <w:shd w:val="clear" w:color="auto" w:fill="auto"/>
            <w:vAlign w:val="center"/>
            <w:hideMark/>
          </w:tcPr>
          <w:p w14:paraId="1550B0ED"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100</w:t>
            </w:r>
          </w:p>
        </w:tc>
        <w:sdt>
          <w:sdtPr>
            <w:rPr>
              <w:rFonts w:ascii="Arial" w:hAnsi="Arial" w:cs="Arial"/>
              <w:color w:val="000000"/>
              <w:sz w:val="20"/>
            </w:rPr>
            <w:tag w:val="MENDELEY_CITATION_v3_eyJjaXRhdGlvbklEIjoiTUVOREVMRVlfQ0lUQVRJT05fY2E1MWVjZDgtM2YzYi00ZTJiLTgxNTMtOTg5Y2ZiNDFkMzAy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
            <w:id w:val="-1235239558"/>
            <w:placeholder>
              <w:docPart w:val="DefaultPlaceholder_-1854013440"/>
            </w:placeholder>
          </w:sdtPr>
          <w:sdtEndPr/>
          <w:sdtContent>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p w14:paraId="53A032BD" w14:textId="7F49625E" w:rsidR="00FB0286" w:rsidRPr="000708BC" w:rsidRDefault="002422C9" w:rsidP="00FB0286">
                <w:pPr>
                  <w:jc w:val="center"/>
                  <w:rPr>
                    <w:rFonts w:ascii="Arial" w:hAnsi="Arial" w:cs="Arial"/>
                    <w:color w:val="000000"/>
                    <w:sz w:val="20"/>
                  </w:rPr>
                </w:pPr>
                <w:r w:rsidRPr="000708BC">
                  <w:rPr>
                    <w:rFonts w:ascii="Arial" w:hAnsi="Arial" w:cs="Arial"/>
                    <w:color w:val="000000"/>
                    <w:sz w:val="20"/>
                  </w:rPr>
                  <w:t>(Wulf et al., 2018)</w:t>
                </w:r>
              </w:p>
            </w:tc>
          </w:sdtContent>
        </w:sdt>
      </w:tr>
      <w:tr w:rsidR="00FB0286" w:rsidRPr="000708BC" w14:paraId="26E96F02" w14:textId="77777777" w:rsidTr="00FB0286">
        <w:trPr>
          <w:trHeight w:val="320"/>
          <w:jc w:val="center"/>
        </w:trPr>
        <w:tc>
          <w:tcPr>
            <w:tcW w:w="1552" w:type="dxa"/>
            <w:vMerge/>
            <w:tcBorders>
              <w:top w:val="nil"/>
              <w:left w:val="single" w:sz="4" w:space="0" w:color="auto"/>
              <w:bottom w:val="single" w:sz="4" w:space="0" w:color="auto"/>
              <w:right w:val="single" w:sz="4" w:space="0" w:color="auto"/>
            </w:tcBorders>
            <w:vAlign w:val="center"/>
            <w:hideMark/>
          </w:tcPr>
          <w:p w14:paraId="5073C800"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04CC87B0"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Storage capacity per truck</w:t>
            </w:r>
          </w:p>
        </w:tc>
        <w:tc>
          <w:tcPr>
            <w:tcW w:w="1417" w:type="dxa"/>
            <w:tcBorders>
              <w:top w:val="nil"/>
              <w:left w:val="nil"/>
              <w:bottom w:val="single" w:sz="4" w:space="0" w:color="auto"/>
              <w:right w:val="single" w:sz="4" w:space="0" w:color="auto"/>
            </w:tcBorders>
            <w:shd w:val="clear" w:color="auto" w:fill="auto"/>
            <w:vAlign w:val="center"/>
            <w:hideMark/>
          </w:tcPr>
          <w:p w14:paraId="357E1CB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kgH</w:t>
            </w:r>
            <w:r w:rsidRPr="000708BC">
              <w:rPr>
                <w:rFonts w:ascii="Arial" w:hAnsi="Arial" w:cs="Arial"/>
                <w:color w:val="000000"/>
                <w:sz w:val="20"/>
                <w:vertAlign w:val="subscript"/>
              </w:rPr>
              <w:t>2</w:t>
            </w:r>
          </w:p>
        </w:tc>
        <w:tc>
          <w:tcPr>
            <w:tcW w:w="1490" w:type="dxa"/>
            <w:tcBorders>
              <w:top w:val="nil"/>
              <w:left w:val="nil"/>
              <w:bottom w:val="single" w:sz="4" w:space="0" w:color="auto"/>
              <w:right w:val="single" w:sz="4" w:space="0" w:color="auto"/>
            </w:tcBorders>
            <w:shd w:val="clear" w:color="auto" w:fill="auto"/>
            <w:vAlign w:val="center"/>
            <w:hideMark/>
          </w:tcPr>
          <w:p w14:paraId="421F7D2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w:t>
            </w:r>
            <w:r w:rsidR="0082531A" w:rsidRPr="000708BC">
              <w:rPr>
                <w:rFonts w:ascii="Arial" w:hAnsi="Arial" w:cs="Arial"/>
                <w:color w:val="000000"/>
                <w:sz w:val="20"/>
              </w:rPr>
              <w:t>,</w:t>
            </w:r>
            <w:r w:rsidRPr="000708BC">
              <w:rPr>
                <w:rFonts w:ascii="Arial" w:hAnsi="Arial" w:cs="Arial"/>
                <w:color w:val="000000"/>
                <w:sz w:val="20"/>
              </w:rPr>
              <w:t>100</w:t>
            </w:r>
          </w:p>
        </w:tc>
        <w:tc>
          <w:tcPr>
            <w:tcW w:w="1588" w:type="dxa"/>
            <w:vMerge/>
            <w:tcBorders>
              <w:top w:val="nil"/>
              <w:left w:val="single" w:sz="4" w:space="0" w:color="auto"/>
              <w:bottom w:val="single" w:sz="4" w:space="0" w:color="auto"/>
              <w:right w:val="single" w:sz="4" w:space="0" w:color="auto"/>
            </w:tcBorders>
            <w:vAlign w:val="center"/>
            <w:hideMark/>
          </w:tcPr>
          <w:p w14:paraId="4D112C9D" w14:textId="77777777" w:rsidR="00FB0286" w:rsidRPr="000708BC" w:rsidRDefault="00FB0286" w:rsidP="00FB0286">
            <w:pPr>
              <w:rPr>
                <w:rFonts w:ascii="Arial" w:hAnsi="Arial" w:cs="Arial"/>
                <w:color w:val="000000"/>
                <w:sz w:val="20"/>
              </w:rPr>
            </w:pPr>
          </w:p>
        </w:tc>
      </w:tr>
      <w:tr w:rsidR="00FB0286" w:rsidRPr="000708BC" w14:paraId="2E10BF80"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64546FC0"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164FF24B"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Pressure level</w:t>
            </w:r>
          </w:p>
        </w:tc>
        <w:tc>
          <w:tcPr>
            <w:tcW w:w="1417" w:type="dxa"/>
            <w:tcBorders>
              <w:top w:val="nil"/>
              <w:left w:val="nil"/>
              <w:bottom w:val="single" w:sz="4" w:space="0" w:color="auto"/>
              <w:right w:val="single" w:sz="4" w:space="0" w:color="auto"/>
            </w:tcBorders>
            <w:shd w:val="clear" w:color="auto" w:fill="auto"/>
            <w:vAlign w:val="center"/>
            <w:hideMark/>
          </w:tcPr>
          <w:p w14:paraId="140EDD0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bar</w:t>
            </w:r>
          </w:p>
        </w:tc>
        <w:tc>
          <w:tcPr>
            <w:tcW w:w="1490" w:type="dxa"/>
            <w:tcBorders>
              <w:top w:val="nil"/>
              <w:left w:val="nil"/>
              <w:bottom w:val="single" w:sz="4" w:space="0" w:color="auto"/>
              <w:right w:val="single" w:sz="4" w:space="0" w:color="auto"/>
            </w:tcBorders>
            <w:shd w:val="clear" w:color="auto" w:fill="auto"/>
            <w:vAlign w:val="center"/>
            <w:hideMark/>
          </w:tcPr>
          <w:p w14:paraId="1942D8D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500</w:t>
            </w:r>
          </w:p>
        </w:tc>
        <w:tc>
          <w:tcPr>
            <w:tcW w:w="1588" w:type="dxa"/>
            <w:vMerge/>
            <w:tcBorders>
              <w:top w:val="nil"/>
              <w:left w:val="single" w:sz="4" w:space="0" w:color="auto"/>
              <w:bottom w:val="single" w:sz="4" w:space="0" w:color="auto"/>
              <w:right w:val="single" w:sz="4" w:space="0" w:color="auto"/>
            </w:tcBorders>
            <w:vAlign w:val="center"/>
            <w:hideMark/>
          </w:tcPr>
          <w:p w14:paraId="3486AFBD" w14:textId="77777777" w:rsidR="00FB0286" w:rsidRPr="000708BC" w:rsidRDefault="00FB0286" w:rsidP="00FB0286">
            <w:pPr>
              <w:rPr>
                <w:rFonts w:ascii="Arial" w:hAnsi="Arial" w:cs="Arial"/>
                <w:color w:val="000000"/>
                <w:sz w:val="20"/>
              </w:rPr>
            </w:pPr>
          </w:p>
        </w:tc>
      </w:tr>
      <w:tr w:rsidR="00FB0286" w:rsidRPr="000708BC" w14:paraId="448DBBBF"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538F632C"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3EDC6860"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Losses</w:t>
            </w:r>
          </w:p>
        </w:tc>
        <w:tc>
          <w:tcPr>
            <w:tcW w:w="1417" w:type="dxa"/>
            <w:tcBorders>
              <w:top w:val="nil"/>
              <w:left w:val="nil"/>
              <w:bottom w:val="single" w:sz="4" w:space="0" w:color="auto"/>
              <w:right w:val="single" w:sz="4" w:space="0" w:color="auto"/>
            </w:tcBorders>
            <w:shd w:val="clear" w:color="auto" w:fill="auto"/>
            <w:vAlign w:val="center"/>
            <w:hideMark/>
          </w:tcPr>
          <w:p w14:paraId="289CF91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w:t>
            </w:r>
          </w:p>
        </w:tc>
        <w:tc>
          <w:tcPr>
            <w:tcW w:w="1490" w:type="dxa"/>
            <w:tcBorders>
              <w:top w:val="nil"/>
              <w:left w:val="nil"/>
              <w:bottom w:val="single" w:sz="4" w:space="0" w:color="auto"/>
              <w:right w:val="single" w:sz="4" w:space="0" w:color="auto"/>
            </w:tcBorders>
            <w:shd w:val="clear" w:color="auto" w:fill="auto"/>
            <w:vAlign w:val="center"/>
            <w:hideMark/>
          </w:tcPr>
          <w:p w14:paraId="290D263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0</w:t>
            </w:r>
          </w:p>
        </w:tc>
        <w:tc>
          <w:tcPr>
            <w:tcW w:w="1588" w:type="dxa"/>
            <w:vMerge/>
            <w:tcBorders>
              <w:top w:val="nil"/>
              <w:left w:val="single" w:sz="4" w:space="0" w:color="auto"/>
              <w:bottom w:val="single" w:sz="4" w:space="0" w:color="auto"/>
              <w:right w:val="single" w:sz="4" w:space="0" w:color="auto"/>
            </w:tcBorders>
            <w:vAlign w:val="center"/>
            <w:hideMark/>
          </w:tcPr>
          <w:p w14:paraId="787F3E80" w14:textId="77777777" w:rsidR="00FB0286" w:rsidRPr="000708BC" w:rsidRDefault="00FB0286" w:rsidP="00FB0286">
            <w:pPr>
              <w:rPr>
                <w:rFonts w:ascii="Arial" w:hAnsi="Arial" w:cs="Arial"/>
                <w:color w:val="000000"/>
                <w:sz w:val="20"/>
              </w:rPr>
            </w:pPr>
          </w:p>
        </w:tc>
      </w:tr>
      <w:tr w:rsidR="00FB0286" w:rsidRPr="000708BC" w14:paraId="4C04BF40" w14:textId="77777777" w:rsidTr="00FB0286">
        <w:trPr>
          <w:trHeight w:val="560"/>
          <w:jc w:val="center"/>
        </w:trPr>
        <w:tc>
          <w:tcPr>
            <w:tcW w:w="1552" w:type="dxa"/>
            <w:vMerge/>
            <w:tcBorders>
              <w:top w:val="nil"/>
              <w:left w:val="single" w:sz="4" w:space="0" w:color="auto"/>
              <w:bottom w:val="single" w:sz="4" w:space="0" w:color="auto"/>
              <w:right w:val="single" w:sz="4" w:space="0" w:color="auto"/>
            </w:tcBorders>
            <w:vAlign w:val="center"/>
            <w:hideMark/>
          </w:tcPr>
          <w:p w14:paraId="0C6862FC"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1BAA13CC"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Electricity for compression (from 30bar to 500 bar)</w:t>
            </w:r>
          </w:p>
        </w:tc>
        <w:tc>
          <w:tcPr>
            <w:tcW w:w="1417" w:type="dxa"/>
            <w:tcBorders>
              <w:top w:val="nil"/>
              <w:left w:val="nil"/>
              <w:bottom w:val="single" w:sz="4" w:space="0" w:color="auto"/>
              <w:right w:val="single" w:sz="4" w:space="0" w:color="auto"/>
            </w:tcBorders>
            <w:shd w:val="clear" w:color="auto" w:fill="auto"/>
            <w:vAlign w:val="center"/>
            <w:hideMark/>
          </w:tcPr>
          <w:p w14:paraId="66C6401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kWh/kgH</w:t>
            </w:r>
            <w:r w:rsidRPr="000708BC">
              <w:rPr>
                <w:rFonts w:ascii="Arial" w:hAnsi="Arial" w:cs="Arial"/>
                <w:color w:val="000000"/>
                <w:sz w:val="20"/>
                <w:vertAlign w:val="subscript"/>
              </w:rPr>
              <w:t>2</w:t>
            </w:r>
          </w:p>
        </w:tc>
        <w:tc>
          <w:tcPr>
            <w:tcW w:w="1490" w:type="dxa"/>
            <w:tcBorders>
              <w:top w:val="nil"/>
              <w:left w:val="nil"/>
              <w:bottom w:val="single" w:sz="4" w:space="0" w:color="auto"/>
              <w:right w:val="single" w:sz="4" w:space="0" w:color="auto"/>
            </w:tcBorders>
            <w:shd w:val="clear" w:color="auto" w:fill="auto"/>
            <w:vAlign w:val="center"/>
            <w:hideMark/>
          </w:tcPr>
          <w:p w14:paraId="5E94A68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2.1</w:t>
            </w:r>
          </w:p>
        </w:tc>
        <w:tc>
          <w:tcPr>
            <w:tcW w:w="1588" w:type="dxa"/>
            <w:vMerge/>
            <w:tcBorders>
              <w:top w:val="nil"/>
              <w:left w:val="single" w:sz="4" w:space="0" w:color="auto"/>
              <w:bottom w:val="single" w:sz="4" w:space="0" w:color="auto"/>
              <w:right w:val="single" w:sz="4" w:space="0" w:color="auto"/>
            </w:tcBorders>
            <w:vAlign w:val="center"/>
            <w:hideMark/>
          </w:tcPr>
          <w:p w14:paraId="07C5D839" w14:textId="77777777" w:rsidR="00FB0286" w:rsidRPr="000708BC" w:rsidRDefault="00FB0286" w:rsidP="00FB0286">
            <w:pPr>
              <w:rPr>
                <w:rFonts w:ascii="Arial" w:hAnsi="Arial" w:cs="Arial"/>
                <w:color w:val="000000"/>
                <w:sz w:val="20"/>
              </w:rPr>
            </w:pPr>
          </w:p>
        </w:tc>
      </w:tr>
      <w:tr w:rsidR="00FB0286" w:rsidRPr="000708BC" w14:paraId="21D21F5D" w14:textId="77777777" w:rsidTr="00FB0286">
        <w:trPr>
          <w:trHeight w:val="280"/>
          <w:jc w:val="center"/>
        </w:trPr>
        <w:tc>
          <w:tcPr>
            <w:tcW w:w="1552" w:type="dxa"/>
            <w:vMerge w:val="restart"/>
            <w:tcBorders>
              <w:top w:val="nil"/>
              <w:left w:val="single" w:sz="4" w:space="0" w:color="auto"/>
              <w:bottom w:val="single" w:sz="4" w:space="0" w:color="auto"/>
              <w:right w:val="single" w:sz="4" w:space="0" w:color="auto"/>
            </w:tcBorders>
            <w:shd w:val="clear" w:color="auto" w:fill="auto"/>
            <w:vAlign w:val="center"/>
            <w:hideMark/>
          </w:tcPr>
          <w:p w14:paraId="6D29CB1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Hydrogen Fuel Station</w:t>
            </w:r>
          </w:p>
        </w:tc>
        <w:tc>
          <w:tcPr>
            <w:tcW w:w="2809" w:type="dxa"/>
            <w:tcBorders>
              <w:top w:val="nil"/>
              <w:left w:val="nil"/>
              <w:bottom w:val="single" w:sz="4" w:space="0" w:color="auto"/>
              <w:right w:val="single" w:sz="4" w:space="0" w:color="auto"/>
            </w:tcBorders>
            <w:shd w:val="clear" w:color="auto" w:fill="auto"/>
            <w:vAlign w:val="center"/>
            <w:hideMark/>
          </w:tcPr>
          <w:p w14:paraId="7761578B"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Pressure level max</w:t>
            </w:r>
          </w:p>
        </w:tc>
        <w:tc>
          <w:tcPr>
            <w:tcW w:w="1417" w:type="dxa"/>
            <w:tcBorders>
              <w:top w:val="nil"/>
              <w:left w:val="nil"/>
              <w:bottom w:val="single" w:sz="4" w:space="0" w:color="auto"/>
              <w:right w:val="single" w:sz="4" w:space="0" w:color="auto"/>
            </w:tcBorders>
            <w:shd w:val="clear" w:color="auto" w:fill="auto"/>
            <w:vAlign w:val="center"/>
            <w:hideMark/>
          </w:tcPr>
          <w:p w14:paraId="6C686B0D"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bar</w:t>
            </w:r>
          </w:p>
        </w:tc>
        <w:tc>
          <w:tcPr>
            <w:tcW w:w="1490" w:type="dxa"/>
            <w:tcBorders>
              <w:top w:val="nil"/>
              <w:left w:val="nil"/>
              <w:bottom w:val="single" w:sz="4" w:space="0" w:color="auto"/>
              <w:right w:val="single" w:sz="4" w:space="0" w:color="auto"/>
            </w:tcBorders>
            <w:shd w:val="clear" w:color="auto" w:fill="auto"/>
            <w:vAlign w:val="center"/>
            <w:hideMark/>
          </w:tcPr>
          <w:p w14:paraId="7CDFBFC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880</w:t>
            </w:r>
          </w:p>
        </w:tc>
        <w:tc>
          <w:tcPr>
            <w:tcW w:w="1588" w:type="dxa"/>
            <w:vMerge w:val="restart"/>
            <w:tcBorders>
              <w:top w:val="nil"/>
              <w:left w:val="single" w:sz="4" w:space="0" w:color="auto"/>
              <w:bottom w:val="single" w:sz="4" w:space="0" w:color="auto"/>
              <w:right w:val="single" w:sz="4" w:space="0" w:color="auto"/>
            </w:tcBorders>
            <w:shd w:val="clear" w:color="auto" w:fill="auto"/>
            <w:vAlign w:val="center"/>
            <w:hideMark/>
          </w:tcPr>
          <w:sdt>
            <w:sdtPr>
              <w:rPr>
                <w:rFonts w:ascii="Arial" w:hAnsi="Arial" w:cs="Arial"/>
                <w:color w:val="000000"/>
                <w:sz w:val="20"/>
              </w:rPr>
              <w:tag w:val="MENDELEY_CITATION_v3_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V9XX0="/>
              <w:id w:val="1193345543"/>
              <w:placeholder>
                <w:docPart w:val="DefaultPlaceholder_-1854013440"/>
              </w:placeholder>
            </w:sdtPr>
            <w:sdtEndPr/>
            <w:sdtContent>
              <w:p w14:paraId="2ECDA225" w14:textId="53DE5B96" w:rsidR="00FB0286" w:rsidRPr="000708BC" w:rsidRDefault="002422C9" w:rsidP="00AF4E11">
                <w:pPr>
                  <w:jc w:val="center"/>
                  <w:rPr>
                    <w:rFonts w:ascii="Arial" w:hAnsi="Arial" w:cs="Arial"/>
                    <w:color w:val="000000"/>
                    <w:sz w:val="20"/>
                  </w:rPr>
                </w:pPr>
                <w:r w:rsidRPr="000708BC">
                  <w:rPr>
                    <w:rFonts w:ascii="Arial" w:hAnsi="Arial" w:cs="Arial"/>
                    <w:color w:val="000000"/>
                    <w:sz w:val="20"/>
                  </w:rPr>
                  <w:t>(Akhtar, Dickson, &amp; Liu, 2021; Burkhardt et al., 2016; Wulf et al., 2018)</w:t>
                </w:r>
              </w:p>
            </w:sdtContent>
          </w:sdt>
        </w:tc>
      </w:tr>
      <w:tr w:rsidR="00FB0286" w:rsidRPr="000708BC" w14:paraId="3CA5F47B"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1509F5ED"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3A2C2EFC"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Pressure level out</w:t>
            </w:r>
          </w:p>
        </w:tc>
        <w:tc>
          <w:tcPr>
            <w:tcW w:w="1417" w:type="dxa"/>
            <w:tcBorders>
              <w:top w:val="nil"/>
              <w:left w:val="nil"/>
              <w:bottom w:val="single" w:sz="4" w:space="0" w:color="auto"/>
              <w:right w:val="single" w:sz="4" w:space="0" w:color="auto"/>
            </w:tcBorders>
            <w:shd w:val="clear" w:color="auto" w:fill="auto"/>
            <w:vAlign w:val="center"/>
            <w:hideMark/>
          </w:tcPr>
          <w:p w14:paraId="4C1341A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bar</w:t>
            </w:r>
          </w:p>
        </w:tc>
        <w:tc>
          <w:tcPr>
            <w:tcW w:w="1490" w:type="dxa"/>
            <w:tcBorders>
              <w:top w:val="nil"/>
              <w:left w:val="nil"/>
              <w:bottom w:val="single" w:sz="4" w:space="0" w:color="auto"/>
              <w:right w:val="single" w:sz="4" w:space="0" w:color="auto"/>
            </w:tcBorders>
            <w:shd w:val="clear" w:color="auto" w:fill="auto"/>
            <w:vAlign w:val="center"/>
            <w:hideMark/>
          </w:tcPr>
          <w:p w14:paraId="19C98D4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700</w:t>
            </w:r>
          </w:p>
        </w:tc>
        <w:tc>
          <w:tcPr>
            <w:tcW w:w="1588" w:type="dxa"/>
            <w:vMerge/>
            <w:tcBorders>
              <w:top w:val="nil"/>
              <w:left w:val="single" w:sz="4" w:space="0" w:color="auto"/>
              <w:bottom w:val="single" w:sz="4" w:space="0" w:color="auto"/>
              <w:right w:val="single" w:sz="4" w:space="0" w:color="auto"/>
            </w:tcBorders>
            <w:vAlign w:val="center"/>
            <w:hideMark/>
          </w:tcPr>
          <w:p w14:paraId="643E1484" w14:textId="77777777" w:rsidR="00FB0286" w:rsidRPr="000708BC" w:rsidRDefault="00FB0286" w:rsidP="00FB0286">
            <w:pPr>
              <w:rPr>
                <w:rFonts w:ascii="Arial" w:hAnsi="Arial" w:cs="Arial"/>
                <w:color w:val="000000"/>
                <w:sz w:val="20"/>
              </w:rPr>
            </w:pPr>
          </w:p>
        </w:tc>
      </w:tr>
      <w:tr w:rsidR="00FB0286" w:rsidRPr="000708BC" w14:paraId="45158758" w14:textId="77777777" w:rsidTr="00FB0286">
        <w:trPr>
          <w:trHeight w:val="280"/>
          <w:jc w:val="center"/>
        </w:trPr>
        <w:tc>
          <w:tcPr>
            <w:tcW w:w="1552" w:type="dxa"/>
            <w:vMerge/>
            <w:tcBorders>
              <w:top w:val="nil"/>
              <w:left w:val="single" w:sz="4" w:space="0" w:color="auto"/>
              <w:bottom w:val="single" w:sz="4" w:space="0" w:color="auto"/>
              <w:right w:val="single" w:sz="4" w:space="0" w:color="auto"/>
            </w:tcBorders>
            <w:vAlign w:val="center"/>
            <w:hideMark/>
          </w:tcPr>
          <w:p w14:paraId="45A0D512"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461AEAD5"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Losses</w:t>
            </w:r>
          </w:p>
        </w:tc>
        <w:tc>
          <w:tcPr>
            <w:tcW w:w="1417" w:type="dxa"/>
            <w:tcBorders>
              <w:top w:val="nil"/>
              <w:left w:val="nil"/>
              <w:bottom w:val="single" w:sz="4" w:space="0" w:color="auto"/>
              <w:right w:val="single" w:sz="4" w:space="0" w:color="auto"/>
            </w:tcBorders>
            <w:shd w:val="clear" w:color="auto" w:fill="auto"/>
            <w:vAlign w:val="center"/>
            <w:hideMark/>
          </w:tcPr>
          <w:p w14:paraId="11AFB84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w:t>
            </w:r>
          </w:p>
        </w:tc>
        <w:tc>
          <w:tcPr>
            <w:tcW w:w="1490" w:type="dxa"/>
            <w:tcBorders>
              <w:top w:val="nil"/>
              <w:left w:val="nil"/>
              <w:bottom w:val="single" w:sz="4" w:space="0" w:color="auto"/>
              <w:right w:val="single" w:sz="4" w:space="0" w:color="auto"/>
            </w:tcBorders>
            <w:shd w:val="clear" w:color="auto" w:fill="auto"/>
            <w:vAlign w:val="center"/>
            <w:hideMark/>
          </w:tcPr>
          <w:p w14:paraId="1D3E7AC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0.005</w:t>
            </w:r>
          </w:p>
        </w:tc>
        <w:tc>
          <w:tcPr>
            <w:tcW w:w="1588" w:type="dxa"/>
            <w:vMerge/>
            <w:tcBorders>
              <w:top w:val="nil"/>
              <w:left w:val="single" w:sz="4" w:space="0" w:color="auto"/>
              <w:bottom w:val="single" w:sz="4" w:space="0" w:color="auto"/>
              <w:right w:val="single" w:sz="4" w:space="0" w:color="auto"/>
            </w:tcBorders>
            <w:vAlign w:val="center"/>
            <w:hideMark/>
          </w:tcPr>
          <w:p w14:paraId="00F7FF9B" w14:textId="77777777" w:rsidR="00FB0286" w:rsidRPr="000708BC" w:rsidRDefault="00FB0286" w:rsidP="00FB0286">
            <w:pPr>
              <w:rPr>
                <w:rFonts w:ascii="Arial" w:hAnsi="Arial" w:cs="Arial"/>
                <w:color w:val="000000"/>
                <w:sz w:val="20"/>
              </w:rPr>
            </w:pPr>
          </w:p>
        </w:tc>
      </w:tr>
      <w:tr w:rsidR="00FB0286" w:rsidRPr="000708BC" w14:paraId="36E89FDF" w14:textId="77777777" w:rsidTr="00FB0286">
        <w:trPr>
          <w:trHeight w:val="560"/>
          <w:jc w:val="center"/>
        </w:trPr>
        <w:tc>
          <w:tcPr>
            <w:tcW w:w="1552" w:type="dxa"/>
            <w:vMerge/>
            <w:tcBorders>
              <w:top w:val="nil"/>
              <w:left w:val="single" w:sz="4" w:space="0" w:color="auto"/>
              <w:bottom w:val="single" w:sz="4" w:space="0" w:color="auto"/>
              <w:right w:val="single" w:sz="4" w:space="0" w:color="auto"/>
            </w:tcBorders>
            <w:vAlign w:val="center"/>
            <w:hideMark/>
          </w:tcPr>
          <w:p w14:paraId="65F610FC"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2BF68CEF"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Electricity for compression (from 100 bar to 700 bar)</w:t>
            </w:r>
          </w:p>
        </w:tc>
        <w:tc>
          <w:tcPr>
            <w:tcW w:w="1417" w:type="dxa"/>
            <w:tcBorders>
              <w:top w:val="nil"/>
              <w:left w:val="nil"/>
              <w:bottom w:val="single" w:sz="4" w:space="0" w:color="auto"/>
              <w:right w:val="single" w:sz="4" w:space="0" w:color="auto"/>
            </w:tcBorders>
            <w:shd w:val="clear" w:color="auto" w:fill="auto"/>
            <w:vAlign w:val="center"/>
            <w:hideMark/>
          </w:tcPr>
          <w:p w14:paraId="2C896A3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kWh/kgH</w:t>
            </w:r>
            <w:r w:rsidRPr="000708BC">
              <w:rPr>
                <w:rFonts w:ascii="Arial" w:hAnsi="Arial" w:cs="Arial"/>
                <w:color w:val="000000"/>
                <w:sz w:val="20"/>
                <w:vertAlign w:val="subscript"/>
              </w:rPr>
              <w:t>2</w:t>
            </w:r>
          </w:p>
        </w:tc>
        <w:tc>
          <w:tcPr>
            <w:tcW w:w="1490" w:type="dxa"/>
            <w:tcBorders>
              <w:top w:val="nil"/>
              <w:left w:val="nil"/>
              <w:bottom w:val="single" w:sz="4" w:space="0" w:color="auto"/>
              <w:right w:val="single" w:sz="4" w:space="0" w:color="auto"/>
            </w:tcBorders>
            <w:shd w:val="clear" w:color="auto" w:fill="auto"/>
            <w:vAlign w:val="center"/>
            <w:hideMark/>
          </w:tcPr>
          <w:p w14:paraId="2EBBAA9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1.6</w:t>
            </w:r>
          </w:p>
        </w:tc>
        <w:tc>
          <w:tcPr>
            <w:tcW w:w="1588" w:type="dxa"/>
            <w:vMerge/>
            <w:tcBorders>
              <w:top w:val="nil"/>
              <w:left w:val="single" w:sz="4" w:space="0" w:color="auto"/>
              <w:bottom w:val="single" w:sz="4" w:space="0" w:color="auto"/>
              <w:right w:val="single" w:sz="4" w:space="0" w:color="auto"/>
            </w:tcBorders>
            <w:vAlign w:val="center"/>
            <w:hideMark/>
          </w:tcPr>
          <w:p w14:paraId="708B9BE5" w14:textId="77777777" w:rsidR="00FB0286" w:rsidRPr="000708BC" w:rsidRDefault="00FB0286" w:rsidP="00FB0286">
            <w:pPr>
              <w:rPr>
                <w:rFonts w:ascii="Arial" w:hAnsi="Arial" w:cs="Arial"/>
                <w:color w:val="000000"/>
                <w:sz w:val="20"/>
              </w:rPr>
            </w:pPr>
          </w:p>
        </w:tc>
      </w:tr>
      <w:tr w:rsidR="00FB0286" w:rsidRPr="000708BC" w14:paraId="7DC48106" w14:textId="77777777" w:rsidTr="00FB0286">
        <w:trPr>
          <w:trHeight w:val="560"/>
          <w:jc w:val="center"/>
        </w:trPr>
        <w:tc>
          <w:tcPr>
            <w:tcW w:w="1552" w:type="dxa"/>
            <w:vMerge/>
            <w:tcBorders>
              <w:top w:val="nil"/>
              <w:left w:val="single" w:sz="4" w:space="0" w:color="auto"/>
              <w:bottom w:val="single" w:sz="4" w:space="0" w:color="auto"/>
              <w:right w:val="single" w:sz="4" w:space="0" w:color="auto"/>
            </w:tcBorders>
            <w:vAlign w:val="center"/>
            <w:hideMark/>
          </w:tcPr>
          <w:p w14:paraId="1549F545"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515327F0"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Electricity for compression (from 500 bar to 700 bar)</w:t>
            </w:r>
          </w:p>
        </w:tc>
        <w:tc>
          <w:tcPr>
            <w:tcW w:w="1417" w:type="dxa"/>
            <w:tcBorders>
              <w:top w:val="nil"/>
              <w:left w:val="nil"/>
              <w:bottom w:val="single" w:sz="4" w:space="0" w:color="auto"/>
              <w:right w:val="single" w:sz="4" w:space="0" w:color="auto"/>
            </w:tcBorders>
            <w:shd w:val="clear" w:color="auto" w:fill="auto"/>
            <w:vAlign w:val="center"/>
            <w:hideMark/>
          </w:tcPr>
          <w:p w14:paraId="7E301426"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kWh/kgH</w:t>
            </w:r>
            <w:r w:rsidRPr="000708BC">
              <w:rPr>
                <w:rFonts w:ascii="Arial" w:hAnsi="Arial" w:cs="Arial"/>
                <w:color w:val="000000"/>
                <w:sz w:val="20"/>
                <w:vertAlign w:val="subscript"/>
              </w:rPr>
              <w:t>2</w:t>
            </w:r>
          </w:p>
        </w:tc>
        <w:tc>
          <w:tcPr>
            <w:tcW w:w="1490" w:type="dxa"/>
            <w:tcBorders>
              <w:top w:val="nil"/>
              <w:left w:val="nil"/>
              <w:bottom w:val="single" w:sz="4" w:space="0" w:color="auto"/>
              <w:right w:val="single" w:sz="4" w:space="0" w:color="auto"/>
            </w:tcBorders>
            <w:shd w:val="clear" w:color="auto" w:fill="auto"/>
            <w:vAlign w:val="center"/>
            <w:hideMark/>
          </w:tcPr>
          <w:p w14:paraId="1582009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0.5</w:t>
            </w:r>
          </w:p>
        </w:tc>
        <w:tc>
          <w:tcPr>
            <w:tcW w:w="1588" w:type="dxa"/>
            <w:vMerge/>
            <w:tcBorders>
              <w:top w:val="nil"/>
              <w:left w:val="single" w:sz="4" w:space="0" w:color="auto"/>
              <w:bottom w:val="single" w:sz="4" w:space="0" w:color="auto"/>
              <w:right w:val="single" w:sz="4" w:space="0" w:color="auto"/>
            </w:tcBorders>
            <w:vAlign w:val="center"/>
            <w:hideMark/>
          </w:tcPr>
          <w:p w14:paraId="375CCA2A" w14:textId="77777777" w:rsidR="00FB0286" w:rsidRPr="000708BC" w:rsidRDefault="00FB0286" w:rsidP="00FB0286">
            <w:pPr>
              <w:rPr>
                <w:rFonts w:ascii="Arial" w:hAnsi="Arial" w:cs="Arial"/>
                <w:color w:val="000000"/>
                <w:sz w:val="20"/>
              </w:rPr>
            </w:pPr>
          </w:p>
        </w:tc>
      </w:tr>
      <w:tr w:rsidR="00FB0286" w:rsidRPr="000708BC" w14:paraId="5621E4D2" w14:textId="77777777" w:rsidTr="00FB0286">
        <w:trPr>
          <w:trHeight w:val="320"/>
          <w:jc w:val="center"/>
        </w:trPr>
        <w:tc>
          <w:tcPr>
            <w:tcW w:w="1552" w:type="dxa"/>
            <w:vMerge/>
            <w:tcBorders>
              <w:top w:val="nil"/>
              <w:left w:val="single" w:sz="4" w:space="0" w:color="auto"/>
              <w:bottom w:val="single" w:sz="4" w:space="0" w:color="auto"/>
              <w:right w:val="single" w:sz="4" w:space="0" w:color="auto"/>
            </w:tcBorders>
            <w:vAlign w:val="center"/>
            <w:hideMark/>
          </w:tcPr>
          <w:p w14:paraId="7696C63A" w14:textId="77777777" w:rsidR="00FB0286" w:rsidRPr="000708BC" w:rsidRDefault="00FB0286" w:rsidP="00FB0286">
            <w:pPr>
              <w:rPr>
                <w:rFonts w:ascii="Arial" w:hAnsi="Arial" w:cs="Arial"/>
                <w:color w:val="000000"/>
                <w:sz w:val="20"/>
              </w:rPr>
            </w:pPr>
          </w:p>
        </w:tc>
        <w:tc>
          <w:tcPr>
            <w:tcW w:w="2809" w:type="dxa"/>
            <w:tcBorders>
              <w:top w:val="nil"/>
              <w:left w:val="nil"/>
              <w:bottom w:val="single" w:sz="4" w:space="0" w:color="auto"/>
              <w:right w:val="single" w:sz="4" w:space="0" w:color="auto"/>
            </w:tcBorders>
            <w:shd w:val="clear" w:color="auto" w:fill="auto"/>
            <w:vAlign w:val="center"/>
            <w:hideMark/>
          </w:tcPr>
          <w:p w14:paraId="113F9370"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Electricity precooling</w:t>
            </w:r>
          </w:p>
        </w:tc>
        <w:tc>
          <w:tcPr>
            <w:tcW w:w="1417" w:type="dxa"/>
            <w:tcBorders>
              <w:top w:val="nil"/>
              <w:left w:val="nil"/>
              <w:bottom w:val="single" w:sz="4" w:space="0" w:color="auto"/>
              <w:right w:val="single" w:sz="4" w:space="0" w:color="auto"/>
            </w:tcBorders>
            <w:shd w:val="clear" w:color="auto" w:fill="auto"/>
            <w:vAlign w:val="center"/>
            <w:hideMark/>
          </w:tcPr>
          <w:p w14:paraId="4F07E69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kWh/kgH</w:t>
            </w:r>
            <w:r w:rsidRPr="000708BC">
              <w:rPr>
                <w:rFonts w:ascii="Arial" w:hAnsi="Arial" w:cs="Arial"/>
                <w:color w:val="000000"/>
                <w:sz w:val="20"/>
                <w:vertAlign w:val="subscript"/>
              </w:rPr>
              <w:t>2</w:t>
            </w:r>
          </w:p>
        </w:tc>
        <w:tc>
          <w:tcPr>
            <w:tcW w:w="1490" w:type="dxa"/>
            <w:tcBorders>
              <w:top w:val="nil"/>
              <w:left w:val="nil"/>
              <w:bottom w:val="single" w:sz="4" w:space="0" w:color="auto"/>
              <w:right w:val="single" w:sz="4" w:space="0" w:color="auto"/>
            </w:tcBorders>
            <w:shd w:val="clear" w:color="auto" w:fill="auto"/>
            <w:vAlign w:val="center"/>
            <w:hideMark/>
          </w:tcPr>
          <w:p w14:paraId="7D26CDF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4</w:t>
            </w:r>
          </w:p>
        </w:tc>
        <w:tc>
          <w:tcPr>
            <w:tcW w:w="1588" w:type="dxa"/>
            <w:vMerge/>
            <w:tcBorders>
              <w:top w:val="nil"/>
              <w:left w:val="single" w:sz="4" w:space="0" w:color="auto"/>
              <w:bottom w:val="single" w:sz="4" w:space="0" w:color="auto"/>
              <w:right w:val="single" w:sz="4" w:space="0" w:color="auto"/>
            </w:tcBorders>
            <w:vAlign w:val="center"/>
            <w:hideMark/>
          </w:tcPr>
          <w:p w14:paraId="54B8F1D2" w14:textId="77777777" w:rsidR="00FB0286" w:rsidRPr="000708BC" w:rsidRDefault="00FB0286" w:rsidP="00FB0286">
            <w:pPr>
              <w:rPr>
                <w:rFonts w:ascii="Arial" w:hAnsi="Arial" w:cs="Arial"/>
                <w:color w:val="000000"/>
                <w:sz w:val="20"/>
              </w:rPr>
            </w:pPr>
          </w:p>
        </w:tc>
      </w:tr>
    </w:tbl>
    <w:p w14:paraId="6D543CD4" w14:textId="77777777" w:rsidR="00E921D9" w:rsidRPr="000708BC" w:rsidRDefault="00E921D9">
      <w:pPr>
        <w:pStyle w:val="JIEreferencelist"/>
        <w:ind w:left="0" w:firstLine="0"/>
        <w:rPr>
          <w:rFonts w:ascii="Arial" w:hAnsi="Arial" w:cs="Arial"/>
          <w:iCs/>
          <w:sz w:val="22"/>
          <w:szCs w:val="22"/>
        </w:rPr>
      </w:pPr>
    </w:p>
    <w:p w14:paraId="53AE8A79" w14:textId="7F829969" w:rsidR="00E921D9" w:rsidRPr="000708BC" w:rsidRDefault="00FB0286">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w:t>
      </w:r>
      <w:r w:rsidR="00966C3C" w:rsidRPr="000708BC">
        <w:rPr>
          <w:rFonts w:ascii="Arial" w:hAnsi="Arial" w:cs="Arial"/>
          <w:i/>
          <w:sz w:val="20"/>
        </w:rPr>
        <w:t>8</w:t>
      </w:r>
      <w:r w:rsidRPr="000708BC">
        <w:rPr>
          <w:rFonts w:ascii="Arial" w:hAnsi="Arial" w:cs="Arial"/>
          <w:i/>
          <w:sz w:val="20"/>
        </w:rPr>
        <w:t xml:space="preserve"> Construction </w:t>
      </w:r>
      <w:r w:rsidR="00462D12" w:rsidRPr="000708BC">
        <w:rPr>
          <w:rFonts w:ascii="Arial" w:hAnsi="Arial" w:cs="Arial"/>
          <w:i/>
          <w:sz w:val="20"/>
        </w:rPr>
        <w:t>m</w:t>
      </w:r>
      <w:r w:rsidRPr="000708BC">
        <w:rPr>
          <w:rFonts w:ascii="Arial" w:hAnsi="Arial" w:cs="Arial"/>
          <w:i/>
          <w:sz w:val="20"/>
        </w:rPr>
        <w:t xml:space="preserve">aterials </w:t>
      </w:r>
      <w:r w:rsidR="00462D12" w:rsidRPr="000708BC">
        <w:rPr>
          <w:rFonts w:ascii="Arial" w:hAnsi="Arial" w:cs="Arial"/>
          <w:i/>
          <w:sz w:val="20"/>
        </w:rPr>
        <w:t>p</w:t>
      </w:r>
      <w:r w:rsidRPr="000708BC">
        <w:rPr>
          <w:rFonts w:ascii="Arial" w:hAnsi="Arial" w:cs="Arial"/>
          <w:i/>
          <w:sz w:val="20"/>
        </w:rPr>
        <w:t>ipeline</w:t>
      </w:r>
      <w:r w:rsidR="00462D12" w:rsidRPr="000708BC">
        <w:rPr>
          <w:rFonts w:ascii="Arial" w:hAnsi="Arial" w:cs="Arial"/>
          <w:i/>
          <w:sz w:val="20"/>
        </w:rPr>
        <w:t>.</w:t>
      </w:r>
    </w:p>
    <w:tbl>
      <w:tblPr>
        <w:tblW w:w="5000" w:type="pct"/>
        <w:jc w:val="center"/>
        <w:tblLook w:val="04A0" w:firstRow="1" w:lastRow="0" w:firstColumn="1" w:lastColumn="0" w:noHBand="0" w:noVBand="1"/>
      </w:tblPr>
      <w:tblGrid>
        <w:gridCol w:w="1169"/>
        <w:gridCol w:w="914"/>
        <w:gridCol w:w="2545"/>
        <w:gridCol w:w="1130"/>
        <w:gridCol w:w="1692"/>
        <w:gridCol w:w="1180"/>
      </w:tblGrid>
      <w:tr w:rsidR="0082531A" w:rsidRPr="000708BC" w14:paraId="430F6BB8" w14:textId="77777777" w:rsidTr="0082531A">
        <w:trPr>
          <w:trHeight w:val="280"/>
          <w:tblHeader/>
          <w:jc w:val="center"/>
        </w:trPr>
        <w:tc>
          <w:tcPr>
            <w:tcW w:w="2089"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A032EBA"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Structure</w:t>
            </w:r>
          </w:p>
        </w:tc>
        <w:tc>
          <w:tcPr>
            <w:tcW w:w="2555" w:type="dxa"/>
            <w:tcBorders>
              <w:top w:val="single" w:sz="4" w:space="0" w:color="auto"/>
              <w:left w:val="nil"/>
              <w:bottom w:val="single" w:sz="4" w:space="0" w:color="auto"/>
              <w:right w:val="single" w:sz="4" w:space="0" w:color="auto"/>
            </w:tcBorders>
            <w:shd w:val="clear" w:color="000000" w:fill="D9D9D9"/>
            <w:noWrap/>
            <w:vAlign w:val="center"/>
            <w:hideMark/>
          </w:tcPr>
          <w:p w14:paraId="17248F8E"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Material</w:t>
            </w:r>
          </w:p>
        </w:tc>
        <w:tc>
          <w:tcPr>
            <w:tcW w:w="1134" w:type="dxa"/>
            <w:tcBorders>
              <w:top w:val="single" w:sz="4" w:space="0" w:color="auto"/>
              <w:left w:val="nil"/>
              <w:bottom w:val="single" w:sz="4" w:space="0" w:color="auto"/>
              <w:right w:val="single" w:sz="4" w:space="0" w:color="auto"/>
            </w:tcBorders>
            <w:shd w:val="clear" w:color="000000" w:fill="D9D9D9"/>
            <w:noWrap/>
            <w:vAlign w:val="center"/>
            <w:hideMark/>
          </w:tcPr>
          <w:p w14:paraId="70A40955"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Unit</w:t>
            </w:r>
          </w:p>
        </w:tc>
        <w:tc>
          <w:tcPr>
            <w:tcW w:w="1698" w:type="dxa"/>
            <w:tcBorders>
              <w:top w:val="single" w:sz="4" w:space="0" w:color="auto"/>
              <w:left w:val="nil"/>
              <w:bottom w:val="single" w:sz="4" w:space="0" w:color="auto"/>
              <w:right w:val="single" w:sz="4" w:space="0" w:color="auto"/>
            </w:tcBorders>
            <w:shd w:val="clear" w:color="000000" w:fill="D9D9D9"/>
            <w:noWrap/>
            <w:vAlign w:val="center"/>
            <w:hideMark/>
          </w:tcPr>
          <w:p w14:paraId="6006FE68"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Value</w:t>
            </w:r>
          </w:p>
        </w:tc>
        <w:tc>
          <w:tcPr>
            <w:tcW w:w="1380" w:type="dxa"/>
            <w:tcBorders>
              <w:top w:val="single" w:sz="4" w:space="0" w:color="auto"/>
              <w:left w:val="nil"/>
              <w:bottom w:val="single" w:sz="4" w:space="0" w:color="auto"/>
              <w:right w:val="single" w:sz="4" w:space="0" w:color="auto"/>
            </w:tcBorders>
            <w:shd w:val="clear" w:color="000000" w:fill="D9D9D9"/>
            <w:vAlign w:val="center"/>
            <w:hideMark/>
          </w:tcPr>
          <w:p w14:paraId="075AD7A4" w14:textId="77777777" w:rsidR="00FB0286" w:rsidRPr="000708BC" w:rsidRDefault="00FB0286" w:rsidP="00FB0286">
            <w:pPr>
              <w:jc w:val="center"/>
              <w:rPr>
                <w:rFonts w:ascii="Arial" w:hAnsi="Arial" w:cs="Arial"/>
                <w:b/>
                <w:bCs/>
                <w:color w:val="000000"/>
                <w:sz w:val="20"/>
              </w:rPr>
            </w:pPr>
            <w:r w:rsidRPr="000708BC">
              <w:rPr>
                <w:rFonts w:ascii="Arial" w:hAnsi="Arial" w:cs="Arial"/>
                <w:b/>
                <w:bCs/>
                <w:color w:val="000000"/>
                <w:sz w:val="20"/>
              </w:rPr>
              <w:t>Reference</w:t>
            </w:r>
          </w:p>
        </w:tc>
      </w:tr>
      <w:tr w:rsidR="0082531A" w:rsidRPr="000708BC" w14:paraId="56B9CF8A" w14:textId="77777777" w:rsidTr="0082531A">
        <w:trPr>
          <w:trHeight w:val="260"/>
          <w:jc w:val="center"/>
        </w:trPr>
        <w:tc>
          <w:tcPr>
            <w:tcW w:w="208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A4541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Pipeline (1km)</w:t>
            </w:r>
          </w:p>
        </w:tc>
        <w:tc>
          <w:tcPr>
            <w:tcW w:w="2555" w:type="dxa"/>
            <w:tcBorders>
              <w:top w:val="nil"/>
              <w:left w:val="nil"/>
              <w:bottom w:val="single" w:sz="4" w:space="0" w:color="auto"/>
              <w:right w:val="single" w:sz="4" w:space="0" w:color="auto"/>
            </w:tcBorders>
            <w:shd w:val="clear" w:color="auto" w:fill="auto"/>
            <w:noWrap/>
            <w:vAlign w:val="center"/>
            <w:hideMark/>
          </w:tcPr>
          <w:p w14:paraId="583A3BC3"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Primary aluminum</w:t>
            </w:r>
          </w:p>
        </w:tc>
        <w:tc>
          <w:tcPr>
            <w:tcW w:w="1134" w:type="dxa"/>
            <w:tcBorders>
              <w:top w:val="nil"/>
              <w:left w:val="nil"/>
              <w:bottom w:val="single" w:sz="4" w:space="0" w:color="auto"/>
              <w:right w:val="single" w:sz="4" w:space="0" w:color="auto"/>
            </w:tcBorders>
            <w:shd w:val="clear" w:color="auto" w:fill="auto"/>
            <w:noWrap/>
            <w:vAlign w:val="center"/>
            <w:hideMark/>
          </w:tcPr>
          <w:p w14:paraId="4D13800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002384B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64.8</w:t>
            </w:r>
          </w:p>
        </w:tc>
        <w:sdt>
          <w:sdtPr>
            <w:rPr>
              <w:rFonts w:ascii="Arial" w:hAnsi="Arial" w:cs="Arial"/>
              <w:color w:val="000000"/>
              <w:sz w:val="20"/>
            </w:rPr>
            <w:tag w:val="MENDELEY_CITATION_v3_eyJjaXRhdGlvbklEIjoiTUVOREVMRVlfQ0lUQVRJT05fOWRjZGY2NDUtNjg5NS00M2Y5LThiZTEtNTFjMjRkNWIyZTVh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
            <w:id w:val="52824462"/>
            <w:placeholder>
              <w:docPart w:val="DefaultPlaceholder_-1854013440"/>
            </w:placeholder>
          </w:sdtPr>
          <w:sdtEndPr/>
          <w:sdtContent>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6DA7BAE5" w14:textId="567EA3DF" w:rsidR="00FB0286" w:rsidRPr="000708BC" w:rsidRDefault="002422C9" w:rsidP="00FB0286">
                <w:pPr>
                  <w:jc w:val="center"/>
                  <w:rPr>
                    <w:rFonts w:ascii="Arial" w:hAnsi="Arial" w:cs="Arial"/>
                    <w:color w:val="000000"/>
                    <w:sz w:val="20"/>
                  </w:rPr>
                </w:pPr>
                <w:r w:rsidRPr="000708BC">
                  <w:rPr>
                    <w:rFonts w:ascii="Arial" w:hAnsi="Arial" w:cs="Arial"/>
                    <w:color w:val="000000"/>
                    <w:sz w:val="20"/>
                  </w:rPr>
                  <w:t>(Wulf et al., 2018)</w:t>
                </w:r>
              </w:p>
            </w:tc>
          </w:sdtContent>
        </w:sdt>
      </w:tr>
      <w:tr w:rsidR="00FB0286" w:rsidRPr="000708BC" w14:paraId="306C924A"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315BBC06"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748F252"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Pipeline decommissioning</w:t>
            </w:r>
          </w:p>
        </w:tc>
        <w:tc>
          <w:tcPr>
            <w:tcW w:w="1134" w:type="dxa"/>
            <w:tcBorders>
              <w:top w:val="nil"/>
              <w:left w:val="nil"/>
              <w:bottom w:val="single" w:sz="4" w:space="0" w:color="auto"/>
              <w:right w:val="single" w:sz="4" w:space="0" w:color="auto"/>
            </w:tcBorders>
            <w:shd w:val="clear" w:color="auto" w:fill="auto"/>
            <w:noWrap/>
            <w:vAlign w:val="center"/>
            <w:hideMark/>
          </w:tcPr>
          <w:p w14:paraId="3484F9D9"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6C71CD4D"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10</w:t>
            </w:r>
            <w:r w:rsidR="0082531A" w:rsidRPr="000708BC">
              <w:rPr>
                <w:rFonts w:ascii="Arial" w:hAnsi="Arial" w:cs="Arial"/>
                <w:color w:val="000000"/>
                <w:sz w:val="20"/>
              </w:rPr>
              <w:t>,</w:t>
            </w:r>
            <w:r w:rsidRPr="000708BC">
              <w:rPr>
                <w:rFonts w:ascii="Arial" w:hAnsi="Arial" w:cs="Arial"/>
                <w:color w:val="000000"/>
                <w:sz w:val="20"/>
              </w:rPr>
              <w:t>900</w:t>
            </w:r>
          </w:p>
        </w:tc>
        <w:tc>
          <w:tcPr>
            <w:tcW w:w="1380" w:type="dxa"/>
            <w:vMerge/>
            <w:tcBorders>
              <w:top w:val="nil"/>
              <w:left w:val="single" w:sz="4" w:space="0" w:color="auto"/>
              <w:bottom w:val="single" w:sz="4" w:space="0" w:color="auto"/>
              <w:right w:val="single" w:sz="4" w:space="0" w:color="auto"/>
            </w:tcBorders>
            <w:vAlign w:val="center"/>
            <w:hideMark/>
          </w:tcPr>
          <w:p w14:paraId="64DDEA26" w14:textId="77777777" w:rsidR="00FB0286" w:rsidRPr="000708BC" w:rsidRDefault="00FB0286" w:rsidP="00FB0286">
            <w:pPr>
              <w:rPr>
                <w:rFonts w:ascii="Arial" w:hAnsi="Arial" w:cs="Arial"/>
                <w:color w:val="000000"/>
                <w:sz w:val="20"/>
              </w:rPr>
            </w:pPr>
          </w:p>
        </w:tc>
      </w:tr>
      <w:tr w:rsidR="00FB0286" w:rsidRPr="000708BC" w14:paraId="7B4276EF"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5034FC98"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BCB39A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Silica sand</w:t>
            </w:r>
          </w:p>
        </w:tc>
        <w:tc>
          <w:tcPr>
            <w:tcW w:w="1134" w:type="dxa"/>
            <w:tcBorders>
              <w:top w:val="nil"/>
              <w:left w:val="nil"/>
              <w:bottom w:val="single" w:sz="4" w:space="0" w:color="auto"/>
              <w:right w:val="single" w:sz="4" w:space="0" w:color="auto"/>
            </w:tcBorders>
            <w:shd w:val="clear" w:color="auto" w:fill="auto"/>
            <w:noWrap/>
            <w:vAlign w:val="center"/>
            <w:hideMark/>
          </w:tcPr>
          <w:p w14:paraId="5E6F546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t</w:t>
            </w:r>
          </w:p>
        </w:tc>
        <w:tc>
          <w:tcPr>
            <w:tcW w:w="1698" w:type="dxa"/>
            <w:tcBorders>
              <w:top w:val="nil"/>
              <w:left w:val="nil"/>
              <w:bottom w:val="single" w:sz="4" w:space="0" w:color="auto"/>
              <w:right w:val="single" w:sz="4" w:space="0" w:color="auto"/>
            </w:tcBorders>
            <w:shd w:val="clear" w:color="auto" w:fill="auto"/>
            <w:noWrap/>
            <w:vAlign w:val="center"/>
            <w:hideMark/>
          </w:tcPr>
          <w:p w14:paraId="70057E4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225</w:t>
            </w:r>
          </w:p>
        </w:tc>
        <w:tc>
          <w:tcPr>
            <w:tcW w:w="1380" w:type="dxa"/>
            <w:vMerge/>
            <w:tcBorders>
              <w:top w:val="nil"/>
              <w:left w:val="single" w:sz="4" w:space="0" w:color="auto"/>
              <w:bottom w:val="single" w:sz="4" w:space="0" w:color="auto"/>
              <w:right w:val="single" w:sz="4" w:space="0" w:color="auto"/>
            </w:tcBorders>
            <w:vAlign w:val="center"/>
            <w:hideMark/>
          </w:tcPr>
          <w:p w14:paraId="1DCA76F6" w14:textId="77777777" w:rsidR="00FB0286" w:rsidRPr="000708BC" w:rsidRDefault="00FB0286" w:rsidP="00FB0286">
            <w:pPr>
              <w:rPr>
                <w:rFonts w:ascii="Arial" w:hAnsi="Arial" w:cs="Arial"/>
                <w:color w:val="000000"/>
                <w:sz w:val="20"/>
              </w:rPr>
            </w:pPr>
          </w:p>
        </w:tc>
      </w:tr>
      <w:tr w:rsidR="00FB0286" w:rsidRPr="000708BC" w14:paraId="52586C05"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3FD9982C"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9AFB8A9"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Steel, low alloyed</w:t>
            </w:r>
          </w:p>
        </w:tc>
        <w:tc>
          <w:tcPr>
            <w:tcW w:w="1134" w:type="dxa"/>
            <w:tcBorders>
              <w:top w:val="nil"/>
              <w:left w:val="nil"/>
              <w:bottom w:val="single" w:sz="4" w:space="0" w:color="auto"/>
              <w:right w:val="single" w:sz="4" w:space="0" w:color="auto"/>
            </w:tcBorders>
            <w:shd w:val="clear" w:color="auto" w:fill="auto"/>
            <w:noWrap/>
            <w:vAlign w:val="center"/>
            <w:hideMark/>
          </w:tcPr>
          <w:p w14:paraId="054BFBB9"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4F0490E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21</w:t>
            </w:r>
            <w:r w:rsidR="0082531A" w:rsidRPr="000708BC">
              <w:rPr>
                <w:rFonts w:ascii="Arial" w:hAnsi="Arial" w:cs="Arial"/>
                <w:color w:val="000000"/>
                <w:sz w:val="20"/>
              </w:rPr>
              <w:t>,</w:t>
            </w:r>
            <w:r w:rsidRPr="000708BC">
              <w:rPr>
                <w:rFonts w:ascii="Arial" w:hAnsi="Arial" w:cs="Arial"/>
                <w:color w:val="000000"/>
                <w:sz w:val="20"/>
              </w:rPr>
              <w:t>800</w:t>
            </w:r>
          </w:p>
        </w:tc>
        <w:tc>
          <w:tcPr>
            <w:tcW w:w="1380" w:type="dxa"/>
            <w:vMerge/>
            <w:tcBorders>
              <w:top w:val="nil"/>
              <w:left w:val="single" w:sz="4" w:space="0" w:color="auto"/>
              <w:bottom w:val="single" w:sz="4" w:space="0" w:color="auto"/>
              <w:right w:val="single" w:sz="4" w:space="0" w:color="auto"/>
            </w:tcBorders>
            <w:vAlign w:val="center"/>
            <w:hideMark/>
          </w:tcPr>
          <w:p w14:paraId="7D376CDE" w14:textId="77777777" w:rsidR="00FB0286" w:rsidRPr="000708BC" w:rsidRDefault="00FB0286" w:rsidP="00FB0286">
            <w:pPr>
              <w:rPr>
                <w:rFonts w:ascii="Arial" w:hAnsi="Arial" w:cs="Arial"/>
                <w:color w:val="000000"/>
                <w:sz w:val="20"/>
              </w:rPr>
            </w:pPr>
          </w:p>
        </w:tc>
      </w:tr>
      <w:tr w:rsidR="00FB0286" w:rsidRPr="000708BC" w14:paraId="568EBF64"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2534E0E6"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8A48C4D"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Silicon</w:t>
            </w:r>
          </w:p>
        </w:tc>
        <w:tc>
          <w:tcPr>
            <w:tcW w:w="1134" w:type="dxa"/>
            <w:tcBorders>
              <w:top w:val="nil"/>
              <w:left w:val="nil"/>
              <w:bottom w:val="single" w:sz="4" w:space="0" w:color="auto"/>
              <w:right w:val="single" w:sz="4" w:space="0" w:color="auto"/>
            </w:tcBorders>
            <w:shd w:val="clear" w:color="auto" w:fill="auto"/>
            <w:noWrap/>
            <w:vAlign w:val="center"/>
            <w:hideMark/>
          </w:tcPr>
          <w:p w14:paraId="5BA7616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3F4FA65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w:t>
            </w:r>
            <w:r w:rsidR="0082531A" w:rsidRPr="000708BC">
              <w:rPr>
                <w:rFonts w:ascii="Arial" w:hAnsi="Arial" w:cs="Arial"/>
                <w:color w:val="000000"/>
                <w:sz w:val="20"/>
              </w:rPr>
              <w:t>,</w:t>
            </w:r>
            <w:r w:rsidRPr="000708BC">
              <w:rPr>
                <w:rFonts w:ascii="Arial" w:hAnsi="Arial" w:cs="Arial"/>
                <w:color w:val="000000"/>
                <w:sz w:val="20"/>
              </w:rPr>
              <w:t>900</w:t>
            </w:r>
          </w:p>
        </w:tc>
        <w:tc>
          <w:tcPr>
            <w:tcW w:w="1380" w:type="dxa"/>
            <w:vMerge/>
            <w:tcBorders>
              <w:top w:val="nil"/>
              <w:left w:val="single" w:sz="4" w:space="0" w:color="auto"/>
              <w:bottom w:val="single" w:sz="4" w:space="0" w:color="auto"/>
              <w:right w:val="single" w:sz="4" w:space="0" w:color="auto"/>
            </w:tcBorders>
            <w:vAlign w:val="center"/>
            <w:hideMark/>
          </w:tcPr>
          <w:p w14:paraId="6DAE6612" w14:textId="77777777" w:rsidR="00FB0286" w:rsidRPr="000708BC" w:rsidRDefault="00FB0286" w:rsidP="00FB0286">
            <w:pPr>
              <w:rPr>
                <w:rFonts w:ascii="Arial" w:hAnsi="Arial" w:cs="Arial"/>
                <w:color w:val="000000"/>
                <w:sz w:val="20"/>
              </w:rPr>
            </w:pPr>
          </w:p>
        </w:tc>
      </w:tr>
      <w:tr w:rsidR="00FB0286" w:rsidRPr="000708BC" w14:paraId="364B64D1"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3D514D19"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30795E4"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Zinc</w:t>
            </w:r>
          </w:p>
        </w:tc>
        <w:tc>
          <w:tcPr>
            <w:tcW w:w="1134" w:type="dxa"/>
            <w:tcBorders>
              <w:top w:val="nil"/>
              <w:left w:val="nil"/>
              <w:bottom w:val="single" w:sz="4" w:space="0" w:color="auto"/>
              <w:right w:val="single" w:sz="4" w:space="0" w:color="auto"/>
            </w:tcBorders>
            <w:shd w:val="clear" w:color="auto" w:fill="auto"/>
            <w:noWrap/>
            <w:vAlign w:val="center"/>
            <w:hideMark/>
          </w:tcPr>
          <w:p w14:paraId="050E358E"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0D29477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51.1</w:t>
            </w:r>
          </w:p>
        </w:tc>
        <w:tc>
          <w:tcPr>
            <w:tcW w:w="1380" w:type="dxa"/>
            <w:vMerge/>
            <w:tcBorders>
              <w:top w:val="nil"/>
              <w:left w:val="single" w:sz="4" w:space="0" w:color="auto"/>
              <w:bottom w:val="single" w:sz="4" w:space="0" w:color="auto"/>
              <w:right w:val="single" w:sz="4" w:space="0" w:color="auto"/>
            </w:tcBorders>
            <w:vAlign w:val="center"/>
            <w:hideMark/>
          </w:tcPr>
          <w:p w14:paraId="03A6EFD5" w14:textId="77777777" w:rsidR="00FB0286" w:rsidRPr="000708BC" w:rsidRDefault="00FB0286" w:rsidP="00FB0286">
            <w:pPr>
              <w:rPr>
                <w:rFonts w:ascii="Arial" w:hAnsi="Arial" w:cs="Arial"/>
                <w:color w:val="000000"/>
                <w:sz w:val="20"/>
              </w:rPr>
            </w:pPr>
          </w:p>
        </w:tc>
      </w:tr>
      <w:tr w:rsidR="00FB0286" w:rsidRPr="000708BC" w14:paraId="485F7BC2"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056786BD"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6FA8A7D8"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Drawing of pipe steel</w:t>
            </w:r>
          </w:p>
        </w:tc>
        <w:tc>
          <w:tcPr>
            <w:tcW w:w="1134" w:type="dxa"/>
            <w:tcBorders>
              <w:top w:val="nil"/>
              <w:left w:val="nil"/>
              <w:bottom w:val="single" w:sz="4" w:space="0" w:color="auto"/>
              <w:right w:val="single" w:sz="4" w:space="0" w:color="auto"/>
            </w:tcBorders>
            <w:shd w:val="clear" w:color="auto" w:fill="auto"/>
            <w:noWrap/>
            <w:vAlign w:val="center"/>
            <w:hideMark/>
          </w:tcPr>
          <w:p w14:paraId="343C0999"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7E48FD4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21</w:t>
            </w:r>
            <w:r w:rsidR="0082531A" w:rsidRPr="000708BC">
              <w:rPr>
                <w:rFonts w:ascii="Arial" w:hAnsi="Arial" w:cs="Arial"/>
                <w:color w:val="000000"/>
                <w:sz w:val="20"/>
              </w:rPr>
              <w:t>,</w:t>
            </w:r>
            <w:r w:rsidRPr="000708BC">
              <w:rPr>
                <w:rFonts w:ascii="Arial" w:hAnsi="Arial" w:cs="Arial"/>
                <w:color w:val="000000"/>
                <w:sz w:val="20"/>
              </w:rPr>
              <w:t>800</w:t>
            </w:r>
          </w:p>
        </w:tc>
        <w:tc>
          <w:tcPr>
            <w:tcW w:w="1380" w:type="dxa"/>
            <w:vMerge/>
            <w:tcBorders>
              <w:top w:val="nil"/>
              <w:left w:val="single" w:sz="4" w:space="0" w:color="auto"/>
              <w:bottom w:val="single" w:sz="4" w:space="0" w:color="auto"/>
              <w:right w:val="single" w:sz="4" w:space="0" w:color="auto"/>
            </w:tcBorders>
            <w:vAlign w:val="center"/>
            <w:hideMark/>
          </w:tcPr>
          <w:p w14:paraId="5129B708" w14:textId="77777777" w:rsidR="00FB0286" w:rsidRPr="000708BC" w:rsidRDefault="00FB0286" w:rsidP="00FB0286">
            <w:pPr>
              <w:rPr>
                <w:rFonts w:ascii="Arial" w:hAnsi="Arial" w:cs="Arial"/>
                <w:color w:val="000000"/>
                <w:sz w:val="20"/>
              </w:rPr>
            </w:pPr>
          </w:p>
        </w:tc>
      </w:tr>
      <w:tr w:rsidR="00FB0286" w:rsidRPr="000708BC" w14:paraId="28B56130"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121B90C1"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468CF655"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Excavation, hydraulic digger</w:t>
            </w:r>
          </w:p>
        </w:tc>
        <w:tc>
          <w:tcPr>
            <w:tcW w:w="1134" w:type="dxa"/>
            <w:tcBorders>
              <w:top w:val="nil"/>
              <w:left w:val="nil"/>
              <w:bottom w:val="single" w:sz="4" w:space="0" w:color="auto"/>
              <w:right w:val="single" w:sz="4" w:space="0" w:color="auto"/>
            </w:tcBorders>
            <w:shd w:val="clear" w:color="auto" w:fill="auto"/>
            <w:noWrap/>
            <w:vAlign w:val="center"/>
            <w:hideMark/>
          </w:tcPr>
          <w:p w14:paraId="28D2F9E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m3</w:t>
            </w:r>
          </w:p>
        </w:tc>
        <w:tc>
          <w:tcPr>
            <w:tcW w:w="1698" w:type="dxa"/>
            <w:tcBorders>
              <w:top w:val="nil"/>
              <w:left w:val="nil"/>
              <w:bottom w:val="single" w:sz="4" w:space="0" w:color="auto"/>
              <w:right w:val="single" w:sz="4" w:space="0" w:color="auto"/>
            </w:tcBorders>
            <w:shd w:val="clear" w:color="auto" w:fill="auto"/>
            <w:noWrap/>
            <w:vAlign w:val="center"/>
            <w:hideMark/>
          </w:tcPr>
          <w:p w14:paraId="40C95F9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w:t>
            </w:r>
            <w:r w:rsidR="0082531A" w:rsidRPr="000708BC">
              <w:rPr>
                <w:rFonts w:ascii="Arial" w:hAnsi="Arial" w:cs="Arial"/>
                <w:color w:val="000000"/>
                <w:sz w:val="20"/>
              </w:rPr>
              <w:t>,</w:t>
            </w:r>
            <w:r w:rsidRPr="000708BC">
              <w:rPr>
                <w:rFonts w:ascii="Arial" w:hAnsi="Arial" w:cs="Arial"/>
                <w:color w:val="000000"/>
                <w:sz w:val="20"/>
              </w:rPr>
              <w:t>200</w:t>
            </w:r>
          </w:p>
        </w:tc>
        <w:tc>
          <w:tcPr>
            <w:tcW w:w="1380" w:type="dxa"/>
            <w:vMerge/>
            <w:tcBorders>
              <w:top w:val="nil"/>
              <w:left w:val="single" w:sz="4" w:space="0" w:color="auto"/>
              <w:bottom w:val="single" w:sz="4" w:space="0" w:color="auto"/>
              <w:right w:val="single" w:sz="4" w:space="0" w:color="auto"/>
            </w:tcBorders>
            <w:vAlign w:val="center"/>
            <w:hideMark/>
          </w:tcPr>
          <w:p w14:paraId="086513CD" w14:textId="77777777" w:rsidR="00FB0286" w:rsidRPr="000708BC" w:rsidRDefault="00FB0286" w:rsidP="00FB0286">
            <w:pPr>
              <w:rPr>
                <w:rFonts w:ascii="Arial" w:hAnsi="Arial" w:cs="Arial"/>
                <w:color w:val="000000"/>
                <w:sz w:val="20"/>
              </w:rPr>
            </w:pPr>
          </w:p>
        </w:tc>
      </w:tr>
      <w:tr w:rsidR="00FB0286" w:rsidRPr="000708BC" w14:paraId="0E960F32"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515E2D60"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4FFABE5"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Excavation, skid-steer loader</w:t>
            </w:r>
          </w:p>
        </w:tc>
        <w:tc>
          <w:tcPr>
            <w:tcW w:w="1134" w:type="dxa"/>
            <w:tcBorders>
              <w:top w:val="nil"/>
              <w:left w:val="nil"/>
              <w:bottom w:val="single" w:sz="4" w:space="0" w:color="auto"/>
              <w:right w:val="single" w:sz="4" w:space="0" w:color="auto"/>
            </w:tcBorders>
            <w:shd w:val="clear" w:color="auto" w:fill="auto"/>
            <w:noWrap/>
            <w:vAlign w:val="center"/>
            <w:hideMark/>
          </w:tcPr>
          <w:p w14:paraId="7F7238DE"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m3</w:t>
            </w:r>
          </w:p>
        </w:tc>
        <w:tc>
          <w:tcPr>
            <w:tcW w:w="1698" w:type="dxa"/>
            <w:tcBorders>
              <w:top w:val="nil"/>
              <w:left w:val="nil"/>
              <w:bottom w:val="single" w:sz="4" w:space="0" w:color="auto"/>
              <w:right w:val="single" w:sz="4" w:space="0" w:color="auto"/>
            </w:tcBorders>
            <w:shd w:val="clear" w:color="auto" w:fill="auto"/>
            <w:noWrap/>
            <w:vAlign w:val="center"/>
            <w:hideMark/>
          </w:tcPr>
          <w:p w14:paraId="5BFCA43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9</w:t>
            </w:r>
            <w:r w:rsidR="0082531A" w:rsidRPr="000708BC">
              <w:rPr>
                <w:rFonts w:ascii="Arial" w:hAnsi="Arial" w:cs="Arial"/>
                <w:color w:val="000000"/>
                <w:sz w:val="20"/>
              </w:rPr>
              <w:t>,</w:t>
            </w:r>
            <w:r w:rsidRPr="000708BC">
              <w:rPr>
                <w:rFonts w:ascii="Arial" w:hAnsi="Arial" w:cs="Arial"/>
                <w:color w:val="000000"/>
                <w:sz w:val="20"/>
              </w:rPr>
              <w:t>000</w:t>
            </w:r>
          </w:p>
        </w:tc>
        <w:tc>
          <w:tcPr>
            <w:tcW w:w="1380" w:type="dxa"/>
            <w:vMerge/>
            <w:tcBorders>
              <w:top w:val="nil"/>
              <w:left w:val="single" w:sz="4" w:space="0" w:color="auto"/>
              <w:bottom w:val="single" w:sz="4" w:space="0" w:color="auto"/>
              <w:right w:val="single" w:sz="4" w:space="0" w:color="auto"/>
            </w:tcBorders>
            <w:vAlign w:val="center"/>
            <w:hideMark/>
          </w:tcPr>
          <w:p w14:paraId="0633DC46" w14:textId="77777777" w:rsidR="00FB0286" w:rsidRPr="000708BC" w:rsidRDefault="00FB0286" w:rsidP="00FB0286">
            <w:pPr>
              <w:rPr>
                <w:rFonts w:ascii="Arial" w:hAnsi="Arial" w:cs="Arial"/>
                <w:color w:val="000000"/>
                <w:sz w:val="20"/>
              </w:rPr>
            </w:pPr>
          </w:p>
        </w:tc>
      </w:tr>
      <w:tr w:rsidR="00FB0286" w:rsidRPr="000708BC" w14:paraId="78AAFEA3"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2DD1B99F"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61CAD509"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Zinc coating</w:t>
            </w:r>
          </w:p>
        </w:tc>
        <w:tc>
          <w:tcPr>
            <w:tcW w:w="1134" w:type="dxa"/>
            <w:tcBorders>
              <w:top w:val="nil"/>
              <w:left w:val="nil"/>
              <w:bottom w:val="single" w:sz="4" w:space="0" w:color="auto"/>
              <w:right w:val="single" w:sz="4" w:space="0" w:color="auto"/>
            </w:tcBorders>
            <w:shd w:val="clear" w:color="auto" w:fill="auto"/>
            <w:noWrap/>
            <w:vAlign w:val="center"/>
            <w:hideMark/>
          </w:tcPr>
          <w:p w14:paraId="3D5BB70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02894B9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21</w:t>
            </w:r>
            <w:r w:rsidR="0082531A" w:rsidRPr="000708BC">
              <w:rPr>
                <w:rFonts w:ascii="Arial" w:hAnsi="Arial" w:cs="Arial"/>
                <w:color w:val="000000"/>
                <w:sz w:val="20"/>
              </w:rPr>
              <w:t>,</w:t>
            </w:r>
            <w:r w:rsidRPr="000708BC">
              <w:rPr>
                <w:rFonts w:ascii="Arial" w:hAnsi="Arial" w:cs="Arial"/>
                <w:color w:val="000000"/>
                <w:sz w:val="20"/>
              </w:rPr>
              <w:t>800</w:t>
            </w:r>
          </w:p>
        </w:tc>
        <w:tc>
          <w:tcPr>
            <w:tcW w:w="1380" w:type="dxa"/>
            <w:vMerge/>
            <w:tcBorders>
              <w:top w:val="nil"/>
              <w:left w:val="single" w:sz="4" w:space="0" w:color="auto"/>
              <w:bottom w:val="single" w:sz="4" w:space="0" w:color="auto"/>
              <w:right w:val="single" w:sz="4" w:space="0" w:color="auto"/>
            </w:tcBorders>
            <w:vAlign w:val="center"/>
            <w:hideMark/>
          </w:tcPr>
          <w:p w14:paraId="682543E8" w14:textId="77777777" w:rsidR="00FB0286" w:rsidRPr="000708BC" w:rsidRDefault="00FB0286" w:rsidP="00FB0286">
            <w:pPr>
              <w:rPr>
                <w:rFonts w:ascii="Arial" w:hAnsi="Arial" w:cs="Arial"/>
                <w:color w:val="000000"/>
                <w:sz w:val="20"/>
              </w:rPr>
            </w:pPr>
          </w:p>
        </w:tc>
      </w:tr>
      <w:tr w:rsidR="00FB0286" w:rsidRPr="000708BC" w14:paraId="4C6FF45A"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52F79E83"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0088E5A1"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Transport train</w:t>
            </w:r>
          </w:p>
        </w:tc>
        <w:tc>
          <w:tcPr>
            <w:tcW w:w="1134" w:type="dxa"/>
            <w:tcBorders>
              <w:top w:val="nil"/>
              <w:left w:val="nil"/>
              <w:bottom w:val="single" w:sz="4" w:space="0" w:color="auto"/>
              <w:right w:val="single" w:sz="4" w:space="0" w:color="auto"/>
            </w:tcBorders>
            <w:shd w:val="clear" w:color="auto" w:fill="auto"/>
            <w:noWrap/>
            <w:vAlign w:val="center"/>
            <w:hideMark/>
          </w:tcPr>
          <w:p w14:paraId="1EDE036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tkm</w:t>
            </w:r>
          </w:p>
        </w:tc>
        <w:tc>
          <w:tcPr>
            <w:tcW w:w="1698" w:type="dxa"/>
            <w:tcBorders>
              <w:top w:val="nil"/>
              <w:left w:val="nil"/>
              <w:bottom w:val="single" w:sz="4" w:space="0" w:color="auto"/>
              <w:right w:val="single" w:sz="4" w:space="0" w:color="auto"/>
            </w:tcBorders>
            <w:shd w:val="clear" w:color="auto" w:fill="auto"/>
            <w:noWrap/>
            <w:vAlign w:val="center"/>
            <w:hideMark/>
          </w:tcPr>
          <w:p w14:paraId="4634EC1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4</w:t>
            </w:r>
            <w:r w:rsidR="0082531A" w:rsidRPr="000708BC">
              <w:rPr>
                <w:rFonts w:ascii="Arial" w:hAnsi="Arial" w:cs="Arial"/>
                <w:color w:val="000000"/>
                <w:sz w:val="20"/>
              </w:rPr>
              <w:t>,</w:t>
            </w:r>
            <w:r w:rsidRPr="000708BC">
              <w:rPr>
                <w:rFonts w:ascii="Arial" w:hAnsi="Arial" w:cs="Arial"/>
                <w:color w:val="000000"/>
                <w:sz w:val="20"/>
              </w:rPr>
              <w:t>390</w:t>
            </w:r>
          </w:p>
        </w:tc>
        <w:tc>
          <w:tcPr>
            <w:tcW w:w="1380" w:type="dxa"/>
            <w:vMerge/>
            <w:tcBorders>
              <w:top w:val="nil"/>
              <w:left w:val="single" w:sz="4" w:space="0" w:color="auto"/>
              <w:bottom w:val="single" w:sz="4" w:space="0" w:color="auto"/>
              <w:right w:val="single" w:sz="4" w:space="0" w:color="auto"/>
            </w:tcBorders>
            <w:vAlign w:val="center"/>
            <w:hideMark/>
          </w:tcPr>
          <w:p w14:paraId="7753299A" w14:textId="77777777" w:rsidR="00FB0286" w:rsidRPr="000708BC" w:rsidRDefault="00FB0286" w:rsidP="00FB0286">
            <w:pPr>
              <w:rPr>
                <w:rFonts w:ascii="Arial" w:hAnsi="Arial" w:cs="Arial"/>
                <w:color w:val="000000"/>
                <w:sz w:val="20"/>
              </w:rPr>
            </w:pPr>
          </w:p>
        </w:tc>
      </w:tr>
      <w:tr w:rsidR="00FB0286" w:rsidRPr="000708BC" w14:paraId="592575FA" w14:textId="77777777" w:rsidTr="0082531A">
        <w:trPr>
          <w:trHeight w:val="260"/>
          <w:jc w:val="center"/>
        </w:trPr>
        <w:tc>
          <w:tcPr>
            <w:tcW w:w="2089" w:type="dxa"/>
            <w:gridSpan w:val="2"/>
            <w:vMerge/>
            <w:tcBorders>
              <w:top w:val="single" w:sz="4" w:space="0" w:color="auto"/>
              <w:left w:val="single" w:sz="4" w:space="0" w:color="auto"/>
              <w:bottom w:val="single" w:sz="4" w:space="0" w:color="auto"/>
              <w:right w:val="single" w:sz="4" w:space="0" w:color="auto"/>
            </w:tcBorders>
            <w:vAlign w:val="center"/>
            <w:hideMark/>
          </w:tcPr>
          <w:p w14:paraId="7DFE00D3"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472A095"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Transport lorry</w:t>
            </w:r>
          </w:p>
        </w:tc>
        <w:tc>
          <w:tcPr>
            <w:tcW w:w="1134" w:type="dxa"/>
            <w:tcBorders>
              <w:top w:val="nil"/>
              <w:left w:val="nil"/>
              <w:bottom w:val="single" w:sz="4" w:space="0" w:color="auto"/>
              <w:right w:val="single" w:sz="4" w:space="0" w:color="auto"/>
            </w:tcBorders>
            <w:shd w:val="clear" w:color="auto" w:fill="auto"/>
            <w:noWrap/>
            <w:vAlign w:val="center"/>
            <w:hideMark/>
          </w:tcPr>
          <w:p w14:paraId="0C87264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tkm</w:t>
            </w:r>
          </w:p>
        </w:tc>
        <w:tc>
          <w:tcPr>
            <w:tcW w:w="1698" w:type="dxa"/>
            <w:tcBorders>
              <w:top w:val="nil"/>
              <w:left w:val="nil"/>
              <w:bottom w:val="single" w:sz="4" w:space="0" w:color="auto"/>
              <w:right w:val="single" w:sz="4" w:space="0" w:color="auto"/>
            </w:tcBorders>
            <w:shd w:val="clear" w:color="auto" w:fill="auto"/>
            <w:noWrap/>
            <w:vAlign w:val="center"/>
            <w:hideMark/>
          </w:tcPr>
          <w:p w14:paraId="37D3794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13</w:t>
            </w:r>
            <w:r w:rsidR="0082531A" w:rsidRPr="000708BC">
              <w:rPr>
                <w:rFonts w:ascii="Arial" w:hAnsi="Arial" w:cs="Arial"/>
                <w:color w:val="000000"/>
                <w:sz w:val="20"/>
              </w:rPr>
              <w:t>,</w:t>
            </w:r>
            <w:r w:rsidRPr="000708BC">
              <w:rPr>
                <w:rFonts w:ascii="Arial" w:hAnsi="Arial" w:cs="Arial"/>
                <w:color w:val="000000"/>
                <w:sz w:val="20"/>
              </w:rPr>
              <w:t>600</w:t>
            </w:r>
          </w:p>
        </w:tc>
        <w:tc>
          <w:tcPr>
            <w:tcW w:w="1380" w:type="dxa"/>
            <w:vMerge/>
            <w:tcBorders>
              <w:top w:val="nil"/>
              <w:left w:val="single" w:sz="4" w:space="0" w:color="auto"/>
              <w:bottom w:val="single" w:sz="4" w:space="0" w:color="auto"/>
              <w:right w:val="single" w:sz="4" w:space="0" w:color="auto"/>
            </w:tcBorders>
            <w:vAlign w:val="center"/>
            <w:hideMark/>
          </w:tcPr>
          <w:p w14:paraId="46E1A28A" w14:textId="77777777" w:rsidR="00FB0286" w:rsidRPr="000708BC" w:rsidRDefault="00FB0286" w:rsidP="00FB0286">
            <w:pPr>
              <w:rPr>
                <w:rFonts w:ascii="Arial" w:hAnsi="Arial" w:cs="Arial"/>
                <w:color w:val="000000"/>
                <w:sz w:val="20"/>
              </w:rPr>
            </w:pPr>
          </w:p>
        </w:tc>
      </w:tr>
      <w:tr w:rsidR="0082531A" w:rsidRPr="000708BC" w14:paraId="5A19482B" w14:textId="77777777" w:rsidTr="0082531A">
        <w:trPr>
          <w:trHeight w:val="260"/>
          <w:jc w:val="center"/>
        </w:trPr>
        <w:tc>
          <w:tcPr>
            <w:tcW w:w="1172" w:type="dxa"/>
            <w:vMerge w:val="restart"/>
            <w:tcBorders>
              <w:top w:val="nil"/>
              <w:left w:val="single" w:sz="4" w:space="0" w:color="auto"/>
              <w:bottom w:val="single" w:sz="4" w:space="0" w:color="auto"/>
              <w:right w:val="single" w:sz="4" w:space="0" w:color="auto"/>
            </w:tcBorders>
            <w:shd w:val="clear" w:color="auto" w:fill="auto"/>
            <w:vAlign w:val="center"/>
            <w:hideMark/>
          </w:tcPr>
          <w:p w14:paraId="0D2BDC9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Galvalume Coat (1ton)</w:t>
            </w:r>
          </w:p>
        </w:tc>
        <w:tc>
          <w:tcPr>
            <w:tcW w:w="917" w:type="dxa"/>
            <w:vMerge w:val="restart"/>
            <w:tcBorders>
              <w:top w:val="nil"/>
              <w:left w:val="single" w:sz="4" w:space="0" w:color="auto"/>
              <w:bottom w:val="single" w:sz="4" w:space="0" w:color="auto"/>
              <w:right w:val="single" w:sz="4" w:space="0" w:color="auto"/>
            </w:tcBorders>
            <w:shd w:val="clear" w:color="auto" w:fill="auto"/>
            <w:vAlign w:val="center"/>
            <w:hideMark/>
          </w:tcPr>
          <w:p w14:paraId="66BABF2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Inputs</w:t>
            </w:r>
          </w:p>
        </w:tc>
        <w:tc>
          <w:tcPr>
            <w:tcW w:w="2555" w:type="dxa"/>
            <w:tcBorders>
              <w:top w:val="nil"/>
              <w:left w:val="nil"/>
              <w:bottom w:val="single" w:sz="4" w:space="0" w:color="auto"/>
              <w:right w:val="single" w:sz="4" w:space="0" w:color="auto"/>
            </w:tcBorders>
            <w:shd w:val="clear" w:color="auto" w:fill="auto"/>
            <w:noWrap/>
            <w:vAlign w:val="center"/>
            <w:hideMark/>
          </w:tcPr>
          <w:p w14:paraId="2545539B"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Waste dust from unalloyed electric steel production, landfill</w:t>
            </w:r>
          </w:p>
        </w:tc>
        <w:tc>
          <w:tcPr>
            <w:tcW w:w="1134" w:type="dxa"/>
            <w:tcBorders>
              <w:top w:val="nil"/>
              <w:left w:val="nil"/>
              <w:bottom w:val="single" w:sz="4" w:space="0" w:color="auto"/>
              <w:right w:val="single" w:sz="4" w:space="0" w:color="auto"/>
            </w:tcBorders>
            <w:shd w:val="clear" w:color="auto" w:fill="auto"/>
            <w:noWrap/>
            <w:vAlign w:val="center"/>
            <w:hideMark/>
          </w:tcPr>
          <w:p w14:paraId="6FA5198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2BD04C8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14.7</w:t>
            </w:r>
          </w:p>
        </w:tc>
        <w:tc>
          <w:tcPr>
            <w:tcW w:w="1380" w:type="dxa"/>
            <w:vMerge/>
            <w:tcBorders>
              <w:top w:val="nil"/>
              <w:left w:val="single" w:sz="4" w:space="0" w:color="auto"/>
              <w:bottom w:val="single" w:sz="4" w:space="0" w:color="auto"/>
              <w:right w:val="single" w:sz="4" w:space="0" w:color="auto"/>
            </w:tcBorders>
            <w:vAlign w:val="center"/>
            <w:hideMark/>
          </w:tcPr>
          <w:p w14:paraId="711552E0" w14:textId="77777777" w:rsidR="00FB0286" w:rsidRPr="000708BC" w:rsidRDefault="00FB0286" w:rsidP="00FB0286">
            <w:pPr>
              <w:rPr>
                <w:rFonts w:ascii="Arial" w:hAnsi="Arial" w:cs="Arial"/>
                <w:color w:val="000000"/>
                <w:sz w:val="20"/>
              </w:rPr>
            </w:pPr>
          </w:p>
        </w:tc>
      </w:tr>
      <w:tr w:rsidR="0082531A" w:rsidRPr="000708BC" w14:paraId="0FFE238F"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16F28FF0"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2889664"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CFE80F9"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Waste sludge from steel rolling, landfill</w:t>
            </w:r>
          </w:p>
        </w:tc>
        <w:tc>
          <w:tcPr>
            <w:tcW w:w="1134" w:type="dxa"/>
            <w:tcBorders>
              <w:top w:val="nil"/>
              <w:left w:val="nil"/>
              <w:bottom w:val="single" w:sz="4" w:space="0" w:color="auto"/>
              <w:right w:val="single" w:sz="4" w:space="0" w:color="auto"/>
            </w:tcBorders>
            <w:shd w:val="clear" w:color="auto" w:fill="auto"/>
            <w:noWrap/>
            <w:vAlign w:val="center"/>
            <w:hideMark/>
          </w:tcPr>
          <w:p w14:paraId="4AA6BA0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793B9C3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90.6</w:t>
            </w:r>
          </w:p>
        </w:tc>
        <w:tc>
          <w:tcPr>
            <w:tcW w:w="1380" w:type="dxa"/>
            <w:vMerge/>
            <w:tcBorders>
              <w:top w:val="nil"/>
              <w:left w:val="single" w:sz="4" w:space="0" w:color="auto"/>
              <w:bottom w:val="single" w:sz="4" w:space="0" w:color="auto"/>
              <w:right w:val="single" w:sz="4" w:space="0" w:color="auto"/>
            </w:tcBorders>
            <w:vAlign w:val="center"/>
            <w:hideMark/>
          </w:tcPr>
          <w:p w14:paraId="7EE41B74" w14:textId="77777777" w:rsidR="00FB0286" w:rsidRPr="000708BC" w:rsidRDefault="00FB0286" w:rsidP="00FB0286">
            <w:pPr>
              <w:rPr>
                <w:rFonts w:ascii="Arial" w:hAnsi="Arial" w:cs="Arial"/>
                <w:color w:val="000000"/>
                <w:sz w:val="20"/>
              </w:rPr>
            </w:pPr>
          </w:p>
        </w:tc>
      </w:tr>
      <w:tr w:rsidR="0082531A" w:rsidRPr="000708BC" w14:paraId="66D4D7ED"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3A6E683"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54E606F5"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7A5B6E7"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Waste mineral oil, hazardous waste incineration</w:t>
            </w:r>
          </w:p>
        </w:tc>
        <w:tc>
          <w:tcPr>
            <w:tcW w:w="1134" w:type="dxa"/>
            <w:tcBorders>
              <w:top w:val="nil"/>
              <w:left w:val="nil"/>
              <w:bottom w:val="single" w:sz="4" w:space="0" w:color="auto"/>
              <w:right w:val="single" w:sz="4" w:space="0" w:color="auto"/>
            </w:tcBorders>
            <w:shd w:val="clear" w:color="auto" w:fill="auto"/>
            <w:noWrap/>
            <w:vAlign w:val="center"/>
            <w:hideMark/>
          </w:tcPr>
          <w:p w14:paraId="4B6683D9"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36DD040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160</w:t>
            </w:r>
          </w:p>
        </w:tc>
        <w:tc>
          <w:tcPr>
            <w:tcW w:w="1380" w:type="dxa"/>
            <w:vMerge/>
            <w:tcBorders>
              <w:top w:val="nil"/>
              <w:left w:val="single" w:sz="4" w:space="0" w:color="auto"/>
              <w:bottom w:val="single" w:sz="4" w:space="0" w:color="auto"/>
              <w:right w:val="single" w:sz="4" w:space="0" w:color="auto"/>
            </w:tcBorders>
            <w:vAlign w:val="center"/>
            <w:hideMark/>
          </w:tcPr>
          <w:p w14:paraId="57F18053" w14:textId="77777777" w:rsidR="00FB0286" w:rsidRPr="000708BC" w:rsidRDefault="00FB0286" w:rsidP="00FB0286">
            <w:pPr>
              <w:rPr>
                <w:rFonts w:ascii="Arial" w:hAnsi="Arial" w:cs="Arial"/>
                <w:color w:val="000000"/>
                <w:sz w:val="20"/>
              </w:rPr>
            </w:pPr>
          </w:p>
        </w:tc>
      </w:tr>
      <w:tr w:rsidR="0082531A" w:rsidRPr="000708BC" w14:paraId="2A1DC4F1"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0E6C8EE5"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5B29AF7"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FEFE34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Deionized water</w:t>
            </w:r>
          </w:p>
        </w:tc>
        <w:tc>
          <w:tcPr>
            <w:tcW w:w="1134" w:type="dxa"/>
            <w:tcBorders>
              <w:top w:val="nil"/>
              <w:left w:val="nil"/>
              <w:bottom w:val="single" w:sz="4" w:space="0" w:color="auto"/>
              <w:right w:val="single" w:sz="4" w:space="0" w:color="auto"/>
            </w:tcBorders>
            <w:shd w:val="clear" w:color="auto" w:fill="auto"/>
            <w:noWrap/>
            <w:vAlign w:val="center"/>
            <w:hideMark/>
          </w:tcPr>
          <w:p w14:paraId="10EEE3B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37A219C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200</w:t>
            </w:r>
          </w:p>
        </w:tc>
        <w:tc>
          <w:tcPr>
            <w:tcW w:w="1380" w:type="dxa"/>
            <w:vMerge/>
            <w:tcBorders>
              <w:top w:val="nil"/>
              <w:left w:val="single" w:sz="4" w:space="0" w:color="auto"/>
              <w:bottom w:val="single" w:sz="4" w:space="0" w:color="auto"/>
              <w:right w:val="single" w:sz="4" w:space="0" w:color="auto"/>
            </w:tcBorders>
            <w:vAlign w:val="center"/>
            <w:hideMark/>
          </w:tcPr>
          <w:p w14:paraId="60C2BEC7" w14:textId="77777777" w:rsidR="00FB0286" w:rsidRPr="000708BC" w:rsidRDefault="00FB0286" w:rsidP="00FB0286">
            <w:pPr>
              <w:rPr>
                <w:rFonts w:ascii="Arial" w:hAnsi="Arial" w:cs="Arial"/>
                <w:color w:val="000000"/>
                <w:sz w:val="20"/>
              </w:rPr>
            </w:pPr>
          </w:p>
        </w:tc>
      </w:tr>
      <w:tr w:rsidR="0082531A" w:rsidRPr="000708BC" w14:paraId="17294C32"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53191390"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04105621"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01C4E92A"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Inorganic chemicals</w:t>
            </w:r>
          </w:p>
        </w:tc>
        <w:tc>
          <w:tcPr>
            <w:tcW w:w="1134" w:type="dxa"/>
            <w:tcBorders>
              <w:top w:val="nil"/>
              <w:left w:val="nil"/>
              <w:bottom w:val="single" w:sz="4" w:space="0" w:color="auto"/>
              <w:right w:val="single" w:sz="4" w:space="0" w:color="auto"/>
            </w:tcBorders>
            <w:shd w:val="clear" w:color="auto" w:fill="auto"/>
            <w:noWrap/>
            <w:vAlign w:val="center"/>
            <w:hideMark/>
          </w:tcPr>
          <w:p w14:paraId="7A31941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5B0A700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1.5</w:t>
            </w:r>
          </w:p>
        </w:tc>
        <w:tc>
          <w:tcPr>
            <w:tcW w:w="1380" w:type="dxa"/>
            <w:vMerge/>
            <w:tcBorders>
              <w:top w:val="nil"/>
              <w:left w:val="single" w:sz="4" w:space="0" w:color="auto"/>
              <w:bottom w:val="single" w:sz="4" w:space="0" w:color="auto"/>
              <w:right w:val="single" w:sz="4" w:space="0" w:color="auto"/>
            </w:tcBorders>
            <w:vAlign w:val="center"/>
            <w:hideMark/>
          </w:tcPr>
          <w:p w14:paraId="3A778B57" w14:textId="77777777" w:rsidR="00FB0286" w:rsidRPr="000708BC" w:rsidRDefault="00FB0286" w:rsidP="00FB0286">
            <w:pPr>
              <w:rPr>
                <w:rFonts w:ascii="Arial" w:hAnsi="Arial" w:cs="Arial"/>
                <w:color w:val="000000"/>
                <w:sz w:val="20"/>
              </w:rPr>
            </w:pPr>
          </w:p>
        </w:tc>
      </w:tr>
      <w:tr w:rsidR="0082531A" w:rsidRPr="000708BC" w14:paraId="6B86D098"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65CC77F"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505E28DB"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47522B9B"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Aluminum sulphate powder</w:t>
            </w:r>
          </w:p>
        </w:tc>
        <w:tc>
          <w:tcPr>
            <w:tcW w:w="1134" w:type="dxa"/>
            <w:tcBorders>
              <w:top w:val="nil"/>
              <w:left w:val="nil"/>
              <w:bottom w:val="single" w:sz="4" w:space="0" w:color="auto"/>
              <w:right w:val="single" w:sz="4" w:space="0" w:color="auto"/>
            </w:tcBorders>
            <w:shd w:val="clear" w:color="auto" w:fill="auto"/>
            <w:noWrap/>
            <w:vAlign w:val="center"/>
            <w:hideMark/>
          </w:tcPr>
          <w:p w14:paraId="365FAF2D"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0FD03156"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906</w:t>
            </w:r>
          </w:p>
        </w:tc>
        <w:tc>
          <w:tcPr>
            <w:tcW w:w="1380" w:type="dxa"/>
            <w:vMerge/>
            <w:tcBorders>
              <w:top w:val="nil"/>
              <w:left w:val="single" w:sz="4" w:space="0" w:color="auto"/>
              <w:bottom w:val="single" w:sz="4" w:space="0" w:color="auto"/>
              <w:right w:val="single" w:sz="4" w:space="0" w:color="auto"/>
            </w:tcBorders>
            <w:vAlign w:val="center"/>
            <w:hideMark/>
          </w:tcPr>
          <w:p w14:paraId="41015781" w14:textId="77777777" w:rsidR="00FB0286" w:rsidRPr="000708BC" w:rsidRDefault="00FB0286" w:rsidP="00FB0286">
            <w:pPr>
              <w:rPr>
                <w:rFonts w:ascii="Arial" w:hAnsi="Arial" w:cs="Arial"/>
                <w:color w:val="000000"/>
                <w:sz w:val="20"/>
              </w:rPr>
            </w:pPr>
          </w:p>
        </w:tc>
      </w:tr>
      <w:tr w:rsidR="0082531A" w:rsidRPr="000708BC" w14:paraId="6BDF6A18"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DFD442A"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682CDD24"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C2C9EC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Ammonia</w:t>
            </w:r>
          </w:p>
        </w:tc>
        <w:tc>
          <w:tcPr>
            <w:tcW w:w="1134" w:type="dxa"/>
            <w:tcBorders>
              <w:top w:val="nil"/>
              <w:left w:val="nil"/>
              <w:bottom w:val="single" w:sz="4" w:space="0" w:color="auto"/>
              <w:right w:val="single" w:sz="4" w:space="0" w:color="auto"/>
            </w:tcBorders>
            <w:shd w:val="clear" w:color="auto" w:fill="auto"/>
            <w:noWrap/>
            <w:vAlign w:val="center"/>
            <w:hideMark/>
          </w:tcPr>
          <w:p w14:paraId="76D3CC9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365CEC0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30.6</w:t>
            </w:r>
          </w:p>
        </w:tc>
        <w:tc>
          <w:tcPr>
            <w:tcW w:w="1380" w:type="dxa"/>
            <w:vMerge/>
            <w:tcBorders>
              <w:top w:val="nil"/>
              <w:left w:val="single" w:sz="4" w:space="0" w:color="auto"/>
              <w:bottom w:val="single" w:sz="4" w:space="0" w:color="auto"/>
              <w:right w:val="single" w:sz="4" w:space="0" w:color="auto"/>
            </w:tcBorders>
            <w:vAlign w:val="center"/>
            <w:hideMark/>
          </w:tcPr>
          <w:p w14:paraId="25D80909" w14:textId="77777777" w:rsidR="00FB0286" w:rsidRPr="000708BC" w:rsidRDefault="00FB0286" w:rsidP="00FB0286">
            <w:pPr>
              <w:rPr>
                <w:rFonts w:ascii="Arial" w:hAnsi="Arial" w:cs="Arial"/>
                <w:color w:val="000000"/>
                <w:sz w:val="20"/>
              </w:rPr>
            </w:pPr>
          </w:p>
        </w:tc>
      </w:tr>
      <w:tr w:rsidR="0082531A" w:rsidRPr="000708BC" w14:paraId="2DE9755C"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74F61406"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1F6B2D62"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6DB8BE2C"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Heat from mineral oil</w:t>
            </w:r>
          </w:p>
        </w:tc>
        <w:tc>
          <w:tcPr>
            <w:tcW w:w="1134" w:type="dxa"/>
            <w:tcBorders>
              <w:top w:val="nil"/>
              <w:left w:val="nil"/>
              <w:bottom w:val="single" w:sz="4" w:space="0" w:color="auto"/>
              <w:right w:val="single" w:sz="4" w:space="0" w:color="auto"/>
            </w:tcBorders>
            <w:shd w:val="clear" w:color="auto" w:fill="auto"/>
            <w:noWrap/>
            <w:vAlign w:val="center"/>
            <w:hideMark/>
          </w:tcPr>
          <w:p w14:paraId="6364995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MJ</w:t>
            </w:r>
          </w:p>
        </w:tc>
        <w:tc>
          <w:tcPr>
            <w:tcW w:w="1698" w:type="dxa"/>
            <w:tcBorders>
              <w:top w:val="nil"/>
              <w:left w:val="nil"/>
              <w:bottom w:val="single" w:sz="4" w:space="0" w:color="auto"/>
              <w:right w:val="single" w:sz="4" w:space="0" w:color="auto"/>
            </w:tcBorders>
            <w:shd w:val="clear" w:color="auto" w:fill="auto"/>
            <w:noWrap/>
            <w:vAlign w:val="center"/>
            <w:hideMark/>
          </w:tcPr>
          <w:p w14:paraId="255A918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768</w:t>
            </w:r>
          </w:p>
        </w:tc>
        <w:tc>
          <w:tcPr>
            <w:tcW w:w="1380" w:type="dxa"/>
            <w:vMerge/>
            <w:tcBorders>
              <w:top w:val="nil"/>
              <w:left w:val="single" w:sz="4" w:space="0" w:color="auto"/>
              <w:bottom w:val="single" w:sz="4" w:space="0" w:color="auto"/>
              <w:right w:val="single" w:sz="4" w:space="0" w:color="auto"/>
            </w:tcBorders>
            <w:vAlign w:val="center"/>
            <w:hideMark/>
          </w:tcPr>
          <w:p w14:paraId="1E8D4DAC" w14:textId="77777777" w:rsidR="00FB0286" w:rsidRPr="000708BC" w:rsidRDefault="00FB0286" w:rsidP="00FB0286">
            <w:pPr>
              <w:rPr>
                <w:rFonts w:ascii="Arial" w:hAnsi="Arial" w:cs="Arial"/>
                <w:color w:val="000000"/>
                <w:sz w:val="20"/>
              </w:rPr>
            </w:pPr>
          </w:p>
        </w:tc>
      </w:tr>
      <w:tr w:rsidR="0082531A" w:rsidRPr="000708BC" w14:paraId="7226FA7E"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704814E6"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1856AA87"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4FD8B0F8"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Heat in chemical industry</w:t>
            </w:r>
          </w:p>
        </w:tc>
        <w:tc>
          <w:tcPr>
            <w:tcW w:w="1134" w:type="dxa"/>
            <w:tcBorders>
              <w:top w:val="nil"/>
              <w:left w:val="nil"/>
              <w:bottom w:val="single" w:sz="4" w:space="0" w:color="auto"/>
              <w:right w:val="single" w:sz="4" w:space="0" w:color="auto"/>
            </w:tcBorders>
            <w:shd w:val="clear" w:color="auto" w:fill="auto"/>
            <w:noWrap/>
            <w:vAlign w:val="center"/>
            <w:hideMark/>
          </w:tcPr>
          <w:p w14:paraId="4709EF36"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MJ</w:t>
            </w:r>
          </w:p>
        </w:tc>
        <w:tc>
          <w:tcPr>
            <w:tcW w:w="1698" w:type="dxa"/>
            <w:tcBorders>
              <w:top w:val="nil"/>
              <w:left w:val="nil"/>
              <w:bottom w:val="single" w:sz="4" w:space="0" w:color="auto"/>
              <w:right w:val="single" w:sz="4" w:space="0" w:color="auto"/>
            </w:tcBorders>
            <w:shd w:val="clear" w:color="auto" w:fill="auto"/>
            <w:noWrap/>
            <w:vAlign w:val="center"/>
            <w:hideMark/>
          </w:tcPr>
          <w:p w14:paraId="632AD1A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20.1</w:t>
            </w:r>
          </w:p>
        </w:tc>
        <w:tc>
          <w:tcPr>
            <w:tcW w:w="1380" w:type="dxa"/>
            <w:vMerge/>
            <w:tcBorders>
              <w:top w:val="nil"/>
              <w:left w:val="single" w:sz="4" w:space="0" w:color="auto"/>
              <w:bottom w:val="single" w:sz="4" w:space="0" w:color="auto"/>
              <w:right w:val="single" w:sz="4" w:space="0" w:color="auto"/>
            </w:tcBorders>
            <w:vAlign w:val="center"/>
            <w:hideMark/>
          </w:tcPr>
          <w:p w14:paraId="7CB97769" w14:textId="77777777" w:rsidR="00FB0286" w:rsidRPr="000708BC" w:rsidRDefault="00FB0286" w:rsidP="00FB0286">
            <w:pPr>
              <w:rPr>
                <w:rFonts w:ascii="Arial" w:hAnsi="Arial" w:cs="Arial"/>
                <w:color w:val="000000"/>
                <w:sz w:val="20"/>
              </w:rPr>
            </w:pPr>
          </w:p>
        </w:tc>
      </w:tr>
      <w:tr w:rsidR="0082531A" w:rsidRPr="000708BC" w14:paraId="3F04508A"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5C649DA5"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1B00B61C"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05570A9F"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Hydrochloric acid , 30 %</w:t>
            </w:r>
          </w:p>
        </w:tc>
        <w:tc>
          <w:tcPr>
            <w:tcW w:w="1134" w:type="dxa"/>
            <w:tcBorders>
              <w:top w:val="nil"/>
              <w:left w:val="nil"/>
              <w:bottom w:val="single" w:sz="4" w:space="0" w:color="auto"/>
              <w:right w:val="single" w:sz="4" w:space="0" w:color="auto"/>
            </w:tcBorders>
            <w:shd w:val="clear" w:color="auto" w:fill="auto"/>
            <w:noWrap/>
            <w:vAlign w:val="center"/>
            <w:hideMark/>
          </w:tcPr>
          <w:p w14:paraId="773F1CF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4B46700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22.2</w:t>
            </w:r>
          </w:p>
        </w:tc>
        <w:tc>
          <w:tcPr>
            <w:tcW w:w="1380" w:type="dxa"/>
            <w:vMerge/>
            <w:tcBorders>
              <w:top w:val="nil"/>
              <w:left w:val="single" w:sz="4" w:space="0" w:color="auto"/>
              <w:bottom w:val="single" w:sz="4" w:space="0" w:color="auto"/>
              <w:right w:val="single" w:sz="4" w:space="0" w:color="auto"/>
            </w:tcBorders>
            <w:vAlign w:val="center"/>
            <w:hideMark/>
          </w:tcPr>
          <w:p w14:paraId="684520B3" w14:textId="77777777" w:rsidR="00FB0286" w:rsidRPr="000708BC" w:rsidRDefault="00FB0286" w:rsidP="00FB0286">
            <w:pPr>
              <w:rPr>
                <w:rFonts w:ascii="Arial" w:hAnsi="Arial" w:cs="Arial"/>
                <w:color w:val="000000"/>
                <w:sz w:val="20"/>
              </w:rPr>
            </w:pPr>
          </w:p>
        </w:tc>
      </w:tr>
      <w:tr w:rsidR="0082531A" w:rsidRPr="000708BC" w14:paraId="3405F6B8"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3928BFC"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481111D2"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1E585DF"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Heat from CHP</w:t>
            </w:r>
          </w:p>
        </w:tc>
        <w:tc>
          <w:tcPr>
            <w:tcW w:w="1134" w:type="dxa"/>
            <w:tcBorders>
              <w:top w:val="nil"/>
              <w:left w:val="nil"/>
              <w:bottom w:val="single" w:sz="4" w:space="0" w:color="auto"/>
              <w:right w:val="single" w:sz="4" w:space="0" w:color="auto"/>
            </w:tcBorders>
            <w:shd w:val="clear" w:color="auto" w:fill="auto"/>
            <w:noWrap/>
            <w:vAlign w:val="center"/>
            <w:hideMark/>
          </w:tcPr>
          <w:p w14:paraId="6D4D9B0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5540F4F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768</w:t>
            </w:r>
          </w:p>
        </w:tc>
        <w:tc>
          <w:tcPr>
            <w:tcW w:w="1380" w:type="dxa"/>
            <w:vMerge/>
            <w:tcBorders>
              <w:top w:val="nil"/>
              <w:left w:val="single" w:sz="4" w:space="0" w:color="auto"/>
              <w:bottom w:val="single" w:sz="4" w:space="0" w:color="auto"/>
              <w:right w:val="single" w:sz="4" w:space="0" w:color="auto"/>
            </w:tcBorders>
            <w:vAlign w:val="center"/>
            <w:hideMark/>
          </w:tcPr>
          <w:p w14:paraId="3801B192" w14:textId="77777777" w:rsidR="00FB0286" w:rsidRPr="000708BC" w:rsidRDefault="00FB0286" w:rsidP="00FB0286">
            <w:pPr>
              <w:rPr>
                <w:rFonts w:ascii="Arial" w:hAnsi="Arial" w:cs="Arial"/>
                <w:color w:val="000000"/>
                <w:sz w:val="20"/>
              </w:rPr>
            </w:pPr>
          </w:p>
        </w:tc>
      </w:tr>
      <w:tr w:rsidR="0082531A" w:rsidRPr="000708BC" w14:paraId="4F579279"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63D6D206"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43442092"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7A26C90"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Rolling mill production</w:t>
            </w:r>
          </w:p>
        </w:tc>
        <w:tc>
          <w:tcPr>
            <w:tcW w:w="1134" w:type="dxa"/>
            <w:tcBorders>
              <w:top w:val="nil"/>
              <w:left w:val="nil"/>
              <w:bottom w:val="single" w:sz="4" w:space="0" w:color="auto"/>
              <w:right w:val="single" w:sz="4" w:space="0" w:color="auto"/>
            </w:tcBorders>
            <w:shd w:val="clear" w:color="auto" w:fill="auto"/>
            <w:noWrap/>
            <w:vAlign w:val="center"/>
            <w:hideMark/>
          </w:tcPr>
          <w:p w14:paraId="1D2B9CE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pcs</w:t>
            </w:r>
          </w:p>
        </w:tc>
        <w:tc>
          <w:tcPr>
            <w:tcW w:w="1698" w:type="dxa"/>
            <w:tcBorders>
              <w:top w:val="nil"/>
              <w:left w:val="nil"/>
              <w:bottom w:val="single" w:sz="4" w:space="0" w:color="auto"/>
              <w:right w:val="single" w:sz="4" w:space="0" w:color="auto"/>
            </w:tcBorders>
            <w:shd w:val="clear" w:color="auto" w:fill="auto"/>
            <w:noWrap/>
            <w:vAlign w:val="center"/>
            <w:hideMark/>
          </w:tcPr>
          <w:p w14:paraId="2D2EA2B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1.63E-10</w:t>
            </w:r>
          </w:p>
        </w:tc>
        <w:tc>
          <w:tcPr>
            <w:tcW w:w="1380" w:type="dxa"/>
            <w:vMerge/>
            <w:tcBorders>
              <w:top w:val="nil"/>
              <w:left w:val="single" w:sz="4" w:space="0" w:color="auto"/>
              <w:bottom w:val="single" w:sz="4" w:space="0" w:color="auto"/>
              <w:right w:val="single" w:sz="4" w:space="0" w:color="auto"/>
            </w:tcBorders>
            <w:vAlign w:val="center"/>
            <w:hideMark/>
          </w:tcPr>
          <w:p w14:paraId="7125B9D8" w14:textId="77777777" w:rsidR="00FB0286" w:rsidRPr="000708BC" w:rsidRDefault="00FB0286" w:rsidP="00FB0286">
            <w:pPr>
              <w:rPr>
                <w:rFonts w:ascii="Arial" w:hAnsi="Arial" w:cs="Arial"/>
                <w:color w:val="000000"/>
                <w:sz w:val="20"/>
              </w:rPr>
            </w:pPr>
          </w:p>
        </w:tc>
      </w:tr>
      <w:tr w:rsidR="0082531A" w:rsidRPr="000708BC" w14:paraId="1217A01B"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6D9B014C"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6E8DBC8A"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4E86E49B"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Soda ash, light, crystalline, heptahydrate</w:t>
            </w:r>
          </w:p>
        </w:tc>
        <w:tc>
          <w:tcPr>
            <w:tcW w:w="1134" w:type="dxa"/>
            <w:tcBorders>
              <w:top w:val="nil"/>
              <w:left w:val="nil"/>
              <w:bottom w:val="single" w:sz="4" w:space="0" w:color="auto"/>
              <w:right w:val="single" w:sz="4" w:space="0" w:color="auto"/>
            </w:tcBorders>
            <w:shd w:val="clear" w:color="auto" w:fill="auto"/>
            <w:noWrap/>
            <w:vAlign w:val="center"/>
            <w:hideMark/>
          </w:tcPr>
          <w:p w14:paraId="27FCEC7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2D0983F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w:t>
            </w:r>
            <w:r w:rsidR="0082531A" w:rsidRPr="000708BC">
              <w:rPr>
                <w:rFonts w:ascii="Arial" w:hAnsi="Arial" w:cs="Arial"/>
                <w:color w:val="000000"/>
                <w:sz w:val="20"/>
              </w:rPr>
              <w:t>,</w:t>
            </w:r>
            <w:r w:rsidRPr="000708BC">
              <w:rPr>
                <w:rFonts w:ascii="Arial" w:hAnsi="Arial" w:cs="Arial"/>
                <w:color w:val="000000"/>
                <w:sz w:val="20"/>
              </w:rPr>
              <w:t>000</w:t>
            </w:r>
          </w:p>
        </w:tc>
        <w:tc>
          <w:tcPr>
            <w:tcW w:w="1380" w:type="dxa"/>
            <w:vMerge/>
            <w:tcBorders>
              <w:top w:val="nil"/>
              <w:left w:val="single" w:sz="4" w:space="0" w:color="auto"/>
              <w:bottom w:val="single" w:sz="4" w:space="0" w:color="auto"/>
              <w:right w:val="single" w:sz="4" w:space="0" w:color="auto"/>
            </w:tcBorders>
            <w:vAlign w:val="center"/>
            <w:hideMark/>
          </w:tcPr>
          <w:p w14:paraId="6118DE5E" w14:textId="77777777" w:rsidR="00FB0286" w:rsidRPr="000708BC" w:rsidRDefault="00FB0286" w:rsidP="00FB0286">
            <w:pPr>
              <w:rPr>
                <w:rFonts w:ascii="Arial" w:hAnsi="Arial" w:cs="Arial"/>
                <w:color w:val="000000"/>
                <w:sz w:val="20"/>
              </w:rPr>
            </w:pPr>
          </w:p>
        </w:tc>
      </w:tr>
      <w:tr w:rsidR="0082531A" w:rsidRPr="000708BC" w14:paraId="39390EFB"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F65EB20"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3F9F0C1"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6961CEA"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Sodium hydroxide, without water, in 50% solution state</w:t>
            </w:r>
          </w:p>
        </w:tc>
        <w:tc>
          <w:tcPr>
            <w:tcW w:w="1134" w:type="dxa"/>
            <w:tcBorders>
              <w:top w:val="nil"/>
              <w:left w:val="nil"/>
              <w:bottom w:val="single" w:sz="4" w:space="0" w:color="auto"/>
              <w:right w:val="single" w:sz="4" w:space="0" w:color="auto"/>
            </w:tcBorders>
            <w:shd w:val="clear" w:color="auto" w:fill="auto"/>
            <w:noWrap/>
            <w:vAlign w:val="center"/>
            <w:hideMark/>
          </w:tcPr>
          <w:p w14:paraId="57E0202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4C3DC47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380</w:t>
            </w:r>
          </w:p>
        </w:tc>
        <w:tc>
          <w:tcPr>
            <w:tcW w:w="1380" w:type="dxa"/>
            <w:vMerge/>
            <w:tcBorders>
              <w:top w:val="nil"/>
              <w:left w:val="single" w:sz="4" w:space="0" w:color="auto"/>
              <w:bottom w:val="single" w:sz="4" w:space="0" w:color="auto"/>
              <w:right w:val="single" w:sz="4" w:space="0" w:color="auto"/>
            </w:tcBorders>
            <w:vAlign w:val="center"/>
            <w:hideMark/>
          </w:tcPr>
          <w:p w14:paraId="78A6FCB1" w14:textId="77777777" w:rsidR="00FB0286" w:rsidRPr="000708BC" w:rsidRDefault="00FB0286" w:rsidP="00FB0286">
            <w:pPr>
              <w:rPr>
                <w:rFonts w:ascii="Arial" w:hAnsi="Arial" w:cs="Arial"/>
                <w:color w:val="000000"/>
                <w:sz w:val="20"/>
              </w:rPr>
            </w:pPr>
          </w:p>
        </w:tc>
      </w:tr>
      <w:tr w:rsidR="0082531A" w:rsidRPr="000708BC" w14:paraId="4D4011CE"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5D00969D"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A9EE04B"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3C0FA697"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Transport lorry</w:t>
            </w:r>
          </w:p>
        </w:tc>
        <w:tc>
          <w:tcPr>
            <w:tcW w:w="1134" w:type="dxa"/>
            <w:tcBorders>
              <w:top w:val="nil"/>
              <w:left w:val="nil"/>
              <w:bottom w:val="single" w:sz="4" w:space="0" w:color="auto"/>
              <w:right w:val="single" w:sz="4" w:space="0" w:color="auto"/>
            </w:tcBorders>
            <w:shd w:val="clear" w:color="auto" w:fill="auto"/>
            <w:noWrap/>
            <w:vAlign w:val="center"/>
            <w:hideMark/>
          </w:tcPr>
          <w:p w14:paraId="3F76C6BF"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tkm</w:t>
            </w:r>
          </w:p>
        </w:tc>
        <w:tc>
          <w:tcPr>
            <w:tcW w:w="1698" w:type="dxa"/>
            <w:tcBorders>
              <w:top w:val="nil"/>
              <w:left w:val="nil"/>
              <w:bottom w:val="single" w:sz="4" w:space="0" w:color="auto"/>
              <w:right w:val="single" w:sz="4" w:space="0" w:color="auto"/>
            </w:tcBorders>
            <w:shd w:val="clear" w:color="auto" w:fill="auto"/>
            <w:noWrap/>
            <w:vAlign w:val="center"/>
            <w:hideMark/>
          </w:tcPr>
          <w:p w14:paraId="4AB369B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8.04</w:t>
            </w:r>
          </w:p>
        </w:tc>
        <w:tc>
          <w:tcPr>
            <w:tcW w:w="1380" w:type="dxa"/>
            <w:vMerge/>
            <w:tcBorders>
              <w:top w:val="nil"/>
              <w:left w:val="single" w:sz="4" w:space="0" w:color="auto"/>
              <w:bottom w:val="single" w:sz="4" w:space="0" w:color="auto"/>
              <w:right w:val="single" w:sz="4" w:space="0" w:color="auto"/>
            </w:tcBorders>
            <w:vAlign w:val="center"/>
            <w:hideMark/>
          </w:tcPr>
          <w:p w14:paraId="5FEAC979" w14:textId="77777777" w:rsidR="00FB0286" w:rsidRPr="000708BC" w:rsidRDefault="00FB0286" w:rsidP="00FB0286">
            <w:pPr>
              <w:rPr>
                <w:rFonts w:ascii="Arial" w:hAnsi="Arial" w:cs="Arial"/>
                <w:color w:val="000000"/>
                <w:sz w:val="20"/>
              </w:rPr>
            </w:pPr>
          </w:p>
        </w:tc>
      </w:tr>
      <w:tr w:rsidR="0082531A" w:rsidRPr="000708BC" w14:paraId="115867A2"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DF7E66D"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1A4FAE3B"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DDBBD9C"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Electricity</w:t>
            </w:r>
          </w:p>
        </w:tc>
        <w:tc>
          <w:tcPr>
            <w:tcW w:w="1134" w:type="dxa"/>
            <w:tcBorders>
              <w:top w:val="nil"/>
              <w:left w:val="nil"/>
              <w:bottom w:val="single" w:sz="4" w:space="0" w:color="auto"/>
              <w:right w:val="single" w:sz="4" w:space="0" w:color="auto"/>
            </w:tcBorders>
            <w:shd w:val="clear" w:color="auto" w:fill="auto"/>
            <w:noWrap/>
            <w:vAlign w:val="center"/>
            <w:hideMark/>
          </w:tcPr>
          <w:p w14:paraId="7206020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MJ</w:t>
            </w:r>
          </w:p>
        </w:tc>
        <w:tc>
          <w:tcPr>
            <w:tcW w:w="1698" w:type="dxa"/>
            <w:tcBorders>
              <w:top w:val="nil"/>
              <w:left w:val="nil"/>
              <w:bottom w:val="single" w:sz="4" w:space="0" w:color="auto"/>
              <w:right w:val="single" w:sz="4" w:space="0" w:color="auto"/>
            </w:tcBorders>
            <w:shd w:val="clear" w:color="auto" w:fill="auto"/>
            <w:noWrap/>
            <w:vAlign w:val="center"/>
            <w:hideMark/>
          </w:tcPr>
          <w:p w14:paraId="6B87D5A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73.2</w:t>
            </w:r>
          </w:p>
        </w:tc>
        <w:tc>
          <w:tcPr>
            <w:tcW w:w="1380" w:type="dxa"/>
            <w:vMerge/>
            <w:tcBorders>
              <w:top w:val="nil"/>
              <w:left w:val="single" w:sz="4" w:space="0" w:color="auto"/>
              <w:bottom w:val="single" w:sz="4" w:space="0" w:color="auto"/>
              <w:right w:val="single" w:sz="4" w:space="0" w:color="auto"/>
            </w:tcBorders>
            <w:vAlign w:val="center"/>
            <w:hideMark/>
          </w:tcPr>
          <w:p w14:paraId="551B3F4E" w14:textId="77777777" w:rsidR="00FB0286" w:rsidRPr="000708BC" w:rsidRDefault="00FB0286" w:rsidP="00FB0286">
            <w:pPr>
              <w:rPr>
                <w:rFonts w:ascii="Arial" w:hAnsi="Arial" w:cs="Arial"/>
                <w:color w:val="000000"/>
                <w:sz w:val="20"/>
              </w:rPr>
            </w:pPr>
          </w:p>
        </w:tc>
      </w:tr>
      <w:tr w:rsidR="0082531A" w:rsidRPr="000708BC" w14:paraId="28DA08CA"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078C7298" w14:textId="77777777" w:rsidR="00FB0286" w:rsidRPr="000708BC" w:rsidRDefault="00FB0286" w:rsidP="00FB0286">
            <w:pPr>
              <w:rPr>
                <w:rFonts w:ascii="Arial" w:hAnsi="Arial" w:cs="Arial"/>
                <w:color w:val="000000"/>
                <w:sz w:val="20"/>
              </w:rPr>
            </w:pPr>
          </w:p>
        </w:tc>
        <w:tc>
          <w:tcPr>
            <w:tcW w:w="917" w:type="dxa"/>
            <w:vMerge w:val="restart"/>
            <w:tcBorders>
              <w:top w:val="nil"/>
              <w:left w:val="single" w:sz="4" w:space="0" w:color="auto"/>
              <w:bottom w:val="single" w:sz="4" w:space="0" w:color="auto"/>
              <w:right w:val="single" w:sz="4" w:space="0" w:color="auto"/>
            </w:tcBorders>
            <w:shd w:val="clear" w:color="auto" w:fill="auto"/>
            <w:vAlign w:val="center"/>
            <w:hideMark/>
          </w:tcPr>
          <w:p w14:paraId="3214E24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Outputs</w:t>
            </w:r>
          </w:p>
        </w:tc>
        <w:tc>
          <w:tcPr>
            <w:tcW w:w="2555" w:type="dxa"/>
            <w:tcBorders>
              <w:top w:val="nil"/>
              <w:left w:val="nil"/>
              <w:bottom w:val="single" w:sz="4" w:space="0" w:color="auto"/>
              <w:right w:val="single" w:sz="4" w:space="0" w:color="auto"/>
            </w:tcBorders>
            <w:shd w:val="clear" w:color="auto" w:fill="auto"/>
            <w:noWrap/>
            <w:vAlign w:val="center"/>
            <w:hideMark/>
          </w:tcPr>
          <w:p w14:paraId="663A5679"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Ammonia</w:t>
            </w:r>
          </w:p>
        </w:tc>
        <w:tc>
          <w:tcPr>
            <w:tcW w:w="1134" w:type="dxa"/>
            <w:tcBorders>
              <w:top w:val="nil"/>
              <w:left w:val="nil"/>
              <w:bottom w:val="single" w:sz="4" w:space="0" w:color="auto"/>
              <w:right w:val="single" w:sz="4" w:space="0" w:color="auto"/>
            </w:tcBorders>
            <w:shd w:val="clear" w:color="auto" w:fill="auto"/>
            <w:noWrap/>
            <w:vAlign w:val="center"/>
            <w:hideMark/>
          </w:tcPr>
          <w:p w14:paraId="67144A2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106CBC9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43.6</w:t>
            </w:r>
          </w:p>
        </w:tc>
        <w:tc>
          <w:tcPr>
            <w:tcW w:w="1380" w:type="dxa"/>
            <w:vMerge/>
            <w:tcBorders>
              <w:top w:val="nil"/>
              <w:left w:val="single" w:sz="4" w:space="0" w:color="auto"/>
              <w:bottom w:val="single" w:sz="4" w:space="0" w:color="auto"/>
              <w:right w:val="single" w:sz="4" w:space="0" w:color="auto"/>
            </w:tcBorders>
            <w:vAlign w:val="center"/>
            <w:hideMark/>
          </w:tcPr>
          <w:p w14:paraId="368BB636" w14:textId="77777777" w:rsidR="00FB0286" w:rsidRPr="000708BC" w:rsidRDefault="00FB0286" w:rsidP="00FB0286">
            <w:pPr>
              <w:rPr>
                <w:rFonts w:ascii="Arial" w:hAnsi="Arial" w:cs="Arial"/>
                <w:color w:val="000000"/>
                <w:sz w:val="20"/>
              </w:rPr>
            </w:pPr>
          </w:p>
        </w:tc>
      </w:tr>
      <w:tr w:rsidR="0082531A" w:rsidRPr="000708BC" w14:paraId="5DA56ED9"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4F8FF8AF"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61444077"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26A0ED8"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Arsenic</w:t>
            </w:r>
          </w:p>
        </w:tc>
        <w:tc>
          <w:tcPr>
            <w:tcW w:w="1134" w:type="dxa"/>
            <w:tcBorders>
              <w:top w:val="nil"/>
              <w:left w:val="nil"/>
              <w:bottom w:val="single" w:sz="4" w:space="0" w:color="auto"/>
              <w:right w:val="single" w:sz="4" w:space="0" w:color="auto"/>
            </w:tcBorders>
            <w:shd w:val="clear" w:color="auto" w:fill="auto"/>
            <w:noWrap/>
            <w:vAlign w:val="center"/>
            <w:hideMark/>
          </w:tcPr>
          <w:p w14:paraId="09C8206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μg</w:t>
            </w:r>
          </w:p>
        </w:tc>
        <w:tc>
          <w:tcPr>
            <w:tcW w:w="1698" w:type="dxa"/>
            <w:tcBorders>
              <w:top w:val="nil"/>
              <w:left w:val="nil"/>
              <w:bottom w:val="single" w:sz="4" w:space="0" w:color="auto"/>
              <w:right w:val="single" w:sz="4" w:space="0" w:color="auto"/>
            </w:tcBorders>
            <w:shd w:val="clear" w:color="auto" w:fill="auto"/>
            <w:noWrap/>
            <w:vAlign w:val="center"/>
            <w:hideMark/>
          </w:tcPr>
          <w:p w14:paraId="5D8EEDA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190</w:t>
            </w:r>
          </w:p>
        </w:tc>
        <w:tc>
          <w:tcPr>
            <w:tcW w:w="1380" w:type="dxa"/>
            <w:vMerge/>
            <w:tcBorders>
              <w:top w:val="nil"/>
              <w:left w:val="single" w:sz="4" w:space="0" w:color="auto"/>
              <w:bottom w:val="single" w:sz="4" w:space="0" w:color="auto"/>
              <w:right w:val="single" w:sz="4" w:space="0" w:color="auto"/>
            </w:tcBorders>
            <w:vAlign w:val="center"/>
            <w:hideMark/>
          </w:tcPr>
          <w:p w14:paraId="4F3FCCED" w14:textId="77777777" w:rsidR="00FB0286" w:rsidRPr="000708BC" w:rsidRDefault="00FB0286" w:rsidP="00FB0286">
            <w:pPr>
              <w:rPr>
                <w:rFonts w:ascii="Arial" w:hAnsi="Arial" w:cs="Arial"/>
                <w:color w:val="000000"/>
                <w:sz w:val="20"/>
              </w:rPr>
            </w:pPr>
          </w:p>
        </w:tc>
      </w:tr>
      <w:tr w:rsidR="0082531A" w:rsidRPr="000708BC" w14:paraId="1C14457A"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E9A5100"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122427E"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4A5DBF47"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Biological oxygen demand (BOD),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097FE90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0B1B6A0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13.2</w:t>
            </w:r>
          </w:p>
        </w:tc>
        <w:tc>
          <w:tcPr>
            <w:tcW w:w="1380" w:type="dxa"/>
            <w:vMerge/>
            <w:tcBorders>
              <w:top w:val="nil"/>
              <w:left w:val="single" w:sz="4" w:space="0" w:color="auto"/>
              <w:bottom w:val="single" w:sz="4" w:space="0" w:color="auto"/>
              <w:right w:val="single" w:sz="4" w:space="0" w:color="auto"/>
            </w:tcBorders>
            <w:vAlign w:val="center"/>
            <w:hideMark/>
          </w:tcPr>
          <w:p w14:paraId="35BFD9D3" w14:textId="77777777" w:rsidR="00FB0286" w:rsidRPr="000708BC" w:rsidRDefault="00FB0286" w:rsidP="00FB0286">
            <w:pPr>
              <w:rPr>
                <w:rFonts w:ascii="Arial" w:hAnsi="Arial" w:cs="Arial"/>
                <w:color w:val="000000"/>
                <w:sz w:val="20"/>
              </w:rPr>
            </w:pPr>
          </w:p>
        </w:tc>
      </w:tr>
      <w:tr w:rsidR="0082531A" w:rsidRPr="000708BC" w14:paraId="78F723F7"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50BA1A48"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0E8F2882"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511A95E"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Cadmium</w:t>
            </w:r>
          </w:p>
        </w:tc>
        <w:tc>
          <w:tcPr>
            <w:tcW w:w="1134" w:type="dxa"/>
            <w:tcBorders>
              <w:top w:val="nil"/>
              <w:left w:val="nil"/>
              <w:bottom w:val="single" w:sz="4" w:space="0" w:color="auto"/>
              <w:right w:val="single" w:sz="4" w:space="0" w:color="auto"/>
            </w:tcBorders>
            <w:shd w:val="clear" w:color="auto" w:fill="auto"/>
            <w:noWrap/>
            <w:vAlign w:val="center"/>
            <w:hideMark/>
          </w:tcPr>
          <w:p w14:paraId="319B4015"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2BF643A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1.31</w:t>
            </w:r>
          </w:p>
        </w:tc>
        <w:tc>
          <w:tcPr>
            <w:tcW w:w="1380" w:type="dxa"/>
            <w:vMerge/>
            <w:tcBorders>
              <w:top w:val="nil"/>
              <w:left w:val="single" w:sz="4" w:space="0" w:color="auto"/>
              <w:bottom w:val="single" w:sz="4" w:space="0" w:color="auto"/>
              <w:right w:val="single" w:sz="4" w:space="0" w:color="auto"/>
            </w:tcBorders>
            <w:vAlign w:val="center"/>
            <w:hideMark/>
          </w:tcPr>
          <w:p w14:paraId="218EA907" w14:textId="77777777" w:rsidR="00FB0286" w:rsidRPr="000708BC" w:rsidRDefault="00FB0286" w:rsidP="00FB0286">
            <w:pPr>
              <w:rPr>
                <w:rFonts w:ascii="Arial" w:hAnsi="Arial" w:cs="Arial"/>
                <w:color w:val="000000"/>
                <w:sz w:val="20"/>
              </w:rPr>
            </w:pPr>
          </w:p>
        </w:tc>
      </w:tr>
      <w:tr w:rsidR="0082531A" w:rsidRPr="000708BC" w14:paraId="3F474CE5"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3C2BC44D"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6168454"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8DF79DC"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Chemical oxygen demand (COD),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1052C39E"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52273DF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132</w:t>
            </w:r>
          </w:p>
        </w:tc>
        <w:tc>
          <w:tcPr>
            <w:tcW w:w="1380" w:type="dxa"/>
            <w:vMerge/>
            <w:tcBorders>
              <w:top w:val="nil"/>
              <w:left w:val="single" w:sz="4" w:space="0" w:color="auto"/>
              <w:bottom w:val="single" w:sz="4" w:space="0" w:color="auto"/>
              <w:right w:val="single" w:sz="4" w:space="0" w:color="auto"/>
            </w:tcBorders>
            <w:vAlign w:val="center"/>
            <w:hideMark/>
          </w:tcPr>
          <w:p w14:paraId="46803392" w14:textId="77777777" w:rsidR="00FB0286" w:rsidRPr="000708BC" w:rsidRDefault="00FB0286" w:rsidP="00FB0286">
            <w:pPr>
              <w:rPr>
                <w:rFonts w:ascii="Arial" w:hAnsi="Arial" w:cs="Arial"/>
                <w:color w:val="000000"/>
                <w:sz w:val="20"/>
              </w:rPr>
            </w:pPr>
          </w:p>
        </w:tc>
      </w:tr>
      <w:tr w:rsidR="0082531A" w:rsidRPr="000708BC" w14:paraId="0D3009A8"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D5DB367"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EB83175"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B4E5ACC"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Chloride,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07FE49B6"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415E798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1.88</w:t>
            </w:r>
          </w:p>
        </w:tc>
        <w:tc>
          <w:tcPr>
            <w:tcW w:w="1380" w:type="dxa"/>
            <w:vMerge/>
            <w:tcBorders>
              <w:top w:val="nil"/>
              <w:left w:val="single" w:sz="4" w:space="0" w:color="auto"/>
              <w:bottom w:val="single" w:sz="4" w:space="0" w:color="auto"/>
              <w:right w:val="single" w:sz="4" w:space="0" w:color="auto"/>
            </w:tcBorders>
            <w:vAlign w:val="center"/>
            <w:hideMark/>
          </w:tcPr>
          <w:p w14:paraId="6067E7AF" w14:textId="77777777" w:rsidR="00FB0286" w:rsidRPr="000708BC" w:rsidRDefault="00FB0286" w:rsidP="00FB0286">
            <w:pPr>
              <w:rPr>
                <w:rFonts w:ascii="Arial" w:hAnsi="Arial" w:cs="Arial"/>
                <w:color w:val="000000"/>
                <w:sz w:val="20"/>
              </w:rPr>
            </w:pPr>
          </w:p>
        </w:tc>
      </w:tr>
      <w:tr w:rsidR="0082531A" w:rsidRPr="000708BC" w14:paraId="68921491"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06EF26C9"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1FAF9BB4"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EF5021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Chromium (+VI),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085DDA9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1397891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7.6</w:t>
            </w:r>
          </w:p>
        </w:tc>
        <w:tc>
          <w:tcPr>
            <w:tcW w:w="1380" w:type="dxa"/>
            <w:vMerge/>
            <w:tcBorders>
              <w:top w:val="nil"/>
              <w:left w:val="single" w:sz="4" w:space="0" w:color="auto"/>
              <w:bottom w:val="single" w:sz="4" w:space="0" w:color="auto"/>
              <w:right w:val="single" w:sz="4" w:space="0" w:color="auto"/>
            </w:tcBorders>
            <w:vAlign w:val="center"/>
            <w:hideMark/>
          </w:tcPr>
          <w:p w14:paraId="377397C4" w14:textId="77777777" w:rsidR="00FB0286" w:rsidRPr="000708BC" w:rsidRDefault="00FB0286" w:rsidP="00FB0286">
            <w:pPr>
              <w:rPr>
                <w:rFonts w:ascii="Arial" w:hAnsi="Arial" w:cs="Arial"/>
                <w:color w:val="000000"/>
                <w:sz w:val="20"/>
              </w:rPr>
            </w:pPr>
          </w:p>
        </w:tc>
      </w:tr>
      <w:tr w:rsidR="0082531A" w:rsidRPr="000708BC" w14:paraId="5B5558F9"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472BDAC3"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8744DBE"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0D7693D"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Dust (&gt;PM10)</w:t>
            </w:r>
          </w:p>
        </w:tc>
        <w:tc>
          <w:tcPr>
            <w:tcW w:w="1134" w:type="dxa"/>
            <w:tcBorders>
              <w:top w:val="nil"/>
              <w:left w:val="nil"/>
              <w:bottom w:val="single" w:sz="4" w:space="0" w:color="auto"/>
              <w:right w:val="single" w:sz="4" w:space="0" w:color="auto"/>
            </w:tcBorders>
            <w:shd w:val="clear" w:color="auto" w:fill="auto"/>
            <w:noWrap/>
            <w:vAlign w:val="center"/>
            <w:hideMark/>
          </w:tcPr>
          <w:p w14:paraId="02ECFC5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58994B6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157</w:t>
            </w:r>
          </w:p>
        </w:tc>
        <w:tc>
          <w:tcPr>
            <w:tcW w:w="1380" w:type="dxa"/>
            <w:vMerge/>
            <w:tcBorders>
              <w:top w:val="nil"/>
              <w:left w:val="single" w:sz="4" w:space="0" w:color="auto"/>
              <w:bottom w:val="single" w:sz="4" w:space="0" w:color="auto"/>
              <w:right w:val="single" w:sz="4" w:space="0" w:color="auto"/>
            </w:tcBorders>
            <w:vAlign w:val="center"/>
            <w:hideMark/>
          </w:tcPr>
          <w:p w14:paraId="0BEE984C" w14:textId="77777777" w:rsidR="00FB0286" w:rsidRPr="000708BC" w:rsidRDefault="00FB0286" w:rsidP="00FB0286">
            <w:pPr>
              <w:rPr>
                <w:rFonts w:ascii="Arial" w:hAnsi="Arial" w:cs="Arial"/>
                <w:color w:val="000000"/>
                <w:sz w:val="20"/>
              </w:rPr>
            </w:pPr>
          </w:p>
        </w:tc>
      </w:tr>
      <w:tr w:rsidR="0082531A" w:rsidRPr="000708BC" w14:paraId="7710554C"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74433F97"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52EB7CB7"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2F1C51DF"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Dust (PM2,5-10)</w:t>
            </w:r>
          </w:p>
        </w:tc>
        <w:tc>
          <w:tcPr>
            <w:tcW w:w="1134" w:type="dxa"/>
            <w:tcBorders>
              <w:top w:val="nil"/>
              <w:left w:val="nil"/>
              <w:bottom w:val="single" w:sz="4" w:space="0" w:color="auto"/>
              <w:right w:val="single" w:sz="4" w:space="0" w:color="auto"/>
            </w:tcBorders>
            <w:shd w:val="clear" w:color="auto" w:fill="auto"/>
            <w:noWrap/>
            <w:vAlign w:val="center"/>
            <w:hideMark/>
          </w:tcPr>
          <w:p w14:paraId="6C7DA63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kg</w:t>
            </w:r>
          </w:p>
        </w:tc>
        <w:tc>
          <w:tcPr>
            <w:tcW w:w="1698" w:type="dxa"/>
            <w:tcBorders>
              <w:top w:val="nil"/>
              <w:left w:val="nil"/>
              <w:bottom w:val="single" w:sz="4" w:space="0" w:color="auto"/>
              <w:right w:val="single" w:sz="4" w:space="0" w:color="auto"/>
            </w:tcBorders>
            <w:shd w:val="clear" w:color="auto" w:fill="auto"/>
            <w:noWrap/>
            <w:vAlign w:val="center"/>
            <w:hideMark/>
          </w:tcPr>
          <w:p w14:paraId="2B5F3DE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7.62</w:t>
            </w:r>
          </w:p>
        </w:tc>
        <w:tc>
          <w:tcPr>
            <w:tcW w:w="1380" w:type="dxa"/>
            <w:vMerge/>
            <w:tcBorders>
              <w:top w:val="nil"/>
              <w:left w:val="single" w:sz="4" w:space="0" w:color="auto"/>
              <w:bottom w:val="single" w:sz="4" w:space="0" w:color="auto"/>
              <w:right w:val="single" w:sz="4" w:space="0" w:color="auto"/>
            </w:tcBorders>
            <w:vAlign w:val="center"/>
            <w:hideMark/>
          </w:tcPr>
          <w:p w14:paraId="7FD7060E" w14:textId="77777777" w:rsidR="00FB0286" w:rsidRPr="000708BC" w:rsidRDefault="00FB0286" w:rsidP="00FB0286">
            <w:pPr>
              <w:rPr>
                <w:rFonts w:ascii="Arial" w:hAnsi="Arial" w:cs="Arial"/>
                <w:color w:val="000000"/>
                <w:sz w:val="20"/>
              </w:rPr>
            </w:pPr>
          </w:p>
        </w:tc>
      </w:tr>
      <w:tr w:rsidR="0082531A" w:rsidRPr="000708BC" w14:paraId="401F7001"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48A53B5F"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05E3819C"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03EFE5D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Hydrocarbons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2551040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30137C39"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119</w:t>
            </w:r>
          </w:p>
        </w:tc>
        <w:tc>
          <w:tcPr>
            <w:tcW w:w="1380" w:type="dxa"/>
            <w:vMerge/>
            <w:tcBorders>
              <w:top w:val="nil"/>
              <w:left w:val="single" w:sz="4" w:space="0" w:color="auto"/>
              <w:bottom w:val="single" w:sz="4" w:space="0" w:color="auto"/>
              <w:right w:val="single" w:sz="4" w:space="0" w:color="auto"/>
            </w:tcBorders>
            <w:vAlign w:val="center"/>
            <w:hideMark/>
          </w:tcPr>
          <w:p w14:paraId="769152B9" w14:textId="77777777" w:rsidR="00FB0286" w:rsidRPr="000708BC" w:rsidRDefault="00FB0286" w:rsidP="00FB0286">
            <w:pPr>
              <w:rPr>
                <w:rFonts w:ascii="Arial" w:hAnsi="Arial" w:cs="Arial"/>
                <w:color w:val="000000"/>
                <w:sz w:val="20"/>
              </w:rPr>
            </w:pPr>
          </w:p>
        </w:tc>
      </w:tr>
      <w:tr w:rsidR="0082531A" w:rsidRPr="000708BC" w14:paraId="6E03B923"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1118A651"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9B11DA1"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ACAB023"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Hydrogen chloride air</w:t>
            </w:r>
          </w:p>
        </w:tc>
        <w:tc>
          <w:tcPr>
            <w:tcW w:w="1134" w:type="dxa"/>
            <w:tcBorders>
              <w:top w:val="nil"/>
              <w:left w:val="nil"/>
              <w:bottom w:val="single" w:sz="4" w:space="0" w:color="auto"/>
              <w:right w:val="single" w:sz="4" w:space="0" w:color="auto"/>
            </w:tcBorders>
            <w:shd w:val="clear" w:color="auto" w:fill="auto"/>
            <w:noWrap/>
            <w:vAlign w:val="center"/>
            <w:hideMark/>
          </w:tcPr>
          <w:p w14:paraId="6CD3F1E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19F4E85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18.3</w:t>
            </w:r>
          </w:p>
        </w:tc>
        <w:tc>
          <w:tcPr>
            <w:tcW w:w="1380" w:type="dxa"/>
            <w:vMerge/>
            <w:tcBorders>
              <w:top w:val="nil"/>
              <w:left w:val="single" w:sz="4" w:space="0" w:color="auto"/>
              <w:bottom w:val="single" w:sz="4" w:space="0" w:color="auto"/>
              <w:right w:val="single" w:sz="4" w:space="0" w:color="auto"/>
            </w:tcBorders>
            <w:vAlign w:val="center"/>
            <w:hideMark/>
          </w:tcPr>
          <w:p w14:paraId="63812F62" w14:textId="77777777" w:rsidR="00FB0286" w:rsidRPr="000708BC" w:rsidRDefault="00FB0286" w:rsidP="00FB0286">
            <w:pPr>
              <w:rPr>
                <w:rFonts w:ascii="Arial" w:hAnsi="Arial" w:cs="Arial"/>
                <w:color w:val="000000"/>
                <w:sz w:val="20"/>
              </w:rPr>
            </w:pPr>
          </w:p>
        </w:tc>
      </w:tr>
      <w:tr w:rsidR="0082531A" w:rsidRPr="000708BC" w14:paraId="52234405"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1FE25B31"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49D13ACC"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AC96F5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Iron, air</w:t>
            </w:r>
          </w:p>
        </w:tc>
        <w:tc>
          <w:tcPr>
            <w:tcW w:w="1134" w:type="dxa"/>
            <w:tcBorders>
              <w:top w:val="nil"/>
              <w:left w:val="nil"/>
              <w:bottom w:val="single" w:sz="4" w:space="0" w:color="auto"/>
              <w:right w:val="single" w:sz="4" w:space="0" w:color="auto"/>
            </w:tcBorders>
            <w:shd w:val="clear" w:color="auto" w:fill="auto"/>
            <w:noWrap/>
            <w:vAlign w:val="center"/>
            <w:hideMark/>
          </w:tcPr>
          <w:p w14:paraId="1CC11E2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37AF2F10"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1.4</w:t>
            </w:r>
          </w:p>
        </w:tc>
        <w:tc>
          <w:tcPr>
            <w:tcW w:w="1380" w:type="dxa"/>
            <w:vMerge/>
            <w:tcBorders>
              <w:top w:val="nil"/>
              <w:left w:val="single" w:sz="4" w:space="0" w:color="auto"/>
              <w:bottom w:val="single" w:sz="4" w:space="0" w:color="auto"/>
              <w:right w:val="single" w:sz="4" w:space="0" w:color="auto"/>
            </w:tcBorders>
            <w:vAlign w:val="center"/>
            <w:hideMark/>
          </w:tcPr>
          <w:p w14:paraId="56AD51AD" w14:textId="77777777" w:rsidR="00FB0286" w:rsidRPr="000708BC" w:rsidRDefault="00FB0286" w:rsidP="00FB0286">
            <w:pPr>
              <w:rPr>
                <w:rFonts w:ascii="Arial" w:hAnsi="Arial" w:cs="Arial"/>
                <w:color w:val="000000"/>
                <w:sz w:val="20"/>
              </w:rPr>
            </w:pPr>
          </w:p>
        </w:tc>
      </w:tr>
      <w:tr w:rsidR="0082531A" w:rsidRPr="000708BC" w14:paraId="671FFC14"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DF55C6B"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38E73E3A"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A4B0A3E"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Iron,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4BD4B7D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3A9D088C"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5.65</w:t>
            </w:r>
          </w:p>
        </w:tc>
        <w:tc>
          <w:tcPr>
            <w:tcW w:w="1380" w:type="dxa"/>
            <w:vMerge/>
            <w:tcBorders>
              <w:top w:val="nil"/>
              <w:left w:val="single" w:sz="4" w:space="0" w:color="auto"/>
              <w:bottom w:val="single" w:sz="4" w:space="0" w:color="auto"/>
              <w:right w:val="single" w:sz="4" w:space="0" w:color="auto"/>
            </w:tcBorders>
            <w:vAlign w:val="center"/>
            <w:hideMark/>
          </w:tcPr>
          <w:p w14:paraId="355DB61B" w14:textId="77777777" w:rsidR="00FB0286" w:rsidRPr="000708BC" w:rsidRDefault="00FB0286" w:rsidP="00FB0286">
            <w:pPr>
              <w:rPr>
                <w:rFonts w:ascii="Arial" w:hAnsi="Arial" w:cs="Arial"/>
                <w:color w:val="000000"/>
                <w:sz w:val="20"/>
              </w:rPr>
            </w:pPr>
          </w:p>
        </w:tc>
      </w:tr>
      <w:tr w:rsidR="0082531A" w:rsidRPr="000708BC" w14:paraId="7C845AA8"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5116760A"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65BB3140"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95D595D"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Lead, air</w:t>
            </w:r>
          </w:p>
        </w:tc>
        <w:tc>
          <w:tcPr>
            <w:tcW w:w="1134" w:type="dxa"/>
            <w:tcBorders>
              <w:top w:val="nil"/>
              <w:left w:val="nil"/>
              <w:bottom w:val="single" w:sz="4" w:space="0" w:color="auto"/>
              <w:right w:val="single" w:sz="4" w:space="0" w:color="auto"/>
            </w:tcBorders>
            <w:shd w:val="clear" w:color="auto" w:fill="auto"/>
            <w:noWrap/>
            <w:vAlign w:val="center"/>
            <w:hideMark/>
          </w:tcPr>
          <w:p w14:paraId="6D3A1AF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6928D82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3.4</w:t>
            </w:r>
          </w:p>
        </w:tc>
        <w:tc>
          <w:tcPr>
            <w:tcW w:w="1380" w:type="dxa"/>
            <w:vMerge/>
            <w:tcBorders>
              <w:top w:val="nil"/>
              <w:left w:val="single" w:sz="4" w:space="0" w:color="auto"/>
              <w:bottom w:val="single" w:sz="4" w:space="0" w:color="auto"/>
              <w:right w:val="single" w:sz="4" w:space="0" w:color="auto"/>
            </w:tcBorders>
            <w:vAlign w:val="center"/>
            <w:hideMark/>
          </w:tcPr>
          <w:p w14:paraId="5EF873EE" w14:textId="77777777" w:rsidR="00FB0286" w:rsidRPr="000708BC" w:rsidRDefault="00FB0286" w:rsidP="00FB0286">
            <w:pPr>
              <w:rPr>
                <w:rFonts w:ascii="Arial" w:hAnsi="Arial" w:cs="Arial"/>
                <w:color w:val="000000"/>
                <w:sz w:val="20"/>
              </w:rPr>
            </w:pPr>
          </w:p>
        </w:tc>
      </w:tr>
      <w:tr w:rsidR="0082531A" w:rsidRPr="000708BC" w14:paraId="4A1BB13C"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7C96E021"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432150FE"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02CF59D"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Lead,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07D783F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71EE853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1.51</w:t>
            </w:r>
          </w:p>
        </w:tc>
        <w:tc>
          <w:tcPr>
            <w:tcW w:w="1380" w:type="dxa"/>
            <w:vMerge/>
            <w:tcBorders>
              <w:top w:val="nil"/>
              <w:left w:val="single" w:sz="4" w:space="0" w:color="auto"/>
              <w:bottom w:val="single" w:sz="4" w:space="0" w:color="auto"/>
              <w:right w:val="single" w:sz="4" w:space="0" w:color="auto"/>
            </w:tcBorders>
            <w:vAlign w:val="center"/>
            <w:hideMark/>
          </w:tcPr>
          <w:p w14:paraId="6678FA00" w14:textId="77777777" w:rsidR="00FB0286" w:rsidRPr="000708BC" w:rsidRDefault="00FB0286" w:rsidP="00FB0286">
            <w:pPr>
              <w:rPr>
                <w:rFonts w:ascii="Arial" w:hAnsi="Arial" w:cs="Arial"/>
                <w:color w:val="000000"/>
                <w:sz w:val="20"/>
              </w:rPr>
            </w:pPr>
          </w:p>
        </w:tc>
      </w:tr>
      <w:tr w:rsidR="0082531A" w:rsidRPr="000708BC" w14:paraId="6F254181"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36B1F78"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5FA2FBCF"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0AA31D67"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Nickel,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2EABACC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0B10C05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w:t>
            </w:r>
          </w:p>
        </w:tc>
        <w:tc>
          <w:tcPr>
            <w:tcW w:w="1380" w:type="dxa"/>
            <w:vMerge/>
            <w:tcBorders>
              <w:top w:val="nil"/>
              <w:left w:val="single" w:sz="4" w:space="0" w:color="auto"/>
              <w:bottom w:val="single" w:sz="4" w:space="0" w:color="auto"/>
              <w:right w:val="single" w:sz="4" w:space="0" w:color="auto"/>
            </w:tcBorders>
            <w:vAlign w:val="center"/>
            <w:hideMark/>
          </w:tcPr>
          <w:p w14:paraId="1CAE8B5D" w14:textId="77777777" w:rsidR="00FB0286" w:rsidRPr="000708BC" w:rsidRDefault="00FB0286" w:rsidP="00FB0286">
            <w:pPr>
              <w:rPr>
                <w:rFonts w:ascii="Arial" w:hAnsi="Arial" w:cs="Arial"/>
                <w:color w:val="000000"/>
                <w:sz w:val="20"/>
              </w:rPr>
            </w:pPr>
          </w:p>
        </w:tc>
      </w:tr>
      <w:tr w:rsidR="0082531A" w:rsidRPr="000708BC" w14:paraId="4E9FCF20"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034EE016"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03F766F7"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4535C356"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Oil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3A938E2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49C17783"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104</w:t>
            </w:r>
          </w:p>
        </w:tc>
        <w:tc>
          <w:tcPr>
            <w:tcW w:w="1380" w:type="dxa"/>
            <w:vMerge/>
            <w:tcBorders>
              <w:top w:val="nil"/>
              <w:left w:val="single" w:sz="4" w:space="0" w:color="auto"/>
              <w:bottom w:val="single" w:sz="4" w:space="0" w:color="auto"/>
              <w:right w:val="single" w:sz="4" w:space="0" w:color="auto"/>
            </w:tcBorders>
            <w:vAlign w:val="center"/>
            <w:hideMark/>
          </w:tcPr>
          <w:p w14:paraId="1E12B468" w14:textId="77777777" w:rsidR="00FB0286" w:rsidRPr="000708BC" w:rsidRDefault="00FB0286" w:rsidP="00FB0286">
            <w:pPr>
              <w:rPr>
                <w:rFonts w:ascii="Arial" w:hAnsi="Arial" w:cs="Arial"/>
                <w:color w:val="000000"/>
                <w:sz w:val="20"/>
              </w:rPr>
            </w:pPr>
          </w:p>
        </w:tc>
      </w:tr>
      <w:tr w:rsidR="0082531A" w:rsidRPr="000708BC" w14:paraId="4E2E1310"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63D9D431"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36AE4646"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6CAC98A"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Phosphorus,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3CA2925E"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43D5F4D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90</w:t>
            </w:r>
          </w:p>
        </w:tc>
        <w:tc>
          <w:tcPr>
            <w:tcW w:w="1380" w:type="dxa"/>
            <w:vMerge/>
            <w:tcBorders>
              <w:top w:val="nil"/>
              <w:left w:val="single" w:sz="4" w:space="0" w:color="auto"/>
              <w:bottom w:val="single" w:sz="4" w:space="0" w:color="auto"/>
              <w:right w:val="single" w:sz="4" w:space="0" w:color="auto"/>
            </w:tcBorders>
            <w:vAlign w:val="center"/>
            <w:hideMark/>
          </w:tcPr>
          <w:p w14:paraId="021DD982" w14:textId="77777777" w:rsidR="00FB0286" w:rsidRPr="000708BC" w:rsidRDefault="00FB0286" w:rsidP="00FB0286">
            <w:pPr>
              <w:rPr>
                <w:rFonts w:ascii="Arial" w:hAnsi="Arial" w:cs="Arial"/>
                <w:color w:val="000000"/>
                <w:sz w:val="20"/>
              </w:rPr>
            </w:pPr>
          </w:p>
        </w:tc>
      </w:tr>
      <w:tr w:rsidR="0082531A" w:rsidRPr="000708BC" w14:paraId="01512694"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589E278D"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46603BCA"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74E29FFA"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Solids (suspended)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352033B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2F6D54CB"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224</w:t>
            </w:r>
          </w:p>
        </w:tc>
        <w:tc>
          <w:tcPr>
            <w:tcW w:w="1380" w:type="dxa"/>
            <w:vMerge/>
            <w:tcBorders>
              <w:top w:val="nil"/>
              <w:left w:val="single" w:sz="4" w:space="0" w:color="auto"/>
              <w:bottom w:val="single" w:sz="4" w:space="0" w:color="auto"/>
              <w:right w:val="single" w:sz="4" w:space="0" w:color="auto"/>
            </w:tcBorders>
            <w:vAlign w:val="center"/>
            <w:hideMark/>
          </w:tcPr>
          <w:p w14:paraId="105AAAA5" w14:textId="77777777" w:rsidR="00FB0286" w:rsidRPr="000708BC" w:rsidRDefault="00FB0286" w:rsidP="00FB0286">
            <w:pPr>
              <w:rPr>
                <w:rFonts w:ascii="Arial" w:hAnsi="Arial" w:cs="Arial"/>
                <w:color w:val="000000"/>
                <w:sz w:val="20"/>
              </w:rPr>
            </w:pPr>
          </w:p>
        </w:tc>
      </w:tr>
      <w:tr w:rsidR="0082531A" w:rsidRPr="000708BC" w14:paraId="7D98AC7F"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141BCCE"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1F4F7C9"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5DD2D443"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Total dissolved organic bound carbon (TOC) DOC,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7C2608B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5A28864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297</w:t>
            </w:r>
          </w:p>
        </w:tc>
        <w:tc>
          <w:tcPr>
            <w:tcW w:w="1380" w:type="dxa"/>
            <w:vMerge/>
            <w:tcBorders>
              <w:top w:val="nil"/>
              <w:left w:val="single" w:sz="4" w:space="0" w:color="auto"/>
              <w:bottom w:val="single" w:sz="4" w:space="0" w:color="auto"/>
              <w:right w:val="single" w:sz="4" w:space="0" w:color="auto"/>
            </w:tcBorders>
            <w:vAlign w:val="center"/>
            <w:hideMark/>
          </w:tcPr>
          <w:p w14:paraId="5FB3538A" w14:textId="77777777" w:rsidR="00FB0286" w:rsidRPr="000708BC" w:rsidRDefault="00FB0286" w:rsidP="00FB0286">
            <w:pPr>
              <w:rPr>
                <w:rFonts w:ascii="Arial" w:hAnsi="Arial" w:cs="Arial"/>
                <w:color w:val="000000"/>
                <w:sz w:val="20"/>
              </w:rPr>
            </w:pPr>
          </w:p>
        </w:tc>
      </w:tr>
      <w:tr w:rsidR="0082531A" w:rsidRPr="000708BC" w14:paraId="3E565747"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651E7C65"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5D971D0F"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0942B7A5"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Total organic bound carbon (TOC)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5F8BFDB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mg</w:t>
            </w:r>
          </w:p>
        </w:tc>
        <w:tc>
          <w:tcPr>
            <w:tcW w:w="1698" w:type="dxa"/>
            <w:tcBorders>
              <w:top w:val="nil"/>
              <w:left w:val="nil"/>
              <w:bottom w:val="single" w:sz="4" w:space="0" w:color="auto"/>
              <w:right w:val="single" w:sz="4" w:space="0" w:color="auto"/>
            </w:tcBorders>
            <w:shd w:val="clear" w:color="auto" w:fill="auto"/>
            <w:noWrap/>
            <w:vAlign w:val="center"/>
            <w:hideMark/>
          </w:tcPr>
          <w:p w14:paraId="18907DD1"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297</w:t>
            </w:r>
          </w:p>
        </w:tc>
        <w:tc>
          <w:tcPr>
            <w:tcW w:w="1380" w:type="dxa"/>
            <w:vMerge/>
            <w:tcBorders>
              <w:top w:val="nil"/>
              <w:left w:val="single" w:sz="4" w:space="0" w:color="auto"/>
              <w:bottom w:val="single" w:sz="4" w:space="0" w:color="auto"/>
              <w:right w:val="single" w:sz="4" w:space="0" w:color="auto"/>
            </w:tcBorders>
            <w:vAlign w:val="center"/>
            <w:hideMark/>
          </w:tcPr>
          <w:p w14:paraId="7A3780D5" w14:textId="77777777" w:rsidR="00FB0286" w:rsidRPr="000708BC" w:rsidRDefault="00FB0286" w:rsidP="00FB0286">
            <w:pPr>
              <w:rPr>
                <w:rFonts w:ascii="Arial" w:hAnsi="Arial" w:cs="Arial"/>
                <w:color w:val="000000"/>
                <w:sz w:val="20"/>
              </w:rPr>
            </w:pPr>
          </w:p>
        </w:tc>
      </w:tr>
      <w:tr w:rsidR="0082531A" w:rsidRPr="000708BC" w14:paraId="5424CD56"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115F07DA"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05BCED7F"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3BEFD690"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Waste heat air</w:t>
            </w:r>
          </w:p>
        </w:tc>
        <w:tc>
          <w:tcPr>
            <w:tcW w:w="1134" w:type="dxa"/>
            <w:tcBorders>
              <w:top w:val="nil"/>
              <w:left w:val="nil"/>
              <w:bottom w:val="single" w:sz="4" w:space="0" w:color="auto"/>
              <w:right w:val="single" w:sz="4" w:space="0" w:color="auto"/>
            </w:tcBorders>
            <w:shd w:val="clear" w:color="auto" w:fill="auto"/>
            <w:noWrap/>
            <w:vAlign w:val="center"/>
            <w:hideMark/>
          </w:tcPr>
          <w:p w14:paraId="7B071957"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MJ</w:t>
            </w:r>
          </w:p>
        </w:tc>
        <w:tc>
          <w:tcPr>
            <w:tcW w:w="1698" w:type="dxa"/>
            <w:tcBorders>
              <w:top w:val="nil"/>
              <w:left w:val="nil"/>
              <w:bottom w:val="single" w:sz="4" w:space="0" w:color="auto"/>
              <w:right w:val="single" w:sz="4" w:space="0" w:color="auto"/>
            </w:tcBorders>
            <w:shd w:val="clear" w:color="auto" w:fill="auto"/>
            <w:noWrap/>
            <w:vAlign w:val="center"/>
            <w:hideMark/>
          </w:tcPr>
          <w:p w14:paraId="5A64264D"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7.56</w:t>
            </w:r>
          </w:p>
        </w:tc>
        <w:tc>
          <w:tcPr>
            <w:tcW w:w="1380" w:type="dxa"/>
            <w:vMerge/>
            <w:tcBorders>
              <w:top w:val="nil"/>
              <w:left w:val="single" w:sz="4" w:space="0" w:color="auto"/>
              <w:bottom w:val="single" w:sz="4" w:space="0" w:color="auto"/>
              <w:right w:val="single" w:sz="4" w:space="0" w:color="auto"/>
            </w:tcBorders>
            <w:vAlign w:val="center"/>
            <w:hideMark/>
          </w:tcPr>
          <w:p w14:paraId="4F1E3003" w14:textId="77777777" w:rsidR="00FB0286" w:rsidRPr="000708BC" w:rsidRDefault="00FB0286" w:rsidP="00FB0286">
            <w:pPr>
              <w:rPr>
                <w:rFonts w:ascii="Arial" w:hAnsi="Arial" w:cs="Arial"/>
                <w:color w:val="000000"/>
                <w:sz w:val="20"/>
              </w:rPr>
            </w:pPr>
          </w:p>
        </w:tc>
      </w:tr>
      <w:tr w:rsidR="0082531A" w:rsidRPr="000708BC" w14:paraId="65F65D4A"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22E64BD0"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77F72FCB"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60F178A7"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Zinc, air</w:t>
            </w:r>
          </w:p>
        </w:tc>
        <w:tc>
          <w:tcPr>
            <w:tcW w:w="1134" w:type="dxa"/>
            <w:tcBorders>
              <w:top w:val="nil"/>
              <w:left w:val="nil"/>
              <w:bottom w:val="single" w:sz="4" w:space="0" w:color="auto"/>
              <w:right w:val="single" w:sz="4" w:space="0" w:color="auto"/>
            </w:tcBorders>
            <w:shd w:val="clear" w:color="auto" w:fill="auto"/>
            <w:noWrap/>
            <w:vAlign w:val="center"/>
            <w:hideMark/>
          </w:tcPr>
          <w:p w14:paraId="2AAE8CE4"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055FC1BA"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27.5</w:t>
            </w:r>
          </w:p>
        </w:tc>
        <w:tc>
          <w:tcPr>
            <w:tcW w:w="1380" w:type="dxa"/>
            <w:vMerge/>
            <w:tcBorders>
              <w:top w:val="nil"/>
              <w:left w:val="single" w:sz="4" w:space="0" w:color="auto"/>
              <w:bottom w:val="single" w:sz="4" w:space="0" w:color="auto"/>
              <w:right w:val="single" w:sz="4" w:space="0" w:color="auto"/>
            </w:tcBorders>
            <w:vAlign w:val="center"/>
            <w:hideMark/>
          </w:tcPr>
          <w:p w14:paraId="4597A734" w14:textId="77777777" w:rsidR="00FB0286" w:rsidRPr="000708BC" w:rsidRDefault="00FB0286" w:rsidP="00FB0286">
            <w:pPr>
              <w:rPr>
                <w:rFonts w:ascii="Arial" w:hAnsi="Arial" w:cs="Arial"/>
                <w:color w:val="000000"/>
                <w:sz w:val="20"/>
              </w:rPr>
            </w:pPr>
          </w:p>
        </w:tc>
      </w:tr>
      <w:tr w:rsidR="0082531A" w:rsidRPr="000708BC" w14:paraId="1C54AFD5" w14:textId="77777777" w:rsidTr="0082531A">
        <w:trPr>
          <w:trHeight w:val="260"/>
          <w:jc w:val="center"/>
        </w:trPr>
        <w:tc>
          <w:tcPr>
            <w:tcW w:w="1172" w:type="dxa"/>
            <w:vMerge/>
            <w:tcBorders>
              <w:top w:val="nil"/>
              <w:left w:val="single" w:sz="4" w:space="0" w:color="auto"/>
              <w:bottom w:val="single" w:sz="4" w:space="0" w:color="auto"/>
              <w:right w:val="single" w:sz="4" w:space="0" w:color="auto"/>
            </w:tcBorders>
            <w:vAlign w:val="center"/>
            <w:hideMark/>
          </w:tcPr>
          <w:p w14:paraId="3765D333" w14:textId="77777777" w:rsidR="00FB0286" w:rsidRPr="000708BC" w:rsidRDefault="00FB0286" w:rsidP="00FB0286">
            <w:pPr>
              <w:rPr>
                <w:rFonts w:ascii="Arial" w:hAnsi="Arial" w:cs="Arial"/>
                <w:color w:val="000000"/>
                <w:sz w:val="20"/>
              </w:rPr>
            </w:pPr>
          </w:p>
        </w:tc>
        <w:tc>
          <w:tcPr>
            <w:tcW w:w="917" w:type="dxa"/>
            <w:vMerge/>
            <w:tcBorders>
              <w:top w:val="nil"/>
              <w:left w:val="single" w:sz="4" w:space="0" w:color="auto"/>
              <w:bottom w:val="single" w:sz="4" w:space="0" w:color="auto"/>
              <w:right w:val="single" w:sz="4" w:space="0" w:color="auto"/>
            </w:tcBorders>
            <w:vAlign w:val="center"/>
            <w:hideMark/>
          </w:tcPr>
          <w:p w14:paraId="586413E8" w14:textId="77777777" w:rsidR="00FB0286" w:rsidRPr="000708BC" w:rsidRDefault="00FB0286" w:rsidP="00FB0286">
            <w:pPr>
              <w:rPr>
                <w:rFonts w:ascii="Arial" w:hAnsi="Arial" w:cs="Arial"/>
                <w:color w:val="000000"/>
                <w:sz w:val="20"/>
              </w:rPr>
            </w:pPr>
          </w:p>
        </w:tc>
        <w:tc>
          <w:tcPr>
            <w:tcW w:w="2555" w:type="dxa"/>
            <w:tcBorders>
              <w:top w:val="nil"/>
              <w:left w:val="nil"/>
              <w:bottom w:val="single" w:sz="4" w:space="0" w:color="auto"/>
              <w:right w:val="single" w:sz="4" w:space="0" w:color="auto"/>
            </w:tcBorders>
            <w:shd w:val="clear" w:color="auto" w:fill="auto"/>
            <w:noWrap/>
            <w:vAlign w:val="center"/>
            <w:hideMark/>
          </w:tcPr>
          <w:p w14:paraId="125C96F5" w14:textId="77777777" w:rsidR="00FB0286" w:rsidRPr="000708BC" w:rsidRDefault="00FB0286" w:rsidP="00FB0286">
            <w:pPr>
              <w:rPr>
                <w:rFonts w:ascii="Arial" w:hAnsi="Arial" w:cs="Arial"/>
                <w:color w:val="000000"/>
                <w:sz w:val="20"/>
              </w:rPr>
            </w:pPr>
            <w:r w:rsidRPr="000708BC">
              <w:rPr>
                <w:rFonts w:ascii="Arial" w:hAnsi="Arial" w:cs="Arial"/>
                <w:color w:val="000000"/>
                <w:sz w:val="20"/>
              </w:rPr>
              <w:t>Zinc, fresh water</w:t>
            </w:r>
          </w:p>
        </w:tc>
        <w:tc>
          <w:tcPr>
            <w:tcW w:w="1134" w:type="dxa"/>
            <w:tcBorders>
              <w:top w:val="nil"/>
              <w:left w:val="nil"/>
              <w:bottom w:val="single" w:sz="4" w:space="0" w:color="auto"/>
              <w:right w:val="single" w:sz="4" w:space="0" w:color="auto"/>
            </w:tcBorders>
            <w:shd w:val="clear" w:color="auto" w:fill="auto"/>
            <w:noWrap/>
            <w:vAlign w:val="center"/>
            <w:hideMark/>
          </w:tcPr>
          <w:p w14:paraId="0517E928"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g</w:t>
            </w:r>
          </w:p>
        </w:tc>
        <w:tc>
          <w:tcPr>
            <w:tcW w:w="1698" w:type="dxa"/>
            <w:tcBorders>
              <w:top w:val="nil"/>
              <w:left w:val="nil"/>
              <w:bottom w:val="single" w:sz="4" w:space="0" w:color="auto"/>
              <w:right w:val="single" w:sz="4" w:space="0" w:color="auto"/>
            </w:tcBorders>
            <w:shd w:val="clear" w:color="auto" w:fill="auto"/>
            <w:noWrap/>
            <w:vAlign w:val="center"/>
            <w:hideMark/>
          </w:tcPr>
          <w:p w14:paraId="01586732" w14:textId="77777777" w:rsidR="00FB0286" w:rsidRPr="000708BC" w:rsidRDefault="00FB0286" w:rsidP="00FB0286">
            <w:pPr>
              <w:jc w:val="center"/>
              <w:rPr>
                <w:rFonts w:ascii="Arial" w:hAnsi="Arial" w:cs="Arial"/>
                <w:color w:val="000000"/>
                <w:sz w:val="20"/>
              </w:rPr>
            </w:pPr>
            <w:r w:rsidRPr="000708BC">
              <w:rPr>
                <w:rFonts w:ascii="Arial" w:hAnsi="Arial" w:cs="Arial"/>
                <w:color w:val="000000"/>
                <w:sz w:val="20"/>
              </w:rPr>
              <w:t>1.9</w:t>
            </w:r>
          </w:p>
        </w:tc>
        <w:tc>
          <w:tcPr>
            <w:tcW w:w="1380" w:type="dxa"/>
            <w:vMerge/>
            <w:tcBorders>
              <w:top w:val="nil"/>
              <w:left w:val="single" w:sz="4" w:space="0" w:color="auto"/>
              <w:bottom w:val="single" w:sz="4" w:space="0" w:color="auto"/>
              <w:right w:val="single" w:sz="4" w:space="0" w:color="auto"/>
            </w:tcBorders>
            <w:vAlign w:val="center"/>
            <w:hideMark/>
          </w:tcPr>
          <w:p w14:paraId="377B9D77" w14:textId="77777777" w:rsidR="00FB0286" w:rsidRPr="000708BC" w:rsidRDefault="00FB0286" w:rsidP="00FB0286">
            <w:pPr>
              <w:rPr>
                <w:rFonts w:ascii="Arial" w:hAnsi="Arial" w:cs="Arial"/>
                <w:color w:val="000000"/>
                <w:sz w:val="20"/>
              </w:rPr>
            </w:pPr>
          </w:p>
        </w:tc>
      </w:tr>
    </w:tbl>
    <w:p w14:paraId="77EA35E6" w14:textId="77777777" w:rsidR="00E921D9" w:rsidRPr="000708BC" w:rsidRDefault="00E921D9">
      <w:pPr>
        <w:pStyle w:val="JIEreferencelist"/>
        <w:ind w:left="0" w:firstLine="0"/>
        <w:rPr>
          <w:rFonts w:ascii="Arial" w:hAnsi="Arial" w:cs="Arial"/>
          <w:iCs/>
          <w:sz w:val="22"/>
          <w:szCs w:val="22"/>
        </w:rPr>
      </w:pPr>
    </w:p>
    <w:p w14:paraId="6F22A93F" w14:textId="716EA8F4" w:rsidR="00E921D9" w:rsidRPr="000708BC" w:rsidRDefault="0082531A">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w:t>
      </w:r>
      <w:r w:rsidR="00966C3C" w:rsidRPr="000708BC">
        <w:rPr>
          <w:rFonts w:ascii="Arial" w:hAnsi="Arial" w:cs="Arial"/>
          <w:i/>
          <w:sz w:val="20"/>
        </w:rPr>
        <w:t>9</w:t>
      </w:r>
      <w:r w:rsidRPr="000708BC">
        <w:rPr>
          <w:rFonts w:ascii="Arial" w:hAnsi="Arial" w:cs="Arial"/>
          <w:i/>
          <w:sz w:val="20"/>
        </w:rPr>
        <w:t xml:space="preserve"> Construction </w:t>
      </w:r>
      <w:r w:rsidR="00462D12" w:rsidRPr="000708BC">
        <w:rPr>
          <w:rFonts w:ascii="Arial" w:hAnsi="Arial" w:cs="Arial"/>
          <w:i/>
          <w:sz w:val="20"/>
        </w:rPr>
        <w:t>m</w:t>
      </w:r>
      <w:r w:rsidRPr="000708BC">
        <w:rPr>
          <w:rFonts w:ascii="Arial" w:hAnsi="Arial" w:cs="Arial"/>
          <w:i/>
          <w:sz w:val="20"/>
        </w:rPr>
        <w:t xml:space="preserve">aterials </w:t>
      </w:r>
      <w:r w:rsidR="00462D12" w:rsidRPr="000708BC">
        <w:rPr>
          <w:rFonts w:ascii="Arial" w:hAnsi="Arial" w:cs="Arial"/>
          <w:i/>
          <w:sz w:val="20"/>
        </w:rPr>
        <w:t>g</w:t>
      </w:r>
      <w:r w:rsidRPr="000708BC">
        <w:rPr>
          <w:rFonts w:ascii="Arial" w:hAnsi="Arial" w:cs="Arial"/>
          <w:i/>
          <w:sz w:val="20"/>
        </w:rPr>
        <w:t xml:space="preserve">aseous </w:t>
      </w:r>
      <w:r w:rsidR="00462D12" w:rsidRPr="000708BC">
        <w:rPr>
          <w:rFonts w:ascii="Arial" w:hAnsi="Arial" w:cs="Arial"/>
          <w:i/>
          <w:sz w:val="20"/>
        </w:rPr>
        <w:t>h</w:t>
      </w:r>
      <w:r w:rsidRPr="000708BC">
        <w:rPr>
          <w:rFonts w:ascii="Arial" w:hAnsi="Arial" w:cs="Arial"/>
          <w:i/>
          <w:sz w:val="20"/>
        </w:rPr>
        <w:t xml:space="preserve">ydrogen </w:t>
      </w:r>
      <w:r w:rsidR="00462D12" w:rsidRPr="000708BC">
        <w:rPr>
          <w:rFonts w:ascii="Arial" w:hAnsi="Arial" w:cs="Arial"/>
          <w:i/>
          <w:sz w:val="20"/>
        </w:rPr>
        <w:t>t</w:t>
      </w:r>
      <w:r w:rsidRPr="000708BC">
        <w:rPr>
          <w:rFonts w:ascii="Arial" w:hAnsi="Arial" w:cs="Arial"/>
          <w:i/>
          <w:sz w:val="20"/>
        </w:rPr>
        <w:t>ank</w:t>
      </w:r>
      <w:r w:rsidR="00462D12" w:rsidRPr="000708BC">
        <w:rPr>
          <w:rFonts w:ascii="Arial" w:hAnsi="Arial" w:cs="Arial"/>
          <w:i/>
          <w:sz w:val="20"/>
        </w:rPr>
        <w:t>.</w:t>
      </w:r>
    </w:p>
    <w:tbl>
      <w:tblPr>
        <w:tblW w:w="5000" w:type="pct"/>
        <w:jc w:val="center"/>
        <w:tblLook w:val="04A0" w:firstRow="1" w:lastRow="0" w:firstColumn="1" w:lastColumn="0" w:noHBand="0" w:noVBand="1"/>
      </w:tblPr>
      <w:tblGrid>
        <w:gridCol w:w="2038"/>
        <w:gridCol w:w="2638"/>
        <w:gridCol w:w="1318"/>
        <w:gridCol w:w="1318"/>
        <w:gridCol w:w="1318"/>
      </w:tblGrid>
      <w:tr w:rsidR="0082531A" w:rsidRPr="000708BC" w14:paraId="51F82A96" w14:textId="77777777" w:rsidTr="0082531A">
        <w:trPr>
          <w:trHeight w:val="260"/>
          <w:tblHeader/>
          <w:jc w:val="center"/>
        </w:trPr>
        <w:tc>
          <w:tcPr>
            <w:tcW w:w="20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FC3B6EC"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Structure</w:t>
            </w:r>
          </w:p>
        </w:tc>
        <w:tc>
          <w:tcPr>
            <w:tcW w:w="2710" w:type="dxa"/>
            <w:tcBorders>
              <w:top w:val="single" w:sz="4" w:space="0" w:color="auto"/>
              <w:left w:val="nil"/>
              <w:bottom w:val="single" w:sz="4" w:space="0" w:color="auto"/>
              <w:right w:val="single" w:sz="4" w:space="0" w:color="auto"/>
            </w:tcBorders>
            <w:shd w:val="clear" w:color="000000" w:fill="D9D9D9"/>
            <w:noWrap/>
            <w:vAlign w:val="center"/>
            <w:hideMark/>
          </w:tcPr>
          <w:p w14:paraId="324D37E7"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Material</w:t>
            </w:r>
          </w:p>
        </w:tc>
        <w:tc>
          <w:tcPr>
            <w:tcW w:w="1351" w:type="dxa"/>
            <w:tcBorders>
              <w:top w:val="single" w:sz="4" w:space="0" w:color="auto"/>
              <w:left w:val="nil"/>
              <w:bottom w:val="single" w:sz="4" w:space="0" w:color="auto"/>
              <w:right w:val="single" w:sz="4" w:space="0" w:color="auto"/>
            </w:tcBorders>
            <w:shd w:val="clear" w:color="000000" w:fill="D9D9D9"/>
            <w:noWrap/>
            <w:vAlign w:val="center"/>
            <w:hideMark/>
          </w:tcPr>
          <w:p w14:paraId="57666D49"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Unit</w:t>
            </w:r>
          </w:p>
        </w:tc>
        <w:tc>
          <w:tcPr>
            <w:tcW w:w="1351" w:type="dxa"/>
            <w:tcBorders>
              <w:top w:val="single" w:sz="4" w:space="0" w:color="auto"/>
              <w:left w:val="nil"/>
              <w:bottom w:val="single" w:sz="4" w:space="0" w:color="auto"/>
              <w:right w:val="single" w:sz="4" w:space="0" w:color="auto"/>
            </w:tcBorders>
            <w:shd w:val="clear" w:color="000000" w:fill="D9D9D9"/>
            <w:noWrap/>
            <w:vAlign w:val="center"/>
            <w:hideMark/>
          </w:tcPr>
          <w:p w14:paraId="0F7B7798"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Value</w:t>
            </w:r>
          </w:p>
        </w:tc>
        <w:tc>
          <w:tcPr>
            <w:tcW w:w="1351" w:type="dxa"/>
            <w:tcBorders>
              <w:top w:val="single" w:sz="4" w:space="0" w:color="auto"/>
              <w:left w:val="nil"/>
              <w:bottom w:val="single" w:sz="4" w:space="0" w:color="auto"/>
              <w:right w:val="single" w:sz="4" w:space="0" w:color="auto"/>
            </w:tcBorders>
            <w:shd w:val="clear" w:color="000000" w:fill="D9D9D9"/>
            <w:noWrap/>
            <w:vAlign w:val="center"/>
            <w:hideMark/>
          </w:tcPr>
          <w:p w14:paraId="0EA7AF2E"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Reference</w:t>
            </w:r>
          </w:p>
        </w:tc>
      </w:tr>
      <w:tr w:rsidR="0082531A" w:rsidRPr="000708BC" w14:paraId="27703EB3" w14:textId="77777777" w:rsidTr="0082531A">
        <w:trPr>
          <w:trHeight w:val="280"/>
          <w:jc w:val="center"/>
        </w:trPr>
        <w:tc>
          <w:tcPr>
            <w:tcW w:w="2093" w:type="dxa"/>
            <w:vMerge w:val="restart"/>
            <w:tcBorders>
              <w:top w:val="nil"/>
              <w:left w:val="single" w:sz="4" w:space="0" w:color="auto"/>
              <w:bottom w:val="single" w:sz="4" w:space="0" w:color="auto"/>
              <w:right w:val="single" w:sz="4" w:space="0" w:color="auto"/>
            </w:tcBorders>
            <w:shd w:val="clear" w:color="auto" w:fill="auto"/>
            <w:vAlign w:val="center"/>
            <w:hideMark/>
          </w:tcPr>
          <w:p w14:paraId="3886A325"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High pressure tank (1 tank, capacity 10kgH</w:t>
            </w:r>
            <w:r w:rsidRPr="000708BC">
              <w:rPr>
                <w:rFonts w:ascii="Arial" w:hAnsi="Arial" w:cs="Arial"/>
                <w:color w:val="000000"/>
                <w:sz w:val="20"/>
                <w:vertAlign w:val="subscript"/>
              </w:rPr>
              <w:t>2</w:t>
            </w:r>
            <w:r w:rsidRPr="000708BC">
              <w:rPr>
                <w:rFonts w:ascii="Arial" w:hAnsi="Arial" w:cs="Arial"/>
                <w:color w:val="000000"/>
                <w:sz w:val="20"/>
              </w:rPr>
              <w:t>)</w:t>
            </w:r>
          </w:p>
        </w:tc>
        <w:tc>
          <w:tcPr>
            <w:tcW w:w="2710" w:type="dxa"/>
            <w:tcBorders>
              <w:top w:val="nil"/>
              <w:left w:val="nil"/>
              <w:bottom w:val="single" w:sz="4" w:space="0" w:color="auto"/>
              <w:right w:val="single" w:sz="4" w:space="0" w:color="auto"/>
            </w:tcBorders>
            <w:shd w:val="clear" w:color="auto" w:fill="auto"/>
            <w:vAlign w:val="center"/>
            <w:hideMark/>
          </w:tcPr>
          <w:p w14:paraId="202D9670"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Rolling aluminum sheets</w:t>
            </w:r>
          </w:p>
        </w:tc>
        <w:tc>
          <w:tcPr>
            <w:tcW w:w="1351" w:type="dxa"/>
            <w:tcBorders>
              <w:top w:val="nil"/>
              <w:left w:val="nil"/>
              <w:bottom w:val="single" w:sz="4" w:space="0" w:color="auto"/>
              <w:right w:val="single" w:sz="4" w:space="0" w:color="auto"/>
            </w:tcBorders>
            <w:shd w:val="clear" w:color="auto" w:fill="auto"/>
            <w:vAlign w:val="center"/>
            <w:hideMark/>
          </w:tcPr>
          <w:p w14:paraId="0FF111EB"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2E4925EF"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6</w:t>
            </w:r>
          </w:p>
        </w:tc>
        <w:sdt>
          <w:sdtPr>
            <w:rPr>
              <w:rFonts w:ascii="Arial" w:hAnsi="Arial" w:cs="Arial"/>
              <w:color w:val="000000"/>
              <w:sz w:val="20"/>
            </w:rPr>
            <w:tag w:val="MENDELEY_CITATION_v3_eyJjaXRhdGlvbklEIjoiTUVOREVMRVlfQ0lUQVRJT05fMzJhNzFmNWEtODBjNi00OGQwLWFiNjEtYzZkNTVjZTFiZjUx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
            <w:id w:val="347067626"/>
            <w:placeholder>
              <w:docPart w:val="DefaultPlaceholder_-1854013440"/>
            </w:placeholder>
          </w:sdtPr>
          <w:sdtEndPr/>
          <w:sdtContent>
            <w:tc>
              <w:tcPr>
                <w:tcW w:w="1351" w:type="dxa"/>
                <w:vMerge w:val="restart"/>
                <w:tcBorders>
                  <w:top w:val="nil"/>
                  <w:left w:val="single" w:sz="4" w:space="0" w:color="auto"/>
                  <w:bottom w:val="single" w:sz="4" w:space="0" w:color="auto"/>
                  <w:right w:val="single" w:sz="4" w:space="0" w:color="auto"/>
                </w:tcBorders>
                <w:shd w:val="clear" w:color="auto" w:fill="auto"/>
                <w:vAlign w:val="center"/>
                <w:hideMark/>
              </w:tcPr>
              <w:p w14:paraId="47411931" w14:textId="659C410D" w:rsidR="0082531A" w:rsidRPr="000708BC" w:rsidRDefault="002422C9" w:rsidP="0082531A">
                <w:pPr>
                  <w:jc w:val="center"/>
                  <w:rPr>
                    <w:rFonts w:ascii="Arial" w:hAnsi="Arial" w:cs="Arial"/>
                    <w:color w:val="000000"/>
                    <w:sz w:val="20"/>
                  </w:rPr>
                </w:pPr>
                <w:r w:rsidRPr="000708BC">
                  <w:rPr>
                    <w:rFonts w:ascii="Arial" w:hAnsi="Arial" w:cs="Arial"/>
                    <w:color w:val="000000"/>
                    <w:sz w:val="20"/>
                  </w:rPr>
                  <w:t>(Wulf et al., 2018)</w:t>
                </w:r>
              </w:p>
            </w:tc>
          </w:sdtContent>
        </w:sdt>
      </w:tr>
      <w:tr w:rsidR="0082531A" w:rsidRPr="000708BC" w14:paraId="2BCB9DE4"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182220F6"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70573F3A"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Aluminum</w:t>
            </w:r>
          </w:p>
        </w:tc>
        <w:tc>
          <w:tcPr>
            <w:tcW w:w="1351" w:type="dxa"/>
            <w:tcBorders>
              <w:top w:val="nil"/>
              <w:left w:val="nil"/>
              <w:bottom w:val="single" w:sz="4" w:space="0" w:color="auto"/>
              <w:right w:val="single" w:sz="4" w:space="0" w:color="auto"/>
            </w:tcBorders>
            <w:shd w:val="clear" w:color="auto" w:fill="auto"/>
            <w:vAlign w:val="center"/>
            <w:hideMark/>
          </w:tcPr>
          <w:p w14:paraId="5E21874F"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4750C97A"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6</w:t>
            </w:r>
          </w:p>
        </w:tc>
        <w:tc>
          <w:tcPr>
            <w:tcW w:w="1351" w:type="dxa"/>
            <w:vMerge/>
            <w:tcBorders>
              <w:top w:val="nil"/>
              <w:left w:val="single" w:sz="4" w:space="0" w:color="auto"/>
              <w:bottom w:val="single" w:sz="4" w:space="0" w:color="auto"/>
              <w:right w:val="single" w:sz="4" w:space="0" w:color="auto"/>
            </w:tcBorders>
            <w:vAlign w:val="center"/>
            <w:hideMark/>
          </w:tcPr>
          <w:p w14:paraId="014E16C1" w14:textId="77777777" w:rsidR="0082531A" w:rsidRPr="000708BC" w:rsidRDefault="0082531A" w:rsidP="0082531A">
            <w:pPr>
              <w:rPr>
                <w:rFonts w:ascii="Arial" w:hAnsi="Arial" w:cs="Arial"/>
                <w:color w:val="000000"/>
                <w:sz w:val="20"/>
              </w:rPr>
            </w:pPr>
          </w:p>
        </w:tc>
      </w:tr>
      <w:tr w:rsidR="0082531A" w:rsidRPr="000708BC" w14:paraId="3D9D67DA"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3D74FB03"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4BCE767F"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Rolling of chromium steel sheets</w:t>
            </w:r>
          </w:p>
        </w:tc>
        <w:tc>
          <w:tcPr>
            <w:tcW w:w="1351" w:type="dxa"/>
            <w:tcBorders>
              <w:top w:val="nil"/>
              <w:left w:val="nil"/>
              <w:bottom w:val="single" w:sz="4" w:space="0" w:color="auto"/>
              <w:right w:val="single" w:sz="4" w:space="0" w:color="auto"/>
            </w:tcBorders>
            <w:shd w:val="clear" w:color="auto" w:fill="auto"/>
            <w:vAlign w:val="center"/>
            <w:hideMark/>
          </w:tcPr>
          <w:p w14:paraId="4AA4C48C"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2E15039B"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9</w:t>
            </w:r>
          </w:p>
        </w:tc>
        <w:tc>
          <w:tcPr>
            <w:tcW w:w="1351" w:type="dxa"/>
            <w:vMerge/>
            <w:tcBorders>
              <w:top w:val="nil"/>
              <w:left w:val="single" w:sz="4" w:space="0" w:color="auto"/>
              <w:bottom w:val="single" w:sz="4" w:space="0" w:color="auto"/>
              <w:right w:val="single" w:sz="4" w:space="0" w:color="auto"/>
            </w:tcBorders>
            <w:vAlign w:val="center"/>
            <w:hideMark/>
          </w:tcPr>
          <w:p w14:paraId="7738157E" w14:textId="77777777" w:rsidR="0082531A" w:rsidRPr="000708BC" w:rsidRDefault="0082531A" w:rsidP="0082531A">
            <w:pPr>
              <w:rPr>
                <w:rFonts w:ascii="Arial" w:hAnsi="Arial" w:cs="Arial"/>
                <w:color w:val="000000"/>
                <w:sz w:val="20"/>
              </w:rPr>
            </w:pPr>
          </w:p>
        </w:tc>
      </w:tr>
      <w:tr w:rsidR="0082531A" w:rsidRPr="000708BC" w14:paraId="2B907DA7"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5AA5F162"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2B2A189D"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Chromium steel</w:t>
            </w:r>
          </w:p>
        </w:tc>
        <w:tc>
          <w:tcPr>
            <w:tcW w:w="1351" w:type="dxa"/>
            <w:tcBorders>
              <w:top w:val="nil"/>
              <w:left w:val="nil"/>
              <w:bottom w:val="single" w:sz="4" w:space="0" w:color="auto"/>
              <w:right w:val="single" w:sz="4" w:space="0" w:color="auto"/>
            </w:tcBorders>
            <w:shd w:val="clear" w:color="auto" w:fill="auto"/>
            <w:vAlign w:val="center"/>
            <w:hideMark/>
          </w:tcPr>
          <w:p w14:paraId="08FF1AFA"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3DBA976D"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9</w:t>
            </w:r>
          </w:p>
        </w:tc>
        <w:tc>
          <w:tcPr>
            <w:tcW w:w="1351" w:type="dxa"/>
            <w:vMerge/>
            <w:tcBorders>
              <w:top w:val="nil"/>
              <w:left w:val="single" w:sz="4" w:space="0" w:color="auto"/>
              <w:bottom w:val="single" w:sz="4" w:space="0" w:color="auto"/>
              <w:right w:val="single" w:sz="4" w:space="0" w:color="auto"/>
            </w:tcBorders>
            <w:vAlign w:val="center"/>
            <w:hideMark/>
          </w:tcPr>
          <w:p w14:paraId="3A5009B0" w14:textId="77777777" w:rsidR="0082531A" w:rsidRPr="000708BC" w:rsidRDefault="0082531A" w:rsidP="0082531A">
            <w:pPr>
              <w:rPr>
                <w:rFonts w:ascii="Arial" w:hAnsi="Arial" w:cs="Arial"/>
                <w:color w:val="000000"/>
                <w:sz w:val="20"/>
              </w:rPr>
            </w:pPr>
          </w:p>
        </w:tc>
      </w:tr>
      <w:tr w:rsidR="0082531A" w:rsidRPr="000708BC" w14:paraId="0F1CD75E"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61314BE7"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3B39CDC3"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Carbon fiber</w:t>
            </w:r>
          </w:p>
        </w:tc>
        <w:tc>
          <w:tcPr>
            <w:tcW w:w="1351" w:type="dxa"/>
            <w:tcBorders>
              <w:top w:val="nil"/>
              <w:left w:val="nil"/>
              <w:bottom w:val="single" w:sz="4" w:space="0" w:color="auto"/>
              <w:right w:val="single" w:sz="4" w:space="0" w:color="auto"/>
            </w:tcBorders>
            <w:shd w:val="clear" w:color="auto" w:fill="auto"/>
            <w:vAlign w:val="center"/>
            <w:hideMark/>
          </w:tcPr>
          <w:p w14:paraId="33977A72"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554141A0"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71.4</w:t>
            </w:r>
          </w:p>
        </w:tc>
        <w:tc>
          <w:tcPr>
            <w:tcW w:w="1351" w:type="dxa"/>
            <w:vMerge/>
            <w:tcBorders>
              <w:top w:val="nil"/>
              <w:left w:val="single" w:sz="4" w:space="0" w:color="auto"/>
              <w:bottom w:val="single" w:sz="4" w:space="0" w:color="auto"/>
              <w:right w:val="single" w:sz="4" w:space="0" w:color="auto"/>
            </w:tcBorders>
            <w:vAlign w:val="center"/>
            <w:hideMark/>
          </w:tcPr>
          <w:p w14:paraId="437F8BA3" w14:textId="77777777" w:rsidR="0082531A" w:rsidRPr="000708BC" w:rsidRDefault="0082531A" w:rsidP="0082531A">
            <w:pPr>
              <w:rPr>
                <w:rFonts w:ascii="Arial" w:hAnsi="Arial" w:cs="Arial"/>
                <w:color w:val="000000"/>
                <w:sz w:val="20"/>
              </w:rPr>
            </w:pPr>
          </w:p>
        </w:tc>
      </w:tr>
      <w:tr w:rsidR="0082531A" w:rsidRPr="000708BC" w14:paraId="11D66D0F"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607EDAE2"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7D9FF09B"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Epoxy resin</w:t>
            </w:r>
          </w:p>
        </w:tc>
        <w:tc>
          <w:tcPr>
            <w:tcW w:w="1351" w:type="dxa"/>
            <w:tcBorders>
              <w:top w:val="nil"/>
              <w:left w:val="nil"/>
              <w:bottom w:val="single" w:sz="4" w:space="0" w:color="auto"/>
              <w:right w:val="single" w:sz="4" w:space="0" w:color="auto"/>
            </w:tcBorders>
            <w:shd w:val="clear" w:color="auto" w:fill="auto"/>
            <w:vAlign w:val="center"/>
            <w:hideMark/>
          </w:tcPr>
          <w:p w14:paraId="7BDE68B6"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1E63F871"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30.6</w:t>
            </w:r>
          </w:p>
        </w:tc>
        <w:tc>
          <w:tcPr>
            <w:tcW w:w="1351" w:type="dxa"/>
            <w:vMerge/>
            <w:tcBorders>
              <w:top w:val="nil"/>
              <w:left w:val="single" w:sz="4" w:space="0" w:color="auto"/>
              <w:bottom w:val="single" w:sz="4" w:space="0" w:color="auto"/>
              <w:right w:val="single" w:sz="4" w:space="0" w:color="auto"/>
            </w:tcBorders>
            <w:vAlign w:val="center"/>
            <w:hideMark/>
          </w:tcPr>
          <w:p w14:paraId="7C3ED74C" w14:textId="77777777" w:rsidR="0082531A" w:rsidRPr="000708BC" w:rsidRDefault="0082531A" w:rsidP="0082531A">
            <w:pPr>
              <w:rPr>
                <w:rFonts w:ascii="Arial" w:hAnsi="Arial" w:cs="Arial"/>
                <w:color w:val="000000"/>
                <w:sz w:val="20"/>
              </w:rPr>
            </w:pPr>
          </w:p>
        </w:tc>
      </w:tr>
      <w:tr w:rsidR="0082531A" w:rsidRPr="000708BC" w14:paraId="60A885F3"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6A2281E2"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48DDA619"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Electricity</w:t>
            </w:r>
          </w:p>
        </w:tc>
        <w:tc>
          <w:tcPr>
            <w:tcW w:w="1351" w:type="dxa"/>
            <w:tcBorders>
              <w:top w:val="nil"/>
              <w:left w:val="nil"/>
              <w:bottom w:val="single" w:sz="4" w:space="0" w:color="auto"/>
              <w:right w:val="single" w:sz="4" w:space="0" w:color="auto"/>
            </w:tcBorders>
            <w:shd w:val="clear" w:color="auto" w:fill="auto"/>
            <w:vAlign w:val="center"/>
            <w:hideMark/>
          </w:tcPr>
          <w:p w14:paraId="7A39F59B"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kWh</w:t>
            </w:r>
          </w:p>
        </w:tc>
        <w:tc>
          <w:tcPr>
            <w:tcW w:w="1351" w:type="dxa"/>
            <w:tcBorders>
              <w:top w:val="nil"/>
              <w:left w:val="nil"/>
              <w:bottom w:val="single" w:sz="4" w:space="0" w:color="auto"/>
              <w:right w:val="single" w:sz="4" w:space="0" w:color="auto"/>
            </w:tcBorders>
            <w:shd w:val="clear" w:color="auto" w:fill="auto"/>
            <w:vAlign w:val="center"/>
            <w:hideMark/>
          </w:tcPr>
          <w:p w14:paraId="1C902410"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4.5</w:t>
            </w:r>
          </w:p>
        </w:tc>
        <w:tc>
          <w:tcPr>
            <w:tcW w:w="1351" w:type="dxa"/>
            <w:vMerge/>
            <w:tcBorders>
              <w:top w:val="nil"/>
              <w:left w:val="single" w:sz="4" w:space="0" w:color="auto"/>
              <w:bottom w:val="single" w:sz="4" w:space="0" w:color="auto"/>
              <w:right w:val="single" w:sz="4" w:space="0" w:color="auto"/>
            </w:tcBorders>
            <w:vAlign w:val="center"/>
            <w:hideMark/>
          </w:tcPr>
          <w:p w14:paraId="60C42ABD" w14:textId="77777777" w:rsidR="0082531A" w:rsidRPr="000708BC" w:rsidRDefault="0082531A" w:rsidP="0082531A">
            <w:pPr>
              <w:rPr>
                <w:rFonts w:ascii="Arial" w:hAnsi="Arial" w:cs="Arial"/>
                <w:color w:val="000000"/>
                <w:sz w:val="20"/>
              </w:rPr>
            </w:pPr>
          </w:p>
        </w:tc>
      </w:tr>
      <w:tr w:rsidR="0082531A" w:rsidRPr="000708BC" w14:paraId="5AECC32A"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3C27ADB2"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593F4726"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Rolling steel sheets</w:t>
            </w:r>
          </w:p>
        </w:tc>
        <w:tc>
          <w:tcPr>
            <w:tcW w:w="1351" w:type="dxa"/>
            <w:tcBorders>
              <w:top w:val="nil"/>
              <w:left w:val="nil"/>
              <w:bottom w:val="single" w:sz="4" w:space="0" w:color="auto"/>
              <w:right w:val="single" w:sz="4" w:space="0" w:color="auto"/>
            </w:tcBorders>
            <w:shd w:val="clear" w:color="auto" w:fill="auto"/>
            <w:vAlign w:val="center"/>
            <w:hideMark/>
          </w:tcPr>
          <w:p w14:paraId="6B997390"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78F357B1"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9</w:t>
            </w:r>
          </w:p>
        </w:tc>
        <w:tc>
          <w:tcPr>
            <w:tcW w:w="1351" w:type="dxa"/>
            <w:vMerge/>
            <w:tcBorders>
              <w:top w:val="nil"/>
              <w:left w:val="single" w:sz="4" w:space="0" w:color="auto"/>
              <w:bottom w:val="single" w:sz="4" w:space="0" w:color="auto"/>
              <w:right w:val="single" w:sz="4" w:space="0" w:color="auto"/>
            </w:tcBorders>
            <w:vAlign w:val="center"/>
            <w:hideMark/>
          </w:tcPr>
          <w:p w14:paraId="2A780F39" w14:textId="77777777" w:rsidR="0082531A" w:rsidRPr="000708BC" w:rsidRDefault="0082531A" w:rsidP="0082531A">
            <w:pPr>
              <w:rPr>
                <w:rFonts w:ascii="Arial" w:hAnsi="Arial" w:cs="Arial"/>
                <w:color w:val="000000"/>
                <w:sz w:val="20"/>
              </w:rPr>
            </w:pPr>
          </w:p>
        </w:tc>
      </w:tr>
      <w:tr w:rsidR="0082531A" w:rsidRPr="000708BC" w14:paraId="41C5AAE8"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48080AB5"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778FA388"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Steel, low alloyed</w:t>
            </w:r>
          </w:p>
        </w:tc>
        <w:tc>
          <w:tcPr>
            <w:tcW w:w="1351" w:type="dxa"/>
            <w:tcBorders>
              <w:top w:val="nil"/>
              <w:left w:val="nil"/>
              <w:bottom w:val="single" w:sz="4" w:space="0" w:color="auto"/>
              <w:right w:val="single" w:sz="4" w:space="0" w:color="auto"/>
            </w:tcBorders>
            <w:shd w:val="clear" w:color="auto" w:fill="auto"/>
            <w:vAlign w:val="center"/>
            <w:hideMark/>
          </w:tcPr>
          <w:p w14:paraId="5C819A2E"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7304C7A0"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9</w:t>
            </w:r>
          </w:p>
        </w:tc>
        <w:tc>
          <w:tcPr>
            <w:tcW w:w="1351" w:type="dxa"/>
            <w:vMerge/>
            <w:tcBorders>
              <w:top w:val="nil"/>
              <w:left w:val="single" w:sz="4" w:space="0" w:color="auto"/>
              <w:bottom w:val="single" w:sz="4" w:space="0" w:color="auto"/>
              <w:right w:val="single" w:sz="4" w:space="0" w:color="auto"/>
            </w:tcBorders>
            <w:vAlign w:val="center"/>
            <w:hideMark/>
          </w:tcPr>
          <w:p w14:paraId="196B3B11" w14:textId="77777777" w:rsidR="0082531A" w:rsidRPr="000708BC" w:rsidRDefault="0082531A" w:rsidP="0082531A">
            <w:pPr>
              <w:rPr>
                <w:rFonts w:ascii="Arial" w:hAnsi="Arial" w:cs="Arial"/>
                <w:color w:val="000000"/>
                <w:sz w:val="20"/>
              </w:rPr>
            </w:pPr>
          </w:p>
        </w:tc>
      </w:tr>
      <w:tr w:rsidR="0082531A" w:rsidRPr="000708BC" w14:paraId="7CBE3ED4" w14:textId="77777777" w:rsidTr="0082531A">
        <w:trPr>
          <w:trHeight w:val="280"/>
          <w:jc w:val="center"/>
        </w:trPr>
        <w:tc>
          <w:tcPr>
            <w:tcW w:w="2093" w:type="dxa"/>
            <w:vMerge w:val="restart"/>
            <w:tcBorders>
              <w:top w:val="nil"/>
              <w:left w:val="single" w:sz="4" w:space="0" w:color="auto"/>
              <w:bottom w:val="single" w:sz="4" w:space="0" w:color="auto"/>
              <w:right w:val="single" w:sz="4" w:space="0" w:color="auto"/>
            </w:tcBorders>
            <w:shd w:val="clear" w:color="auto" w:fill="auto"/>
            <w:vAlign w:val="center"/>
            <w:hideMark/>
          </w:tcPr>
          <w:p w14:paraId="573A54CE"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Carbon Fiber (1kg)</w:t>
            </w:r>
          </w:p>
        </w:tc>
        <w:tc>
          <w:tcPr>
            <w:tcW w:w="2710" w:type="dxa"/>
            <w:tcBorders>
              <w:top w:val="nil"/>
              <w:left w:val="nil"/>
              <w:bottom w:val="single" w:sz="4" w:space="0" w:color="auto"/>
              <w:right w:val="single" w:sz="4" w:space="0" w:color="auto"/>
            </w:tcBorders>
            <w:shd w:val="clear" w:color="auto" w:fill="auto"/>
            <w:vAlign w:val="center"/>
            <w:hideMark/>
          </w:tcPr>
          <w:p w14:paraId="73D44A75"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Acrylonitrile</w:t>
            </w:r>
          </w:p>
        </w:tc>
        <w:tc>
          <w:tcPr>
            <w:tcW w:w="1351" w:type="dxa"/>
            <w:tcBorders>
              <w:top w:val="nil"/>
              <w:left w:val="nil"/>
              <w:bottom w:val="single" w:sz="4" w:space="0" w:color="auto"/>
              <w:right w:val="single" w:sz="4" w:space="0" w:color="auto"/>
            </w:tcBorders>
            <w:shd w:val="clear" w:color="auto" w:fill="auto"/>
            <w:vAlign w:val="center"/>
            <w:hideMark/>
          </w:tcPr>
          <w:p w14:paraId="323972BA"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60F30596"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2.25</w:t>
            </w:r>
          </w:p>
        </w:tc>
        <w:tc>
          <w:tcPr>
            <w:tcW w:w="1351" w:type="dxa"/>
            <w:vMerge/>
            <w:tcBorders>
              <w:top w:val="nil"/>
              <w:left w:val="single" w:sz="4" w:space="0" w:color="auto"/>
              <w:bottom w:val="single" w:sz="4" w:space="0" w:color="auto"/>
              <w:right w:val="single" w:sz="4" w:space="0" w:color="auto"/>
            </w:tcBorders>
            <w:vAlign w:val="center"/>
            <w:hideMark/>
          </w:tcPr>
          <w:p w14:paraId="662A3849" w14:textId="77777777" w:rsidR="0082531A" w:rsidRPr="000708BC" w:rsidRDefault="0082531A" w:rsidP="0082531A">
            <w:pPr>
              <w:rPr>
                <w:rFonts w:ascii="Arial" w:hAnsi="Arial" w:cs="Arial"/>
                <w:color w:val="000000"/>
                <w:sz w:val="20"/>
              </w:rPr>
            </w:pPr>
          </w:p>
        </w:tc>
      </w:tr>
      <w:tr w:rsidR="0082531A" w:rsidRPr="000708BC" w14:paraId="32E85DED"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297D43F4"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45A4A18F"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Vinyl acetate</w:t>
            </w:r>
          </w:p>
        </w:tc>
        <w:tc>
          <w:tcPr>
            <w:tcW w:w="1351" w:type="dxa"/>
            <w:tcBorders>
              <w:top w:val="nil"/>
              <w:left w:val="nil"/>
              <w:bottom w:val="single" w:sz="4" w:space="0" w:color="auto"/>
              <w:right w:val="single" w:sz="4" w:space="0" w:color="auto"/>
            </w:tcBorders>
            <w:shd w:val="clear" w:color="auto" w:fill="auto"/>
            <w:vAlign w:val="center"/>
            <w:hideMark/>
          </w:tcPr>
          <w:p w14:paraId="57D6D472"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67A11006"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0.2</w:t>
            </w:r>
          </w:p>
        </w:tc>
        <w:tc>
          <w:tcPr>
            <w:tcW w:w="1351" w:type="dxa"/>
            <w:vMerge/>
            <w:tcBorders>
              <w:top w:val="nil"/>
              <w:left w:val="single" w:sz="4" w:space="0" w:color="auto"/>
              <w:bottom w:val="single" w:sz="4" w:space="0" w:color="auto"/>
              <w:right w:val="single" w:sz="4" w:space="0" w:color="auto"/>
            </w:tcBorders>
            <w:vAlign w:val="center"/>
            <w:hideMark/>
          </w:tcPr>
          <w:p w14:paraId="28F0A4A0" w14:textId="77777777" w:rsidR="0082531A" w:rsidRPr="000708BC" w:rsidRDefault="0082531A" w:rsidP="0082531A">
            <w:pPr>
              <w:rPr>
                <w:rFonts w:ascii="Arial" w:hAnsi="Arial" w:cs="Arial"/>
                <w:color w:val="000000"/>
                <w:sz w:val="20"/>
              </w:rPr>
            </w:pPr>
          </w:p>
        </w:tc>
      </w:tr>
      <w:tr w:rsidR="0082531A" w:rsidRPr="000708BC" w14:paraId="63772A8A"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176811BC"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0E7D1B76"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Resin</w:t>
            </w:r>
          </w:p>
        </w:tc>
        <w:tc>
          <w:tcPr>
            <w:tcW w:w="1351" w:type="dxa"/>
            <w:tcBorders>
              <w:top w:val="nil"/>
              <w:left w:val="nil"/>
              <w:bottom w:val="single" w:sz="4" w:space="0" w:color="auto"/>
              <w:right w:val="single" w:sz="4" w:space="0" w:color="auto"/>
            </w:tcBorders>
            <w:shd w:val="clear" w:color="auto" w:fill="auto"/>
            <w:vAlign w:val="center"/>
            <w:hideMark/>
          </w:tcPr>
          <w:p w14:paraId="70934040"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351" w:type="dxa"/>
            <w:tcBorders>
              <w:top w:val="nil"/>
              <w:left w:val="nil"/>
              <w:bottom w:val="single" w:sz="4" w:space="0" w:color="auto"/>
              <w:right w:val="single" w:sz="4" w:space="0" w:color="auto"/>
            </w:tcBorders>
            <w:shd w:val="clear" w:color="auto" w:fill="auto"/>
            <w:vAlign w:val="center"/>
            <w:hideMark/>
          </w:tcPr>
          <w:p w14:paraId="5C14D4E7"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1.07</w:t>
            </w:r>
          </w:p>
        </w:tc>
        <w:tc>
          <w:tcPr>
            <w:tcW w:w="1351" w:type="dxa"/>
            <w:vMerge/>
            <w:tcBorders>
              <w:top w:val="nil"/>
              <w:left w:val="single" w:sz="4" w:space="0" w:color="auto"/>
              <w:bottom w:val="single" w:sz="4" w:space="0" w:color="auto"/>
              <w:right w:val="single" w:sz="4" w:space="0" w:color="auto"/>
            </w:tcBorders>
            <w:vAlign w:val="center"/>
            <w:hideMark/>
          </w:tcPr>
          <w:p w14:paraId="26389349" w14:textId="77777777" w:rsidR="0082531A" w:rsidRPr="000708BC" w:rsidRDefault="0082531A" w:rsidP="0082531A">
            <w:pPr>
              <w:rPr>
                <w:rFonts w:ascii="Arial" w:hAnsi="Arial" w:cs="Arial"/>
                <w:color w:val="000000"/>
                <w:sz w:val="20"/>
              </w:rPr>
            </w:pPr>
          </w:p>
        </w:tc>
      </w:tr>
      <w:tr w:rsidR="0082531A" w:rsidRPr="000708BC" w14:paraId="6EFD4C2C"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6DA7D3DC"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5A77960E"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Heat</w:t>
            </w:r>
          </w:p>
        </w:tc>
        <w:tc>
          <w:tcPr>
            <w:tcW w:w="1351" w:type="dxa"/>
            <w:tcBorders>
              <w:top w:val="nil"/>
              <w:left w:val="nil"/>
              <w:bottom w:val="single" w:sz="4" w:space="0" w:color="auto"/>
              <w:right w:val="single" w:sz="4" w:space="0" w:color="auto"/>
            </w:tcBorders>
            <w:shd w:val="clear" w:color="auto" w:fill="auto"/>
            <w:vAlign w:val="center"/>
            <w:hideMark/>
          </w:tcPr>
          <w:p w14:paraId="38C48FF2"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kWh</w:t>
            </w:r>
          </w:p>
        </w:tc>
        <w:tc>
          <w:tcPr>
            <w:tcW w:w="1351" w:type="dxa"/>
            <w:tcBorders>
              <w:top w:val="nil"/>
              <w:left w:val="nil"/>
              <w:bottom w:val="single" w:sz="4" w:space="0" w:color="auto"/>
              <w:right w:val="single" w:sz="4" w:space="0" w:color="auto"/>
            </w:tcBorders>
            <w:shd w:val="clear" w:color="auto" w:fill="auto"/>
            <w:vAlign w:val="center"/>
            <w:hideMark/>
          </w:tcPr>
          <w:p w14:paraId="67D3103A"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175</w:t>
            </w:r>
          </w:p>
        </w:tc>
        <w:tc>
          <w:tcPr>
            <w:tcW w:w="1351" w:type="dxa"/>
            <w:vMerge/>
            <w:tcBorders>
              <w:top w:val="nil"/>
              <w:left w:val="single" w:sz="4" w:space="0" w:color="auto"/>
              <w:bottom w:val="single" w:sz="4" w:space="0" w:color="auto"/>
              <w:right w:val="single" w:sz="4" w:space="0" w:color="auto"/>
            </w:tcBorders>
            <w:vAlign w:val="center"/>
            <w:hideMark/>
          </w:tcPr>
          <w:p w14:paraId="27226EB1" w14:textId="77777777" w:rsidR="0082531A" w:rsidRPr="000708BC" w:rsidRDefault="0082531A" w:rsidP="0082531A">
            <w:pPr>
              <w:rPr>
                <w:rFonts w:ascii="Arial" w:hAnsi="Arial" w:cs="Arial"/>
                <w:color w:val="000000"/>
                <w:sz w:val="20"/>
              </w:rPr>
            </w:pPr>
          </w:p>
        </w:tc>
      </w:tr>
      <w:tr w:rsidR="0082531A" w:rsidRPr="000708BC" w14:paraId="5E1AB496"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066025F4"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319CBFC2"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Electricity</w:t>
            </w:r>
          </w:p>
        </w:tc>
        <w:tc>
          <w:tcPr>
            <w:tcW w:w="1351" w:type="dxa"/>
            <w:tcBorders>
              <w:top w:val="nil"/>
              <w:left w:val="nil"/>
              <w:bottom w:val="single" w:sz="4" w:space="0" w:color="auto"/>
              <w:right w:val="single" w:sz="4" w:space="0" w:color="auto"/>
            </w:tcBorders>
            <w:shd w:val="clear" w:color="auto" w:fill="auto"/>
            <w:vAlign w:val="center"/>
            <w:hideMark/>
          </w:tcPr>
          <w:p w14:paraId="65753F34"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kWh</w:t>
            </w:r>
          </w:p>
        </w:tc>
        <w:tc>
          <w:tcPr>
            <w:tcW w:w="1351" w:type="dxa"/>
            <w:tcBorders>
              <w:top w:val="nil"/>
              <w:left w:val="nil"/>
              <w:bottom w:val="single" w:sz="4" w:space="0" w:color="auto"/>
              <w:right w:val="single" w:sz="4" w:space="0" w:color="auto"/>
            </w:tcBorders>
            <w:shd w:val="clear" w:color="auto" w:fill="auto"/>
            <w:vAlign w:val="center"/>
            <w:hideMark/>
          </w:tcPr>
          <w:p w14:paraId="5E06A3E7"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26.2</w:t>
            </w:r>
          </w:p>
        </w:tc>
        <w:tc>
          <w:tcPr>
            <w:tcW w:w="1351" w:type="dxa"/>
            <w:vMerge/>
            <w:tcBorders>
              <w:top w:val="nil"/>
              <w:left w:val="single" w:sz="4" w:space="0" w:color="auto"/>
              <w:bottom w:val="single" w:sz="4" w:space="0" w:color="auto"/>
              <w:right w:val="single" w:sz="4" w:space="0" w:color="auto"/>
            </w:tcBorders>
            <w:vAlign w:val="center"/>
            <w:hideMark/>
          </w:tcPr>
          <w:p w14:paraId="3FCAB1FB" w14:textId="77777777" w:rsidR="0082531A" w:rsidRPr="000708BC" w:rsidRDefault="0082531A" w:rsidP="0082531A">
            <w:pPr>
              <w:rPr>
                <w:rFonts w:ascii="Arial" w:hAnsi="Arial" w:cs="Arial"/>
                <w:color w:val="000000"/>
                <w:sz w:val="20"/>
              </w:rPr>
            </w:pPr>
          </w:p>
        </w:tc>
      </w:tr>
      <w:tr w:rsidR="0082531A" w:rsidRPr="000708BC" w14:paraId="30206D04" w14:textId="77777777" w:rsidTr="0082531A">
        <w:trPr>
          <w:trHeight w:val="280"/>
          <w:jc w:val="center"/>
        </w:trPr>
        <w:tc>
          <w:tcPr>
            <w:tcW w:w="2093" w:type="dxa"/>
            <w:vMerge w:val="restart"/>
            <w:tcBorders>
              <w:top w:val="nil"/>
              <w:left w:val="single" w:sz="4" w:space="0" w:color="auto"/>
              <w:bottom w:val="single" w:sz="4" w:space="0" w:color="auto"/>
              <w:right w:val="single" w:sz="4" w:space="0" w:color="auto"/>
            </w:tcBorders>
            <w:shd w:val="clear" w:color="auto" w:fill="auto"/>
            <w:vAlign w:val="center"/>
            <w:hideMark/>
          </w:tcPr>
          <w:p w14:paraId="418EC67E"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Resin (1kg)</w:t>
            </w:r>
          </w:p>
        </w:tc>
        <w:tc>
          <w:tcPr>
            <w:tcW w:w="2710" w:type="dxa"/>
            <w:tcBorders>
              <w:top w:val="nil"/>
              <w:left w:val="nil"/>
              <w:bottom w:val="single" w:sz="4" w:space="0" w:color="auto"/>
              <w:right w:val="single" w:sz="4" w:space="0" w:color="auto"/>
            </w:tcBorders>
            <w:shd w:val="clear" w:color="auto" w:fill="auto"/>
            <w:vAlign w:val="center"/>
            <w:hideMark/>
          </w:tcPr>
          <w:p w14:paraId="1D61AE1C"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Epoxy resin</w:t>
            </w:r>
          </w:p>
        </w:tc>
        <w:tc>
          <w:tcPr>
            <w:tcW w:w="1351" w:type="dxa"/>
            <w:tcBorders>
              <w:top w:val="nil"/>
              <w:left w:val="nil"/>
              <w:bottom w:val="single" w:sz="4" w:space="0" w:color="auto"/>
              <w:right w:val="single" w:sz="4" w:space="0" w:color="auto"/>
            </w:tcBorders>
            <w:shd w:val="clear" w:color="auto" w:fill="auto"/>
            <w:vAlign w:val="center"/>
            <w:hideMark/>
          </w:tcPr>
          <w:p w14:paraId="476135F3"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g</w:t>
            </w:r>
          </w:p>
        </w:tc>
        <w:tc>
          <w:tcPr>
            <w:tcW w:w="1351" w:type="dxa"/>
            <w:tcBorders>
              <w:top w:val="nil"/>
              <w:left w:val="nil"/>
              <w:bottom w:val="single" w:sz="4" w:space="0" w:color="auto"/>
              <w:right w:val="single" w:sz="4" w:space="0" w:color="auto"/>
            </w:tcBorders>
            <w:shd w:val="clear" w:color="auto" w:fill="auto"/>
            <w:vAlign w:val="center"/>
            <w:hideMark/>
          </w:tcPr>
          <w:p w14:paraId="775F7395"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420</w:t>
            </w:r>
          </w:p>
        </w:tc>
        <w:sdt>
          <w:sdtPr>
            <w:rPr>
              <w:rFonts w:ascii="Arial" w:hAnsi="Arial" w:cs="Arial"/>
              <w:color w:val="000000"/>
              <w:sz w:val="20"/>
            </w:rPr>
            <w:tag w:val="MENDELEY_CITATION_v3_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"/>
            <w:id w:val="-164018422"/>
            <w:placeholder>
              <w:docPart w:val="DefaultPlaceholder_-1854013440"/>
            </w:placeholder>
          </w:sdtPr>
          <w:sdtEndPr/>
          <w:sdtContent>
            <w:tc>
              <w:tcPr>
                <w:tcW w:w="1351" w:type="dxa"/>
                <w:vMerge w:val="restart"/>
                <w:tcBorders>
                  <w:top w:val="nil"/>
                  <w:left w:val="single" w:sz="4" w:space="0" w:color="auto"/>
                  <w:bottom w:val="single" w:sz="4" w:space="0" w:color="auto"/>
                  <w:right w:val="single" w:sz="4" w:space="0" w:color="auto"/>
                </w:tcBorders>
                <w:shd w:val="clear" w:color="auto" w:fill="auto"/>
                <w:vAlign w:val="center"/>
                <w:hideMark/>
              </w:tcPr>
              <w:p w14:paraId="23E1FFD6" w14:textId="4DE6C389" w:rsidR="0082531A" w:rsidRPr="000708BC" w:rsidRDefault="002422C9" w:rsidP="0082531A">
                <w:pPr>
                  <w:jc w:val="center"/>
                  <w:rPr>
                    <w:rFonts w:ascii="Arial" w:hAnsi="Arial" w:cs="Arial"/>
                    <w:color w:val="000000"/>
                    <w:sz w:val="20"/>
                  </w:rPr>
                </w:pPr>
                <w:r w:rsidRPr="000708BC">
                  <w:rPr>
                    <w:rFonts w:ascii="Arial" w:hAnsi="Arial" w:cs="Arial"/>
                    <w:color w:val="000000"/>
                    <w:sz w:val="20"/>
                  </w:rPr>
                  <w:t>(Akhtar et al., 2021)</w:t>
                </w:r>
              </w:p>
            </w:tc>
          </w:sdtContent>
        </w:sdt>
      </w:tr>
      <w:tr w:rsidR="0082531A" w:rsidRPr="000708BC" w14:paraId="3DF59F8C"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6702F5BD"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779A31D8"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Styrene</w:t>
            </w:r>
          </w:p>
        </w:tc>
        <w:tc>
          <w:tcPr>
            <w:tcW w:w="1351" w:type="dxa"/>
            <w:tcBorders>
              <w:top w:val="nil"/>
              <w:left w:val="nil"/>
              <w:bottom w:val="single" w:sz="4" w:space="0" w:color="auto"/>
              <w:right w:val="single" w:sz="4" w:space="0" w:color="auto"/>
            </w:tcBorders>
            <w:shd w:val="clear" w:color="auto" w:fill="auto"/>
            <w:vAlign w:val="center"/>
            <w:hideMark/>
          </w:tcPr>
          <w:p w14:paraId="717711AB"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g</w:t>
            </w:r>
          </w:p>
        </w:tc>
        <w:tc>
          <w:tcPr>
            <w:tcW w:w="1351" w:type="dxa"/>
            <w:tcBorders>
              <w:top w:val="nil"/>
              <w:left w:val="nil"/>
              <w:bottom w:val="single" w:sz="4" w:space="0" w:color="auto"/>
              <w:right w:val="single" w:sz="4" w:space="0" w:color="auto"/>
            </w:tcBorders>
            <w:shd w:val="clear" w:color="auto" w:fill="auto"/>
            <w:vAlign w:val="center"/>
            <w:hideMark/>
          </w:tcPr>
          <w:p w14:paraId="7FEDC407"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400</w:t>
            </w:r>
          </w:p>
        </w:tc>
        <w:tc>
          <w:tcPr>
            <w:tcW w:w="1351" w:type="dxa"/>
            <w:vMerge/>
            <w:tcBorders>
              <w:top w:val="nil"/>
              <w:left w:val="single" w:sz="4" w:space="0" w:color="auto"/>
              <w:bottom w:val="single" w:sz="4" w:space="0" w:color="auto"/>
              <w:right w:val="single" w:sz="4" w:space="0" w:color="auto"/>
            </w:tcBorders>
            <w:vAlign w:val="center"/>
            <w:hideMark/>
          </w:tcPr>
          <w:p w14:paraId="5F864AEF" w14:textId="77777777" w:rsidR="0082531A" w:rsidRPr="000708BC" w:rsidRDefault="0082531A" w:rsidP="0082531A">
            <w:pPr>
              <w:rPr>
                <w:rFonts w:ascii="Arial" w:hAnsi="Arial" w:cs="Arial"/>
                <w:color w:val="000000"/>
                <w:sz w:val="20"/>
              </w:rPr>
            </w:pPr>
          </w:p>
        </w:tc>
      </w:tr>
      <w:tr w:rsidR="0082531A" w:rsidRPr="000708BC" w14:paraId="6FD70BC5" w14:textId="77777777" w:rsidTr="0082531A">
        <w:trPr>
          <w:trHeight w:val="280"/>
          <w:jc w:val="center"/>
        </w:trPr>
        <w:tc>
          <w:tcPr>
            <w:tcW w:w="2093" w:type="dxa"/>
            <w:vMerge/>
            <w:tcBorders>
              <w:top w:val="nil"/>
              <w:left w:val="single" w:sz="4" w:space="0" w:color="auto"/>
              <w:bottom w:val="single" w:sz="4" w:space="0" w:color="auto"/>
              <w:right w:val="single" w:sz="4" w:space="0" w:color="auto"/>
            </w:tcBorders>
            <w:vAlign w:val="center"/>
            <w:hideMark/>
          </w:tcPr>
          <w:p w14:paraId="12F686D8" w14:textId="77777777" w:rsidR="0082531A" w:rsidRPr="000708BC" w:rsidRDefault="0082531A" w:rsidP="0082531A">
            <w:pPr>
              <w:rPr>
                <w:rFonts w:ascii="Arial" w:hAnsi="Arial" w:cs="Arial"/>
                <w:color w:val="000000"/>
                <w:sz w:val="20"/>
              </w:rPr>
            </w:pPr>
          </w:p>
        </w:tc>
        <w:tc>
          <w:tcPr>
            <w:tcW w:w="2710" w:type="dxa"/>
            <w:tcBorders>
              <w:top w:val="nil"/>
              <w:left w:val="nil"/>
              <w:bottom w:val="single" w:sz="4" w:space="0" w:color="auto"/>
              <w:right w:val="single" w:sz="4" w:space="0" w:color="auto"/>
            </w:tcBorders>
            <w:shd w:val="clear" w:color="auto" w:fill="auto"/>
            <w:vAlign w:val="center"/>
            <w:hideMark/>
          </w:tcPr>
          <w:p w14:paraId="169FBCCD"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Acrylic acid</w:t>
            </w:r>
          </w:p>
        </w:tc>
        <w:tc>
          <w:tcPr>
            <w:tcW w:w="1351" w:type="dxa"/>
            <w:tcBorders>
              <w:top w:val="nil"/>
              <w:left w:val="nil"/>
              <w:bottom w:val="single" w:sz="4" w:space="0" w:color="auto"/>
              <w:right w:val="single" w:sz="4" w:space="0" w:color="auto"/>
            </w:tcBorders>
            <w:shd w:val="clear" w:color="auto" w:fill="auto"/>
            <w:vAlign w:val="center"/>
            <w:hideMark/>
          </w:tcPr>
          <w:p w14:paraId="091ABE05"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g</w:t>
            </w:r>
          </w:p>
        </w:tc>
        <w:tc>
          <w:tcPr>
            <w:tcW w:w="1351" w:type="dxa"/>
            <w:tcBorders>
              <w:top w:val="nil"/>
              <w:left w:val="nil"/>
              <w:bottom w:val="single" w:sz="4" w:space="0" w:color="auto"/>
              <w:right w:val="single" w:sz="4" w:space="0" w:color="auto"/>
            </w:tcBorders>
            <w:shd w:val="clear" w:color="auto" w:fill="auto"/>
            <w:vAlign w:val="center"/>
            <w:hideMark/>
          </w:tcPr>
          <w:p w14:paraId="61F88C79"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180</w:t>
            </w:r>
          </w:p>
        </w:tc>
        <w:tc>
          <w:tcPr>
            <w:tcW w:w="1351" w:type="dxa"/>
            <w:vMerge/>
            <w:tcBorders>
              <w:top w:val="nil"/>
              <w:left w:val="single" w:sz="4" w:space="0" w:color="auto"/>
              <w:bottom w:val="single" w:sz="4" w:space="0" w:color="auto"/>
              <w:right w:val="single" w:sz="4" w:space="0" w:color="auto"/>
            </w:tcBorders>
            <w:vAlign w:val="center"/>
            <w:hideMark/>
          </w:tcPr>
          <w:p w14:paraId="1731E2D0" w14:textId="77777777" w:rsidR="0082531A" w:rsidRPr="000708BC" w:rsidRDefault="0082531A" w:rsidP="0082531A">
            <w:pPr>
              <w:rPr>
                <w:rFonts w:ascii="Arial" w:hAnsi="Arial" w:cs="Arial"/>
                <w:color w:val="000000"/>
                <w:sz w:val="20"/>
              </w:rPr>
            </w:pPr>
          </w:p>
        </w:tc>
      </w:tr>
    </w:tbl>
    <w:p w14:paraId="27EB65FA" w14:textId="77777777" w:rsidR="00FB0286" w:rsidRPr="000708BC" w:rsidRDefault="00FB0286">
      <w:pPr>
        <w:pStyle w:val="JIEreferencelist"/>
        <w:ind w:left="0" w:firstLine="0"/>
        <w:rPr>
          <w:rFonts w:ascii="Arial" w:hAnsi="Arial" w:cs="Arial"/>
          <w:iCs/>
          <w:sz w:val="22"/>
          <w:szCs w:val="22"/>
        </w:rPr>
      </w:pPr>
    </w:p>
    <w:p w14:paraId="0CB3E065" w14:textId="7B6190DE" w:rsidR="00FB0286" w:rsidRPr="000708BC" w:rsidRDefault="0082531A">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w:t>
      </w:r>
      <w:r w:rsidR="00966C3C" w:rsidRPr="000708BC">
        <w:rPr>
          <w:rFonts w:ascii="Arial" w:hAnsi="Arial" w:cs="Arial"/>
          <w:i/>
          <w:sz w:val="20"/>
        </w:rPr>
        <w:t>10</w:t>
      </w:r>
      <w:r w:rsidRPr="000708BC">
        <w:rPr>
          <w:rFonts w:ascii="Arial" w:hAnsi="Arial" w:cs="Arial"/>
          <w:i/>
          <w:sz w:val="20"/>
        </w:rPr>
        <w:t xml:space="preserve"> Construction </w:t>
      </w:r>
      <w:r w:rsidR="00462D12" w:rsidRPr="000708BC">
        <w:rPr>
          <w:rFonts w:ascii="Arial" w:hAnsi="Arial" w:cs="Arial"/>
          <w:i/>
          <w:sz w:val="20"/>
        </w:rPr>
        <w:t>m</w:t>
      </w:r>
      <w:r w:rsidRPr="000708BC">
        <w:rPr>
          <w:rFonts w:ascii="Arial" w:hAnsi="Arial" w:cs="Arial"/>
          <w:i/>
          <w:sz w:val="20"/>
        </w:rPr>
        <w:t xml:space="preserve">aterials </w:t>
      </w:r>
      <w:r w:rsidR="00462D12" w:rsidRPr="000708BC">
        <w:rPr>
          <w:rFonts w:ascii="Arial" w:hAnsi="Arial" w:cs="Arial"/>
          <w:i/>
          <w:sz w:val="20"/>
        </w:rPr>
        <w:t>f</w:t>
      </w:r>
      <w:r w:rsidRPr="000708BC">
        <w:rPr>
          <w:rFonts w:ascii="Arial" w:hAnsi="Arial" w:cs="Arial"/>
          <w:i/>
          <w:sz w:val="20"/>
        </w:rPr>
        <w:t xml:space="preserve">uel </w:t>
      </w:r>
      <w:r w:rsidR="00462D12" w:rsidRPr="000708BC">
        <w:rPr>
          <w:rFonts w:ascii="Arial" w:hAnsi="Arial" w:cs="Arial"/>
          <w:i/>
          <w:sz w:val="20"/>
        </w:rPr>
        <w:t>s</w:t>
      </w:r>
      <w:r w:rsidRPr="000708BC">
        <w:rPr>
          <w:rFonts w:ascii="Arial" w:hAnsi="Arial" w:cs="Arial"/>
          <w:i/>
          <w:sz w:val="20"/>
        </w:rPr>
        <w:t>tation</w:t>
      </w:r>
      <w:r w:rsidR="00462D12" w:rsidRPr="000708BC">
        <w:rPr>
          <w:rFonts w:ascii="Arial" w:hAnsi="Arial" w:cs="Arial"/>
          <w:i/>
          <w:sz w:val="20"/>
        </w:rPr>
        <w:t>.</w:t>
      </w:r>
    </w:p>
    <w:tbl>
      <w:tblPr>
        <w:tblW w:w="5000" w:type="pct"/>
        <w:jc w:val="center"/>
        <w:tblLook w:val="04A0" w:firstRow="1" w:lastRow="0" w:firstColumn="1" w:lastColumn="0" w:noHBand="0" w:noVBand="1"/>
      </w:tblPr>
      <w:tblGrid>
        <w:gridCol w:w="2051"/>
        <w:gridCol w:w="2637"/>
        <w:gridCol w:w="1329"/>
        <w:gridCol w:w="1451"/>
        <w:gridCol w:w="1162"/>
      </w:tblGrid>
      <w:tr w:rsidR="0082531A" w:rsidRPr="000708BC" w14:paraId="2D22F744" w14:textId="77777777" w:rsidTr="0082531A">
        <w:trPr>
          <w:trHeight w:val="280"/>
          <w:tblHeader/>
          <w:jc w:val="center"/>
        </w:trPr>
        <w:tc>
          <w:tcPr>
            <w:tcW w:w="20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B43B7C"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Structure</w:t>
            </w:r>
          </w:p>
        </w:tc>
        <w:tc>
          <w:tcPr>
            <w:tcW w:w="2693" w:type="dxa"/>
            <w:tcBorders>
              <w:top w:val="single" w:sz="4" w:space="0" w:color="auto"/>
              <w:left w:val="nil"/>
              <w:bottom w:val="single" w:sz="4" w:space="0" w:color="auto"/>
              <w:right w:val="single" w:sz="4" w:space="0" w:color="auto"/>
            </w:tcBorders>
            <w:shd w:val="clear" w:color="000000" w:fill="D9D9D9"/>
            <w:noWrap/>
            <w:vAlign w:val="center"/>
            <w:hideMark/>
          </w:tcPr>
          <w:p w14:paraId="7C5AF81C"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Material</w:t>
            </w:r>
          </w:p>
        </w:tc>
        <w:tc>
          <w:tcPr>
            <w:tcW w:w="1355" w:type="dxa"/>
            <w:tcBorders>
              <w:top w:val="single" w:sz="4" w:space="0" w:color="auto"/>
              <w:left w:val="nil"/>
              <w:bottom w:val="single" w:sz="4" w:space="0" w:color="auto"/>
              <w:right w:val="single" w:sz="4" w:space="0" w:color="auto"/>
            </w:tcBorders>
            <w:shd w:val="clear" w:color="000000" w:fill="D9D9D9"/>
            <w:noWrap/>
            <w:vAlign w:val="center"/>
            <w:hideMark/>
          </w:tcPr>
          <w:p w14:paraId="48ED31F3"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Unit</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14:paraId="4EA200C8"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Value</w:t>
            </w:r>
          </w:p>
        </w:tc>
        <w:tc>
          <w:tcPr>
            <w:tcW w:w="1235" w:type="dxa"/>
            <w:tcBorders>
              <w:top w:val="single" w:sz="4" w:space="0" w:color="auto"/>
              <w:left w:val="nil"/>
              <w:bottom w:val="single" w:sz="4" w:space="0" w:color="auto"/>
              <w:right w:val="single" w:sz="4" w:space="0" w:color="auto"/>
            </w:tcBorders>
            <w:shd w:val="clear" w:color="000000" w:fill="D9D9D9"/>
            <w:vAlign w:val="center"/>
            <w:hideMark/>
          </w:tcPr>
          <w:p w14:paraId="3804D9C4" w14:textId="77777777" w:rsidR="0082531A" w:rsidRPr="000708BC" w:rsidRDefault="0082531A" w:rsidP="0082531A">
            <w:pPr>
              <w:jc w:val="center"/>
              <w:rPr>
                <w:rFonts w:ascii="Arial" w:hAnsi="Arial" w:cs="Arial"/>
                <w:b/>
                <w:bCs/>
                <w:color w:val="000000"/>
                <w:sz w:val="20"/>
              </w:rPr>
            </w:pPr>
            <w:r w:rsidRPr="000708BC">
              <w:rPr>
                <w:rFonts w:ascii="Arial" w:hAnsi="Arial" w:cs="Arial"/>
                <w:b/>
                <w:bCs/>
                <w:color w:val="000000"/>
                <w:sz w:val="20"/>
              </w:rPr>
              <w:t>Reference</w:t>
            </w:r>
          </w:p>
        </w:tc>
      </w:tr>
      <w:tr w:rsidR="0082531A" w:rsidRPr="000708BC" w14:paraId="76BB285D" w14:textId="77777777" w:rsidTr="0082531A">
        <w:trPr>
          <w:trHeight w:val="260"/>
          <w:jc w:val="center"/>
        </w:trPr>
        <w:tc>
          <w:tcPr>
            <w:tcW w:w="20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74B4FC"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Fuel Station (850kg/d)</w:t>
            </w:r>
          </w:p>
        </w:tc>
        <w:tc>
          <w:tcPr>
            <w:tcW w:w="2693" w:type="dxa"/>
            <w:tcBorders>
              <w:top w:val="nil"/>
              <w:left w:val="nil"/>
              <w:bottom w:val="single" w:sz="4" w:space="0" w:color="auto"/>
              <w:right w:val="single" w:sz="4" w:space="0" w:color="auto"/>
            </w:tcBorders>
            <w:shd w:val="clear" w:color="auto" w:fill="auto"/>
            <w:noWrap/>
            <w:vAlign w:val="center"/>
            <w:hideMark/>
          </w:tcPr>
          <w:p w14:paraId="654FF3BF"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Low alloy steel</w:t>
            </w:r>
          </w:p>
        </w:tc>
        <w:tc>
          <w:tcPr>
            <w:tcW w:w="1355" w:type="dxa"/>
            <w:tcBorders>
              <w:top w:val="nil"/>
              <w:left w:val="nil"/>
              <w:bottom w:val="single" w:sz="4" w:space="0" w:color="auto"/>
              <w:right w:val="single" w:sz="4" w:space="0" w:color="auto"/>
            </w:tcBorders>
            <w:shd w:val="clear" w:color="auto" w:fill="auto"/>
            <w:noWrap/>
            <w:vAlign w:val="center"/>
            <w:hideMark/>
          </w:tcPr>
          <w:p w14:paraId="4746DC2D"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t</w:t>
            </w:r>
          </w:p>
        </w:tc>
        <w:tc>
          <w:tcPr>
            <w:tcW w:w="1480" w:type="dxa"/>
            <w:tcBorders>
              <w:top w:val="nil"/>
              <w:left w:val="nil"/>
              <w:bottom w:val="single" w:sz="4" w:space="0" w:color="auto"/>
              <w:right w:val="single" w:sz="4" w:space="0" w:color="auto"/>
            </w:tcBorders>
            <w:shd w:val="clear" w:color="auto" w:fill="auto"/>
            <w:noWrap/>
            <w:vAlign w:val="center"/>
            <w:hideMark/>
          </w:tcPr>
          <w:p w14:paraId="04797282"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26.60</w:t>
            </w:r>
          </w:p>
        </w:tc>
        <w:sdt>
          <w:sdtPr>
            <w:rPr>
              <w:rFonts w:ascii="Arial" w:hAnsi="Arial" w:cs="Arial"/>
              <w:color w:val="000000"/>
              <w:sz w:val="20"/>
            </w:rPr>
            <w:tag w:val="MENDELEY_CITATION_v3_eyJjaXRhdGlvbklEIjoiTUVOREVMRVlfQ0lUQVRJT05fMDBiYzMxOTEtYzViNy00ZDgxLTgyNjktNTNjY2QzNGJiM2Yw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
            <w:id w:val="528615003"/>
            <w:placeholder>
              <w:docPart w:val="DefaultPlaceholder_-1854013440"/>
            </w:placeholder>
          </w:sdtPr>
          <w:sdtEndPr/>
          <w:sdtContent>
            <w:tc>
              <w:tcPr>
                <w:tcW w:w="1235" w:type="dxa"/>
                <w:vMerge w:val="restart"/>
                <w:tcBorders>
                  <w:top w:val="nil"/>
                  <w:left w:val="single" w:sz="4" w:space="0" w:color="auto"/>
                  <w:bottom w:val="single" w:sz="4" w:space="0" w:color="auto"/>
                  <w:right w:val="single" w:sz="4" w:space="0" w:color="auto"/>
                </w:tcBorders>
                <w:shd w:val="clear" w:color="auto" w:fill="auto"/>
                <w:vAlign w:val="center"/>
                <w:hideMark/>
              </w:tcPr>
              <w:p w14:paraId="422A95A1" w14:textId="0CADFDC0" w:rsidR="0082531A" w:rsidRPr="000708BC" w:rsidRDefault="002422C9" w:rsidP="0082531A">
                <w:pPr>
                  <w:jc w:val="center"/>
                  <w:rPr>
                    <w:rFonts w:ascii="Arial" w:hAnsi="Arial" w:cs="Arial"/>
                    <w:color w:val="000000"/>
                    <w:sz w:val="20"/>
                  </w:rPr>
                </w:pPr>
                <w:r w:rsidRPr="000708BC">
                  <w:rPr>
                    <w:rFonts w:ascii="Arial" w:hAnsi="Arial" w:cs="Arial"/>
                    <w:color w:val="000000"/>
                    <w:sz w:val="20"/>
                  </w:rPr>
                  <w:t>(Wulf et al., 2018)</w:t>
                </w:r>
              </w:p>
            </w:tc>
          </w:sdtContent>
        </w:sdt>
      </w:tr>
      <w:tr w:rsidR="0082531A" w:rsidRPr="000708BC" w14:paraId="150B8E54"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050860B0"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2D71FECE"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High alloy steel</w:t>
            </w:r>
          </w:p>
        </w:tc>
        <w:tc>
          <w:tcPr>
            <w:tcW w:w="1355" w:type="dxa"/>
            <w:tcBorders>
              <w:top w:val="nil"/>
              <w:left w:val="nil"/>
              <w:bottom w:val="single" w:sz="4" w:space="0" w:color="auto"/>
              <w:right w:val="single" w:sz="4" w:space="0" w:color="auto"/>
            </w:tcBorders>
            <w:shd w:val="clear" w:color="auto" w:fill="auto"/>
            <w:noWrap/>
            <w:vAlign w:val="center"/>
            <w:hideMark/>
          </w:tcPr>
          <w:p w14:paraId="0948E787"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t</w:t>
            </w:r>
          </w:p>
        </w:tc>
        <w:tc>
          <w:tcPr>
            <w:tcW w:w="1480" w:type="dxa"/>
            <w:tcBorders>
              <w:top w:val="nil"/>
              <w:left w:val="nil"/>
              <w:bottom w:val="single" w:sz="4" w:space="0" w:color="auto"/>
              <w:right w:val="single" w:sz="4" w:space="0" w:color="auto"/>
            </w:tcBorders>
            <w:shd w:val="clear" w:color="auto" w:fill="auto"/>
            <w:noWrap/>
            <w:vAlign w:val="center"/>
            <w:hideMark/>
          </w:tcPr>
          <w:p w14:paraId="4CE6CC7B"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5.21</w:t>
            </w:r>
          </w:p>
        </w:tc>
        <w:tc>
          <w:tcPr>
            <w:tcW w:w="1235" w:type="dxa"/>
            <w:vMerge/>
            <w:tcBorders>
              <w:top w:val="nil"/>
              <w:left w:val="single" w:sz="4" w:space="0" w:color="auto"/>
              <w:bottom w:val="single" w:sz="4" w:space="0" w:color="auto"/>
              <w:right w:val="single" w:sz="4" w:space="0" w:color="auto"/>
            </w:tcBorders>
            <w:vAlign w:val="center"/>
            <w:hideMark/>
          </w:tcPr>
          <w:p w14:paraId="4D3F6B7E" w14:textId="77777777" w:rsidR="0082531A" w:rsidRPr="000708BC" w:rsidRDefault="0082531A" w:rsidP="0082531A">
            <w:pPr>
              <w:jc w:val="center"/>
              <w:rPr>
                <w:rFonts w:ascii="Arial" w:hAnsi="Arial" w:cs="Arial"/>
                <w:color w:val="000000"/>
                <w:sz w:val="20"/>
              </w:rPr>
            </w:pPr>
          </w:p>
        </w:tc>
      </w:tr>
      <w:tr w:rsidR="0082531A" w:rsidRPr="000708BC" w14:paraId="4126E873"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775FDFEA"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341E0513"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Cast iron</w:t>
            </w:r>
          </w:p>
        </w:tc>
        <w:tc>
          <w:tcPr>
            <w:tcW w:w="1355" w:type="dxa"/>
            <w:tcBorders>
              <w:top w:val="nil"/>
              <w:left w:val="nil"/>
              <w:bottom w:val="single" w:sz="4" w:space="0" w:color="auto"/>
              <w:right w:val="single" w:sz="4" w:space="0" w:color="auto"/>
            </w:tcBorders>
            <w:shd w:val="clear" w:color="auto" w:fill="auto"/>
            <w:noWrap/>
            <w:vAlign w:val="center"/>
            <w:hideMark/>
          </w:tcPr>
          <w:p w14:paraId="7EB5877C"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t</w:t>
            </w:r>
          </w:p>
        </w:tc>
        <w:tc>
          <w:tcPr>
            <w:tcW w:w="1480" w:type="dxa"/>
            <w:tcBorders>
              <w:top w:val="nil"/>
              <w:left w:val="nil"/>
              <w:bottom w:val="single" w:sz="4" w:space="0" w:color="auto"/>
              <w:right w:val="single" w:sz="4" w:space="0" w:color="auto"/>
            </w:tcBorders>
            <w:shd w:val="clear" w:color="auto" w:fill="auto"/>
            <w:noWrap/>
            <w:vAlign w:val="center"/>
            <w:hideMark/>
          </w:tcPr>
          <w:p w14:paraId="151B9B3B"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2.94</w:t>
            </w:r>
          </w:p>
        </w:tc>
        <w:tc>
          <w:tcPr>
            <w:tcW w:w="1235" w:type="dxa"/>
            <w:vMerge/>
            <w:tcBorders>
              <w:top w:val="nil"/>
              <w:left w:val="single" w:sz="4" w:space="0" w:color="auto"/>
              <w:bottom w:val="single" w:sz="4" w:space="0" w:color="auto"/>
              <w:right w:val="single" w:sz="4" w:space="0" w:color="auto"/>
            </w:tcBorders>
            <w:vAlign w:val="center"/>
            <w:hideMark/>
          </w:tcPr>
          <w:p w14:paraId="5F1EF196" w14:textId="77777777" w:rsidR="0082531A" w:rsidRPr="000708BC" w:rsidRDefault="0082531A" w:rsidP="0082531A">
            <w:pPr>
              <w:jc w:val="center"/>
              <w:rPr>
                <w:rFonts w:ascii="Arial" w:hAnsi="Arial" w:cs="Arial"/>
                <w:color w:val="000000"/>
                <w:sz w:val="20"/>
              </w:rPr>
            </w:pPr>
          </w:p>
        </w:tc>
      </w:tr>
      <w:tr w:rsidR="0082531A" w:rsidRPr="000708BC" w14:paraId="19906839"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0CB05F45"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65438539"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Copper</w:t>
            </w:r>
          </w:p>
        </w:tc>
        <w:tc>
          <w:tcPr>
            <w:tcW w:w="1355" w:type="dxa"/>
            <w:tcBorders>
              <w:top w:val="nil"/>
              <w:left w:val="nil"/>
              <w:bottom w:val="single" w:sz="4" w:space="0" w:color="auto"/>
              <w:right w:val="single" w:sz="4" w:space="0" w:color="auto"/>
            </w:tcBorders>
            <w:shd w:val="clear" w:color="auto" w:fill="auto"/>
            <w:noWrap/>
            <w:vAlign w:val="center"/>
            <w:hideMark/>
          </w:tcPr>
          <w:p w14:paraId="6A5ACD85"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t</w:t>
            </w:r>
          </w:p>
        </w:tc>
        <w:tc>
          <w:tcPr>
            <w:tcW w:w="1480" w:type="dxa"/>
            <w:tcBorders>
              <w:top w:val="nil"/>
              <w:left w:val="nil"/>
              <w:bottom w:val="single" w:sz="4" w:space="0" w:color="auto"/>
              <w:right w:val="single" w:sz="4" w:space="0" w:color="auto"/>
            </w:tcBorders>
            <w:shd w:val="clear" w:color="auto" w:fill="auto"/>
            <w:noWrap/>
            <w:vAlign w:val="center"/>
            <w:hideMark/>
          </w:tcPr>
          <w:p w14:paraId="388B6426"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1.18</w:t>
            </w:r>
          </w:p>
        </w:tc>
        <w:tc>
          <w:tcPr>
            <w:tcW w:w="1235" w:type="dxa"/>
            <w:vMerge/>
            <w:tcBorders>
              <w:top w:val="nil"/>
              <w:left w:val="single" w:sz="4" w:space="0" w:color="auto"/>
              <w:bottom w:val="single" w:sz="4" w:space="0" w:color="auto"/>
              <w:right w:val="single" w:sz="4" w:space="0" w:color="auto"/>
            </w:tcBorders>
            <w:vAlign w:val="center"/>
            <w:hideMark/>
          </w:tcPr>
          <w:p w14:paraId="568DD0CF" w14:textId="77777777" w:rsidR="0082531A" w:rsidRPr="000708BC" w:rsidRDefault="0082531A" w:rsidP="0082531A">
            <w:pPr>
              <w:jc w:val="center"/>
              <w:rPr>
                <w:rFonts w:ascii="Arial" w:hAnsi="Arial" w:cs="Arial"/>
                <w:color w:val="000000"/>
                <w:sz w:val="20"/>
              </w:rPr>
            </w:pPr>
          </w:p>
        </w:tc>
      </w:tr>
      <w:tr w:rsidR="0082531A" w:rsidRPr="000708BC" w14:paraId="6CF7B22A"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53FB1013"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61A479AC"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Aluminum</w:t>
            </w:r>
          </w:p>
        </w:tc>
        <w:tc>
          <w:tcPr>
            <w:tcW w:w="1355" w:type="dxa"/>
            <w:tcBorders>
              <w:top w:val="nil"/>
              <w:left w:val="nil"/>
              <w:bottom w:val="single" w:sz="4" w:space="0" w:color="auto"/>
              <w:right w:val="single" w:sz="4" w:space="0" w:color="auto"/>
            </w:tcBorders>
            <w:shd w:val="clear" w:color="auto" w:fill="auto"/>
            <w:noWrap/>
            <w:vAlign w:val="center"/>
            <w:hideMark/>
          </w:tcPr>
          <w:p w14:paraId="7DDCB457"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480" w:type="dxa"/>
            <w:tcBorders>
              <w:top w:val="nil"/>
              <w:left w:val="nil"/>
              <w:bottom w:val="single" w:sz="4" w:space="0" w:color="auto"/>
              <w:right w:val="single" w:sz="4" w:space="0" w:color="auto"/>
            </w:tcBorders>
            <w:shd w:val="clear" w:color="auto" w:fill="auto"/>
            <w:noWrap/>
            <w:vAlign w:val="center"/>
            <w:hideMark/>
          </w:tcPr>
          <w:p w14:paraId="16FF6D49"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499</w:t>
            </w:r>
          </w:p>
        </w:tc>
        <w:tc>
          <w:tcPr>
            <w:tcW w:w="1235" w:type="dxa"/>
            <w:vMerge/>
            <w:tcBorders>
              <w:top w:val="nil"/>
              <w:left w:val="single" w:sz="4" w:space="0" w:color="auto"/>
              <w:bottom w:val="single" w:sz="4" w:space="0" w:color="auto"/>
              <w:right w:val="single" w:sz="4" w:space="0" w:color="auto"/>
            </w:tcBorders>
            <w:vAlign w:val="center"/>
            <w:hideMark/>
          </w:tcPr>
          <w:p w14:paraId="601050C6" w14:textId="77777777" w:rsidR="0082531A" w:rsidRPr="000708BC" w:rsidRDefault="0082531A" w:rsidP="0082531A">
            <w:pPr>
              <w:jc w:val="center"/>
              <w:rPr>
                <w:rFonts w:ascii="Arial" w:hAnsi="Arial" w:cs="Arial"/>
                <w:color w:val="000000"/>
                <w:sz w:val="20"/>
              </w:rPr>
            </w:pPr>
          </w:p>
        </w:tc>
      </w:tr>
      <w:tr w:rsidR="0082531A" w:rsidRPr="000708BC" w14:paraId="06AF5A99"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757AE739"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07055A31"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Polymer</w:t>
            </w:r>
          </w:p>
        </w:tc>
        <w:tc>
          <w:tcPr>
            <w:tcW w:w="1355" w:type="dxa"/>
            <w:tcBorders>
              <w:top w:val="nil"/>
              <w:left w:val="nil"/>
              <w:bottom w:val="single" w:sz="4" w:space="0" w:color="auto"/>
              <w:right w:val="single" w:sz="4" w:space="0" w:color="auto"/>
            </w:tcBorders>
            <w:shd w:val="clear" w:color="auto" w:fill="auto"/>
            <w:noWrap/>
            <w:vAlign w:val="center"/>
            <w:hideMark/>
          </w:tcPr>
          <w:p w14:paraId="7361AD3D"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480" w:type="dxa"/>
            <w:tcBorders>
              <w:top w:val="nil"/>
              <w:left w:val="nil"/>
              <w:bottom w:val="single" w:sz="4" w:space="0" w:color="auto"/>
              <w:right w:val="single" w:sz="4" w:space="0" w:color="auto"/>
            </w:tcBorders>
            <w:shd w:val="clear" w:color="auto" w:fill="auto"/>
            <w:noWrap/>
            <w:vAlign w:val="center"/>
            <w:hideMark/>
          </w:tcPr>
          <w:p w14:paraId="053FFA25"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372</w:t>
            </w:r>
          </w:p>
        </w:tc>
        <w:tc>
          <w:tcPr>
            <w:tcW w:w="1235" w:type="dxa"/>
            <w:vMerge/>
            <w:tcBorders>
              <w:top w:val="nil"/>
              <w:left w:val="single" w:sz="4" w:space="0" w:color="auto"/>
              <w:bottom w:val="single" w:sz="4" w:space="0" w:color="auto"/>
              <w:right w:val="single" w:sz="4" w:space="0" w:color="auto"/>
            </w:tcBorders>
            <w:vAlign w:val="center"/>
            <w:hideMark/>
          </w:tcPr>
          <w:p w14:paraId="026C1006" w14:textId="77777777" w:rsidR="0082531A" w:rsidRPr="000708BC" w:rsidRDefault="0082531A" w:rsidP="0082531A">
            <w:pPr>
              <w:jc w:val="center"/>
              <w:rPr>
                <w:rFonts w:ascii="Arial" w:hAnsi="Arial" w:cs="Arial"/>
                <w:color w:val="000000"/>
                <w:sz w:val="20"/>
              </w:rPr>
            </w:pPr>
          </w:p>
        </w:tc>
      </w:tr>
      <w:tr w:rsidR="0082531A" w:rsidRPr="000708BC" w14:paraId="5C432000"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10335DB4"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1D9E7CC1"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electronics</w:t>
            </w:r>
          </w:p>
        </w:tc>
        <w:tc>
          <w:tcPr>
            <w:tcW w:w="1355" w:type="dxa"/>
            <w:tcBorders>
              <w:top w:val="nil"/>
              <w:left w:val="nil"/>
              <w:bottom w:val="single" w:sz="4" w:space="0" w:color="auto"/>
              <w:right w:val="single" w:sz="4" w:space="0" w:color="auto"/>
            </w:tcBorders>
            <w:shd w:val="clear" w:color="auto" w:fill="auto"/>
            <w:noWrap/>
            <w:vAlign w:val="center"/>
            <w:hideMark/>
          </w:tcPr>
          <w:p w14:paraId="6424AF72"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kg</w:t>
            </w:r>
          </w:p>
        </w:tc>
        <w:tc>
          <w:tcPr>
            <w:tcW w:w="1480" w:type="dxa"/>
            <w:tcBorders>
              <w:top w:val="nil"/>
              <w:left w:val="nil"/>
              <w:bottom w:val="single" w:sz="4" w:space="0" w:color="auto"/>
              <w:right w:val="single" w:sz="4" w:space="0" w:color="auto"/>
            </w:tcBorders>
            <w:shd w:val="clear" w:color="auto" w:fill="auto"/>
            <w:noWrap/>
            <w:vAlign w:val="center"/>
            <w:hideMark/>
          </w:tcPr>
          <w:p w14:paraId="6E6B9ADD"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64</w:t>
            </w:r>
          </w:p>
        </w:tc>
        <w:tc>
          <w:tcPr>
            <w:tcW w:w="1235" w:type="dxa"/>
            <w:vMerge/>
            <w:tcBorders>
              <w:top w:val="nil"/>
              <w:left w:val="single" w:sz="4" w:space="0" w:color="auto"/>
              <w:bottom w:val="single" w:sz="4" w:space="0" w:color="auto"/>
              <w:right w:val="single" w:sz="4" w:space="0" w:color="auto"/>
            </w:tcBorders>
            <w:vAlign w:val="center"/>
            <w:hideMark/>
          </w:tcPr>
          <w:p w14:paraId="31210ED7" w14:textId="77777777" w:rsidR="0082531A" w:rsidRPr="000708BC" w:rsidRDefault="0082531A" w:rsidP="0082531A">
            <w:pPr>
              <w:jc w:val="center"/>
              <w:rPr>
                <w:rFonts w:ascii="Arial" w:hAnsi="Arial" w:cs="Arial"/>
                <w:color w:val="000000"/>
                <w:sz w:val="20"/>
              </w:rPr>
            </w:pPr>
          </w:p>
        </w:tc>
      </w:tr>
      <w:tr w:rsidR="0082531A" w:rsidRPr="000708BC" w14:paraId="60F909F8"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162F8E4C"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3972BB79"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Concrete</w:t>
            </w:r>
          </w:p>
        </w:tc>
        <w:tc>
          <w:tcPr>
            <w:tcW w:w="1355" w:type="dxa"/>
            <w:tcBorders>
              <w:top w:val="nil"/>
              <w:left w:val="nil"/>
              <w:bottom w:val="single" w:sz="4" w:space="0" w:color="auto"/>
              <w:right w:val="single" w:sz="4" w:space="0" w:color="auto"/>
            </w:tcBorders>
            <w:shd w:val="clear" w:color="auto" w:fill="auto"/>
            <w:noWrap/>
            <w:vAlign w:val="center"/>
            <w:hideMark/>
          </w:tcPr>
          <w:p w14:paraId="018EDDD6"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t</w:t>
            </w:r>
          </w:p>
        </w:tc>
        <w:tc>
          <w:tcPr>
            <w:tcW w:w="1480" w:type="dxa"/>
            <w:tcBorders>
              <w:top w:val="nil"/>
              <w:left w:val="nil"/>
              <w:bottom w:val="single" w:sz="4" w:space="0" w:color="auto"/>
              <w:right w:val="single" w:sz="4" w:space="0" w:color="auto"/>
            </w:tcBorders>
            <w:shd w:val="clear" w:color="auto" w:fill="auto"/>
            <w:noWrap/>
            <w:vAlign w:val="center"/>
            <w:hideMark/>
          </w:tcPr>
          <w:p w14:paraId="60E11C27"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210</w:t>
            </w:r>
          </w:p>
        </w:tc>
        <w:tc>
          <w:tcPr>
            <w:tcW w:w="1235" w:type="dxa"/>
            <w:vMerge/>
            <w:tcBorders>
              <w:top w:val="nil"/>
              <w:left w:val="single" w:sz="4" w:space="0" w:color="auto"/>
              <w:bottom w:val="single" w:sz="4" w:space="0" w:color="auto"/>
              <w:right w:val="single" w:sz="4" w:space="0" w:color="auto"/>
            </w:tcBorders>
            <w:vAlign w:val="center"/>
            <w:hideMark/>
          </w:tcPr>
          <w:p w14:paraId="3701F3F7" w14:textId="77777777" w:rsidR="0082531A" w:rsidRPr="000708BC" w:rsidRDefault="0082531A" w:rsidP="0082531A">
            <w:pPr>
              <w:jc w:val="center"/>
              <w:rPr>
                <w:rFonts w:ascii="Arial" w:hAnsi="Arial" w:cs="Arial"/>
                <w:color w:val="000000"/>
                <w:sz w:val="20"/>
              </w:rPr>
            </w:pPr>
          </w:p>
        </w:tc>
      </w:tr>
      <w:tr w:rsidR="0082531A" w:rsidRPr="000708BC" w14:paraId="3BF1C3AC" w14:textId="77777777" w:rsidTr="0082531A">
        <w:trPr>
          <w:trHeight w:val="260"/>
          <w:jc w:val="center"/>
        </w:trPr>
        <w:tc>
          <w:tcPr>
            <w:tcW w:w="2093" w:type="dxa"/>
            <w:vMerge/>
            <w:tcBorders>
              <w:top w:val="nil"/>
              <w:left w:val="single" w:sz="4" w:space="0" w:color="auto"/>
              <w:bottom w:val="single" w:sz="4" w:space="0" w:color="auto"/>
              <w:right w:val="single" w:sz="4" w:space="0" w:color="auto"/>
            </w:tcBorders>
            <w:vAlign w:val="center"/>
            <w:hideMark/>
          </w:tcPr>
          <w:p w14:paraId="4D00549F" w14:textId="77777777" w:rsidR="0082531A" w:rsidRPr="000708BC" w:rsidRDefault="0082531A" w:rsidP="0082531A">
            <w:pPr>
              <w:jc w:val="center"/>
              <w:rPr>
                <w:rFonts w:ascii="Arial" w:hAnsi="Arial" w:cs="Arial"/>
                <w:color w:val="000000"/>
                <w:sz w:val="20"/>
              </w:rPr>
            </w:pPr>
          </w:p>
        </w:tc>
        <w:tc>
          <w:tcPr>
            <w:tcW w:w="2693" w:type="dxa"/>
            <w:tcBorders>
              <w:top w:val="nil"/>
              <w:left w:val="nil"/>
              <w:bottom w:val="single" w:sz="4" w:space="0" w:color="auto"/>
              <w:right w:val="single" w:sz="4" w:space="0" w:color="auto"/>
            </w:tcBorders>
            <w:shd w:val="clear" w:color="auto" w:fill="auto"/>
            <w:noWrap/>
            <w:vAlign w:val="center"/>
            <w:hideMark/>
          </w:tcPr>
          <w:p w14:paraId="20BB3653" w14:textId="77777777" w:rsidR="0082531A" w:rsidRPr="000708BC" w:rsidRDefault="0082531A" w:rsidP="0082531A">
            <w:pPr>
              <w:rPr>
                <w:rFonts w:ascii="Arial" w:hAnsi="Arial" w:cs="Arial"/>
                <w:color w:val="000000"/>
                <w:sz w:val="20"/>
              </w:rPr>
            </w:pPr>
            <w:r w:rsidRPr="000708BC">
              <w:rPr>
                <w:rFonts w:ascii="Arial" w:hAnsi="Arial" w:cs="Arial"/>
                <w:color w:val="000000"/>
                <w:sz w:val="20"/>
              </w:rPr>
              <w:t>Recycling Concrete</w:t>
            </w:r>
          </w:p>
        </w:tc>
        <w:tc>
          <w:tcPr>
            <w:tcW w:w="1355" w:type="dxa"/>
            <w:tcBorders>
              <w:top w:val="nil"/>
              <w:left w:val="nil"/>
              <w:bottom w:val="single" w:sz="4" w:space="0" w:color="auto"/>
              <w:right w:val="single" w:sz="4" w:space="0" w:color="auto"/>
            </w:tcBorders>
            <w:shd w:val="clear" w:color="auto" w:fill="auto"/>
            <w:noWrap/>
            <w:vAlign w:val="center"/>
            <w:hideMark/>
          </w:tcPr>
          <w:p w14:paraId="491FCA78"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t</w:t>
            </w:r>
          </w:p>
        </w:tc>
        <w:tc>
          <w:tcPr>
            <w:tcW w:w="1480" w:type="dxa"/>
            <w:tcBorders>
              <w:top w:val="nil"/>
              <w:left w:val="nil"/>
              <w:bottom w:val="single" w:sz="4" w:space="0" w:color="auto"/>
              <w:right w:val="single" w:sz="4" w:space="0" w:color="auto"/>
            </w:tcBorders>
            <w:shd w:val="clear" w:color="auto" w:fill="auto"/>
            <w:noWrap/>
            <w:vAlign w:val="center"/>
            <w:hideMark/>
          </w:tcPr>
          <w:p w14:paraId="63A73FE6" w14:textId="77777777" w:rsidR="0082531A" w:rsidRPr="000708BC" w:rsidRDefault="0082531A" w:rsidP="0082531A">
            <w:pPr>
              <w:jc w:val="center"/>
              <w:rPr>
                <w:rFonts w:ascii="Arial" w:hAnsi="Arial" w:cs="Arial"/>
                <w:color w:val="000000"/>
                <w:sz w:val="20"/>
              </w:rPr>
            </w:pPr>
            <w:r w:rsidRPr="000708BC">
              <w:rPr>
                <w:rFonts w:ascii="Arial" w:hAnsi="Arial" w:cs="Arial"/>
                <w:color w:val="000000"/>
                <w:sz w:val="20"/>
              </w:rPr>
              <w:t>210</w:t>
            </w:r>
          </w:p>
        </w:tc>
        <w:tc>
          <w:tcPr>
            <w:tcW w:w="1235" w:type="dxa"/>
            <w:vMerge/>
            <w:tcBorders>
              <w:top w:val="nil"/>
              <w:left w:val="single" w:sz="4" w:space="0" w:color="auto"/>
              <w:bottom w:val="single" w:sz="4" w:space="0" w:color="auto"/>
              <w:right w:val="single" w:sz="4" w:space="0" w:color="auto"/>
            </w:tcBorders>
            <w:vAlign w:val="center"/>
            <w:hideMark/>
          </w:tcPr>
          <w:p w14:paraId="224B4062" w14:textId="77777777" w:rsidR="0082531A" w:rsidRPr="000708BC" w:rsidRDefault="0082531A" w:rsidP="0082531A">
            <w:pPr>
              <w:jc w:val="center"/>
              <w:rPr>
                <w:rFonts w:ascii="Arial" w:hAnsi="Arial" w:cs="Arial"/>
                <w:color w:val="000000"/>
                <w:sz w:val="20"/>
              </w:rPr>
            </w:pPr>
          </w:p>
        </w:tc>
      </w:tr>
    </w:tbl>
    <w:p w14:paraId="44EC6FAE" w14:textId="77777777" w:rsidR="00FB0286" w:rsidRPr="000708BC" w:rsidRDefault="00FB0286">
      <w:pPr>
        <w:pStyle w:val="JIEreferencelist"/>
        <w:ind w:left="0" w:firstLine="0"/>
        <w:rPr>
          <w:rFonts w:ascii="Arial" w:hAnsi="Arial" w:cs="Arial"/>
          <w:iCs/>
          <w:sz w:val="22"/>
          <w:szCs w:val="22"/>
        </w:rPr>
      </w:pPr>
    </w:p>
    <w:p w14:paraId="420DB266" w14:textId="3FAEDEEA" w:rsidR="00633318" w:rsidRPr="000708BC" w:rsidRDefault="00633318" w:rsidP="00724D19">
      <w:pPr>
        <w:pStyle w:val="Heading1"/>
        <w:rPr>
          <w:rFonts w:cs="Arial"/>
        </w:rPr>
      </w:pPr>
      <w:r w:rsidRPr="000708BC">
        <w:rPr>
          <w:rFonts w:cs="Arial"/>
        </w:rPr>
        <w:t>Stage 3: Reverse Osmosis Seawater Desalination</w:t>
      </w:r>
    </w:p>
    <w:p w14:paraId="5720F56F" w14:textId="77777777" w:rsidR="00373EB2" w:rsidRPr="000708BC" w:rsidRDefault="00373EB2" w:rsidP="00750865">
      <w:pPr>
        <w:pStyle w:val="JIEreferencelist"/>
        <w:ind w:left="0" w:firstLine="0"/>
        <w:jc w:val="both"/>
        <w:rPr>
          <w:rFonts w:ascii="Arial" w:hAnsi="Arial" w:cs="Arial"/>
          <w:iCs/>
          <w:sz w:val="22"/>
          <w:szCs w:val="22"/>
        </w:rPr>
      </w:pPr>
    </w:p>
    <w:p w14:paraId="4735ECC3" w14:textId="75EB18BD" w:rsidR="00750865" w:rsidRPr="000708BC" w:rsidRDefault="00C32FCC" w:rsidP="00750865">
      <w:pPr>
        <w:pStyle w:val="JIEreferencelist"/>
        <w:ind w:left="0" w:firstLine="0"/>
        <w:jc w:val="both"/>
        <w:rPr>
          <w:rFonts w:ascii="Arial" w:hAnsi="Arial" w:cs="Arial"/>
          <w:iCs/>
          <w:sz w:val="22"/>
          <w:szCs w:val="22"/>
        </w:rPr>
      </w:pPr>
      <w:r w:rsidRPr="000708BC">
        <w:rPr>
          <w:rFonts w:ascii="Arial" w:hAnsi="Arial" w:cs="Arial"/>
          <w:iCs/>
          <w:sz w:val="22"/>
          <w:szCs w:val="22"/>
        </w:rPr>
        <w:t xml:space="preserve">Seawater desalination was modeled by assuming the use of reverse osmosis technology to produce potable water quality for mining operations and deionized water for hydrogen production. This process involves seawater intake and subsequent brine discharge into the ocean. Under the BAU scenario, </w:t>
      </w:r>
      <w:r w:rsidR="002E5538" w:rsidRPr="000708BC">
        <w:rPr>
          <w:rFonts w:ascii="Arial" w:hAnsi="Arial" w:cs="Arial"/>
          <w:iCs/>
          <w:sz w:val="22"/>
          <w:szCs w:val="22"/>
        </w:rPr>
        <w:t>3</w:t>
      </w:r>
      <w:r w:rsidR="003F5198" w:rsidRPr="000708BC">
        <w:rPr>
          <w:rFonts w:ascii="Arial" w:hAnsi="Arial" w:cs="Arial"/>
          <w:iCs/>
          <w:sz w:val="22"/>
          <w:szCs w:val="22"/>
        </w:rPr>
        <w:t>9</w:t>
      </w:r>
      <w:r w:rsidRPr="000708BC">
        <w:rPr>
          <w:rFonts w:ascii="Arial" w:hAnsi="Arial" w:cs="Arial"/>
          <w:iCs/>
          <w:sz w:val="22"/>
          <w:szCs w:val="22"/>
        </w:rPr>
        <w:t>% of the total water consumption was assumed to be sourced from desalinated seawater</w:t>
      </w:r>
      <w:r w:rsidR="003F5198" w:rsidRPr="000708BC">
        <w:rPr>
          <w:rFonts w:ascii="Arial" w:hAnsi="Arial" w:cs="Arial"/>
          <w:iCs/>
          <w:sz w:val="22"/>
          <w:szCs w:val="22"/>
        </w:rPr>
        <w:t xml:space="preserve"> in [P]Cu and 17% in [H]Cu line</w:t>
      </w:r>
      <w:r w:rsidRPr="000708BC">
        <w:rPr>
          <w:rFonts w:ascii="Arial" w:hAnsi="Arial" w:cs="Arial"/>
          <w:iCs/>
          <w:sz w:val="22"/>
          <w:szCs w:val="22"/>
        </w:rPr>
        <w:t xml:space="preserve"> (</w:t>
      </w:r>
      <w:proofErr w:type="spellStart"/>
      <w:r w:rsidRPr="000708BC">
        <w:rPr>
          <w:rFonts w:ascii="Arial" w:hAnsi="Arial" w:cs="Arial"/>
          <w:iCs/>
          <w:sz w:val="22"/>
          <w:szCs w:val="22"/>
        </w:rPr>
        <w:t>Cochilco</w:t>
      </w:r>
      <w:proofErr w:type="spellEnd"/>
      <w:r w:rsidRPr="000708BC">
        <w:rPr>
          <w:rFonts w:ascii="Arial" w:hAnsi="Arial" w:cs="Arial"/>
          <w:iCs/>
          <w:sz w:val="22"/>
          <w:szCs w:val="22"/>
        </w:rPr>
        <w:t xml:space="preserve">, 2024c), while under the renewables-led scenario, 100% of water demand was assumed to be met through desalination. The model also accounted for </w:t>
      </w:r>
      <w:r w:rsidR="003F5198" w:rsidRPr="000708BC">
        <w:rPr>
          <w:rFonts w:ascii="Arial" w:hAnsi="Arial" w:cs="Arial"/>
          <w:iCs/>
          <w:sz w:val="22"/>
          <w:szCs w:val="22"/>
        </w:rPr>
        <w:t xml:space="preserve">the </w:t>
      </w:r>
      <w:r w:rsidRPr="000708BC">
        <w:rPr>
          <w:rFonts w:ascii="Arial" w:hAnsi="Arial" w:cs="Arial"/>
          <w:iCs/>
          <w:sz w:val="22"/>
          <w:szCs w:val="22"/>
        </w:rPr>
        <w:t>transportation of water to the mine site, ensuring a comprehensive assessment of water-related impacts.</w:t>
      </w:r>
    </w:p>
    <w:p w14:paraId="27838078" w14:textId="77777777" w:rsidR="00C32FCC" w:rsidRPr="000708BC" w:rsidRDefault="00C32FCC" w:rsidP="00750865">
      <w:pPr>
        <w:pStyle w:val="JIEreferencelist"/>
        <w:ind w:left="0" w:firstLine="0"/>
        <w:jc w:val="both"/>
        <w:rPr>
          <w:rFonts w:ascii="Arial" w:hAnsi="Arial" w:cs="Arial"/>
          <w:iCs/>
          <w:sz w:val="22"/>
          <w:szCs w:val="22"/>
        </w:rPr>
      </w:pPr>
    </w:p>
    <w:p w14:paraId="62C7876E" w14:textId="7A0B7C0F" w:rsidR="00990181" w:rsidRPr="000708BC" w:rsidRDefault="00990181" w:rsidP="00750865">
      <w:pPr>
        <w:pStyle w:val="JIEreferencelist"/>
        <w:ind w:left="0" w:firstLine="0"/>
        <w:jc w:val="both"/>
        <w:rPr>
          <w:rFonts w:ascii="Arial" w:hAnsi="Arial" w:cs="Arial"/>
          <w:iCs/>
          <w:sz w:val="22"/>
          <w:szCs w:val="22"/>
        </w:rPr>
      </w:pPr>
      <w:r w:rsidRPr="000708BC">
        <w:rPr>
          <w:rFonts w:ascii="Arial" w:hAnsi="Arial" w:cs="Arial"/>
          <w:iCs/>
          <w:sz w:val="22"/>
          <w:szCs w:val="22"/>
        </w:rPr>
        <w:t>Seawater desalination employs reverse osmosis (RO) technology to produce tap-quality water for mining operations and deionized water for hydrogen production. This process involves seawater intake and the disposal back into the sea. The desalinated water is transported through a 200 km length of high-density polyethylene (HDPE) pipeline, elevating it from sea level to an altitude of 2,500 meters above sea level to supply the mining site.</w:t>
      </w:r>
    </w:p>
    <w:p w14:paraId="67CAD2DD" w14:textId="77777777" w:rsidR="00990181" w:rsidRPr="000708BC" w:rsidRDefault="00990181" w:rsidP="00750865">
      <w:pPr>
        <w:pStyle w:val="JIEreferencelist"/>
        <w:ind w:left="0" w:firstLine="0"/>
        <w:jc w:val="both"/>
        <w:rPr>
          <w:rFonts w:ascii="Arial" w:hAnsi="Arial" w:cs="Arial"/>
          <w:iCs/>
          <w:sz w:val="22"/>
          <w:szCs w:val="22"/>
        </w:rPr>
      </w:pPr>
    </w:p>
    <w:p w14:paraId="0CAD7E45" w14:textId="37E93C5A" w:rsidR="00750865" w:rsidRPr="000708BC" w:rsidRDefault="00750865" w:rsidP="00750865">
      <w:pPr>
        <w:pStyle w:val="JIEreferencelist"/>
        <w:ind w:left="0" w:firstLine="0"/>
        <w:jc w:val="both"/>
        <w:rPr>
          <w:rFonts w:ascii="Arial" w:hAnsi="Arial" w:cs="Arial"/>
          <w:iCs/>
          <w:sz w:val="22"/>
          <w:szCs w:val="22"/>
        </w:rPr>
      </w:pPr>
      <w:r w:rsidRPr="000708BC">
        <w:rPr>
          <w:rFonts w:ascii="Arial" w:hAnsi="Arial" w:cs="Arial"/>
          <w:iCs/>
          <w:sz w:val="22"/>
          <w:szCs w:val="22"/>
        </w:rPr>
        <w:t>Seawater is desalinated using a polyamide membrane. The RO module lasts 5 years. The system requires 2.5 liters of seawater to produce 1 liter of tap water, generating 1.5 liters of brine as a byproduct, which is discharged into the sea. The data for this process were sourced from Ecoinvent, and the electricity sources were modified to the Chilean electricity mix. The plant generates tap water quality for mine activities and deionized water for green hydrogen production.</w:t>
      </w:r>
    </w:p>
    <w:p w14:paraId="76D1DA0E" w14:textId="77777777" w:rsidR="00750865" w:rsidRPr="000708BC" w:rsidRDefault="00750865" w:rsidP="00750865">
      <w:pPr>
        <w:pStyle w:val="JIEreferencelist"/>
        <w:ind w:left="0" w:firstLine="0"/>
        <w:jc w:val="both"/>
        <w:rPr>
          <w:rFonts w:ascii="Arial" w:hAnsi="Arial" w:cs="Arial"/>
          <w:iCs/>
          <w:sz w:val="22"/>
          <w:szCs w:val="22"/>
        </w:rPr>
      </w:pPr>
    </w:p>
    <w:p w14:paraId="16521CA2" w14:textId="262ABED8" w:rsidR="00633318" w:rsidRPr="000708BC" w:rsidRDefault="00750865" w:rsidP="00750865">
      <w:pPr>
        <w:pStyle w:val="JIEreferencelist"/>
        <w:ind w:left="0" w:firstLine="0"/>
        <w:jc w:val="both"/>
        <w:rPr>
          <w:rFonts w:ascii="Arial" w:hAnsi="Arial" w:cs="Arial"/>
          <w:iCs/>
          <w:sz w:val="22"/>
          <w:szCs w:val="22"/>
        </w:rPr>
      </w:pPr>
      <w:r w:rsidRPr="000708BC">
        <w:rPr>
          <w:rFonts w:ascii="Arial" w:hAnsi="Arial" w:cs="Arial"/>
          <w:iCs/>
          <w:sz w:val="22"/>
          <w:szCs w:val="22"/>
        </w:rPr>
        <w:t>The pipeline's design and materials were based on a representative project in Chile approved by the government in 2019</w:t>
      </w:r>
      <w:r w:rsidR="00371571"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"/>
          <w:id w:val="1659575445"/>
          <w:placeholder>
            <w:docPart w:val="DefaultPlaceholder_-1854013440"/>
          </w:placeholder>
        </w:sdtPr>
        <w:sdtEndPr/>
        <w:sdtContent>
          <w:r w:rsidR="002422C9" w:rsidRPr="000708BC">
            <w:rPr>
              <w:rFonts w:ascii="Arial" w:hAnsi="Arial" w:cs="Arial"/>
              <w:iCs/>
              <w:color w:val="000000"/>
              <w:sz w:val="22"/>
              <w:szCs w:val="22"/>
            </w:rPr>
            <w:t>(Evaluation Commission Republic of Chile, 2021)</w:t>
          </w:r>
        </w:sdtContent>
      </w:sdt>
      <w:r w:rsidRPr="000708BC">
        <w:rPr>
          <w:rFonts w:ascii="Arial" w:hAnsi="Arial" w:cs="Arial"/>
          <w:iCs/>
          <w:sz w:val="22"/>
          <w:szCs w:val="22"/>
        </w:rPr>
        <w:t xml:space="preserve">. </w:t>
      </w:r>
      <w:r w:rsidRPr="000708BC">
        <w:rPr>
          <w:rFonts w:ascii="Arial" w:hAnsi="Arial" w:cs="Arial"/>
          <w:iCs/>
          <w:sz w:val="22"/>
          <w:szCs w:val="22"/>
        </w:rPr>
        <w:lastRenderedPageBreak/>
        <w:t>Additionally, the pumping system's capacity and electricity consumption were calculated using assumptions provided by the</w:t>
      </w:r>
      <w:r w:rsidR="002C25FD"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"/>
          <w:id w:val="222959754"/>
          <w:placeholder>
            <w:docPart w:val="DefaultPlaceholder_-1854013440"/>
          </w:placeholder>
        </w:sdtPr>
        <w:sdtEndPr/>
        <w:sdtContent>
          <w:r w:rsidR="002422C9" w:rsidRPr="000708BC">
            <w:rPr>
              <w:rFonts w:ascii="Arial" w:hAnsi="Arial" w:cs="Arial"/>
              <w:iCs/>
              <w:color w:val="000000"/>
              <w:sz w:val="22"/>
              <w:szCs w:val="22"/>
            </w:rPr>
            <w:t>Chilean Copper Commission (2024)</w:t>
          </w:r>
        </w:sdtContent>
      </w:sdt>
      <w:r w:rsidRPr="000708BC">
        <w:rPr>
          <w:rFonts w:ascii="Arial" w:hAnsi="Arial" w:cs="Arial"/>
          <w:iCs/>
          <w:sz w:val="22"/>
          <w:szCs w:val="22"/>
        </w:rPr>
        <w:t>. The information is presented in Tables S1-</w:t>
      </w:r>
      <w:r w:rsidR="000F3546" w:rsidRPr="000708BC">
        <w:rPr>
          <w:rFonts w:ascii="Arial" w:hAnsi="Arial" w:cs="Arial"/>
          <w:iCs/>
          <w:sz w:val="22"/>
          <w:szCs w:val="22"/>
        </w:rPr>
        <w:t>11</w:t>
      </w:r>
      <w:r w:rsidRPr="000708BC">
        <w:rPr>
          <w:rFonts w:ascii="Arial" w:hAnsi="Arial" w:cs="Arial"/>
          <w:iCs/>
          <w:sz w:val="22"/>
          <w:szCs w:val="22"/>
        </w:rPr>
        <w:t xml:space="preserve"> and S1-1</w:t>
      </w:r>
      <w:r w:rsidR="000F3546" w:rsidRPr="000708BC">
        <w:rPr>
          <w:rFonts w:ascii="Arial" w:hAnsi="Arial" w:cs="Arial"/>
          <w:iCs/>
          <w:sz w:val="22"/>
          <w:szCs w:val="22"/>
        </w:rPr>
        <w:t>2</w:t>
      </w:r>
      <w:r w:rsidRPr="000708BC">
        <w:rPr>
          <w:rFonts w:ascii="Arial" w:hAnsi="Arial" w:cs="Arial"/>
          <w:iCs/>
          <w:sz w:val="22"/>
          <w:szCs w:val="22"/>
        </w:rPr>
        <w:t>.</w:t>
      </w:r>
    </w:p>
    <w:p w14:paraId="00B9544F" w14:textId="77777777" w:rsidR="00633318" w:rsidRPr="000708BC" w:rsidRDefault="00633318">
      <w:pPr>
        <w:pStyle w:val="JIEreferencelist"/>
        <w:ind w:left="0" w:firstLine="0"/>
        <w:rPr>
          <w:rFonts w:ascii="Arial" w:hAnsi="Arial" w:cs="Arial"/>
          <w:iCs/>
          <w:sz w:val="22"/>
          <w:szCs w:val="22"/>
        </w:rPr>
      </w:pPr>
    </w:p>
    <w:p w14:paraId="3D854A04" w14:textId="781E87CF" w:rsidR="00A42767" w:rsidRPr="000708BC" w:rsidRDefault="00A42767" w:rsidP="00A42767">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w:t>
      </w:r>
      <w:r w:rsidR="00126269" w:rsidRPr="000708BC">
        <w:rPr>
          <w:rFonts w:ascii="Arial" w:hAnsi="Arial" w:cs="Arial"/>
          <w:i/>
          <w:sz w:val="20"/>
        </w:rPr>
        <w:t>1</w:t>
      </w:r>
      <w:r w:rsidR="00966C3C" w:rsidRPr="000708BC">
        <w:rPr>
          <w:rFonts w:ascii="Arial" w:hAnsi="Arial" w:cs="Arial"/>
          <w:i/>
          <w:sz w:val="20"/>
        </w:rPr>
        <w:t>1</w:t>
      </w:r>
      <w:r w:rsidRPr="000708BC">
        <w:rPr>
          <w:rFonts w:ascii="Arial" w:hAnsi="Arial" w:cs="Arial"/>
          <w:i/>
          <w:sz w:val="20"/>
        </w:rPr>
        <w:t xml:space="preserve"> </w:t>
      </w:r>
      <w:r w:rsidR="005B141F" w:rsidRPr="000708BC">
        <w:rPr>
          <w:rFonts w:ascii="Arial" w:hAnsi="Arial" w:cs="Arial"/>
          <w:i/>
          <w:sz w:val="20"/>
        </w:rPr>
        <w:t>Seawater desalination plant data</w:t>
      </w:r>
      <w:r w:rsidR="0025530F" w:rsidRPr="000708BC">
        <w:rPr>
          <w:rFonts w:ascii="Arial" w:hAnsi="Arial" w:cs="Arial"/>
          <w:i/>
          <w:sz w:val="20"/>
        </w:rPr>
        <w:t xml:space="preserve"> </w:t>
      </w:r>
      <w:r w:rsidR="005B141F" w:rsidRPr="000708BC">
        <w:rPr>
          <w:rFonts w:ascii="Arial" w:hAnsi="Arial" w:cs="Arial"/>
          <w:i/>
          <w:sz w:val="20"/>
        </w:rPr>
        <w:t>source.</w:t>
      </w:r>
    </w:p>
    <w:tbl>
      <w:tblPr>
        <w:tblW w:w="5000" w:type="pct"/>
        <w:jc w:val="center"/>
        <w:tblLook w:val="04A0" w:firstRow="1" w:lastRow="0" w:firstColumn="1" w:lastColumn="0" w:noHBand="0" w:noVBand="1"/>
      </w:tblPr>
      <w:tblGrid>
        <w:gridCol w:w="1482"/>
        <w:gridCol w:w="1868"/>
        <w:gridCol w:w="1703"/>
        <w:gridCol w:w="2043"/>
        <w:gridCol w:w="1534"/>
      </w:tblGrid>
      <w:tr w:rsidR="00AB6F7D" w:rsidRPr="000708BC" w14:paraId="1FB88F99" w14:textId="5FA1FF03" w:rsidTr="00CF42A3">
        <w:trPr>
          <w:trHeight w:val="560"/>
          <w:tblHeader/>
          <w:jc w:val="center"/>
        </w:trPr>
        <w:tc>
          <w:tcPr>
            <w:tcW w:w="14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755332" w14:textId="77777777" w:rsidR="00AB6F7D" w:rsidRPr="000708BC" w:rsidRDefault="00AB6F7D" w:rsidP="005D4B7F">
            <w:pPr>
              <w:jc w:val="center"/>
              <w:rPr>
                <w:rFonts w:ascii="Arial" w:hAnsi="Arial" w:cs="Arial"/>
                <w:b/>
                <w:bCs/>
                <w:color w:val="000000"/>
                <w:sz w:val="20"/>
              </w:rPr>
            </w:pPr>
            <w:r w:rsidRPr="000708BC">
              <w:rPr>
                <w:rFonts w:ascii="Arial" w:hAnsi="Arial" w:cs="Arial"/>
                <w:b/>
                <w:bCs/>
                <w:color w:val="000000"/>
                <w:sz w:val="20"/>
              </w:rPr>
              <w:t>Structure</w:t>
            </w:r>
          </w:p>
        </w:tc>
        <w:tc>
          <w:tcPr>
            <w:tcW w:w="1868" w:type="dxa"/>
            <w:tcBorders>
              <w:top w:val="single" w:sz="4" w:space="0" w:color="auto"/>
              <w:left w:val="nil"/>
              <w:bottom w:val="single" w:sz="4" w:space="0" w:color="auto"/>
              <w:right w:val="single" w:sz="4" w:space="0" w:color="auto"/>
            </w:tcBorders>
            <w:shd w:val="clear" w:color="000000" w:fill="D9D9D9"/>
            <w:vAlign w:val="center"/>
            <w:hideMark/>
          </w:tcPr>
          <w:p w14:paraId="5905738A" w14:textId="77777777" w:rsidR="00AB6F7D" w:rsidRPr="000708BC" w:rsidRDefault="00AB6F7D" w:rsidP="005D4B7F">
            <w:pPr>
              <w:jc w:val="center"/>
              <w:rPr>
                <w:rFonts w:ascii="Arial" w:hAnsi="Arial" w:cs="Arial"/>
                <w:b/>
                <w:bCs/>
                <w:color w:val="000000"/>
                <w:sz w:val="20"/>
              </w:rPr>
            </w:pPr>
            <w:r w:rsidRPr="000708BC">
              <w:rPr>
                <w:rFonts w:ascii="Arial" w:hAnsi="Arial" w:cs="Arial"/>
                <w:b/>
                <w:bCs/>
                <w:color w:val="000000"/>
                <w:sz w:val="20"/>
              </w:rPr>
              <w:t>BAU Scenario(2023)</w:t>
            </w:r>
          </w:p>
        </w:tc>
        <w:tc>
          <w:tcPr>
            <w:tcW w:w="1703" w:type="dxa"/>
            <w:tcBorders>
              <w:top w:val="single" w:sz="4" w:space="0" w:color="auto"/>
              <w:left w:val="nil"/>
              <w:bottom w:val="single" w:sz="4" w:space="0" w:color="auto"/>
              <w:right w:val="single" w:sz="4" w:space="0" w:color="auto"/>
            </w:tcBorders>
            <w:shd w:val="clear" w:color="000000" w:fill="D9D9D9"/>
            <w:vAlign w:val="center"/>
            <w:hideMark/>
          </w:tcPr>
          <w:p w14:paraId="412E4ED2" w14:textId="3C1FF0C3" w:rsidR="00AB6F7D" w:rsidRPr="000708BC" w:rsidRDefault="00AB6F7D" w:rsidP="00CF42A3">
            <w:pPr>
              <w:jc w:val="center"/>
              <w:rPr>
                <w:rFonts w:ascii="Arial" w:hAnsi="Arial" w:cs="Arial"/>
                <w:b/>
                <w:bCs/>
                <w:color w:val="000000"/>
                <w:sz w:val="20"/>
              </w:rPr>
            </w:pPr>
            <w:r w:rsidRPr="000708BC">
              <w:rPr>
                <w:rFonts w:ascii="Arial" w:hAnsi="Arial" w:cs="Arial"/>
                <w:b/>
                <w:bCs/>
                <w:color w:val="000000"/>
                <w:sz w:val="20"/>
              </w:rPr>
              <w:t>Renewable</w:t>
            </w:r>
            <w:r w:rsidR="002D3FD8" w:rsidRPr="000708BC">
              <w:rPr>
                <w:rFonts w:ascii="Arial" w:hAnsi="Arial" w:cs="Arial"/>
                <w:b/>
                <w:bCs/>
                <w:color w:val="000000"/>
                <w:sz w:val="20"/>
              </w:rPr>
              <w:t>s</w:t>
            </w:r>
            <w:r w:rsidRPr="000708BC">
              <w:rPr>
                <w:rFonts w:ascii="Arial" w:hAnsi="Arial" w:cs="Arial"/>
                <w:b/>
                <w:bCs/>
                <w:color w:val="000000"/>
                <w:sz w:val="20"/>
              </w:rPr>
              <w:t>-led Scenario (2050</w:t>
            </w:r>
          </w:p>
        </w:tc>
        <w:tc>
          <w:tcPr>
            <w:tcW w:w="2043" w:type="dxa"/>
            <w:tcBorders>
              <w:top w:val="single" w:sz="4" w:space="0" w:color="auto"/>
              <w:left w:val="nil"/>
              <w:bottom w:val="single" w:sz="4" w:space="0" w:color="auto"/>
              <w:right w:val="single" w:sz="4" w:space="0" w:color="auto"/>
            </w:tcBorders>
            <w:shd w:val="clear" w:color="000000" w:fill="D9D9D9"/>
            <w:vAlign w:val="center"/>
            <w:hideMark/>
          </w:tcPr>
          <w:p w14:paraId="2892B864" w14:textId="77777777" w:rsidR="00AB6F7D" w:rsidRPr="000708BC" w:rsidRDefault="00AB6F7D" w:rsidP="00CF42A3">
            <w:pPr>
              <w:jc w:val="center"/>
              <w:rPr>
                <w:rFonts w:ascii="Arial" w:hAnsi="Arial" w:cs="Arial"/>
                <w:b/>
                <w:bCs/>
                <w:color w:val="000000"/>
                <w:sz w:val="20"/>
              </w:rPr>
            </w:pPr>
            <w:r w:rsidRPr="000708BC">
              <w:rPr>
                <w:rFonts w:ascii="Arial" w:hAnsi="Arial" w:cs="Arial"/>
                <w:b/>
                <w:bCs/>
                <w:color w:val="000000"/>
                <w:sz w:val="20"/>
              </w:rPr>
              <w:t>Comments</w:t>
            </w:r>
          </w:p>
        </w:tc>
        <w:tc>
          <w:tcPr>
            <w:tcW w:w="1534" w:type="dxa"/>
            <w:tcBorders>
              <w:top w:val="single" w:sz="4" w:space="0" w:color="auto"/>
              <w:left w:val="nil"/>
              <w:bottom w:val="single" w:sz="4" w:space="0" w:color="auto"/>
              <w:right w:val="single" w:sz="4" w:space="0" w:color="auto"/>
            </w:tcBorders>
            <w:shd w:val="clear" w:color="000000" w:fill="D9D9D9"/>
            <w:vAlign w:val="center"/>
          </w:tcPr>
          <w:p w14:paraId="64C0FB2B" w14:textId="03B963E5" w:rsidR="00AB6F7D" w:rsidRPr="000708BC" w:rsidRDefault="00AB6F7D" w:rsidP="00AB6F7D">
            <w:pPr>
              <w:jc w:val="center"/>
              <w:rPr>
                <w:rFonts w:ascii="Arial" w:hAnsi="Arial" w:cs="Arial"/>
                <w:b/>
                <w:bCs/>
                <w:color w:val="000000"/>
                <w:sz w:val="20"/>
              </w:rPr>
            </w:pPr>
            <w:r w:rsidRPr="000708BC">
              <w:rPr>
                <w:rFonts w:ascii="Arial" w:hAnsi="Arial" w:cs="Arial"/>
                <w:b/>
                <w:bCs/>
                <w:color w:val="000000"/>
                <w:sz w:val="20"/>
              </w:rPr>
              <w:t>References</w:t>
            </w:r>
          </w:p>
        </w:tc>
      </w:tr>
      <w:tr w:rsidR="00AB6F7D" w:rsidRPr="000708BC" w14:paraId="447C24FC" w14:textId="6144D9A9" w:rsidTr="00AB6F7D">
        <w:trPr>
          <w:trHeight w:val="840"/>
          <w:jc w:val="center"/>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0669AE10" w14:textId="77777777" w:rsidR="00AB6F7D" w:rsidRPr="000708BC" w:rsidRDefault="00AB6F7D" w:rsidP="005D4B7F">
            <w:pPr>
              <w:jc w:val="center"/>
              <w:rPr>
                <w:rFonts w:ascii="Arial" w:hAnsi="Arial" w:cs="Arial"/>
                <w:color w:val="000000"/>
                <w:sz w:val="20"/>
              </w:rPr>
            </w:pPr>
            <w:r w:rsidRPr="000708BC">
              <w:rPr>
                <w:rFonts w:ascii="Arial" w:hAnsi="Arial" w:cs="Arial"/>
                <w:color w:val="000000"/>
                <w:sz w:val="20"/>
              </w:rPr>
              <w:t>Reverse Osmosis Seawater Desalination Plant</w:t>
            </w:r>
          </w:p>
        </w:tc>
        <w:tc>
          <w:tcPr>
            <w:tcW w:w="1868" w:type="dxa"/>
            <w:tcBorders>
              <w:top w:val="nil"/>
              <w:left w:val="nil"/>
              <w:bottom w:val="single" w:sz="4" w:space="0" w:color="auto"/>
              <w:right w:val="single" w:sz="4" w:space="0" w:color="auto"/>
            </w:tcBorders>
            <w:shd w:val="clear" w:color="auto" w:fill="auto"/>
            <w:vAlign w:val="center"/>
            <w:hideMark/>
          </w:tcPr>
          <w:p w14:paraId="1F47483F" w14:textId="77777777" w:rsidR="00AB6F7D" w:rsidRPr="000708BC" w:rsidRDefault="00AB6F7D" w:rsidP="005D4B7F">
            <w:pPr>
              <w:jc w:val="center"/>
              <w:rPr>
                <w:rFonts w:ascii="Arial" w:hAnsi="Arial" w:cs="Arial"/>
                <w:color w:val="000000"/>
                <w:sz w:val="20"/>
              </w:rPr>
            </w:pPr>
            <w:r w:rsidRPr="000708BC">
              <w:rPr>
                <w:rFonts w:ascii="Arial" w:hAnsi="Arial" w:cs="Arial"/>
                <w:color w:val="000000"/>
                <w:sz w:val="20"/>
              </w:rPr>
              <w:t>Electricity, high voltage {CL}| electricity production, wind, 1-3MW turbine, onshore | Cut-off, U</w:t>
            </w:r>
          </w:p>
        </w:tc>
        <w:tc>
          <w:tcPr>
            <w:tcW w:w="1703" w:type="dxa"/>
            <w:tcBorders>
              <w:top w:val="nil"/>
              <w:left w:val="nil"/>
              <w:bottom w:val="single" w:sz="4" w:space="0" w:color="auto"/>
              <w:right w:val="single" w:sz="4" w:space="0" w:color="auto"/>
            </w:tcBorders>
            <w:shd w:val="clear" w:color="auto" w:fill="auto"/>
            <w:vAlign w:val="center"/>
            <w:hideMark/>
          </w:tcPr>
          <w:p w14:paraId="0CAB67B7" w14:textId="77777777" w:rsidR="00AB6F7D" w:rsidRPr="000708BC" w:rsidRDefault="00AB6F7D" w:rsidP="005D4B7F">
            <w:pPr>
              <w:jc w:val="center"/>
              <w:rPr>
                <w:rFonts w:ascii="Arial" w:hAnsi="Arial" w:cs="Arial"/>
                <w:color w:val="000000"/>
                <w:sz w:val="20"/>
              </w:rPr>
            </w:pPr>
            <w:r w:rsidRPr="000708BC">
              <w:rPr>
                <w:rFonts w:ascii="Arial" w:hAnsi="Arial" w:cs="Arial"/>
                <w:color w:val="000000"/>
                <w:sz w:val="20"/>
              </w:rPr>
              <w:t>Electricity, high voltage {CL}| electricity production, wind, 1-3MW turbine, onshore | Cut-off, U</w:t>
            </w:r>
          </w:p>
        </w:tc>
        <w:tc>
          <w:tcPr>
            <w:tcW w:w="2043" w:type="dxa"/>
            <w:tcBorders>
              <w:top w:val="nil"/>
              <w:left w:val="nil"/>
              <w:bottom w:val="single" w:sz="4" w:space="0" w:color="auto"/>
              <w:right w:val="single" w:sz="4" w:space="0" w:color="auto"/>
            </w:tcBorders>
            <w:shd w:val="clear" w:color="auto" w:fill="auto"/>
            <w:vAlign w:val="center"/>
            <w:hideMark/>
          </w:tcPr>
          <w:p w14:paraId="26B68E41" w14:textId="77777777" w:rsidR="00AB6F7D" w:rsidRPr="000708BC" w:rsidRDefault="00AB6F7D" w:rsidP="005D4B7F">
            <w:pPr>
              <w:rPr>
                <w:rFonts w:ascii="Arial" w:hAnsi="Arial" w:cs="Arial"/>
                <w:color w:val="000000"/>
                <w:sz w:val="20"/>
              </w:rPr>
            </w:pPr>
            <w:r w:rsidRPr="000708BC">
              <w:rPr>
                <w:rFonts w:ascii="Arial" w:hAnsi="Arial" w:cs="Arial"/>
                <w:color w:val="000000"/>
                <w:sz w:val="20"/>
              </w:rPr>
              <w:t>Each data source was configurate to the respective electricity matrix of each scenario.</w:t>
            </w:r>
          </w:p>
        </w:tc>
        <w:sdt>
          <w:sdtPr>
            <w:rPr>
              <w:rFonts w:ascii="Arial" w:hAnsi="Arial" w:cs="Arial"/>
              <w:color w:val="000000"/>
              <w:sz w:val="20"/>
            </w:rPr>
            <w:tag w:val="MENDELEY_CITATION_v3_eyJjaXRhdGlvbklEIjoiTUVOREVMRVlfQ0lUQVRJT05fMjUyNzE4NjMtZmM2Yy00NDA2LTkyNGUtMmMxZjg0Y2M4NDRjIiwicHJvcGVydGllcyI6eyJub3RlSW5kZXgiOjB9LCJpc0VkaXRlZCI6ZmFsc2UsIm1hbnVhbE92ZXJyaWRlIjp7ImlzTWFudWFsbHlPdmVycmlkZGVuIjpmYWxzZSwiY2l0ZXByb2NUZXh0IjoiKFdlcm5ldCBldCBhbC4sIDIwMTYpIiwibWFudWFsT3ZlcnJpZGVUZXh0IjoiIn0sImNpdGF0aW9uSXRlbXMiOlt7ImlkIjoiNjRmMjU0MmMtMWZlNi0zMzVkLTlmYzEtOGY0ZWNkM2Q3YTA2IiwiaXRlbURhdGEiOnsidHlwZSI6ImFydGljbGUtam91cm5hbCIsImlkIjoiNjRmMjU0MmMtMWZlNi0zMzVkLTlmYzEtOGY0ZWNkM2Q3YTA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BWZXJsYWciLCJpc3N1ZSI6IjkiLCJ2b2x1bWUiOiIyMSIsImNvbnRhaW5lci10aXRsZS1zaG9ydCI6IiJ9LCJpc1RlbXBvcmFyeSI6ZmFsc2UsInN1cHByZXNzLWF1dGhvciI6ZmFsc2UsImNvbXBvc2l0ZSI6ZmFsc2UsImF1dGhvci1vbmx5IjpmYWxzZX1dfQ=="/>
            <w:id w:val="645634997"/>
            <w:placeholder>
              <w:docPart w:val="DefaultPlaceholder_-1854013440"/>
            </w:placeholder>
          </w:sdtPr>
          <w:sdtEndPr/>
          <w:sdtContent>
            <w:tc>
              <w:tcPr>
                <w:tcW w:w="1534" w:type="dxa"/>
                <w:tcBorders>
                  <w:top w:val="nil"/>
                  <w:left w:val="nil"/>
                  <w:bottom w:val="single" w:sz="4" w:space="0" w:color="auto"/>
                  <w:right w:val="single" w:sz="4" w:space="0" w:color="auto"/>
                </w:tcBorders>
                <w:vAlign w:val="center"/>
              </w:tcPr>
              <w:p w14:paraId="295F235B" w14:textId="4DD35504" w:rsidR="00AB6F7D" w:rsidRPr="000708BC" w:rsidRDefault="002422C9" w:rsidP="00AB6F7D">
                <w:pPr>
                  <w:jc w:val="center"/>
                  <w:rPr>
                    <w:rFonts w:ascii="Arial" w:hAnsi="Arial" w:cs="Arial"/>
                    <w:color w:val="000000"/>
                    <w:sz w:val="20"/>
                  </w:rPr>
                </w:pPr>
                <w:r w:rsidRPr="000708BC">
                  <w:rPr>
                    <w:rFonts w:ascii="Arial" w:hAnsi="Arial" w:cs="Arial"/>
                    <w:color w:val="000000"/>
                    <w:sz w:val="20"/>
                  </w:rPr>
                  <w:t>(Wernet et al., 2016)</w:t>
                </w:r>
              </w:p>
            </w:tc>
          </w:sdtContent>
        </w:sdt>
      </w:tr>
    </w:tbl>
    <w:p w14:paraId="69A3BB6D" w14:textId="77777777" w:rsidR="005B141F" w:rsidRPr="000708BC" w:rsidRDefault="005B141F" w:rsidP="00A42767">
      <w:pPr>
        <w:pStyle w:val="JIEreferencelist"/>
        <w:ind w:left="0" w:firstLine="0"/>
        <w:rPr>
          <w:rFonts w:ascii="Arial" w:hAnsi="Arial" w:cs="Arial"/>
          <w:iCs/>
          <w:sz w:val="22"/>
          <w:szCs w:val="22"/>
        </w:rPr>
      </w:pPr>
    </w:p>
    <w:p w14:paraId="495A234F" w14:textId="29A1BBE6" w:rsidR="005B141F" w:rsidRPr="000708BC" w:rsidRDefault="005B141F" w:rsidP="005B141F">
      <w:pPr>
        <w:pStyle w:val="JIEreferencelist"/>
        <w:ind w:left="0" w:firstLine="0"/>
        <w:rPr>
          <w:rFonts w:ascii="Arial" w:hAnsi="Arial" w:cs="Arial"/>
          <w:i/>
          <w:sz w:val="20"/>
        </w:rPr>
      </w:pPr>
      <w:r w:rsidRPr="000708BC">
        <w:rPr>
          <w:rFonts w:ascii="Arial" w:hAnsi="Arial" w:cs="Arial"/>
          <w:i/>
          <w:sz w:val="20"/>
        </w:rPr>
        <w:t>Table S</w:t>
      </w:r>
      <w:r w:rsidR="00966C3C" w:rsidRPr="000708BC">
        <w:rPr>
          <w:rFonts w:ascii="Arial" w:hAnsi="Arial" w:cs="Arial"/>
          <w:i/>
          <w:sz w:val="20"/>
        </w:rPr>
        <w:t>1</w:t>
      </w:r>
      <w:r w:rsidRPr="000708BC">
        <w:rPr>
          <w:rFonts w:ascii="Arial" w:hAnsi="Arial" w:cs="Arial"/>
          <w:i/>
          <w:sz w:val="20"/>
        </w:rPr>
        <w:t>-1</w:t>
      </w:r>
      <w:r w:rsidR="00966C3C" w:rsidRPr="000708BC">
        <w:rPr>
          <w:rFonts w:ascii="Arial" w:hAnsi="Arial" w:cs="Arial"/>
          <w:i/>
          <w:sz w:val="20"/>
        </w:rPr>
        <w:t>2</w:t>
      </w:r>
      <w:r w:rsidRPr="000708BC">
        <w:rPr>
          <w:rFonts w:ascii="Arial" w:hAnsi="Arial" w:cs="Arial"/>
          <w:i/>
          <w:sz w:val="20"/>
        </w:rPr>
        <w:t xml:space="preserve"> Desalinated water pipe design.</w:t>
      </w:r>
    </w:p>
    <w:tbl>
      <w:tblPr>
        <w:tblW w:w="5000" w:type="pct"/>
        <w:jc w:val="center"/>
        <w:tblLook w:val="04A0" w:firstRow="1" w:lastRow="0" w:firstColumn="1" w:lastColumn="0" w:noHBand="0" w:noVBand="1"/>
      </w:tblPr>
      <w:tblGrid>
        <w:gridCol w:w="2202"/>
        <w:gridCol w:w="1507"/>
        <w:gridCol w:w="1799"/>
        <w:gridCol w:w="3122"/>
      </w:tblGrid>
      <w:tr w:rsidR="00A42767" w:rsidRPr="000708BC" w14:paraId="763B5F9C" w14:textId="77777777" w:rsidTr="00A42767">
        <w:trPr>
          <w:trHeight w:val="280"/>
          <w:tblHeader/>
          <w:jc w:val="center"/>
        </w:trPr>
        <w:tc>
          <w:tcPr>
            <w:tcW w:w="224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957F5" w14:textId="77777777" w:rsidR="00A42767" w:rsidRPr="000708BC" w:rsidRDefault="00A42767" w:rsidP="00A42767">
            <w:pPr>
              <w:jc w:val="center"/>
              <w:rPr>
                <w:rFonts w:ascii="Arial" w:hAnsi="Arial" w:cs="Arial"/>
                <w:b/>
                <w:bCs/>
                <w:color w:val="000000"/>
                <w:sz w:val="20"/>
              </w:rPr>
            </w:pPr>
            <w:r w:rsidRPr="000708BC">
              <w:rPr>
                <w:rFonts w:ascii="Arial" w:hAnsi="Arial" w:cs="Arial"/>
                <w:b/>
                <w:bCs/>
                <w:color w:val="000000"/>
                <w:sz w:val="20"/>
              </w:rPr>
              <w:t>Parameter</w:t>
            </w:r>
          </w:p>
        </w:tc>
        <w:tc>
          <w:tcPr>
            <w:tcW w:w="1547" w:type="dxa"/>
            <w:tcBorders>
              <w:top w:val="single" w:sz="4" w:space="0" w:color="auto"/>
              <w:left w:val="nil"/>
              <w:bottom w:val="single" w:sz="4" w:space="0" w:color="auto"/>
              <w:right w:val="single" w:sz="4" w:space="0" w:color="auto"/>
            </w:tcBorders>
            <w:shd w:val="clear" w:color="000000" w:fill="D9D9D9"/>
            <w:vAlign w:val="center"/>
            <w:hideMark/>
          </w:tcPr>
          <w:p w14:paraId="5B8005B4" w14:textId="77777777" w:rsidR="00A42767" w:rsidRPr="000708BC" w:rsidRDefault="00A42767" w:rsidP="00A42767">
            <w:pPr>
              <w:jc w:val="center"/>
              <w:rPr>
                <w:rFonts w:ascii="Arial" w:hAnsi="Arial" w:cs="Arial"/>
                <w:b/>
                <w:bCs/>
                <w:color w:val="000000"/>
                <w:sz w:val="20"/>
              </w:rPr>
            </w:pPr>
            <w:r w:rsidRPr="000708BC">
              <w:rPr>
                <w:rFonts w:ascii="Arial" w:hAnsi="Arial" w:cs="Arial"/>
                <w:b/>
                <w:bCs/>
                <w:color w:val="000000"/>
                <w:sz w:val="20"/>
              </w:rPr>
              <w:t>Unit</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5967B0F7" w14:textId="77777777" w:rsidR="00A42767" w:rsidRPr="000708BC" w:rsidRDefault="00A42767" w:rsidP="00A42767">
            <w:pPr>
              <w:jc w:val="center"/>
              <w:rPr>
                <w:rFonts w:ascii="Arial" w:hAnsi="Arial" w:cs="Arial"/>
                <w:b/>
                <w:bCs/>
                <w:color w:val="000000"/>
                <w:sz w:val="20"/>
              </w:rPr>
            </w:pPr>
            <w:r w:rsidRPr="000708BC">
              <w:rPr>
                <w:rFonts w:ascii="Arial" w:hAnsi="Arial" w:cs="Arial"/>
                <w:b/>
                <w:bCs/>
                <w:color w:val="000000"/>
                <w:sz w:val="20"/>
              </w:rPr>
              <w:t>Pipeline</w:t>
            </w:r>
          </w:p>
        </w:tc>
        <w:tc>
          <w:tcPr>
            <w:tcW w:w="3219" w:type="dxa"/>
            <w:tcBorders>
              <w:top w:val="single" w:sz="4" w:space="0" w:color="auto"/>
              <w:left w:val="nil"/>
              <w:bottom w:val="single" w:sz="4" w:space="0" w:color="auto"/>
              <w:right w:val="single" w:sz="4" w:space="0" w:color="auto"/>
            </w:tcBorders>
            <w:shd w:val="clear" w:color="000000" w:fill="D9D9D9"/>
            <w:vAlign w:val="center"/>
            <w:hideMark/>
          </w:tcPr>
          <w:p w14:paraId="79FCE71E" w14:textId="77777777" w:rsidR="00A42767" w:rsidRPr="000708BC" w:rsidRDefault="00A42767" w:rsidP="00A42767">
            <w:pPr>
              <w:jc w:val="center"/>
              <w:rPr>
                <w:rFonts w:ascii="Arial" w:hAnsi="Arial" w:cs="Arial"/>
                <w:b/>
                <w:bCs/>
                <w:color w:val="000000"/>
                <w:sz w:val="20"/>
              </w:rPr>
            </w:pPr>
            <w:r w:rsidRPr="000708BC">
              <w:rPr>
                <w:rFonts w:ascii="Arial" w:hAnsi="Arial" w:cs="Arial"/>
                <w:b/>
                <w:bCs/>
                <w:color w:val="000000"/>
                <w:sz w:val="20"/>
              </w:rPr>
              <w:t>Reference</w:t>
            </w:r>
          </w:p>
        </w:tc>
      </w:tr>
      <w:tr w:rsidR="00A42767" w:rsidRPr="000708BC" w14:paraId="1DF4D7BF" w14:textId="77777777" w:rsidTr="00A42767">
        <w:trPr>
          <w:trHeight w:val="280"/>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5ECFCB4C"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Lenght</w:t>
            </w:r>
          </w:p>
        </w:tc>
        <w:tc>
          <w:tcPr>
            <w:tcW w:w="1547" w:type="dxa"/>
            <w:tcBorders>
              <w:top w:val="nil"/>
              <w:left w:val="nil"/>
              <w:bottom w:val="single" w:sz="4" w:space="0" w:color="auto"/>
              <w:right w:val="single" w:sz="4" w:space="0" w:color="auto"/>
            </w:tcBorders>
            <w:shd w:val="clear" w:color="auto" w:fill="auto"/>
            <w:vAlign w:val="center"/>
            <w:hideMark/>
          </w:tcPr>
          <w:p w14:paraId="64B7048A"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km</w:t>
            </w:r>
          </w:p>
        </w:tc>
        <w:tc>
          <w:tcPr>
            <w:tcW w:w="1843" w:type="dxa"/>
            <w:tcBorders>
              <w:top w:val="nil"/>
              <w:left w:val="nil"/>
              <w:bottom w:val="single" w:sz="4" w:space="0" w:color="auto"/>
              <w:right w:val="single" w:sz="4" w:space="0" w:color="auto"/>
            </w:tcBorders>
            <w:shd w:val="clear" w:color="auto" w:fill="auto"/>
            <w:vAlign w:val="center"/>
            <w:hideMark/>
          </w:tcPr>
          <w:p w14:paraId="5C360B7B"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200</w:t>
            </w:r>
          </w:p>
        </w:tc>
        <w:sdt>
          <w:sdtPr>
            <w:rPr>
              <w:rFonts w:ascii="Arial" w:hAnsi="Arial" w:cs="Arial"/>
              <w:color w:val="000000"/>
              <w:sz w:val="20"/>
            </w:rPr>
            <w:tag w:val="MENDELEY_CITATION_v3_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"/>
            <w:id w:val="251792253"/>
            <w:placeholder>
              <w:docPart w:val="DefaultPlaceholder_-1854013440"/>
            </w:placeholder>
          </w:sdtPr>
          <w:sdtEndPr/>
          <w:sdtContent>
            <w:tc>
              <w:tcPr>
                <w:tcW w:w="3219" w:type="dxa"/>
                <w:vMerge w:val="restart"/>
                <w:tcBorders>
                  <w:top w:val="nil"/>
                  <w:left w:val="single" w:sz="4" w:space="0" w:color="auto"/>
                  <w:bottom w:val="single" w:sz="4" w:space="0" w:color="auto"/>
                  <w:right w:val="single" w:sz="4" w:space="0" w:color="auto"/>
                </w:tcBorders>
                <w:shd w:val="clear" w:color="auto" w:fill="auto"/>
                <w:vAlign w:val="center"/>
                <w:hideMark/>
              </w:tcPr>
              <w:p w14:paraId="2063565C" w14:textId="7F8AD456" w:rsidR="00A42767" w:rsidRPr="000708BC" w:rsidRDefault="002422C9" w:rsidP="00A42767">
                <w:pPr>
                  <w:jc w:val="center"/>
                  <w:rPr>
                    <w:rFonts w:ascii="Arial" w:hAnsi="Arial" w:cs="Arial"/>
                    <w:color w:val="000000"/>
                    <w:sz w:val="20"/>
                  </w:rPr>
                </w:pPr>
                <w:r w:rsidRPr="000708BC">
                  <w:rPr>
                    <w:rFonts w:ascii="Arial" w:hAnsi="Arial" w:cs="Arial"/>
                    <w:color w:val="000000"/>
                    <w:sz w:val="20"/>
                  </w:rPr>
                  <w:t>(Evaluation Commission Republic of Chile, 2021)</w:t>
                </w:r>
              </w:p>
            </w:tc>
          </w:sdtContent>
        </w:sdt>
      </w:tr>
      <w:tr w:rsidR="00A42767" w:rsidRPr="000708BC" w14:paraId="224C82EB" w14:textId="77777777" w:rsidTr="00A42767">
        <w:trPr>
          <w:trHeight w:val="254"/>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5505896F"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Hight difference</w:t>
            </w:r>
          </w:p>
        </w:tc>
        <w:tc>
          <w:tcPr>
            <w:tcW w:w="1547" w:type="dxa"/>
            <w:tcBorders>
              <w:top w:val="nil"/>
              <w:left w:val="nil"/>
              <w:bottom w:val="single" w:sz="4" w:space="0" w:color="auto"/>
              <w:right w:val="single" w:sz="4" w:space="0" w:color="auto"/>
            </w:tcBorders>
            <w:shd w:val="clear" w:color="auto" w:fill="auto"/>
            <w:vAlign w:val="center"/>
            <w:hideMark/>
          </w:tcPr>
          <w:p w14:paraId="5076595D"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m</w:t>
            </w:r>
          </w:p>
        </w:tc>
        <w:tc>
          <w:tcPr>
            <w:tcW w:w="1843" w:type="dxa"/>
            <w:tcBorders>
              <w:top w:val="nil"/>
              <w:left w:val="nil"/>
              <w:bottom w:val="single" w:sz="4" w:space="0" w:color="auto"/>
              <w:right w:val="single" w:sz="4" w:space="0" w:color="auto"/>
            </w:tcBorders>
            <w:shd w:val="clear" w:color="auto" w:fill="auto"/>
            <w:vAlign w:val="center"/>
            <w:hideMark/>
          </w:tcPr>
          <w:p w14:paraId="674F3028"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2,500</w:t>
            </w:r>
          </w:p>
        </w:tc>
        <w:tc>
          <w:tcPr>
            <w:tcW w:w="3219" w:type="dxa"/>
            <w:vMerge/>
            <w:tcBorders>
              <w:top w:val="nil"/>
              <w:left w:val="single" w:sz="4" w:space="0" w:color="auto"/>
              <w:bottom w:val="single" w:sz="4" w:space="0" w:color="auto"/>
              <w:right w:val="single" w:sz="4" w:space="0" w:color="auto"/>
            </w:tcBorders>
            <w:vAlign w:val="center"/>
            <w:hideMark/>
          </w:tcPr>
          <w:p w14:paraId="63F75388" w14:textId="77777777" w:rsidR="00A42767" w:rsidRPr="000708BC" w:rsidRDefault="00A42767" w:rsidP="00A42767">
            <w:pPr>
              <w:rPr>
                <w:rFonts w:ascii="Arial" w:hAnsi="Arial" w:cs="Arial"/>
                <w:color w:val="000000"/>
                <w:sz w:val="20"/>
              </w:rPr>
            </w:pPr>
          </w:p>
        </w:tc>
      </w:tr>
      <w:tr w:rsidR="00A42767" w:rsidRPr="000708BC" w14:paraId="387B98D1" w14:textId="77777777" w:rsidTr="00A42767">
        <w:trPr>
          <w:trHeight w:val="280"/>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6C47242C"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Diameter</w:t>
            </w:r>
          </w:p>
        </w:tc>
        <w:tc>
          <w:tcPr>
            <w:tcW w:w="1547" w:type="dxa"/>
            <w:tcBorders>
              <w:top w:val="nil"/>
              <w:left w:val="nil"/>
              <w:bottom w:val="single" w:sz="4" w:space="0" w:color="auto"/>
              <w:right w:val="single" w:sz="4" w:space="0" w:color="auto"/>
            </w:tcBorders>
            <w:shd w:val="clear" w:color="auto" w:fill="auto"/>
            <w:vAlign w:val="center"/>
            <w:hideMark/>
          </w:tcPr>
          <w:p w14:paraId="00438BAC"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mm</w:t>
            </w:r>
          </w:p>
        </w:tc>
        <w:tc>
          <w:tcPr>
            <w:tcW w:w="1843" w:type="dxa"/>
            <w:tcBorders>
              <w:top w:val="nil"/>
              <w:left w:val="nil"/>
              <w:bottom w:val="single" w:sz="4" w:space="0" w:color="auto"/>
              <w:right w:val="single" w:sz="4" w:space="0" w:color="auto"/>
            </w:tcBorders>
            <w:shd w:val="clear" w:color="auto" w:fill="auto"/>
            <w:vAlign w:val="center"/>
            <w:hideMark/>
          </w:tcPr>
          <w:p w14:paraId="3A51F750"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2,000</w:t>
            </w:r>
          </w:p>
        </w:tc>
        <w:tc>
          <w:tcPr>
            <w:tcW w:w="3219" w:type="dxa"/>
            <w:vMerge/>
            <w:tcBorders>
              <w:top w:val="nil"/>
              <w:left w:val="single" w:sz="4" w:space="0" w:color="auto"/>
              <w:bottom w:val="single" w:sz="4" w:space="0" w:color="auto"/>
              <w:right w:val="single" w:sz="4" w:space="0" w:color="auto"/>
            </w:tcBorders>
            <w:vAlign w:val="center"/>
            <w:hideMark/>
          </w:tcPr>
          <w:p w14:paraId="758989E2" w14:textId="77777777" w:rsidR="00A42767" w:rsidRPr="000708BC" w:rsidRDefault="00A42767" w:rsidP="00A42767">
            <w:pPr>
              <w:rPr>
                <w:rFonts w:ascii="Arial" w:hAnsi="Arial" w:cs="Arial"/>
                <w:color w:val="000000"/>
                <w:sz w:val="20"/>
              </w:rPr>
            </w:pPr>
          </w:p>
        </w:tc>
      </w:tr>
      <w:tr w:rsidR="00A42767" w:rsidRPr="000708BC" w14:paraId="2F77ACAF" w14:textId="77777777" w:rsidTr="00A42767">
        <w:trPr>
          <w:trHeight w:val="262"/>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78A24B2F"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Wall thickness</w:t>
            </w:r>
          </w:p>
        </w:tc>
        <w:tc>
          <w:tcPr>
            <w:tcW w:w="1547" w:type="dxa"/>
            <w:tcBorders>
              <w:top w:val="nil"/>
              <w:left w:val="nil"/>
              <w:bottom w:val="single" w:sz="4" w:space="0" w:color="auto"/>
              <w:right w:val="single" w:sz="4" w:space="0" w:color="auto"/>
            </w:tcBorders>
            <w:shd w:val="clear" w:color="auto" w:fill="auto"/>
            <w:vAlign w:val="center"/>
            <w:hideMark/>
          </w:tcPr>
          <w:p w14:paraId="052B524C"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mm</w:t>
            </w:r>
          </w:p>
        </w:tc>
        <w:tc>
          <w:tcPr>
            <w:tcW w:w="1843" w:type="dxa"/>
            <w:tcBorders>
              <w:top w:val="nil"/>
              <w:left w:val="nil"/>
              <w:bottom w:val="single" w:sz="4" w:space="0" w:color="auto"/>
              <w:right w:val="single" w:sz="4" w:space="0" w:color="auto"/>
            </w:tcBorders>
            <w:shd w:val="clear" w:color="auto" w:fill="auto"/>
            <w:vAlign w:val="center"/>
            <w:hideMark/>
          </w:tcPr>
          <w:p w14:paraId="6A00E9A0"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10</w:t>
            </w:r>
          </w:p>
        </w:tc>
        <w:tc>
          <w:tcPr>
            <w:tcW w:w="3219" w:type="dxa"/>
            <w:vMerge/>
            <w:tcBorders>
              <w:top w:val="nil"/>
              <w:left w:val="single" w:sz="4" w:space="0" w:color="auto"/>
              <w:bottom w:val="single" w:sz="4" w:space="0" w:color="auto"/>
              <w:right w:val="single" w:sz="4" w:space="0" w:color="auto"/>
            </w:tcBorders>
            <w:vAlign w:val="center"/>
            <w:hideMark/>
          </w:tcPr>
          <w:p w14:paraId="400F8BEC" w14:textId="77777777" w:rsidR="00A42767" w:rsidRPr="000708BC" w:rsidRDefault="00A42767" w:rsidP="00A42767">
            <w:pPr>
              <w:rPr>
                <w:rFonts w:ascii="Arial" w:hAnsi="Arial" w:cs="Arial"/>
                <w:color w:val="000000"/>
                <w:sz w:val="20"/>
              </w:rPr>
            </w:pPr>
          </w:p>
        </w:tc>
      </w:tr>
      <w:tr w:rsidR="0025530F" w:rsidRPr="000708BC" w14:paraId="4F736F85" w14:textId="77777777" w:rsidTr="00A42767">
        <w:trPr>
          <w:trHeight w:val="280"/>
          <w:jc w:val="center"/>
        </w:trPr>
        <w:tc>
          <w:tcPr>
            <w:tcW w:w="2247" w:type="dxa"/>
            <w:tcBorders>
              <w:top w:val="nil"/>
              <w:left w:val="single" w:sz="4" w:space="0" w:color="auto"/>
              <w:bottom w:val="single" w:sz="4" w:space="0" w:color="auto"/>
              <w:right w:val="single" w:sz="4" w:space="0" w:color="auto"/>
            </w:tcBorders>
            <w:shd w:val="clear" w:color="auto" w:fill="auto"/>
            <w:vAlign w:val="center"/>
          </w:tcPr>
          <w:p w14:paraId="1D288826" w14:textId="77777777" w:rsidR="0025530F" w:rsidRPr="000708BC" w:rsidRDefault="0025530F" w:rsidP="00A42767">
            <w:pPr>
              <w:rPr>
                <w:rFonts w:ascii="Arial" w:hAnsi="Arial" w:cs="Arial"/>
                <w:color w:val="000000"/>
                <w:sz w:val="20"/>
              </w:rPr>
            </w:pPr>
            <w:r w:rsidRPr="000708BC">
              <w:rPr>
                <w:rFonts w:ascii="Arial" w:hAnsi="Arial" w:cs="Arial"/>
                <w:color w:val="000000"/>
                <w:sz w:val="20"/>
              </w:rPr>
              <w:t>Lifetime</w:t>
            </w:r>
          </w:p>
        </w:tc>
        <w:tc>
          <w:tcPr>
            <w:tcW w:w="1547" w:type="dxa"/>
            <w:tcBorders>
              <w:top w:val="nil"/>
              <w:left w:val="nil"/>
              <w:bottom w:val="single" w:sz="4" w:space="0" w:color="auto"/>
              <w:right w:val="single" w:sz="4" w:space="0" w:color="auto"/>
            </w:tcBorders>
            <w:shd w:val="clear" w:color="auto" w:fill="auto"/>
            <w:vAlign w:val="center"/>
          </w:tcPr>
          <w:p w14:paraId="36FBD3BA" w14:textId="77777777" w:rsidR="0025530F" w:rsidRPr="000708BC" w:rsidRDefault="0025530F" w:rsidP="00A42767">
            <w:pPr>
              <w:jc w:val="center"/>
              <w:rPr>
                <w:rFonts w:ascii="Arial" w:hAnsi="Arial" w:cs="Arial"/>
                <w:color w:val="000000"/>
                <w:sz w:val="20"/>
              </w:rPr>
            </w:pPr>
            <w:r w:rsidRPr="000708BC">
              <w:rPr>
                <w:rFonts w:ascii="Arial" w:hAnsi="Arial" w:cs="Arial"/>
                <w:color w:val="000000"/>
                <w:sz w:val="20"/>
              </w:rPr>
              <w:t>yrs</w:t>
            </w:r>
          </w:p>
        </w:tc>
        <w:tc>
          <w:tcPr>
            <w:tcW w:w="1843" w:type="dxa"/>
            <w:tcBorders>
              <w:top w:val="nil"/>
              <w:left w:val="nil"/>
              <w:bottom w:val="single" w:sz="4" w:space="0" w:color="auto"/>
              <w:right w:val="single" w:sz="4" w:space="0" w:color="auto"/>
            </w:tcBorders>
            <w:shd w:val="clear" w:color="auto" w:fill="auto"/>
            <w:vAlign w:val="center"/>
          </w:tcPr>
          <w:p w14:paraId="75F649B4" w14:textId="77777777" w:rsidR="0025530F" w:rsidRPr="000708BC" w:rsidRDefault="0025530F" w:rsidP="00A42767">
            <w:pPr>
              <w:jc w:val="center"/>
              <w:rPr>
                <w:rFonts w:ascii="Arial" w:hAnsi="Arial" w:cs="Arial"/>
                <w:color w:val="000000"/>
                <w:sz w:val="20"/>
              </w:rPr>
            </w:pPr>
            <w:r w:rsidRPr="000708BC">
              <w:rPr>
                <w:rFonts w:ascii="Arial" w:hAnsi="Arial" w:cs="Arial"/>
                <w:color w:val="000000"/>
                <w:sz w:val="20"/>
              </w:rPr>
              <w:t>30</w:t>
            </w:r>
          </w:p>
        </w:tc>
        <w:tc>
          <w:tcPr>
            <w:tcW w:w="3219" w:type="dxa"/>
            <w:vMerge/>
            <w:tcBorders>
              <w:top w:val="nil"/>
              <w:left w:val="single" w:sz="4" w:space="0" w:color="auto"/>
              <w:bottom w:val="single" w:sz="4" w:space="0" w:color="auto"/>
              <w:right w:val="single" w:sz="4" w:space="0" w:color="auto"/>
            </w:tcBorders>
            <w:vAlign w:val="center"/>
          </w:tcPr>
          <w:p w14:paraId="04767502" w14:textId="77777777" w:rsidR="0025530F" w:rsidRPr="000708BC" w:rsidRDefault="0025530F" w:rsidP="00A42767">
            <w:pPr>
              <w:rPr>
                <w:rFonts w:ascii="Arial" w:hAnsi="Arial" w:cs="Arial"/>
                <w:color w:val="000000"/>
                <w:sz w:val="20"/>
              </w:rPr>
            </w:pPr>
          </w:p>
        </w:tc>
      </w:tr>
      <w:tr w:rsidR="00A42767" w:rsidRPr="000708BC" w14:paraId="053F143B" w14:textId="77777777" w:rsidTr="00A42767">
        <w:trPr>
          <w:trHeight w:val="280"/>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1A8A1816"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Material</w:t>
            </w:r>
          </w:p>
        </w:tc>
        <w:tc>
          <w:tcPr>
            <w:tcW w:w="1547" w:type="dxa"/>
            <w:tcBorders>
              <w:top w:val="nil"/>
              <w:left w:val="nil"/>
              <w:bottom w:val="single" w:sz="4" w:space="0" w:color="auto"/>
              <w:right w:val="single" w:sz="4" w:space="0" w:color="auto"/>
            </w:tcBorders>
            <w:shd w:val="clear" w:color="auto" w:fill="auto"/>
            <w:vAlign w:val="center"/>
            <w:hideMark/>
          </w:tcPr>
          <w:p w14:paraId="3ECAC481"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w:t>
            </w:r>
          </w:p>
        </w:tc>
        <w:tc>
          <w:tcPr>
            <w:tcW w:w="1843" w:type="dxa"/>
            <w:tcBorders>
              <w:top w:val="nil"/>
              <w:left w:val="nil"/>
              <w:bottom w:val="single" w:sz="4" w:space="0" w:color="auto"/>
              <w:right w:val="single" w:sz="4" w:space="0" w:color="auto"/>
            </w:tcBorders>
            <w:shd w:val="clear" w:color="auto" w:fill="auto"/>
            <w:vAlign w:val="center"/>
            <w:hideMark/>
          </w:tcPr>
          <w:p w14:paraId="03E171C4"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HDPE</w:t>
            </w:r>
          </w:p>
        </w:tc>
        <w:tc>
          <w:tcPr>
            <w:tcW w:w="3219" w:type="dxa"/>
            <w:vMerge/>
            <w:tcBorders>
              <w:top w:val="nil"/>
              <w:left w:val="single" w:sz="4" w:space="0" w:color="auto"/>
              <w:bottom w:val="single" w:sz="4" w:space="0" w:color="auto"/>
              <w:right w:val="single" w:sz="4" w:space="0" w:color="auto"/>
            </w:tcBorders>
            <w:vAlign w:val="center"/>
            <w:hideMark/>
          </w:tcPr>
          <w:p w14:paraId="7AD62B11" w14:textId="77777777" w:rsidR="00A42767" w:rsidRPr="000708BC" w:rsidRDefault="00A42767" w:rsidP="00A42767">
            <w:pPr>
              <w:rPr>
                <w:rFonts w:ascii="Arial" w:hAnsi="Arial" w:cs="Arial"/>
                <w:color w:val="000000"/>
                <w:sz w:val="20"/>
              </w:rPr>
            </w:pPr>
          </w:p>
        </w:tc>
      </w:tr>
      <w:tr w:rsidR="00A42767" w:rsidRPr="000708BC" w14:paraId="563197B7" w14:textId="77777777" w:rsidTr="00A42767">
        <w:trPr>
          <w:trHeight w:val="320"/>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5FF7C1DF"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Density</w:t>
            </w:r>
          </w:p>
        </w:tc>
        <w:tc>
          <w:tcPr>
            <w:tcW w:w="1547" w:type="dxa"/>
            <w:tcBorders>
              <w:top w:val="nil"/>
              <w:left w:val="nil"/>
              <w:bottom w:val="single" w:sz="4" w:space="0" w:color="auto"/>
              <w:right w:val="single" w:sz="4" w:space="0" w:color="auto"/>
            </w:tcBorders>
            <w:shd w:val="clear" w:color="auto" w:fill="auto"/>
            <w:vAlign w:val="center"/>
            <w:hideMark/>
          </w:tcPr>
          <w:p w14:paraId="3ED568D2"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Kg/m</w:t>
            </w:r>
            <w:r w:rsidRPr="000708BC">
              <w:rPr>
                <w:rFonts w:ascii="Arial" w:hAnsi="Arial" w:cs="Arial"/>
                <w:color w:val="000000"/>
                <w:sz w:val="20"/>
                <w:vertAlign w:val="superscript"/>
              </w:rPr>
              <w:t>3</w:t>
            </w:r>
          </w:p>
        </w:tc>
        <w:tc>
          <w:tcPr>
            <w:tcW w:w="1843" w:type="dxa"/>
            <w:tcBorders>
              <w:top w:val="nil"/>
              <w:left w:val="nil"/>
              <w:bottom w:val="single" w:sz="4" w:space="0" w:color="auto"/>
              <w:right w:val="single" w:sz="4" w:space="0" w:color="auto"/>
            </w:tcBorders>
            <w:shd w:val="clear" w:color="auto" w:fill="auto"/>
            <w:vAlign w:val="center"/>
            <w:hideMark/>
          </w:tcPr>
          <w:p w14:paraId="1C230DD8"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955</w:t>
            </w:r>
          </w:p>
        </w:tc>
        <w:tc>
          <w:tcPr>
            <w:tcW w:w="3219" w:type="dxa"/>
            <w:vMerge/>
            <w:tcBorders>
              <w:top w:val="nil"/>
              <w:left w:val="single" w:sz="4" w:space="0" w:color="auto"/>
              <w:bottom w:val="single" w:sz="4" w:space="0" w:color="auto"/>
              <w:right w:val="single" w:sz="4" w:space="0" w:color="auto"/>
            </w:tcBorders>
            <w:vAlign w:val="center"/>
            <w:hideMark/>
          </w:tcPr>
          <w:p w14:paraId="07D6CAE0" w14:textId="77777777" w:rsidR="00A42767" w:rsidRPr="000708BC" w:rsidRDefault="00A42767" w:rsidP="00A42767">
            <w:pPr>
              <w:rPr>
                <w:rFonts w:ascii="Arial" w:hAnsi="Arial" w:cs="Arial"/>
                <w:color w:val="000000"/>
                <w:sz w:val="20"/>
              </w:rPr>
            </w:pPr>
          </w:p>
        </w:tc>
      </w:tr>
      <w:tr w:rsidR="00A42767" w:rsidRPr="000708BC" w14:paraId="4156B9CD" w14:textId="77777777" w:rsidTr="00A42767">
        <w:trPr>
          <w:trHeight w:val="361"/>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479624FE"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Volume of Water</w:t>
            </w:r>
          </w:p>
        </w:tc>
        <w:tc>
          <w:tcPr>
            <w:tcW w:w="1547" w:type="dxa"/>
            <w:tcBorders>
              <w:top w:val="nil"/>
              <w:left w:val="nil"/>
              <w:bottom w:val="single" w:sz="4" w:space="0" w:color="auto"/>
              <w:right w:val="single" w:sz="4" w:space="0" w:color="auto"/>
            </w:tcBorders>
            <w:shd w:val="clear" w:color="auto" w:fill="auto"/>
            <w:vAlign w:val="center"/>
            <w:hideMark/>
          </w:tcPr>
          <w:p w14:paraId="6615F21F"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l/s</w:t>
            </w:r>
          </w:p>
        </w:tc>
        <w:tc>
          <w:tcPr>
            <w:tcW w:w="1843" w:type="dxa"/>
            <w:tcBorders>
              <w:top w:val="nil"/>
              <w:left w:val="nil"/>
              <w:bottom w:val="single" w:sz="4" w:space="0" w:color="auto"/>
              <w:right w:val="single" w:sz="4" w:space="0" w:color="auto"/>
            </w:tcBorders>
            <w:shd w:val="clear" w:color="auto" w:fill="auto"/>
            <w:vAlign w:val="center"/>
            <w:hideMark/>
          </w:tcPr>
          <w:p w14:paraId="72F684E5"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1,000</w:t>
            </w:r>
          </w:p>
        </w:tc>
        <w:tc>
          <w:tcPr>
            <w:tcW w:w="3219" w:type="dxa"/>
            <w:vMerge/>
            <w:tcBorders>
              <w:top w:val="nil"/>
              <w:left w:val="single" w:sz="4" w:space="0" w:color="auto"/>
              <w:bottom w:val="single" w:sz="4" w:space="0" w:color="auto"/>
              <w:right w:val="single" w:sz="4" w:space="0" w:color="auto"/>
            </w:tcBorders>
            <w:vAlign w:val="center"/>
            <w:hideMark/>
          </w:tcPr>
          <w:p w14:paraId="76554C22" w14:textId="77777777" w:rsidR="00A42767" w:rsidRPr="000708BC" w:rsidRDefault="00A42767" w:rsidP="00A42767">
            <w:pPr>
              <w:rPr>
                <w:rFonts w:ascii="Arial" w:hAnsi="Arial" w:cs="Arial"/>
                <w:color w:val="000000"/>
                <w:sz w:val="20"/>
              </w:rPr>
            </w:pPr>
          </w:p>
        </w:tc>
      </w:tr>
      <w:tr w:rsidR="00A42767" w:rsidRPr="000708BC" w14:paraId="2054874A" w14:textId="77777777" w:rsidTr="00A42767">
        <w:trPr>
          <w:trHeight w:val="339"/>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3722B448"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Pump capacity</w:t>
            </w:r>
          </w:p>
        </w:tc>
        <w:tc>
          <w:tcPr>
            <w:tcW w:w="1547" w:type="dxa"/>
            <w:tcBorders>
              <w:top w:val="nil"/>
              <w:left w:val="nil"/>
              <w:bottom w:val="single" w:sz="4" w:space="0" w:color="auto"/>
              <w:right w:val="single" w:sz="4" w:space="0" w:color="auto"/>
            </w:tcBorders>
            <w:shd w:val="clear" w:color="auto" w:fill="auto"/>
            <w:vAlign w:val="center"/>
            <w:hideMark/>
          </w:tcPr>
          <w:p w14:paraId="496AFA95"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MWp</w:t>
            </w:r>
          </w:p>
        </w:tc>
        <w:tc>
          <w:tcPr>
            <w:tcW w:w="1843" w:type="dxa"/>
            <w:tcBorders>
              <w:top w:val="nil"/>
              <w:left w:val="nil"/>
              <w:bottom w:val="single" w:sz="4" w:space="0" w:color="auto"/>
              <w:right w:val="single" w:sz="4" w:space="0" w:color="auto"/>
            </w:tcBorders>
            <w:shd w:val="clear" w:color="auto" w:fill="auto"/>
            <w:vAlign w:val="center"/>
            <w:hideMark/>
          </w:tcPr>
          <w:p w14:paraId="281C0A76"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85</w:t>
            </w:r>
          </w:p>
        </w:tc>
        <w:sdt>
          <w:sdtPr>
            <w:rPr>
              <w:rFonts w:ascii="Arial" w:hAnsi="Arial" w:cs="Arial"/>
              <w:color w:val="000000"/>
              <w:sz w:val="20"/>
            </w:rPr>
            <w:tag w:val="MENDELEY_CITATION_v3_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"/>
            <w:id w:val="-947468474"/>
            <w:placeholder>
              <w:docPart w:val="DefaultPlaceholder_-1854013440"/>
            </w:placeholder>
          </w:sdtPr>
          <w:sdtEndPr/>
          <w:sdtContent>
            <w:tc>
              <w:tcPr>
                <w:tcW w:w="3219" w:type="dxa"/>
                <w:tcBorders>
                  <w:top w:val="nil"/>
                  <w:left w:val="nil"/>
                  <w:bottom w:val="single" w:sz="4" w:space="0" w:color="auto"/>
                  <w:right w:val="single" w:sz="4" w:space="0" w:color="auto"/>
                </w:tcBorders>
                <w:shd w:val="clear" w:color="auto" w:fill="auto"/>
                <w:vAlign w:val="center"/>
                <w:hideMark/>
              </w:tcPr>
              <w:p w14:paraId="56CA0CA9" w14:textId="516AABBF" w:rsidR="00A42767" w:rsidRPr="000708BC" w:rsidRDefault="002422C9" w:rsidP="00A42767">
                <w:pPr>
                  <w:jc w:val="center"/>
                  <w:rPr>
                    <w:rFonts w:ascii="Arial" w:hAnsi="Arial" w:cs="Arial"/>
                    <w:color w:val="000000"/>
                    <w:sz w:val="20"/>
                  </w:rPr>
                </w:pPr>
                <w:r w:rsidRPr="000708BC">
                  <w:rPr>
                    <w:rFonts w:ascii="Arial" w:hAnsi="Arial" w:cs="Arial"/>
                    <w:color w:val="000000"/>
                    <w:sz w:val="20"/>
                  </w:rPr>
                  <w:t>(Cochilco, 2024b)</w:t>
                </w:r>
              </w:p>
            </w:tc>
          </w:sdtContent>
        </w:sdt>
      </w:tr>
      <w:tr w:rsidR="00A42767" w:rsidRPr="000708BC" w14:paraId="08CC45FD" w14:textId="77777777" w:rsidTr="00A42767">
        <w:trPr>
          <w:trHeight w:val="405"/>
          <w:jc w:val="center"/>
        </w:trPr>
        <w:tc>
          <w:tcPr>
            <w:tcW w:w="2247" w:type="dxa"/>
            <w:tcBorders>
              <w:top w:val="nil"/>
              <w:left w:val="single" w:sz="4" w:space="0" w:color="auto"/>
              <w:bottom w:val="single" w:sz="4" w:space="0" w:color="auto"/>
              <w:right w:val="single" w:sz="4" w:space="0" w:color="auto"/>
            </w:tcBorders>
            <w:shd w:val="clear" w:color="auto" w:fill="auto"/>
            <w:vAlign w:val="center"/>
            <w:hideMark/>
          </w:tcPr>
          <w:p w14:paraId="65D6D7D4" w14:textId="77777777" w:rsidR="00A42767" w:rsidRPr="000708BC" w:rsidRDefault="00A42767" w:rsidP="00A42767">
            <w:pPr>
              <w:rPr>
                <w:rFonts w:ascii="Arial" w:hAnsi="Arial" w:cs="Arial"/>
                <w:color w:val="000000"/>
                <w:sz w:val="20"/>
              </w:rPr>
            </w:pPr>
            <w:r w:rsidRPr="000708BC">
              <w:rPr>
                <w:rFonts w:ascii="Arial" w:hAnsi="Arial" w:cs="Arial"/>
                <w:color w:val="000000"/>
                <w:sz w:val="20"/>
              </w:rPr>
              <w:t>Electricity consumption</w:t>
            </w:r>
          </w:p>
        </w:tc>
        <w:tc>
          <w:tcPr>
            <w:tcW w:w="1547" w:type="dxa"/>
            <w:tcBorders>
              <w:top w:val="nil"/>
              <w:left w:val="nil"/>
              <w:bottom w:val="single" w:sz="4" w:space="0" w:color="auto"/>
              <w:right w:val="single" w:sz="4" w:space="0" w:color="auto"/>
            </w:tcBorders>
            <w:shd w:val="clear" w:color="auto" w:fill="auto"/>
            <w:vAlign w:val="center"/>
            <w:hideMark/>
          </w:tcPr>
          <w:p w14:paraId="7E22D7D3"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kWh/l</w:t>
            </w:r>
          </w:p>
        </w:tc>
        <w:tc>
          <w:tcPr>
            <w:tcW w:w="1843" w:type="dxa"/>
            <w:tcBorders>
              <w:top w:val="nil"/>
              <w:left w:val="nil"/>
              <w:bottom w:val="single" w:sz="4" w:space="0" w:color="auto"/>
              <w:right w:val="single" w:sz="4" w:space="0" w:color="auto"/>
            </w:tcBorders>
            <w:shd w:val="clear" w:color="auto" w:fill="auto"/>
            <w:vAlign w:val="center"/>
            <w:hideMark/>
          </w:tcPr>
          <w:p w14:paraId="19BEA481" w14:textId="77777777" w:rsidR="00A42767" w:rsidRPr="000708BC" w:rsidRDefault="00A42767" w:rsidP="00A42767">
            <w:pPr>
              <w:jc w:val="center"/>
              <w:rPr>
                <w:rFonts w:ascii="Arial" w:hAnsi="Arial" w:cs="Arial"/>
                <w:color w:val="000000"/>
                <w:sz w:val="20"/>
              </w:rPr>
            </w:pPr>
            <w:r w:rsidRPr="000708BC">
              <w:rPr>
                <w:rFonts w:ascii="Arial" w:hAnsi="Arial" w:cs="Arial"/>
                <w:color w:val="000000"/>
                <w:sz w:val="20"/>
              </w:rPr>
              <w:t>0.028</w:t>
            </w:r>
          </w:p>
        </w:tc>
        <w:sdt>
          <w:sdtPr>
            <w:rPr>
              <w:rFonts w:ascii="Arial" w:hAnsi="Arial" w:cs="Arial"/>
              <w:color w:val="000000"/>
              <w:sz w:val="20"/>
            </w:rPr>
            <w:tag w:val="MENDELEY_CITATION_v3_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"/>
            <w:id w:val="-1893728388"/>
            <w:placeholder>
              <w:docPart w:val="DefaultPlaceholder_-1854013440"/>
            </w:placeholder>
          </w:sdtPr>
          <w:sdtEndPr/>
          <w:sdtContent>
            <w:tc>
              <w:tcPr>
                <w:tcW w:w="3219" w:type="dxa"/>
                <w:tcBorders>
                  <w:top w:val="nil"/>
                  <w:left w:val="nil"/>
                  <w:bottom w:val="single" w:sz="4" w:space="0" w:color="auto"/>
                  <w:right w:val="single" w:sz="4" w:space="0" w:color="auto"/>
                </w:tcBorders>
                <w:shd w:val="clear" w:color="auto" w:fill="auto"/>
                <w:vAlign w:val="center"/>
                <w:hideMark/>
              </w:tcPr>
              <w:p w14:paraId="41B99D17" w14:textId="64F2F576" w:rsidR="00A42767" w:rsidRPr="000708BC" w:rsidRDefault="002422C9" w:rsidP="00A42767">
                <w:pPr>
                  <w:jc w:val="center"/>
                  <w:rPr>
                    <w:rFonts w:ascii="Arial" w:hAnsi="Arial" w:cs="Arial"/>
                    <w:color w:val="000000"/>
                    <w:sz w:val="20"/>
                  </w:rPr>
                </w:pPr>
                <w:r w:rsidRPr="000708BC">
                  <w:rPr>
                    <w:rFonts w:ascii="Arial" w:hAnsi="Arial" w:cs="Arial"/>
                    <w:color w:val="000000"/>
                    <w:sz w:val="20"/>
                  </w:rPr>
                  <w:t>(White, 1998)</w:t>
                </w:r>
              </w:p>
            </w:tc>
          </w:sdtContent>
        </w:sdt>
      </w:tr>
    </w:tbl>
    <w:p w14:paraId="1FA5AB17" w14:textId="77777777" w:rsidR="00FB0286" w:rsidRPr="000708BC" w:rsidRDefault="00FB0286">
      <w:pPr>
        <w:pStyle w:val="JIEreferencelist"/>
        <w:ind w:left="0" w:firstLine="0"/>
        <w:rPr>
          <w:rFonts w:ascii="Arial" w:hAnsi="Arial" w:cs="Arial"/>
          <w:iCs/>
          <w:sz w:val="22"/>
          <w:szCs w:val="22"/>
        </w:rPr>
      </w:pPr>
    </w:p>
    <w:p w14:paraId="3CBA69E2" w14:textId="6BF51488" w:rsidR="00DD3D1F" w:rsidRPr="000708BC" w:rsidRDefault="00DD3D1F" w:rsidP="00724D19">
      <w:pPr>
        <w:pStyle w:val="Heading1"/>
        <w:rPr>
          <w:rFonts w:cs="Arial"/>
        </w:rPr>
      </w:pPr>
      <w:r w:rsidRPr="000708BC">
        <w:rPr>
          <w:rFonts w:cs="Arial"/>
        </w:rPr>
        <w:t>Stage 4 Copper production</w:t>
      </w:r>
    </w:p>
    <w:p w14:paraId="628A4752" w14:textId="77777777" w:rsidR="00B23319" w:rsidRPr="000708BC" w:rsidRDefault="00B23319" w:rsidP="00D42845">
      <w:pPr>
        <w:pStyle w:val="JIEreferencelist"/>
        <w:ind w:left="0" w:firstLine="0"/>
        <w:jc w:val="both"/>
        <w:rPr>
          <w:rFonts w:ascii="Arial" w:hAnsi="Arial" w:cs="Arial"/>
          <w:iCs/>
          <w:sz w:val="22"/>
          <w:szCs w:val="22"/>
        </w:rPr>
      </w:pPr>
    </w:p>
    <w:p w14:paraId="71EE294B" w14:textId="240F8F81" w:rsidR="00D42845" w:rsidRPr="000708BC" w:rsidRDefault="00D42845" w:rsidP="00D42845">
      <w:pPr>
        <w:pStyle w:val="JIEreferencelist"/>
        <w:ind w:left="0" w:firstLine="0"/>
        <w:jc w:val="both"/>
        <w:rPr>
          <w:rFonts w:ascii="Arial" w:hAnsi="Arial" w:cs="Arial"/>
          <w:iCs/>
          <w:sz w:val="22"/>
          <w:szCs w:val="22"/>
        </w:rPr>
      </w:pPr>
      <w:r w:rsidRPr="000708BC">
        <w:rPr>
          <w:rFonts w:ascii="Arial" w:hAnsi="Arial" w:cs="Arial"/>
          <w:iCs/>
          <w:sz w:val="22"/>
          <w:szCs w:val="22"/>
        </w:rPr>
        <w:t>Chile’s copper production system comprises two primary processing pathways: pyrometallurgy ([P]Cu) and hydrometallurgy ([H]Cu). Sulfide ores extracted from underground and open-pit operations are processed through the [P]Cu line, while oxide ores and low-grade sulfide ores are processed through the [H]Cu line. The two production lines differ markedly in their process design, material and energy inputs, and water requirements. According to</w:t>
      </w:r>
      <w:r w:rsidR="004A2B29"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"/>
          <w:id w:val="-2088070669"/>
          <w:placeholder>
            <w:docPart w:val="DefaultPlaceholder_-1854013440"/>
          </w:placeholder>
        </w:sdtPr>
        <w:sdtEndPr/>
        <w:sdtContent>
          <w:r w:rsidR="002422C9" w:rsidRPr="000708BC">
            <w:rPr>
              <w:rFonts w:ascii="Arial" w:eastAsia="Times New Roman" w:hAnsi="Arial" w:cs="Arial"/>
              <w:color w:val="000000"/>
              <w:sz w:val="22"/>
            </w:rPr>
            <w:t>(Castro-</w:t>
          </w:r>
          <w:proofErr w:type="spellStart"/>
          <w:r w:rsidR="002422C9" w:rsidRPr="000708BC">
            <w:rPr>
              <w:rFonts w:ascii="Arial" w:eastAsia="Times New Roman" w:hAnsi="Arial" w:cs="Arial"/>
              <w:color w:val="000000"/>
              <w:sz w:val="22"/>
            </w:rPr>
            <w:t>Molinare</w:t>
          </w:r>
          <w:proofErr w:type="spellEnd"/>
          <w:r w:rsidR="002422C9" w:rsidRPr="000708BC">
            <w:rPr>
              <w:rFonts w:ascii="Arial" w:eastAsia="Times New Roman" w:hAnsi="Arial" w:cs="Arial"/>
              <w:color w:val="000000"/>
              <w:sz w:val="22"/>
            </w:rPr>
            <w:t xml:space="preserve">, </w:t>
          </w:r>
          <w:proofErr w:type="spellStart"/>
          <w:r w:rsidR="002422C9" w:rsidRPr="000708BC">
            <w:rPr>
              <w:rFonts w:ascii="Arial" w:eastAsia="Times New Roman" w:hAnsi="Arial" w:cs="Arial"/>
              <w:color w:val="000000"/>
              <w:sz w:val="22"/>
            </w:rPr>
            <w:t>Korre</w:t>
          </w:r>
          <w:proofErr w:type="spellEnd"/>
          <w:r w:rsidR="002422C9" w:rsidRPr="000708BC">
            <w:rPr>
              <w:rFonts w:ascii="Arial" w:eastAsia="Times New Roman" w:hAnsi="Arial" w:cs="Arial"/>
              <w:color w:val="000000"/>
              <w:sz w:val="22"/>
            </w:rPr>
            <w:t xml:space="preserve">, &amp; </w:t>
          </w:r>
          <w:proofErr w:type="spellStart"/>
          <w:r w:rsidR="002422C9" w:rsidRPr="000708BC">
            <w:rPr>
              <w:rFonts w:ascii="Arial" w:eastAsia="Times New Roman" w:hAnsi="Arial" w:cs="Arial"/>
              <w:color w:val="000000"/>
              <w:sz w:val="22"/>
            </w:rPr>
            <w:t>Durucan</w:t>
          </w:r>
          <w:proofErr w:type="spellEnd"/>
          <w:r w:rsidR="002422C9" w:rsidRPr="000708BC">
            <w:rPr>
              <w:rFonts w:ascii="Arial" w:eastAsia="Times New Roman" w:hAnsi="Arial" w:cs="Arial"/>
              <w:color w:val="000000"/>
              <w:sz w:val="22"/>
            </w:rPr>
            <w:t>, 2014)</w:t>
          </w:r>
        </w:sdtContent>
      </w:sdt>
      <w:r w:rsidR="00236FFC" w:rsidRPr="000708BC">
        <w:rPr>
          <w:rFonts w:ascii="Arial" w:hAnsi="Arial" w:cs="Arial"/>
          <w:iCs/>
          <w:sz w:val="22"/>
          <w:szCs w:val="22"/>
        </w:rPr>
        <w:t xml:space="preserve">, </w:t>
      </w:r>
      <w:r w:rsidRPr="000708BC">
        <w:rPr>
          <w:rFonts w:ascii="Arial" w:hAnsi="Arial" w:cs="Arial"/>
          <w:iCs/>
          <w:sz w:val="22"/>
          <w:szCs w:val="22"/>
        </w:rPr>
        <w:t xml:space="preserve">both production lines begin with shared upstream operations, including blasting, excavation, and ore transportation. In the [P]Cu line, the extracted ore proceeds to the beneficiation stage, undergoing grinding, flotation, thickening, and filtering. This yields copper concentrate and </w:t>
      </w:r>
      <w:r w:rsidRPr="000708BC">
        <w:rPr>
          <w:rFonts w:ascii="Arial" w:hAnsi="Arial" w:cs="Arial"/>
          <w:iCs/>
          <w:sz w:val="22"/>
          <w:szCs w:val="22"/>
        </w:rPr>
        <w:lastRenderedPageBreak/>
        <w:t>valuable byproducts such as molybdenum, gold, and silver. Tailings—a byproduct of this stage—are stored in dedicated dams near the mine site. The concentrate then undergoes smelting—comprising melting, converting, and pyro-refining—to produce copper anodes. This stage is thermally intensive and generates both gaseous emissions and solid slag. In Chile, sulfur-rich gases from the smelting process are partially captured and converted into sulfuric acid, a commercial byproduct. The anodes are subsequently refined electrochemically by using sulfuric acid and an electrical current to produce 99.99% pure copper cathodes. Anodic slime, rich in precious metals such as gold and silver, is also recovered during this step. The life cycle inventory for the [P]Cu line includes the following stages: open-pit mining, underground mining, concentration, smelting, electrolytic refining, and services.</w:t>
      </w:r>
    </w:p>
    <w:p w14:paraId="21BC2AC0" w14:textId="77777777" w:rsidR="00B23319" w:rsidRPr="000708BC" w:rsidRDefault="00B23319" w:rsidP="00D42845">
      <w:pPr>
        <w:pStyle w:val="JIEreferencelist"/>
        <w:ind w:left="0" w:firstLine="0"/>
        <w:jc w:val="both"/>
        <w:rPr>
          <w:rFonts w:ascii="Arial" w:hAnsi="Arial" w:cs="Arial"/>
          <w:iCs/>
          <w:sz w:val="22"/>
          <w:szCs w:val="22"/>
        </w:rPr>
      </w:pPr>
    </w:p>
    <w:p w14:paraId="58B3261E" w14:textId="77777777" w:rsidR="00D42845" w:rsidRPr="000708BC" w:rsidRDefault="00D42845" w:rsidP="00D42845">
      <w:pPr>
        <w:pStyle w:val="JIEreferencelist"/>
        <w:ind w:left="0" w:firstLine="0"/>
        <w:jc w:val="both"/>
        <w:rPr>
          <w:rFonts w:ascii="Arial" w:hAnsi="Arial" w:cs="Arial"/>
          <w:iCs/>
          <w:sz w:val="22"/>
          <w:szCs w:val="22"/>
        </w:rPr>
      </w:pPr>
      <w:r w:rsidRPr="000708BC">
        <w:rPr>
          <w:rFonts w:ascii="Arial" w:hAnsi="Arial" w:cs="Arial"/>
          <w:iCs/>
          <w:sz w:val="22"/>
          <w:szCs w:val="22"/>
        </w:rPr>
        <w:t>In contrast, the [H]Cu process begins with heap leaching, where crushed ore is irrigated with a solution of water and sulfuric acid. This leaches copper from oxide minerals into the pregnant leach solution, which is collected and transferred to the solvent extraction stage. Here, copper is separated by using an organic phase comprising paraffin and resin, followed by stripping with a weak acid solution. The resulting electrolyte is sent to the electrowinning stage, where copper is recovered as 99.99% pure cathodes. The life cycle inventory for the [H]Cu line is structured around open-pit mining, heap leaching/solvent extraction/electrowinning, and services.</w:t>
      </w:r>
    </w:p>
    <w:p w14:paraId="6A032247" w14:textId="77777777" w:rsidR="00010C97" w:rsidRPr="000708BC" w:rsidRDefault="00010C97" w:rsidP="00D42845">
      <w:pPr>
        <w:pStyle w:val="JIEreferencelist"/>
        <w:ind w:left="0" w:firstLine="0"/>
        <w:jc w:val="both"/>
        <w:rPr>
          <w:rFonts w:ascii="Arial" w:hAnsi="Arial" w:cs="Arial"/>
          <w:iCs/>
          <w:sz w:val="22"/>
          <w:szCs w:val="22"/>
        </w:rPr>
      </w:pPr>
    </w:p>
    <w:p w14:paraId="10D7F0BF" w14:textId="5C002E10" w:rsidR="00001D0F" w:rsidRPr="000708BC" w:rsidRDefault="00D42845" w:rsidP="00D42845">
      <w:pPr>
        <w:pStyle w:val="JIEreferencelist"/>
        <w:ind w:left="0" w:firstLine="0"/>
        <w:jc w:val="both"/>
        <w:rPr>
          <w:rFonts w:ascii="Arial" w:hAnsi="Arial" w:cs="Arial"/>
          <w:iCs/>
          <w:color w:val="000000"/>
          <w:sz w:val="22"/>
          <w:szCs w:val="22"/>
        </w:rPr>
      </w:pPr>
      <w:r w:rsidRPr="000708BC">
        <w:rPr>
          <w:rFonts w:ascii="Arial" w:hAnsi="Arial" w:cs="Arial"/>
          <w:iCs/>
          <w:sz w:val="22"/>
          <w:szCs w:val="22"/>
        </w:rPr>
        <w:t>Electricity, fuel, and water consumption data for the business-as-usual (BAU) scenario in 2023 were sourced from</w:t>
      </w:r>
      <w:r w:rsidR="00154BB7"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OGM5NjVhOWQtMTM2Zi00YWM0LTkzNGMtNGJiZWMyNjNhM2I2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"/>
          <w:id w:val="135919125"/>
          <w:placeholder>
            <w:docPart w:val="DefaultPlaceholder_-1854013440"/>
          </w:placeholder>
        </w:sdtPr>
        <w:sdtEndPr/>
        <w:sdtContent>
          <w:r w:rsidR="002422C9" w:rsidRPr="000708BC">
            <w:rPr>
              <w:rFonts w:ascii="Arial" w:hAnsi="Arial" w:cs="Arial"/>
              <w:iCs/>
              <w:color w:val="000000"/>
              <w:sz w:val="22"/>
              <w:szCs w:val="22"/>
            </w:rPr>
            <w:t>(</w:t>
          </w:r>
          <w:proofErr w:type="spellStart"/>
          <w:r w:rsidR="002422C9" w:rsidRPr="000708BC">
            <w:rPr>
              <w:rFonts w:ascii="Arial" w:hAnsi="Arial" w:cs="Arial"/>
              <w:iCs/>
              <w:color w:val="000000"/>
              <w:sz w:val="22"/>
              <w:szCs w:val="22"/>
            </w:rPr>
            <w:t>Cochilco</w:t>
          </w:r>
          <w:proofErr w:type="spellEnd"/>
          <w:r w:rsidR="002422C9" w:rsidRPr="000708BC">
            <w:rPr>
              <w:rFonts w:ascii="Arial" w:hAnsi="Arial" w:cs="Arial"/>
              <w:iCs/>
              <w:color w:val="000000"/>
              <w:sz w:val="22"/>
              <w:szCs w:val="22"/>
            </w:rPr>
            <w:t>, 2024c)</w:t>
          </w:r>
        </w:sdtContent>
      </w:sdt>
      <w:r w:rsidR="00154BB7" w:rsidRPr="000708BC">
        <w:rPr>
          <w:rFonts w:ascii="Arial" w:hAnsi="Arial" w:cs="Arial"/>
          <w:iCs/>
          <w:sz w:val="22"/>
          <w:szCs w:val="22"/>
        </w:rPr>
        <w:t xml:space="preserve">. </w:t>
      </w:r>
      <w:r w:rsidR="003A0D78" w:rsidRPr="000708BC">
        <w:rPr>
          <w:rFonts w:ascii="Arial" w:hAnsi="Arial" w:cs="Arial"/>
          <w:iCs/>
          <w:sz w:val="22"/>
          <w:szCs w:val="22"/>
        </w:rPr>
        <w:t>Input allocation was performed using a combination of mass allocation—based on production line and deposit type</w:t>
      </w:r>
      <w:r w:rsidR="006574A0"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V9XX0="/>
          <w:id w:val="1646772266"/>
          <w:placeholder>
            <w:docPart w:val="DefaultPlaceholder_-1854013440"/>
          </w:placeholder>
        </w:sdtPr>
        <w:sdtEndPr/>
        <w:sdtContent>
          <w:r w:rsidR="002422C9" w:rsidRPr="000708BC">
            <w:rPr>
              <w:rFonts w:ascii="Arial" w:hAnsi="Arial" w:cs="Arial"/>
              <w:iCs/>
              <w:color w:val="000000"/>
              <w:sz w:val="22"/>
              <w:szCs w:val="22"/>
            </w:rPr>
            <w:t>(</w:t>
          </w:r>
          <w:proofErr w:type="spellStart"/>
          <w:r w:rsidR="002422C9" w:rsidRPr="000708BC">
            <w:rPr>
              <w:rFonts w:ascii="Arial" w:hAnsi="Arial" w:cs="Arial"/>
              <w:iCs/>
              <w:color w:val="000000"/>
              <w:sz w:val="22"/>
              <w:szCs w:val="22"/>
            </w:rPr>
            <w:t>Cochilco</w:t>
          </w:r>
          <w:proofErr w:type="spellEnd"/>
          <w:r w:rsidR="002422C9" w:rsidRPr="000708BC">
            <w:rPr>
              <w:rFonts w:ascii="Arial" w:hAnsi="Arial" w:cs="Arial"/>
              <w:iCs/>
              <w:color w:val="000000"/>
              <w:sz w:val="22"/>
              <w:szCs w:val="22"/>
            </w:rPr>
            <w:t>, 2024c; Mining Council of Chile, 2024)</w:t>
          </w:r>
        </w:sdtContent>
      </w:sdt>
      <w:r w:rsidR="00ED7C1E" w:rsidRPr="000708BC">
        <w:rPr>
          <w:rFonts w:ascii="Arial" w:hAnsi="Arial" w:cs="Arial"/>
          <w:iCs/>
          <w:sz w:val="22"/>
          <w:szCs w:val="22"/>
        </w:rPr>
        <w:t>—</w:t>
      </w:r>
      <w:r w:rsidRPr="000708BC">
        <w:rPr>
          <w:rFonts w:ascii="Arial" w:hAnsi="Arial" w:cs="Arial"/>
          <w:iCs/>
          <w:sz w:val="22"/>
          <w:szCs w:val="22"/>
        </w:rPr>
        <w:t xml:space="preserve"> and economic allocation</w:t>
      </w:r>
      <w:r w:rsidR="009C606D"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"/>
          <w:id w:val="104771707"/>
          <w:placeholder>
            <w:docPart w:val="DefaultPlaceholder_-1854013440"/>
          </w:placeholder>
        </w:sdtPr>
        <w:sdtEndPr/>
        <w:sdtContent>
          <w:r w:rsidR="002422C9" w:rsidRPr="000708BC">
            <w:rPr>
              <w:rFonts w:ascii="Arial" w:eastAsia="Times New Roman" w:hAnsi="Arial" w:cs="Arial"/>
              <w:color w:val="000000"/>
              <w:sz w:val="22"/>
            </w:rPr>
            <w:t xml:space="preserve">(Ardente &amp; </w:t>
          </w:r>
          <w:proofErr w:type="spellStart"/>
          <w:r w:rsidR="002422C9" w:rsidRPr="000708BC">
            <w:rPr>
              <w:rFonts w:ascii="Arial" w:eastAsia="Times New Roman" w:hAnsi="Arial" w:cs="Arial"/>
              <w:color w:val="000000"/>
              <w:sz w:val="22"/>
            </w:rPr>
            <w:t>Cellura</w:t>
          </w:r>
          <w:proofErr w:type="spellEnd"/>
          <w:r w:rsidR="002422C9" w:rsidRPr="000708BC">
            <w:rPr>
              <w:rFonts w:ascii="Arial" w:eastAsia="Times New Roman" w:hAnsi="Arial" w:cs="Arial"/>
              <w:color w:val="000000"/>
              <w:sz w:val="22"/>
            </w:rPr>
            <w:t>, 2012)</w:t>
          </w:r>
        </w:sdtContent>
      </w:sdt>
      <w:r w:rsidR="009C606D" w:rsidRPr="000708BC">
        <w:rPr>
          <w:rFonts w:ascii="Arial" w:hAnsi="Arial" w:cs="Arial"/>
          <w:iCs/>
          <w:color w:val="000000"/>
          <w:sz w:val="22"/>
          <w:szCs w:val="22"/>
        </w:rPr>
        <w:t>,</w:t>
      </w:r>
      <w:r w:rsidRPr="000708BC">
        <w:rPr>
          <w:rFonts w:ascii="Arial" w:hAnsi="Arial" w:cs="Arial"/>
          <w:iCs/>
          <w:sz w:val="22"/>
          <w:szCs w:val="22"/>
        </w:rPr>
        <w:t xml:space="preserve"> </w:t>
      </w:r>
      <w:r w:rsidR="00ED7C1E" w:rsidRPr="000708BC">
        <w:rPr>
          <w:rFonts w:ascii="Arial" w:hAnsi="Arial" w:cs="Arial"/>
          <w:iCs/>
          <w:sz w:val="22"/>
          <w:szCs w:val="22"/>
        </w:rPr>
        <w:t>particularly for by-products of the [P]Cu route</w:t>
      </w:r>
      <w:r w:rsidRPr="000708BC">
        <w:rPr>
          <w:rFonts w:ascii="Arial" w:hAnsi="Arial" w:cs="Arial"/>
          <w:iCs/>
          <w:sz w:val="22"/>
          <w:szCs w:val="22"/>
        </w:rPr>
        <w:t xml:space="preserve">. </w:t>
      </w:r>
      <w:proofErr w:type="spellStart"/>
      <w:r w:rsidR="00600655" w:rsidRPr="000708BC">
        <w:rPr>
          <w:rFonts w:ascii="Arial" w:hAnsi="Arial" w:cs="Arial"/>
          <w:iCs/>
          <w:sz w:val="22"/>
          <w:szCs w:val="22"/>
        </w:rPr>
        <w:t>onomic</w:t>
      </w:r>
      <w:proofErr w:type="spellEnd"/>
      <w:r w:rsidR="00600655" w:rsidRPr="000708BC">
        <w:rPr>
          <w:rFonts w:ascii="Arial" w:hAnsi="Arial" w:cs="Arial"/>
          <w:iCs/>
          <w:sz w:val="22"/>
          <w:szCs w:val="22"/>
        </w:rPr>
        <w:t xml:space="preserve"> allocation factors were derived from 2023 market prices</w:t>
      </w:r>
      <w:r w:rsidR="00811425" w:rsidRPr="000708BC">
        <w:rPr>
          <w:rFonts w:ascii="Arial" w:hAnsi="Arial" w:cs="Arial"/>
          <w:iCs/>
          <w:sz w:val="22"/>
          <w:szCs w:val="22"/>
        </w:rPr>
        <w:t xml:space="preserve"> </w:t>
      </w:r>
      <w:sdt>
        <w:sdtPr>
          <w:rPr>
            <w:rFonts w:ascii="Arial" w:hAnsi="Arial" w:cs="Arial"/>
            <w:iCs/>
            <w:color w:val="000000"/>
            <w:sz w:val="22"/>
            <w:szCs w:val="22"/>
          </w:rPr>
          <w:tag w:val="MENDELEY_CITATION_v3_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"/>
          <w:id w:val="180712464"/>
          <w:placeholder>
            <w:docPart w:val="DefaultPlaceholder_-1854013440"/>
          </w:placeholder>
        </w:sdtPr>
        <w:sdtEndPr/>
        <w:sdtContent>
          <w:r w:rsidR="002422C9" w:rsidRPr="000708BC">
            <w:rPr>
              <w:rFonts w:ascii="Arial" w:hAnsi="Arial" w:cs="Arial"/>
              <w:iCs/>
              <w:color w:val="000000"/>
              <w:sz w:val="22"/>
              <w:szCs w:val="22"/>
            </w:rPr>
            <w:t>(</w:t>
          </w:r>
          <w:proofErr w:type="spellStart"/>
          <w:r w:rsidR="002422C9" w:rsidRPr="000708BC">
            <w:rPr>
              <w:rFonts w:ascii="Arial" w:hAnsi="Arial" w:cs="Arial"/>
              <w:iCs/>
              <w:color w:val="000000"/>
              <w:sz w:val="22"/>
              <w:szCs w:val="22"/>
            </w:rPr>
            <w:t>Cochilco</w:t>
          </w:r>
          <w:proofErr w:type="spellEnd"/>
          <w:r w:rsidR="002422C9" w:rsidRPr="000708BC">
            <w:rPr>
              <w:rFonts w:ascii="Arial" w:hAnsi="Arial" w:cs="Arial"/>
              <w:iCs/>
              <w:color w:val="000000"/>
              <w:sz w:val="22"/>
              <w:szCs w:val="22"/>
            </w:rPr>
            <w:t>, 2024a, 2024d; London Metal Exchange, 2024)</w:t>
          </w:r>
        </w:sdtContent>
      </w:sdt>
      <w:r w:rsidR="00600655" w:rsidRPr="000708BC">
        <w:rPr>
          <w:rFonts w:ascii="Arial" w:hAnsi="Arial" w:cs="Arial"/>
          <w:iCs/>
          <w:color w:val="000000"/>
          <w:sz w:val="22"/>
          <w:szCs w:val="22"/>
        </w:rPr>
        <w:t>. The increase in energy input associated with ore grade decline was incorporated according to the information provided in Section 1</w:t>
      </w:r>
      <w:r w:rsidR="002F5B04" w:rsidRPr="000708BC">
        <w:rPr>
          <w:rFonts w:ascii="Arial" w:hAnsi="Arial" w:cs="Arial"/>
          <w:iCs/>
          <w:color w:val="000000"/>
          <w:sz w:val="22"/>
          <w:szCs w:val="22"/>
        </w:rPr>
        <w:t>.</w:t>
      </w:r>
    </w:p>
    <w:p w14:paraId="6E74A8AC" w14:textId="77777777" w:rsidR="002F5B04" w:rsidRPr="000708BC" w:rsidRDefault="002F5B04" w:rsidP="00D42845">
      <w:pPr>
        <w:pStyle w:val="JIEreferencelist"/>
        <w:ind w:left="0" w:firstLine="0"/>
        <w:jc w:val="both"/>
        <w:rPr>
          <w:rFonts w:ascii="Arial" w:hAnsi="Arial" w:cs="Arial"/>
          <w:iCs/>
          <w:color w:val="000000"/>
          <w:sz w:val="22"/>
          <w:szCs w:val="22"/>
        </w:rPr>
      </w:pPr>
    </w:p>
    <w:p w14:paraId="6672BF09" w14:textId="5B4FE670" w:rsidR="002F5B04" w:rsidRPr="000708BC" w:rsidRDefault="00710F69" w:rsidP="00D42845">
      <w:pPr>
        <w:pStyle w:val="JIEreferencelist"/>
        <w:ind w:left="0" w:firstLine="0"/>
        <w:jc w:val="both"/>
        <w:rPr>
          <w:rFonts w:ascii="Arial" w:hAnsi="Arial" w:cs="Arial"/>
          <w:iCs/>
          <w:sz w:val="22"/>
          <w:szCs w:val="22"/>
        </w:rPr>
      </w:pPr>
      <w:r w:rsidRPr="000708BC">
        <w:rPr>
          <w:rFonts w:ascii="Arial" w:hAnsi="Arial" w:cs="Arial"/>
          <w:iCs/>
          <w:sz w:val="22"/>
          <w:szCs w:val="22"/>
        </w:rPr>
        <w:t>The allocation factors are reported in Table S1-13. Electricity, fuel, and water consumption data for both the BAU and renewable</w:t>
      </w:r>
      <w:r w:rsidR="00340BAB" w:rsidRPr="000708BC">
        <w:rPr>
          <w:rFonts w:ascii="Arial" w:hAnsi="Arial" w:cs="Arial"/>
          <w:iCs/>
          <w:sz w:val="22"/>
          <w:szCs w:val="22"/>
        </w:rPr>
        <w:t>s</w:t>
      </w:r>
      <w:r w:rsidRPr="000708BC">
        <w:rPr>
          <w:rFonts w:ascii="Arial" w:hAnsi="Arial" w:cs="Arial"/>
          <w:iCs/>
          <w:sz w:val="22"/>
          <w:szCs w:val="22"/>
        </w:rPr>
        <w:t>-led scenarios, after applying allocation procedures and accounting for the effect of ore grade decline, are presented in Tables S1-14 and S1-15.</w:t>
      </w:r>
    </w:p>
    <w:p w14:paraId="4A98E17B" w14:textId="77777777" w:rsidR="00710F69" w:rsidRPr="000708BC" w:rsidRDefault="00710F69" w:rsidP="00D42845">
      <w:pPr>
        <w:pStyle w:val="JIEreferencelist"/>
        <w:ind w:left="0" w:firstLine="0"/>
        <w:jc w:val="both"/>
        <w:rPr>
          <w:rFonts w:ascii="Arial" w:hAnsi="Arial" w:cs="Arial"/>
          <w:iCs/>
          <w:sz w:val="22"/>
          <w:szCs w:val="22"/>
        </w:rPr>
      </w:pPr>
    </w:p>
    <w:p w14:paraId="005E1EFD" w14:textId="77777777" w:rsidR="00710F69" w:rsidRPr="000708BC" w:rsidRDefault="00710F69" w:rsidP="00710F69">
      <w:pPr>
        <w:pStyle w:val="JIEreferencelist"/>
        <w:ind w:left="0" w:firstLine="0"/>
        <w:rPr>
          <w:rFonts w:ascii="Arial" w:hAnsi="Arial" w:cs="Arial"/>
          <w:iCs/>
          <w:sz w:val="22"/>
          <w:szCs w:val="22"/>
        </w:rPr>
      </w:pPr>
      <w:r w:rsidRPr="000708BC">
        <w:rPr>
          <w:rFonts w:ascii="Arial" w:hAnsi="Arial" w:cs="Arial"/>
          <w:iCs/>
          <w:sz w:val="22"/>
          <w:szCs w:val="22"/>
        </w:rPr>
        <w:t>Table S1-13 Allocation procedures Copper production process.</w:t>
      </w:r>
    </w:p>
    <w:tbl>
      <w:tblPr>
        <w:tblStyle w:val="TableGrid"/>
        <w:tblW w:w="5000" w:type="pct"/>
        <w:jc w:val="center"/>
        <w:tblLook w:val="04A0" w:firstRow="1" w:lastRow="0" w:firstColumn="1" w:lastColumn="0" w:noHBand="0" w:noVBand="1"/>
      </w:tblPr>
      <w:tblGrid>
        <w:gridCol w:w="2195"/>
        <w:gridCol w:w="2150"/>
        <w:gridCol w:w="2183"/>
        <w:gridCol w:w="2102"/>
      </w:tblGrid>
      <w:tr w:rsidR="00710F69" w:rsidRPr="000708BC" w14:paraId="246BFFA5" w14:textId="77777777" w:rsidTr="008661AA">
        <w:trPr>
          <w:tblHeader/>
          <w:jc w:val="center"/>
        </w:trPr>
        <w:tc>
          <w:tcPr>
            <w:tcW w:w="2337" w:type="dxa"/>
            <w:shd w:val="clear" w:color="auto" w:fill="D9D9D9" w:themeFill="background1" w:themeFillShade="D9"/>
          </w:tcPr>
          <w:p w14:paraId="35D78B54" w14:textId="77777777" w:rsidR="00710F69" w:rsidRPr="000708BC" w:rsidRDefault="00710F69" w:rsidP="008661AA">
            <w:pPr>
              <w:jc w:val="both"/>
              <w:rPr>
                <w:rFonts w:ascii="Arial" w:hAnsi="Arial" w:cs="Arial"/>
                <w:b/>
                <w:bCs/>
                <w:sz w:val="20"/>
              </w:rPr>
            </w:pPr>
            <w:r w:rsidRPr="000708BC">
              <w:rPr>
                <w:rFonts w:ascii="Arial" w:hAnsi="Arial" w:cs="Arial"/>
                <w:b/>
                <w:bCs/>
                <w:sz w:val="20"/>
              </w:rPr>
              <w:t>Stage</w:t>
            </w:r>
          </w:p>
        </w:tc>
        <w:tc>
          <w:tcPr>
            <w:tcW w:w="2337" w:type="dxa"/>
            <w:shd w:val="clear" w:color="auto" w:fill="D9D9D9" w:themeFill="background1" w:themeFillShade="D9"/>
          </w:tcPr>
          <w:p w14:paraId="2908F0EE" w14:textId="77777777" w:rsidR="00710F69" w:rsidRPr="000708BC" w:rsidRDefault="00710F69" w:rsidP="008661AA">
            <w:pPr>
              <w:jc w:val="both"/>
              <w:rPr>
                <w:rFonts w:ascii="Arial" w:hAnsi="Arial" w:cs="Arial"/>
                <w:b/>
                <w:bCs/>
                <w:sz w:val="20"/>
              </w:rPr>
            </w:pPr>
            <w:r w:rsidRPr="000708BC">
              <w:rPr>
                <w:rFonts w:ascii="Arial" w:hAnsi="Arial" w:cs="Arial"/>
                <w:b/>
                <w:bCs/>
                <w:sz w:val="20"/>
              </w:rPr>
              <w:t xml:space="preserve">Type </w:t>
            </w:r>
            <w:proofErr w:type="spellStart"/>
            <w:r w:rsidRPr="000708BC">
              <w:rPr>
                <w:rFonts w:ascii="Arial" w:hAnsi="Arial" w:cs="Arial"/>
                <w:b/>
                <w:bCs/>
                <w:sz w:val="20"/>
              </w:rPr>
              <w:t>Allocation</w:t>
            </w:r>
            <w:proofErr w:type="spellEnd"/>
          </w:p>
        </w:tc>
        <w:tc>
          <w:tcPr>
            <w:tcW w:w="2338" w:type="dxa"/>
            <w:shd w:val="clear" w:color="auto" w:fill="D9D9D9" w:themeFill="background1" w:themeFillShade="D9"/>
          </w:tcPr>
          <w:p w14:paraId="570FB366" w14:textId="77777777" w:rsidR="00710F69" w:rsidRPr="000708BC" w:rsidRDefault="00710F69" w:rsidP="008661AA">
            <w:pPr>
              <w:jc w:val="both"/>
              <w:rPr>
                <w:rFonts w:ascii="Arial" w:hAnsi="Arial" w:cs="Arial"/>
                <w:b/>
                <w:bCs/>
                <w:sz w:val="20"/>
              </w:rPr>
            </w:pPr>
            <w:r w:rsidRPr="000708BC">
              <w:rPr>
                <w:rFonts w:ascii="Arial" w:hAnsi="Arial" w:cs="Arial"/>
                <w:b/>
                <w:bCs/>
                <w:sz w:val="20"/>
              </w:rPr>
              <w:t>Product</w:t>
            </w:r>
          </w:p>
        </w:tc>
        <w:tc>
          <w:tcPr>
            <w:tcW w:w="2338" w:type="dxa"/>
            <w:shd w:val="clear" w:color="auto" w:fill="D9D9D9" w:themeFill="background1" w:themeFillShade="D9"/>
          </w:tcPr>
          <w:p w14:paraId="10624133" w14:textId="77777777" w:rsidR="00710F69" w:rsidRPr="000708BC" w:rsidRDefault="00710F69" w:rsidP="008661AA">
            <w:pPr>
              <w:jc w:val="both"/>
              <w:rPr>
                <w:rFonts w:ascii="Arial" w:hAnsi="Arial" w:cs="Arial"/>
                <w:b/>
                <w:bCs/>
                <w:sz w:val="20"/>
              </w:rPr>
            </w:pPr>
            <w:proofErr w:type="spellStart"/>
            <w:r w:rsidRPr="000708BC">
              <w:rPr>
                <w:rFonts w:ascii="Arial" w:hAnsi="Arial" w:cs="Arial"/>
                <w:b/>
                <w:bCs/>
                <w:sz w:val="20"/>
              </w:rPr>
              <w:t>Weight</w:t>
            </w:r>
            <w:proofErr w:type="spellEnd"/>
          </w:p>
        </w:tc>
      </w:tr>
      <w:tr w:rsidR="00710F69" w:rsidRPr="000708BC" w14:paraId="4DA19FA5" w14:textId="77777777" w:rsidTr="008661AA">
        <w:trPr>
          <w:jc w:val="center"/>
        </w:trPr>
        <w:tc>
          <w:tcPr>
            <w:tcW w:w="2337" w:type="dxa"/>
            <w:vMerge w:val="restart"/>
          </w:tcPr>
          <w:p w14:paraId="5E3B26AB" w14:textId="77777777" w:rsidR="00710F69" w:rsidRPr="000708BC" w:rsidRDefault="00710F69" w:rsidP="008661AA">
            <w:pPr>
              <w:jc w:val="both"/>
              <w:rPr>
                <w:rFonts w:ascii="Arial" w:hAnsi="Arial" w:cs="Arial"/>
                <w:sz w:val="20"/>
              </w:rPr>
            </w:pPr>
            <w:r w:rsidRPr="000708BC">
              <w:rPr>
                <w:rFonts w:ascii="Arial" w:hAnsi="Arial" w:cs="Arial"/>
                <w:sz w:val="20"/>
              </w:rPr>
              <w:t>Production Line</w:t>
            </w:r>
          </w:p>
        </w:tc>
        <w:tc>
          <w:tcPr>
            <w:tcW w:w="2337" w:type="dxa"/>
            <w:vMerge w:val="restart"/>
          </w:tcPr>
          <w:p w14:paraId="1E476423" w14:textId="77777777" w:rsidR="00710F69" w:rsidRPr="000708BC" w:rsidRDefault="00710F69" w:rsidP="008661AA">
            <w:pPr>
              <w:jc w:val="both"/>
              <w:rPr>
                <w:rFonts w:ascii="Arial" w:hAnsi="Arial" w:cs="Arial"/>
                <w:sz w:val="20"/>
              </w:rPr>
            </w:pPr>
            <w:r w:rsidRPr="000708BC">
              <w:rPr>
                <w:rFonts w:ascii="Arial" w:hAnsi="Arial" w:cs="Arial"/>
                <w:sz w:val="20"/>
              </w:rPr>
              <w:t>Mass</w:t>
            </w:r>
          </w:p>
        </w:tc>
        <w:tc>
          <w:tcPr>
            <w:tcW w:w="2338" w:type="dxa"/>
          </w:tcPr>
          <w:p w14:paraId="33D9496A" w14:textId="77777777" w:rsidR="00710F69" w:rsidRPr="000708BC" w:rsidRDefault="00710F69" w:rsidP="008661AA">
            <w:pPr>
              <w:rPr>
                <w:rFonts w:ascii="Arial" w:hAnsi="Arial" w:cs="Arial"/>
                <w:sz w:val="20"/>
              </w:rPr>
            </w:pPr>
            <w:r w:rsidRPr="000708BC">
              <w:rPr>
                <w:rFonts w:ascii="Arial" w:hAnsi="Arial" w:cs="Arial"/>
                <w:sz w:val="20"/>
              </w:rPr>
              <w:t>[P]</w:t>
            </w:r>
            <w:proofErr w:type="spellStart"/>
            <w:r w:rsidRPr="000708BC">
              <w:rPr>
                <w:rFonts w:ascii="Arial" w:hAnsi="Arial" w:cs="Arial"/>
                <w:sz w:val="20"/>
              </w:rPr>
              <w:t>Cu</w:t>
            </w:r>
            <w:proofErr w:type="spellEnd"/>
            <w:r w:rsidRPr="000708BC">
              <w:rPr>
                <w:rFonts w:ascii="Arial" w:hAnsi="Arial" w:cs="Arial"/>
                <w:sz w:val="20"/>
              </w:rPr>
              <w:t xml:space="preserve"> </w:t>
            </w:r>
            <w:proofErr w:type="spellStart"/>
            <w:r w:rsidRPr="000708BC">
              <w:rPr>
                <w:rFonts w:ascii="Arial" w:hAnsi="Arial" w:cs="Arial"/>
                <w:sz w:val="20"/>
              </w:rPr>
              <w:t>Copper</w:t>
            </w:r>
            <w:proofErr w:type="spellEnd"/>
            <w:r w:rsidRPr="000708BC">
              <w:rPr>
                <w:rFonts w:ascii="Arial" w:hAnsi="Arial" w:cs="Arial"/>
                <w:sz w:val="20"/>
              </w:rPr>
              <w:t xml:space="preserve"> </w:t>
            </w:r>
            <w:proofErr w:type="spellStart"/>
            <w:r w:rsidRPr="000708BC">
              <w:rPr>
                <w:rFonts w:ascii="Arial" w:hAnsi="Arial" w:cs="Arial"/>
                <w:sz w:val="20"/>
              </w:rPr>
              <w:t>Cathodes</w:t>
            </w:r>
            <w:proofErr w:type="spellEnd"/>
          </w:p>
        </w:tc>
        <w:tc>
          <w:tcPr>
            <w:tcW w:w="2338" w:type="dxa"/>
          </w:tcPr>
          <w:p w14:paraId="31E231EA" w14:textId="77777777" w:rsidR="00710F69" w:rsidRPr="000708BC" w:rsidRDefault="00710F69" w:rsidP="008661AA">
            <w:pPr>
              <w:jc w:val="both"/>
              <w:rPr>
                <w:rFonts w:ascii="Arial" w:hAnsi="Arial" w:cs="Arial"/>
                <w:sz w:val="20"/>
              </w:rPr>
            </w:pPr>
            <w:r w:rsidRPr="000708BC">
              <w:rPr>
                <w:rFonts w:ascii="Arial" w:hAnsi="Arial" w:cs="Arial"/>
                <w:sz w:val="20"/>
              </w:rPr>
              <w:t>75%</w:t>
            </w:r>
          </w:p>
        </w:tc>
      </w:tr>
      <w:tr w:rsidR="00710F69" w:rsidRPr="000708BC" w14:paraId="3490F9FE" w14:textId="77777777" w:rsidTr="008661AA">
        <w:trPr>
          <w:jc w:val="center"/>
        </w:trPr>
        <w:tc>
          <w:tcPr>
            <w:tcW w:w="2337" w:type="dxa"/>
            <w:vMerge/>
          </w:tcPr>
          <w:p w14:paraId="4C765B47" w14:textId="77777777" w:rsidR="00710F69" w:rsidRPr="000708BC" w:rsidRDefault="00710F69" w:rsidP="008661AA">
            <w:pPr>
              <w:jc w:val="both"/>
              <w:rPr>
                <w:rFonts w:ascii="Arial" w:hAnsi="Arial" w:cs="Arial"/>
                <w:sz w:val="20"/>
              </w:rPr>
            </w:pPr>
          </w:p>
        </w:tc>
        <w:tc>
          <w:tcPr>
            <w:tcW w:w="2337" w:type="dxa"/>
            <w:vMerge/>
          </w:tcPr>
          <w:p w14:paraId="73988091" w14:textId="77777777" w:rsidR="00710F69" w:rsidRPr="000708BC" w:rsidRDefault="00710F69" w:rsidP="008661AA">
            <w:pPr>
              <w:jc w:val="both"/>
              <w:rPr>
                <w:rFonts w:ascii="Arial" w:hAnsi="Arial" w:cs="Arial"/>
                <w:sz w:val="20"/>
              </w:rPr>
            </w:pPr>
          </w:p>
        </w:tc>
        <w:tc>
          <w:tcPr>
            <w:tcW w:w="2338" w:type="dxa"/>
          </w:tcPr>
          <w:p w14:paraId="3C892958" w14:textId="77777777" w:rsidR="00710F69" w:rsidRPr="000708BC" w:rsidRDefault="00710F69" w:rsidP="008661AA">
            <w:pPr>
              <w:rPr>
                <w:rFonts w:ascii="Arial" w:hAnsi="Arial" w:cs="Arial"/>
                <w:sz w:val="20"/>
              </w:rPr>
            </w:pPr>
            <w:r w:rsidRPr="000708BC">
              <w:rPr>
                <w:rFonts w:ascii="Arial" w:hAnsi="Arial" w:cs="Arial"/>
                <w:sz w:val="20"/>
              </w:rPr>
              <w:t>[H]</w:t>
            </w:r>
            <w:proofErr w:type="spellStart"/>
            <w:r w:rsidRPr="000708BC">
              <w:rPr>
                <w:rFonts w:ascii="Arial" w:hAnsi="Arial" w:cs="Arial"/>
                <w:sz w:val="20"/>
              </w:rPr>
              <w:t>Cu</w:t>
            </w:r>
            <w:proofErr w:type="spellEnd"/>
            <w:r w:rsidRPr="000708BC">
              <w:rPr>
                <w:rFonts w:ascii="Arial" w:hAnsi="Arial" w:cs="Arial"/>
                <w:sz w:val="20"/>
              </w:rPr>
              <w:t xml:space="preserve"> </w:t>
            </w:r>
            <w:proofErr w:type="spellStart"/>
            <w:r w:rsidRPr="000708BC">
              <w:rPr>
                <w:rFonts w:ascii="Arial" w:hAnsi="Arial" w:cs="Arial"/>
                <w:sz w:val="20"/>
              </w:rPr>
              <w:t>Copper</w:t>
            </w:r>
            <w:proofErr w:type="spellEnd"/>
            <w:r w:rsidRPr="000708BC">
              <w:rPr>
                <w:rFonts w:ascii="Arial" w:hAnsi="Arial" w:cs="Arial"/>
                <w:sz w:val="20"/>
              </w:rPr>
              <w:t xml:space="preserve"> </w:t>
            </w:r>
            <w:proofErr w:type="spellStart"/>
            <w:r w:rsidRPr="000708BC">
              <w:rPr>
                <w:rFonts w:ascii="Arial" w:hAnsi="Arial" w:cs="Arial"/>
                <w:sz w:val="20"/>
              </w:rPr>
              <w:t>Cathodes</w:t>
            </w:r>
            <w:proofErr w:type="spellEnd"/>
          </w:p>
        </w:tc>
        <w:tc>
          <w:tcPr>
            <w:tcW w:w="2338" w:type="dxa"/>
          </w:tcPr>
          <w:p w14:paraId="7503F9BF" w14:textId="77777777" w:rsidR="00710F69" w:rsidRPr="000708BC" w:rsidRDefault="00710F69" w:rsidP="008661AA">
            <w:pPr>
              <w:jc w:val="both"/>
              <w:rPr>
                <w:rFonts w:ascii="Arial" w:hAnsi="Arial" w:cs="Arial"/>
                <w:sz w:val="20"/>
              </w:rPr>
            </w:pPr>
            <w:r w:rsidRPr="000708BC">
              <w:rPr>
                <w:rFonts w:ascii="Arial" w:hAnsi="Arial" w:cs="Arial"/>
                <w:sz w:val="20"/>
              </w:rPr>
              <w:t>15%</w:t>
            </w:r>
          </w:p>
        </w:tc>
      </w:tr>
      <w:tr w:rsidR="00710F69" w:rsidRPr="000708BC" w14:paraId="029E2104" w14:textId="77777777" w:rsidTr="008661AA">
        <w:trPr>
          <w:jc w:val="center"/>
        </w:trPr>
        <w:tc>
          <w:tcPr>
            <w:tcW w:w="2337" w:type="dxa"/>
            <w:vMerge w:val="restart"/>
          </w:tcPr>
          <w:p w14:paraId="38D34470" w14:textId="77777777" w:rsidR="00710F69" w:rsidRPr="000708BC" w:rsidRDefault="00710F69" w:rsidP="008661AA">
            <w:pPr>
              <w:jc w:val="both"/>
              <w:rPr>
                <w:rFonts w:ascii="Arial" w:hAnsi="Arial" w:cs="Arial"/>
                <w:sz w:val="20"/>
              </w:rPr>
            </w:pPr>
            <w:proofErr w:type="spellStart"/>
            <w:r w:rsidRPr="000708BC">
              <w:rPr>
                <w:rFonts w:ascii="Arial" w:hAnsi="Arial" w:cs="Arial"/>
                <w:sz w:val="20"/>
              </w:rPr>
              <w:t>Deposit</w:t>
            </w:r>
            <w:proofErr w:type="spellEnd"/>
            <w:r w:rsidRPr="000708BC">
              <w:rPr>
                <w:rFonts w:ascii="Arial" w:hAnsi="Arial" w:cs="Arial"/>
                <w:sz w:val="20"/>
              </w:rPr>
              <w:t xml:space="preserve"> ([P]</w:t>
            </w:r>
            <w:proofErr w:type="spellStart"/>
            <w:r w:rsidRPr="000708BC">
              <w:rPr>
                <w:rFonts w:ascii="Arial" w:hAnsi="Arial" w:cs="Arial"/>
                <w:sz w:val="20"/>
              </w:rPr>
              <w:t>Cu</w:t>
            </w:r>
            <w:proofErr w:type="spellEnd"/>
            <w:r w:rsidRPr="000708BC">
              <w:rPr>
                <w:rFonts w:ascii="Arial" w:hAnsi="Arial" w:cs="Arial"/>
                <w:sz w:val="20"/>
              </w:rPr>
              <w:t>)</w:t>
            </w:r>
          </w:p>
        </w:tc>
        <w:tc>
          <w:tcPr>
            <w:tcW w:w="2337" w:type="dxa"/>
            <w:vMerge w:val="restart"/>
          </w:tcPr>
          <w:p w14:paraId="1BF55B40" w14:textId="77777777" w:rsidR="00710F69" w:rsidRPr="000708BC" w:rsidRDefault="00710F69" w:rsidP="008661AA">
            <w:pPr>
              <w:jc w:val="both"/>
              <w:rPr>
                <w:rFonts w:ascii="Arial" w:hAnsi="Arial" w:cs="Arial"/>
                <w:sz w:val="20"/>
              </w:rPr>
            </w:pPr>
            <w:r w:rsidRPr="000708BC">
              <w:rPr>
                <w:rFonts w:ascii="Arial" w:hAnsi="Arial" w:cs="Arial"/>
                <w:sz w:val="20"/>
              </w:rPr>
              <w:t>Mass</w:t>
            </w:r>
          </w:p>
        </w:tc>
        <w:tc>
          <w:tcPr>
            <w:tcW w:w="2338" w:type="dxa"/>
          </w:tcPr>
          <w:p w14:paraId="2EBA6292" w14:textId="77777777" w:rsidR="00710F69" w:rsidRPr="000708BC" w:rsidRDefault="00710F69" w:rsidP="008661AA">
            <w:pPr>
              <w:rPr>
                <w:rFonts w:ascii="Arial" w:hAnsi="Arial" w:cs="Arial"/>
                <w:sz w:val="20"/>
              </w:rPr>
            </w:pPr>
            <w:r w:rsidRPr="000708BC">
              <w:rPr>
                <w:rFonts w:ascii="Arial" w:hAnsi="Arial" w:cs="Arial"/>
                <w:sz w:val="20"/>
              </w:rPr>
              <w:t xml:space="preserve">Open </w:t>
            </w:r>
            <w:proofErr w:type="spellStart"/>
            <w:r w:rsidRPr="000708BC">
              <w:rPr>
                <w:rFonts w:ascii="Arial" w:hAnsi="Arial" w:cs="Arial"/>
                <w:sz w:val="20"/>
              </w:rPr>
              <w:t>pit</w:t>
            </w:r>
            <w:proofErr w:type="spellEnd"/>
          </w:p>
        </w:tc>
        <w:tc>
          <w:tcPr>
            <w:tcW w:w="2338" w:type="dxa"/>
          </w:tcPr>
          <w:p w14:paraId="3F6436FB" w14:textId="77777777" w:rsidR="00710F69" w:rsidRPr="000708BC" w:rsidRDefault="00710F69" w:rsidP="008661AA">
            <w:pPr>
              <w:jc w:val="both"/>
              <w:rPr>
                <w:rFonts w:ascii="Arial" w:hAnsi="Arial" w:cs="Arial"/>
                <w:sz w:val="20"/>
              </w:rPr>
            </w:pPr>
            <w:r w:rsidRPr="000708BC">
              <w:rPr>
                <w:rFonts w:ascii="Arial" w:hAnsi="Arial" w:cs="Arial"/>
                <w:sz w:val="20"/>
              </w:rPr>
              <w:t>84%</w:t>
            </w:r>
          </w:p>
        </w:tc>
      </w:tr>
      <w:tr w:rsidR="00710F69" w:rsidRPr="000708BC" w14:paraId="21CABFD6" w14:textId="77777777" w:rsidTr="008661AA">
        <w:trPr>
          <w:jc w:val="center"/>
        </w:trPr>
        <w:tc>
          <w:tcPr>
            <w:tcW w:w="2337" w:type="dxa"/>
            <w:vMerge/>
          </w:tcPr>
          <w:p w14:paraId="0765442A" w14:textId="77777777" w:rsidR="00710F69" w:rsidRPr="000708BC" w:rsidRDefault="00710F69" w:rsidP="008661AA">
            <w:pPr>
              <w:jc w:val="both"/>
              <w:rPr>
                <w:rFonts w:ascii="Arial" w:hAnsi="Arial" w:cs="Arial"/>
                <w:sz w:val="20"/>
              </w:rPr>
            </w:pPr>
          </w:p>
        </w:tc>
        <w:tc>
          <w:tcPr>
            <w:tcW w:w="2337" w:type="dxa"/>
            <w:vMerge/>
          </w:tcPr>
          <w:p w14:paraId="52F4AB18" w14:textId="77777777" w:rsidR="00710F69" w:rsidRPr="000708BC" w:rsidRDefault="00710F69" w:rsidP="008661AA">
            <w:pPr>
              <w:jc w:val="both"/>
              <w:rPr>
                <w:rFonts w:ascii="Arial" w:hAnsi="Arial" w:cs="Arial"/>
                <w:sz w:val="20"/>
              </w:rPr>
            </w:pPr>
          </w:p>
        </w:tc>
        <w:tc>
          <w:tcPr>
            <w:tcW w:w="2338" w:type="dxa"/>
          </w:tcPr>
          <w:p w14:paraId="0F548C28" w14:textId="77777777" w:rsidR="00710F69" w:rsidRPr="000708BC" w:rsidRDefault="00710F69" w:rsidP="008661AA">
            <w:pPr>
              <w:rPr>
                <w:rFonts w:ascii="Arial" w:hAnsi="Arial" w:cs="Arial"/>
                <w:sz w:val="20"/>
              </w:rPr>
            </w:pPr>
            <w:proofErr w:type="spellStart"/>
            <w:r w:rsidRPr="000708BC">
              <w:rPr>
                <w:rFonts w:ascii="Arial" w:hAnsi="Arial" w:cs="Arial"/>
                <w:sz w:val="20"/>
              </w:rPr>
              <w:t>Underground</w:t>
            </w:r>
            <w:proofErr w:type="spellEnd"/>
          </w:p>
        </w:tc>
        <w:tc>
          <w:tcPr>
            <w:tcW w:w="2338" w:type="dxa"/>
          </w:tcPr>
          <w:p w14:paraId="399199EC" w14:textId="77777777" w:rsidR="00710F69" w:rsidRPr="000708BC" w:rsidRDefault="00710F69" w:rsidP="008661AA">
            <w:pPr>
              <w:jc w:val="both"/>
              <w:rPr>
                <w:rFonts w:ascii="Arial" w:hAnsi="Arial" w:cs="Arial"/>
                <w:sz w:val="20"/>
              </w:rPr>
            </w:pPr>
            <w:r w:rsidRPr="000708BC">
              <w:rPr>
                <w:rFonts w:ascii="Arial" w:hAnsi="Arial" w:cs="Arial"/>
                <w:sz w:val="20"/>
              </w:rPr>
              <w:t>16%</w:t>
            </w:r>
          </w:p>
        </w:tc>
      </w:tr>
      <w:tr w:rsidR="00710F69" w:rsidRPr="000708BC" w14:paraId="4D9F48E4" w14:textId="77777777" w:rsidTr="008661AA">
        <w:trPr>
          <w:jc w:val="center"/>
        </w:trPr>
        <w:tc>
          <w:tcPr>
            <w:tcW w:w="2337" w:type="dxa"/>
            <w:vMerge w:val="restart"/>
          </w:tcPr>
          <w:p w14:paraId="7A2E4B0E" w14:textId="77777777" w:rsidR="00710F69" w:rsidRPr="000708BC" w:rsidRDefault="00710F69" w:rsidP="008661AA">
            <w:pPr>
              <w:jc w:val="both"/>
              <w:rPr>
                <w:rFonts w:ascii="Arial" w:hAnsi="Arial" w:cs="Arial"/>
                <w:sz w:val="20"/>
              </w:rPr>
            </w:pPr>
            <w:proofErr w:type="spellStart"/>
            <w:r w:rsidRPr="000708BC">
              <w:rPr>
                <w:rFonts w:ascii="Arial" w:hAnsi="Arial" w:cs="Arial"/>
                <w:sz w:val="20"/>
              </w:rPr>
              <w:t>Concentration</w:t>
            </w:r>
            <w:proofErr w:type="spellEnd"/>
          </w:p>
        </w:tc>
        <w:tc>
          <w:tcPr>
            <w:tcW w:w="2337" w:type="dxa"/>
            <w:vMerge w:val="restart"/>
          </w:tcPr>
          <w:p w14:paraId="5D0261E1" w14:textId="77777777" w:rsidR="00710F69" w:rsidRPr="000708BC" w:rsidRDefault="00710F69" w:rsidP="008661AA">
            <w:pPr>
              <w:jc w:val="both"/>
              <w:rPr>
                <w:rFonts w:ascii="Arial" w:hAnsi="Arial" w:cs="Arial"/>
                <w:sz w:val="20"/>
              </w:rPr>
            </w:pPr>
            <w:proofErr w:type="spellStart"/>
            <w:r w:rsidRPr="000708BC">
              <w:rPr>
                <w:rFonts w:ascii="Arial" w:hAnsi="Arial" w:cs="Arial"/>
                <w:sz w:val="20"/>
              </w:rPr>
              <w:t>Economic</w:t>
            </w:r>
            <w:proofErr w:type="spellEnd"/>
          </w:p>
        </w:tc>
        <w:tc>
          <w:tcPr>
            <w:tcW w:w="2338" w:type="dxa"/>
          </w:tcPr>
          <w:p w14:paraId="3F71D014" w14:textId="77777777" w:rsidR="00710F69" w:rsidRPr="000708BC" w:rsidRDefault="00710F69" w:rsidP="008661AA">
            <w:pPr>
              <w:rPr>
                <w:rFonts w:ascii="Arial" w:hAnsi="Arial" w:cs="Arial"/>
                <w:sz w:val="20"/>
              </w:rPr>
            </w:pPr>
            <w:proofErr w:type="spellStart"/>
            <w:r w:rsidRPr="000708BC">
              <w:rPr>
                <w:rFonts w:ascii="Arial" w:hAnsi="Arial" w:cs="Arial"/>
                <w:sz w:val="20"/>
              </w:rPr>
              <w:t>Copper</w:t>
            </w:r>
            <w:proofErr w:type="spellEnd"/>
          </w:p>
        </w:tc>
        <w:tc>
          <w:tcPr>
            <w:tcW w:w="2338" w:type="dxa"/>
          </w:tcPr>
          <w:p w14:paraId="0C4852DB" w14:textId="77777777" w:rsidR="00710F69" w:rsidRPr="000708BC" w:rsidRDefault="00710F69" w:rsidP="008661AA">
            <w:pPr>
              <w:jc w:val="both"/>
              <w:rPr>
                <w:rFonts w:ascii="Arial" w:hAnsi="Arial" w:cs="Arial"/>
                <w:sz w:val="20"/>
              </w:rPr>
            </w:pPr>
            <w:r w:rsidRPr="000708BC">
              <w:rPr>
                <w:rFonts w:ascii="Arial" w:hAnsi="Arial" w:cs="Arial"/>
                <w:sz w:val="20"/>
              </w:rPr>
              <w:t>88.5%</w:t>
            </w:r>
          </w:p>
        </w:tc>
      </w:tr>
      <w:tr w:rsidR="00710F69" w:rsidRPr="000708BC" w14:paraId="7685B7E5" w14:textId="77777777" w:rsidTr="008661AA">
        <w:trPr>
          <w:jc w:val="center"/>
        </w:trPr>
        <w:tc>
          <w:tcPr>
            <w:tcW w:w="2337" w:type="dxa"/>
            <w:vMerge/>
          </w:tcPr>
          <w:p w14:paraId="72BC288B" w14:textId="77777777" w:rsidR="00710F69" w:rsidRPr="000708BC" w:rsidRDefault="00710F69" w:rsidP="008661AA">
            <w:pPr>
              <w:jc w:val="both"/>
              <w:rPr>
                <w:rFonts w:ascii="Arial" w:hAnsi="Arial" w:cs="Arial"/>
                <w:sz w:val="20"/>
              </w:rPr>
            </w:pPr>
          </w:p>
        </w:tc>
        <w:tc>
          <w:tcPr>
            <w:tcW w:w="2337" w:type="dxa"/>
            <w:vMerge/>
          </w:tcPr>
          <w:p w14:paraId="376C54E8" w14:textId="77777777" w:rsidR="00710F69" w:rsidRPr="000708BC" w:rsidRDefault="00710F69" w:rsidP="008661AA">
            <w:pPr>
              <w:jc w:val="both"/>
              <w:rPr>
                <w:rFonts w:ascii="Arial" w:hAnsi="Arial" w:cs="Arial"/>
                <w:sz w:val="20"/>
              </w:rPr>
            </w:pPr>
          </w:p>
        </w:tc>
        <w:tc>
          <w:tcPr>
            <w:tcW w:w="2338" w:type="dxa"/>
          </w:tcPr>
          <w:p w14:paraId="52021E39" w14:textId="77777777" w:rsidR="00710F69" w:rsidRPr="000708BC" w:rsidRDefault="00710F69" w:rsidP="008661AA">
            <w:pPr>
              <w:rPr>
                <w:rFonts w:ascii="Arial" w:hAnsi="Arial" w:cs="Arial"/>
                <w:sz w:val="20"/>
              </w:rPr>
            </w:pPr>
            <w:proofErr w:type="spellStart"/>
            <w:r w:rsidRPr="000708BC">
              <w:rPr>
                <w:rFonts w:ascii="Arial" w:hAnsi="Arial" w:cs="Arial"/>
                <w:sz w:val="20"/>
              </w:rPr>
              <w:t>Molybdenum</w:t>
            </w:r>
            <w:proofErr w:type="spellEnd"/>
          </w:p>
        </w:tc>
        <w:tc>
          <w:tcPr>
            <w:tcW w:w="2338" w:type="dxa"/>
          </w:tcPr>
          <w:p w14:paraId="364E57A9" w14:textId="77777777" w:rsidR="00710F69" w:rsidRPr="000708BC" w:rsidRDefault="00710F69" w:rsidP="008661AA">
            <w:pPr>
              <w:jc w:val="both"/>
              <w:rPr>
                <w:rFonts w:ascii="Arial" w:hAnsi="Arial" w:cs="Arial"/>
                <w:sz w:val="20"/>
              </w:rPr>
            </w:pPr>
            <w:r w:rsidRPr="000708BC">
              <w:rPr>
                <w:rFonts w:ascii="Arial" w:hAnsi="Arial" w:cs="Arial"/>
                <w:sz w:val="20"/>
              </w:rPr>
              <w:t>6.2%</w:t>
            </w:r>
          </w:p>
        </w:tc>
      </w:tr>
      <w:tr w:rsidR="00710F69" w:rsidRPr="000708BC" w14:paraId="0767E340" w14:textId="77777777" w:rsidTr="008661AA">
        <w:trPr>
          <w:jc w:val="center"/>
        </w:trPr>
        <w:tc>
          <w:tcPr>
            <w:tcW w:w="2337" w:type="dxa"/>
            <w:vMerge/>
          </w:tcPr>
          <w:p w14:paraId="02ECD3AA" w14:textId="77777777" w:rsidR="00710F69" w:rsidRPr="000708BC" w:rsidRDefault="00710F69" w:rsidP="008661AA">
            <w:pPr>
              <w:jc w:val="both"/>
              <w:rPr>
                <w:rFonts w:ascii="Arial" w:hAnsi="Arial" w:cs="Arial"/>
                <w:sz w:val="20"/>
              </w:rPr>
            </w:pPr>
          </w:p>
        </w:tc>
        <w:tc>
          <w:tcPr>
            <w:tcW w:w="2337" w:type="dxa"/>
            <w:vMerge/>
          </w:tcPr>
          <w:p w14:paraId="5280E3D1" w14:textId="77777777" w:rsidR="00710F69" w:rsidRPr="000708BC" w:rsidRDefault="00710F69" w:rsidP="008661AA">
            <w:pPr>
              <w:jc w:val="both"/>
              <w:rPr>
                <w:rFonts w:ascii="Arial" w:hAnsi="Arial" w:cs="Arial"/>
                <w:sz w:val="20"/>
              </w:rPr>
            </w:pPr>
          </w:p>
        </w:tc>
        <w:tc>
          <w:tcPr>
            <w:tcW w:w="2338" w:type="dxa"/>
          </w:tcPr>
          <w:p w14:paraId="35B0B892" w14:textId="77777777" w:rsidR="00710F69" w:rsidRPr="000708BC" w:rsidRDefault="00710F69" w:rsidP="008661AA">
            <w:pPr>
              <w:rPr>
                <w:rFonts w:ascii="Arial" w:hAnsi="Arial" w:cs="Arial"/>
                <w:sz w:val="20"/>
              </w:rPr>
            </w:pPr>
            <w:r w:rsidRPr="000708BC">
              <w:rPr>
                <w:rFonts w:ascii="Arial" w:hAnsi="Arial" w:cs="Arial"/>
                <w:sz w:val="20"/>
              </w:rPr>
              <w:t>Gold</w:t>
            </w:r>
          </w:p>
        </w:tc>
        <w:tc>
          <w:tcPr>
            <w:tcW w:w="2338" w:type="dxa"/>
          </w:tcPr>
          <w:p w14:paraId="57A59C3E" w14:textId="77777777" w:rsidR="00710F69" w:rsidRPr="000708BC" w:rsidRDefault="00710F69" w:rsidP="008661AA">
            <w:pPr>
              <w:jc w:val="both"/>
              <w:rPr>
                <w:rFonts w:ascii="Arial" w:hAnsi="Arial" w:cs="Arial"/>
                <w:sz w:val="20"/>
              </w:rPr>
            </w:pPr>
            <w:r w:rsidRPr="000708BC">
              <w:rPr>
                <w:rFonts w:ascii="Arial" w:hAnsi="Arial" w:cs="Arial"/>
                <w:sz w:val="20"/>
              </w:rPr>
              <w:t>3.7%</w:t>
            </w:r>
          </w:p>
        </w:tc>
      </w:tr>
      <w:tr w:rsidR="00710F69" w:rsidRPr="000708BC" w14:paraId="765C0399" w14:textId="77777777" w:rsidTr="008661AA">
        <w:trPr>
          <w:jc w:val="center"/>
        </w:trPr>
        <w:tc>
          <w:tcPr>
            <w:tcW w:w="2337" w:type="dxa"/>
            <w:vMerge/>
          </w:tcPr>
          <w:p w14:paraId="3785B0DE" w14:textId="77777777" w:rsidR="00710F69" w:rsidRPr="000708BC" w:rsidRDefault="00710F69" w:rsidP="008661AA">
            <w:pPr>
              <w:jc w:val="both"/>
              <w:rPr>
                <w:rFonts w:ascii="Arial" w:hAnsi="Arial" w:cs="Arial"/>
                <w:sz w:val="20"/>
              </w:rPr>
            </w:pPr>
          </w:p>
        </w:tc>
        <w:tc>
          <w:tcPr>
            <w:tcW w:w="2337" w:type="dxa"/>
            <w:vMerge/>
          </w:tcPr>
          <w:p w14:paraId="1EDF0B58" w14:textId="77777777" w:rsidR="00710F69" w:rsidRPr="000708BC" w:rsidRDefault="00710F69" w:rsidP="008661AA">
            <w:pPr>
              <w:jc w:val="both"/>
              <w:rPr>
                <w:rFonts w:ascii="Arial" w:hAnsi="Arial" w:cs="Arial"/>
                <w:sz w:val="20"/>
              </w:rPr>
            </w:pPr>
          </w:p>
        </w:tc>
        <w:tc>
          <w:tcPr>
            <w:tcW w:w="2338" w:type="dxa"/>
          </w:tcPr>
          <w:p w14:paraId="6DC2E883" w14:textId="77777777" w:rsidR="00710F69" w:rsidRPr="000708BC" w:rsidRDefault="00710F69" w:rsidP="008661AA">
            <w:pPr>
              <w:rPr>
                <w:rFonts w:ascii="Arial" w:hAnsi="Arial" w:cs="Arial"/>
                <w:sz w:val="20"/>
              </w:rPr>
            </w:pPr>
            <w:r w:rsidRPr="000708BC">
              <w:rPr>
                <w:rFonts w:ascii="Arial" w:hAnsi="Arial" w:cs="Arial"/>
                <w:sz w:val="20"/>
              </w:rPr>
              <w:t>Silver</w:t>
            </w:r>
          </w:p>
        </w:tc>
        <w:tc>
          <w:tcPr>
            <w:tcW w:w="2338" w:type="dxa"/>
          </w:tcPr>
          <w:p w14:paraId="695ED69C" w14:textId="77777777" w:rsidR="00710F69" w:rsidRPr="000708BC" w:rsidRDefault="00710F69" w:rsidP="008661AA">
            <w:pPr>
              <w:jc w:val="both"/>
              <w:rPr>
                <w:rFonts w:ascii="Arial" w:hAnsi="Arial" w:cs="Arial"/>
                <w:sz w:val="20"/>
              </w:rPr>
            </w:pPr>
            <w:r w:rsidRPr="000708BC">
              <w:rPr>
                <w:rFonts w:ascii="Arial" w:hAnsi="Arial" w:cs="Arial"/>
                <w:sz w:val="20"/>
              </w:rPr>
              <w:t>1.6%</w:t>
            </w:r>
          </w:p>
        </w:tc>
      </w:tr>
      <w:tr w:rsidR="00710F69" w:rsidRPr="000708BC" w14:paraId="0229E870" w14:textId="77777777" w:rsidTr="008661AA">
        <w:trPr>
          <w:jc w:val="center"/>
        </w:trPr>
        <w:tc>
          <w:tcPr>
            <w:tcW w:w="2337" w:type="dxa"/>
            <w:vMerge w:val="restart"/>
          </w:tcPr>
          <w:p w14:paraId="4302F81F" w14:textId="77777777" w:rsidR="00710F69" w:rsidRPr="000708BC" w:rsidRDefault="00710F69" w:rsidP="008661AA">
            <w:pPr>
              <w:jc w:val="both"/>
              <w:rPr>
                <w:rFonts w:ascii="Arial" w:hAnsi="Arial" w:cs="Arial"/>
                <w:sz w:val="20"/>
              </w:rPr>
            </w:pPr>
            <w:r w:rsidRPr="000708BC">
              <w:rPr>
                <w:rFonts w:ascii="Arial" w:hAnsi="Arial" w:cs="Arial"/>
                <w:sz w:val="20"/>
              </w:rPr>
              <w:t>Smelting</w:t>
            </w:r>
          </w:p>
        </w:tc>
        <w:tc>
          <w:tcPr>
            <w:tcW w:w="2337" w:type="dxa"/>
            <w:vMerge w:val="restart"/>
          </w:tcPr>
          <w:p w14:paraId="63F59A8C" w14:textId="77777777" w:rsidR="00710F69" w:rsidRPr="000708BC" w:rsidRDefault="00710F69" w:rsidP="008661AA">
            <w:pPr>
              <w:jc w:val="both"/>
              <w:rPr>
                <w:rFonts w:ascii="Arial" w:hAnsi="Arial" w:cs="Arial"/>
                <w:sz w:val="20"/>
              </w:rPr>
            </w:pPr>
            <w:proofErr w:type="spellStart"/>
            <w:r w:rsidRPr="000708BC">
              <w:rPr>
                <w:rFonts w:ascii="Arial" w:hAnsi="Arial" w:cs="Arial"/>
                <w:sz w:val="20"/>
              </w:rPr>
              <w:t>Economic</w:t>
            </w:r>
            <w:proofErr w:type="spellEnd"/>
          </w:p>
        </w:tc>
        <w:tc>
          <w:tcPr>
            <w:tcW w:w="2338" w:type="dxa"/>
          </w:tcPr>
          <w:p w14:paraId="6036CC2B" w14:textId="77777777" w:rsidR="00710F69" w:rsidRPr="000708BC" w:rsidRDefault="00710F69" w:rsidP="008661AA">
            <w:pPr>
              <w:rPr>
                <w:rFonts w:ascii="Arial" w:hAnsi="Arial" w:cs="Arial"/>
                <w:sz w:val="20"/>
              </w:rPr>
            </w:pPr>
            <w:proofErr w:type="spellStart"/>
            <w:r w:rsidRPr="000708BC">
              <w:rPr>
                <w:rFonts w:ascii="Arial" w:hAnsi="Arial" w:cs="Arial"/>
                <w:sz w:val="20"/>
              </w:rPr>
              <w:t>Copper</w:t>
            </w:r>
            <w:proofErr w:type="spellEnd"/>
          </w:p>
        </w:tc>
        <w:tc>
          <w:tcPr>
            <w:tcW w:w="2338" w:type="dxa"/>
          </w:tcPr>
          <w:p w14:paraId="31436942" w14:textId="77777777" w:rsidR="00710F69" w:rsidRPr="000708BC" w:rsidRDefault="00710F69" w:rsidP="008661AA">
            <w:pPr>
              <w:jc w:val="both"/>
              <w:rPr>
                <w:rFonts w:ascii="Arial" w:hAnsi="Arial" w:cs="Arial"/>
                <w:sz w:val="20"/>
              </w:rPr>
            </w:pPr>
            <w:r w:rsidRPr="000708BC">
              <w:rPr>
                <w:rFonts w:ascii="Arial" w:hAnsi="Arial" w:cs="Arial"/>
                <w:sz w:val="20"/>
              </w:rPr>
              <w:t>96.3%</w:t>
            </w:r>
          </w:p>
        </w:tc>
      </w:tr>
      <w:tr w:rsidR="00710F69" w:rsidRPr="000708BC" w14:paraId="502902E9" w14:textId="77777777" w:rsidTr="008661AA">
        <w:trPr>
          <w:jc w:val="center"/>
        </w:trPr>
        <w:tc>
          <w:tcPr>
            <w:tcW w:w="2337" w:type="dxa"/>
            <w:vMerge/>
          </w:tcPr>
          <w:p w14:paraId="1CC6D3E7" w14:textId="77777777" w:rsidR="00710F69" w:rsidRPr="000708BC" w:rsidRDefault="00710F69" w:rsidP="008661AA">
            <w:pPr>
              <w:jc w:val="both"/>
              <w:rPr>
                <w:rFonts w:ascii="Arial" w:hAnsi="Arial" w:cs="Arial"/>
                <w:sz w:val="20"/>
              </w:rPr>
            </w:pPr>
          </w:p>
        </w:tc>
        <w:tc>
          <w:tcPr>
            <w:tcW w:w="2337" w:type="dxa"/>
            <w:vMerge/>
          </w:tcPr>
          <w:p w14:paraId="12BBF5C7" w14:textId="77777777" w:rsidR="00710F69" w:rsidRPr="000708BC" w:rsidRDefault="00710F69" w:rsidP="008661AA">
            <w:pPr>
              <w:jc w:val="both"/>
              <w:rPr>
                <w:rFonts w:ascii="Arial" w:hAnsi="Arial" w:cs="Arial"/>
                <w:sz w:val="20"/>
              </w:rPr>
            </w:pPr>
          </w:p>
        </w:tc>
        <w:tc>
          <w:tcPr>
            <w:tcW w:w="2338" w:type="dxa"/>
          </w:tcPr>
          <w:p w14:paraId="4FD087E4" w14:textId="77777777" w:rsidR="00710F69" w:rsidRPr="000708BC" w:rsidRDefault="00710F69" w:rsidP="008661AA">
            <w:pPr>
              <w:rPr>
                <w:rFonts w:ascii="Arial" w:hAnsi="Arial" w:cs="Arial"/>
                <w:sz w:val="20"/>
              </w:rPr>
            </w:pPr>
            <w:proofErr w:type="spellStart"/>
            <w:r w:rsidRPr="000708BC">
              <w:rPr>
                <w:rFonts w:ascii="Arial" w:hAnsi="Arial" w:cs="Arial"/>
                <w:sz w:val="20"/>
              </w:rPr>
              <w:t>Sulfuric</w:t>
            </w:r>
            <w:proofErr w:type="spellEnd"/>
            <w:r w:rsidRPr="000708BC">
              <w:rPr>
                <w:rFonts w:ascii="Arial" w:hAnsi="Arial" w:cs="Arial"/>
                <w:sz w:val="20"/>
              </w:rPr>
              <w:t xml:space="preserve"> Acid</w:t>
            </w:r>
          </w:p>
        </w:tc>
        <w:tc>
          <w:tcPr>
            <w:tcW w:w="2338" w:type="dxa"/>
          </w:tcPr>
          <w:p w14:paraId="0DFA234D" w14:textId="77777777" w:rsidR="00710F69" w:rsidRPr="000708BC" w:rsidRDefault="00710F69" w:rsidP="008661AA">
            <w:pPr>
              <w:jc w:val="both"/>
              <w:rPr>
                <w:rFonts w:ascii="Arial" w:hAnsi="Arial" w:cs="Arial"/>
                <w:sz w:val="20"/>
              </w:rPr>
            </w:pPr>
            <w:r w:rsidRPr="000708BC">
              <w:rPr>
                <w:rFonts w:ascii="Arial" w:hAnsi="Arial" w:cs="Arial"/>
                <w:sz w:val="20"/>
              </w:rPr>
              <w:t>3.7%</w:t>
            </w:r>
          </w:p>
        </w:tc>
      </w:tr>
      <w:tr w:rsidR="00710F69" w:rsidRPr="000708BC" w14:paraId="150D286A" w14:textId="77777777" w:rsidTr="008661AA">
        <w:trPr>
          <w:jc w:val="center"/>
        </w:trPr>
        <w:tc>
          <w:tcPr>
            <w:tcW w:w="2337" w:type="dxa"/>
            <w:vMerge w:val="restart"/>
          </w:tcPr>
          <w:p w14:paraId="5061787D" w14:textId="77777777" w:rsidR="00710F69" w:rsidRPr="000708BC" w:rsidRDefault="00710F69" w:rsidP="008661AA">
            <w:pPr>
              <w:jc w:val="both"/>
              <w:rPr>
                <w:rFonts w:ascii="Arial" w:hAnsi="Arial" w:cs="Arial"/>
                <w:sz w:val="20"/>
              </w:rPr>
            </w:pPr>
            <w:proofErr w:type="spellStart"/>
            <w:r w:rsidRPr="000708BC">
              <w:rPr>
                <w:rFonts w:ascii="Arial" w:hAnsi="Arial" w:cs="Arial"/>
                <w:sz w:val="20"/>
              </w:rPr>
              <w:t>Electro-refining</w:t>
            </w:r>
            <w:proofErr w:type="spellEnd"/>
          </w:p>
        </w:tc>
        <w:tc>
          <w:tcPr>
            <w:tcW w:w="2337" w:type="dxa"/>
            <w:vMerge w:val="restart"/>
          </w:tcPr>
          <w:p w14:paraId="46583711" w14:textId="77777777" w:rsidR="00710F69" w:rsidRPr="000708BC" w:rsidRDefault="00710F69" w:rsidP="008661AA">
            <w:pPr>
              <w:jc w:val="both"/>
              <w:rPr>
                <w:rFonts w:ascii="Arial" w:hAnsi="Arial" w:cs="Arial"/>
                <w:sz w:val="20"/>
              </w:rPr>
            </w:pPr>
            <w:proofErr w:type="spellStart"/>
            <w:r w:rsidRPr="000708BC">
              <w:rPr>
                <w:rFonts w:ascii="Arial" w:hAnsi="Arial" w:cs="Arial"/>
                <w:sz w:val="20"/>
              </w:rPr>
              <w:t>Economic</w:t>
            </w:r>
            <w:proofErr w:type="spellEnd"/>
          </w:p>
        </w:tc>
        <w:tc>
          <w:tcPr>
            <w:tcW w:w="2338" w:type="dxa"/>
          </w:tcPr>
          <w:p w14:paraId="414550FB" w14:textId="77777777" w:rsidR="00710F69" w:rsidRPr="000708BC" w:rsidRDefault="00710F69" w:rsidP="008661AA">
            <w:pPr>
              <w:rPr>
                <w:rFonts w:ascii="Arial" w:hAnsi="Arial" w:cs="Arial"/>
                <w:sz w:val="20"/>
              </w:rPr>
            </w:pPr>
            <w:proofErr w:type="spellStart"/>
            <w:r w:rsidRPr="000708BC">
              <w:rPr>
                <w:rFonts w:ascii="Arial" w:hAnsi="Arial" w:cs="Arial"/>
                <w:sz w:val="20"/>
              </w:rPr>
              <w:t>Copper</w:t>
            </w:r>
            <w:proofErr w:type="spellEnd"/>
          </w:p>
        </w:tc>
        <w:tc>
          <w:tcPr>
            <w:tcW w:w="2338" w:type="dxa"/>
          </w:tcPr>
          <w:p w14:paraId="1B4083CE" w14:textId="77777777" w:rsidR="00710F69" w:rsidRPr="000708BC" w:rsidRDefault="00710F69" w:rsidP="008661AA">
            <w:pPr>
              <w:jc w:val="both"/>
              <w:rPr>
                <w:rFonts w:ascii="Arial" w:hAnsi="Arial" w:cs="Arial"/>
                <w:sz w:val="20"/>
              </w:rPr>
            </w:pPr>
            <w:r w:rsidRPr="000708BC">
              <w:rPr>
                <w:rFonts w:ascii="Arial" w:hAnsi="Arial" w:cs="Arial"/>
                <w:sz w:val="20"/>
              </w:rPr>
              <w:t>94.4%</w:t>
            </w:r>
          </w:p>
        </w:tc>
      </w:tr>
      <w:tr w:rsidR="00710F69" w:rsidRPr="000708BC" w14:paraId="0476D132" w14:textId="77777777" w:rsidTr="008661AA">
        <w:trPr>
          <w:jc w:val="center"/>
        </w:trPr>
        <w:tc>
          <w:tcPr>
            <w:tcW w:w="2337" w:type="dxa"/>
            <w:vMerge/>
          </w:tcPr>
          <w:p w14:paraId="34D4354A" w14:textId="77777777" w:rsidR="00710F69" w:rsidRPr="000708BC" w:rsidRDefault="00710F69" w:rsidP="008661AA">
            <w:pPr>
              <w:jc w:val="both"/>
              <w:rPr>
                <w:rFonts w:ascii="Arial" w:hAnsi="Arial" w:cs="Arial"/>
                <w:sz w:val="20"/>
              </w:rPr>
            </w:pPr>
          </w:p>
        </w:tc>
        <w:tc>
          <w:tcPr>
            <w:tcW w:w="2337" w:type="dxa"/>
            <w:vMerge/>
          </w:tcPr>
          <w:p w14:paraId="4C0D15FF" w14:textId="77777777" w:rsidR="00710F69" w:rsidRPr="000708BC" w:rsidRDefault="00710F69" w:rsidP="008661AA">
            <w:pPr>
              <w:jc w:val="both"/>
              <w:rPr>
                <w:rFonts w:ascii="Arial" w:hAnsi="Arial" w:cs="Arial"/>
                <w:sz w:val="20"/>
              </w:rPr>
            </w:pPr>
          </w:p>
        </w:tc>
        <w:tc>
          <w:tcPr>
            <w:tcW w:w="2338" w:type="dxa"/>
          </w:tcPr>
          <w:p w14:paraId="2D11C7BB" w14:textId="77777777" w:rsidR="00710F69" w:rsidRPr="000708BC" w:rsidRDefault="00710F69" w:rsidP="008661AA">
            <w:pPr>
              <w:rPr>
                <w:rFonts w:ascii="Arial" w:hAnsi="Arial" w:cs="Arial"/>
                <w:sz w:val="20"/>
              </w:rPr>
            </w:pPr>
            <w:r w:rsidRPr="000708BC">
              <w:rPr>
                <w:rFonts w:ascii="Arial" w:hAnsi="Arial" w:cs="Arial"/>
                <w:sz w:val="20"/>
              </w:rPr>
              <w:t>Gold</w:t>
            </w:r>
          </w:p>
        </w:tc>
        <w:tc>
          <w:tcPr>
            <w:tcW w:w="2338" w:type="dxa"/>
          </w:tcPr>
          <w:p w14:paraId="1E282096" w14:textId="77777777" w:rsidR="00710F69" w:rsidRPr="000708BC" w:rsidRDefault="00710F69" w:rsidP="008661AA">
            <w:pPr>
              <w:jc w:val="both"/>
              <w:rPr>
                <w:rFonts w:ascii="Arial" w:hAnsi="Arial" w:cs="Arial"/>
                <w:sz w:val="20"/>
              </w:rPr>
            </w:pPr>
            <w:r w:rsidRPr="000708BC">
              <w:rPr>
                <w:rFonts w:ascii="Arial" w:hAnsi="Arial" w:cs="Arial"/>
                <w:sz w:val="20"/>
              </w:rPr>
              <w:t>2.5%</w:t>
            </w:r>
          </w:p>
        </w:tc>
      </w:tr>
      <w:tr w:rsidR="00710F69" w:rsidRPr="000708BC" w14:paraId="5E580093" w14:textId="77777777" w:rsidTr="008661AA">
        <w:trPr>
          <w:jc w:val="center"/>
        </w:trPr>
        <w:tc>
          <w:tcPr>
            <w:tcW w:w="2337" w:type="dxa"/>
            <w:vMerge/>
          </w:tcPr>
          <w:p w14:paraId="5D440F34" w14:textId="77777777" w:rsidR="00710F69" w:rsidRPr="000708BC" w:rsidRDefault="00710F69" w:rsidP="008661AA">
            <w:pPr>
              <w:jc w:val="both"/>
              <w:rPr>
                <w:rFonts w:ascii="Arial" w:hAnsi="Arial" w:cs="Arial"/>
                <w:sz w:val="20"/>
              </w:rPr>
            </w:pPr>
          </w:p>
        </w:tc>
        <w:tc>
          <w:tcPr>
            <w:tcW w:w="2337" w:type="dxa"/>
            <w:vMerge/>
          </w:tcPr>
          <w:p w14:paraId="170825E5" w14:textId="77777777" w:rsidR="00710F69" w:rsidRPr="000708BC" w:rsidRDefault="00710F69" w:rsidP="008661AA">
            <w:pPr>
              <w:jc w:val="both"/>
              <w:rPr>
                <w:rFonts w:ascii="Arial" w:hAnsi="Arial" w:cs="Arial"/>
                <w:sz w:val="20"/>
              </w:rPr>
            </w:pPr>
          </w:p>
        </w:tc>
        <w:tc>
          <w:tcPr>
            <w:tcW w:w="2338" w:type="dxa"/>
          </w:tcPr>
          <w:p w14:paraId="2EA27A2A" w14:textId="77777777" w:rsidR="00710F69" w:rsidRPr="000708BC" w:rsidRDefault="00710F69" w:rsidP="008661AA">
            <w:pPr>
              <w:rPr>
                <w:rFonts w:ascii="Arial" w:hAnsi="Arial" w:cs="Arial"/>
                <w:sz w:val="20"/>
              </w:rPr>
            </w:pPr>
            <w:r w:rsidRPr="000708BC">
              <w:rPr>
                <w:rFonts w:ascii="Arial" w:hAnsi="Arial" w:cs="Arial"/>
                <w:sz w:val="20"/>
              </w:rPr>
              <w:t>Silver</w:t>
            </w:r>
          </w:p>
        </w:tc>
        <w:tc>
          <w:tcPr>
            <w:tcW w:w="2338" w:type="dxa"/>
          </w:tcPr>
          <w:p w14:paraId="2A356B09" w14:textId="77777777" w:rsidR="00710F69" w:rsidRPr="000708BC" w:rsidRDefault="00710F69" w:rsidP="008661AA">
            <w:pPr>
              <w:jc w:val="both"/>
              <w:rPr>
                <w:rFonts w:ascii="Arial" w:hAnsi="Arial" w:cs="Arial"/>
                <w:sz w:val="20"/>
              </w:rPr>
            </w:pPr>
            <w:r w:rsidRPr="000708BC">
              <w:rPr>
                <w:rFonts w:ascii="Arial" w:hAnsi="Arial" w:cs="Arial"/>
                <w:sz w:val="20"/>
              </w:rPr>
              <w:t>3.1%</w:t>
            </w:r>
          </w:p>
        </w:tc>
      </w:tr>
    </w:tbl>
    <w:p w14:paraId="711AEC1A" w14:textId="77777777" w:rsidR="00710F69" w:rsidRPr="000708BC" w:rsidRDefault="00710F69" w:rsidP="00710F69">
      <w:pPr>
        <w:pStyle w:val="JIEreferencelist"/>
        <w:ind w:left="0" w:firstLine="0"/>
        <w:rPr>
          <w:rFonts w:ascii="Arial" w:hAnsi="Arial" w:cs="Arial"/>
          <w:iCs/>
          <w:sz w:val="18"/>
          <w:szCs w:val="18"/>
        </w:rPr>
      </w:pPr>
      <w:r w:rsidRPr="000708BC">
        <w:rPr>
          <w:rFonts w:ascii="Arial" w:hAnsi="Arial" w:cs="Arial"/>
          <w:iCs/>
          <w:sz w:val="18"/>
          <w:szCs w:val="18"/>
        </w:rPr>
        <w:t>Note: [P]Cu = Pyrometallurgy line, [H]Cu = Hydrometallurgy line.</w:t>
      </w:r>
    </w:p>
    <w:p w14:paraId="30E0A672" w14:textId="77777777" w:rsidR="00710F69" w:rsidRPr="000708BC" w:rsidRDefault="00710F69" w:rsidP="00710F69">
      <w:pPr>
        <w:pStyle w:val="JIEreferencelist"/>
        <w:ind w:left="0" w:firstLine="0"/>
        <w:rPr>
          <w:rFonts w:ascii="Arial" w:hAnsi="Arial" w:cs="Arial"/>
          <w:iCs/>
          <w:sz w:val="22"/>
          <w:szCs w:val="22"/>
        </w:rPr>
      </w:pPr>
    </w:p>
    <w:p w14:paraId="355E26C7" w14:textId="77777777" w:rsidR="00710F69" w:rsidRPr="000708BC" w:rsidRDefault="00710F69" w:rsidP="00710F69">
      <w:pPr>
        <w:pStyle w:val="JIEreferencelist"/>
        <w:ind w:left="0" w:firstLine="0"/>
        <w:rPr>
          <w:rFonts w:ascii="Arial" w:hAnsi="Arial" w:cs="Arial"/>
          <w:iCs/>
          <w:sz w:val="22"/>
          <w:szCs w:val="22"/>
        </w:rPr>
      </w:pPr>
      <w:r w:rsidRPr="000708BC">
        <w:rPr>
          <w:rFonts w:ascii="Arial" w:hAnsi="Arial" w:cs="Arial"/>
          <w:iCs/>
          <w:sz w:val="22"/>
          <w:szCs w:val="22"/>
        </w:rPr>
        <w:t>Table S1-14 Energy consumption copper production.</w:t>
      </w:r>
    </w:p>
    <w:tbl>
      <w:tblPr>
        <w:tblW w:w="5000" w:type="pct"/>
        <w:jc w:val="center"/>
        <w:tblLook w:val="04A0" w:firstRow="1" w:lastRow="0" w:firstColumn="1" w:lastColumn="0" w:noHBand="0" w:noVBand="1"/>
      </w:tblPr>
      <w:tblGrid>
        <w:gridCol w:w="719"/>
        <w:gridCol w:w="1420"/>
        <w:gridCol w:w="929"/>
        <w:gridCol w:w="801"/>
        <w:gridCol w:w="1385"/>
        <w:gridCol w:w="744"/>
        <w:gridCol w:w="1385"/>
        <w:gridCol w:w="1247"/>
      </w:tblGrid>
      <w:tr w:rsidR="00710F69" w:rsidRPr="000708BC" w14:paraId="6954752C" w14:textId="77777777" w:rsidTr="008661AA">
        <w:trPr>
          <w:trHeight w:val="260"/>
          <w:tblHeader/>
          <w:jc w:val="center"/>
        </w:trPr>
        <w:tc>
          <w:tcPr>
            <w:tcW w:w="742"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8025F14" w14:textId="77777777" w:rsidR="00710F69" w:rsidRPr="000708BC" w:rsidRDefault="00710F69" w:rsidP="008661AA">
            <w:pPr>
              <w:jc w:val="center"/>
              <w:rPr>
                <w:rFonts w:ascii="Arial" w:hAnsi="Arial" w:cs="Arial"/>
                <w:b/>
                <w:bCs/>
                <w:color w:val="000000"/>
                <w:sz w:val="20"/>
              </w:rPr>
            </w:pPr>
            <w:bookmarkStart w:id="0" w:name="OLE_LINK1"/>
            <w:bookmarkStart w:id="1" w:name="OLE_LINK2"/>
            <w:r w:rsidRPr="000708BC">
              <w:rPr>
                <w:rFonts w:ascii="Arial" w:hAnsi="Arial" w:cs="Arial"/>
                <w:b/>
                <w:bCs/>
                <w:color w:val="000000"/>
                <w:sz w:val="20"/>
              </w:rPr>
              <w:t>Line</w:t>
            </w:r>
          </w:p>
        </w:tc>
        <w:tc>
          <w:tcPr>
            <w:tcW w:w="1475"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E068AB7"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Process</w:t>
            </w:r>
          </w:p>
        </w:tc>
        <w:tc>
          <w:tcPr>
            <w:tcW w:w="96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04391E"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Unit</w:t>
            </w:r>
          </w:p>
        </w:tc>
        <w:tc>
          <w:tcPr>
            <w:tcW w:w="211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90FF4F0"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Electricity</w:t>
            </w:r>
          </w:p>
        </w:tc>
        <w:tc>
          <w:tcPr>
            <w:tcW w:w="206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4346824"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Fuel</w:t>
            </w:r>
          </w:p>
        </w:tc>
        <w:tc>
          <w:tcPr>
            <w:tcW w:w="126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8BF575"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References</w:t>
            </w:r>
          </w:p>
        </w:tc>
      </w:tr>
      <w:tr w:rsidR="00710F69" w:rsidRPr="000708BC" w14:paraId="6C6F2FCA" w14:textId="77777777" w:rsidTr="008661AA">
        <w:trPr>
          <w:trHeight w:val="260"/>
          <w:tblHeader/>
          <w:jc w:val="center"/>
        </w:trPr>
        <w:tc>
          <w:tcPr>
            <w:tcW w:w="742" w:type="dxa"/>
            <w:vMerge/>
            <w:tcBorders>
              <w:top w:val="single" w:sz="4" w:space="0" w:color="auto"/>
              <w:left w:val="single" w:sz="4" w:space="0" w:color="auto"/>
              <w:bottom w:val="single" w:sz="4" w:space="0" w:color="000000"/>
              <w:right w:val="single" w:sz="4" w:space="0" w:color="auto"/>
            </w:tcBorders>
            <w:vAlign w:val="center"/>
            <w:hideMark/>
          </w:tcPr>
          <w:p w14:paraId="682019DC" w14:textId="77777777" w:rsidR="00710F69" w:rsidRPr="000708BC" w:rsidRDefault="00710F69" w:rsidP="008661AA">
            <w:pPr>
              <w:jc w:val="center"/>
              <w:rPr>
                <w:rFonts w:ascii="Arial" w:hAnsi="Arial" w:cs="Arial"/>
                <w:b/>
                <w:bCs/>
                <w:color w:val="000000"/>
                <w:sz w:val="20"/>
              </w:rPr>
            </w:pPr>
          </w:p>
        </w:tc>
        <w:tc>
          <w:tcPr>
            <w:tcW w:w="1475" w:type="dxa"/>
            <w:vMerge/>
            <w:tcBorders>
              <w:top w:val="single" w:sz="4" w:space="0" w:color="auto"/>
              <w:left w:val="single" w:sz="4" w:space="0" w:color="auto"/>
              <w:bottom w:val="single" w:sz="4" w:space="0" w:color="000000"/>
              <w:right w:val="single" w:sz="4" w:space="0" w:color="auto"/>
            </w:tcBorders>
            <w:vAlign w:val="center"/>
            <w:hideMark/>
          </w:tcPr>
          <w:p w14:paraId="328CF6F2" w14:textId="77777777" w:rsidR="00710F69" w:rsidRPr="000708BC" w:rsidRDefault="00710F69" w:rsidP="008661AA">
            <w:pPr>
              <w:jc w:val="center"/>
              <w:rPr>
                <w:rFonts w:ascii="Arial" w:hAnsi="Arial" w:cs="Arial"/>
                <w:b/>
                <w:bCs/>
                <w:color w:val="000000"/>
                <w:sz w:val="20"/>
              </w:rPr>
            </w:pPr>
          </w:p>
        </w:tc>
        <w:tc>
          <w:tcPr>
            <w:tcW w:w="962" w:type="dxa"/>
            <w:vMerge/>
            <w:tcBorders>
              <w:top w:val="single" w:sz="4" w:space="0" w:color="auto"/>
              <w:left w:val="single" w:sz="4" w:space="0" w:color="auto"/>
              <w:bottom w:val="single" w:sz="4" w:space="0" w:color="auto"/>
              <w:right w:val="single" w:sz="4" w:space="0" w:color="auto"/>
            </w:tcBorders>
            <w:vAlign w:val="center"/>
            <w:hideMark/>
          </w:tcPr>
          <w:p w14:paraId="64EA7C93" w14:textId="77777777" w:rsidR="00710F69" w:rsidRPr="000708BC" w:rsidRDefault="00710F69" w:rsidP="008661AA">
            <w:pPr>
              <w:jc w:val="center"/>
              <w:rPr>
                <w:rFonts w:ascii="Arial" w:hAnsi="Arial" w:cs="Arial"/>
                <w:b/>
                <w:bCs/>
                <w:color w:val="000000"/>
                <w:sz w:val="20"/>
              </w:rPr>
            </w:pPr>
          </w:p>
        </w:tc>
        <w:tc>
          <w:tcPr>
            <w:tcW w:w="813" w:type="dxa"/>
            <w:tcBorders>
              <w:top w:val="nil"/>
              <w:left w:val="nil"/>
              <w:bottom w:val="single" w:sz="4" w:space="0" w:color="auto"/>
              <w:right w:val="single" w:sz="4" w:space="0" w:color="auto"/>
            </w:tcBorders>
            <w:shd w:val="clear" w:color="000000" w:fill="D9D9D9"/>
            <w:noWrap/>
            <w:vAlign w:val="center"/>
            <w:hideMark/>
          </w:tcPr>
          <w:p w14:paraId="12BA0B5E"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BAU</w:t>
            </w:r>
          </w:p>
        </w:tc>
        <w:tc>
          <w:tcPr>
            <w:tcW w:w="1301" w:type="dxa"/>
            <w:tcBorders>
              <w:top w:val="nil"/>
              <w:left w:val="nil"/>
              <w:bottom w:val="single" w:sz="4" w:space="0" w:color="auto"/>
              <w:right w:val="single" w:sz="4" w:space="0" w:color="auto"/>
            </w:tcBorders>
            <w:shd w:val="clear" w:color="000000" w:fill="D9D9D9"/>
            <w:noWrap/>
            <w:vAlign w:val="center"/>
            <w:hideMark/>
          </w:tcPr>
          <w:p w14:paraId="0652C136" w14:textId="30643904"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Renewable</w:t>
            </w:r>
            <w:r w:rsidR="002D3FD8" w:rsidRPr="000708BC">
              <w:rPr>
                <w:rFonts w:ascii="Arial" w:hAnsi="Arial" w:cs="Arial"/>
                <w:b/>
                <w:bCs/>
                <w:color w:val="000000"/>
                <w:sz w:val="20"/>
              </w:rPr>
              <w:t>s</w:t>
            </w:r>
            <w:r w:rsidRPr="000708BC">
              <w:rPr>
                <w:rFonts w:ascii="Arial" w:hAnsi="Arial" w:cs="Arial"/>
                <w:b/>
                <w:bCs/>
                <w:color w:val="000000"/>
                <w:sz w:val="20"/>
              </w:rPr>
              <w:t>-led</w:t>
            </w:r>
          </w:p>
        </w:tc>
        <w:tc>
          <w:tcPr>
            <w:tcW w:w="768" w:type="dxa"/>
            <w:tcBorders>
              <w:top w:val="nil"/>
              <w:left w:val="nil"/>
              <w:bottom w:val="single" w:sz="4" w:space="0" w:color="auto"/>
              <w:right w:val="single" w:sz="4" w:space="0" w:color="auto"/>
            </w:tcBorders>
            <w:shd w:val="clear" w:color="000000" w:fill="D9D9D9"/>
            <w:noWrap/>
            <w:vAlign w:val="center"/>
            <w:hideMark/>
          </w:tcPr>
          <w:p w14:paraId="2FCAE09A"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BAU</w:t>
            </w:r>
          </w:p>
        </w:tc>
        <w:tc>
          <w:tcPr>
            <w:tcW w:w="1301" w:type="dxa"/>
            <w:tcBorders>
              <w:top w:val="nil"/>
              <w:left w:val="nil"/>
              <w:bottom w:val="single" w:sz="4" w:space="0" w:color="auto"/>
              <w:right w:val="single" w:sz="4" w:space="0" w:color="auto"/>
            </w:tcBorders>
            <w:shd w:val="clear" w:color="000000" w:fill="D9D9D9"/>
            <w:noWrap/>
            <w:vAlign w:val="center"/>
            <w:hideMark/>
          </w:tcPr>
          <w:p w14:paraId="15173F53" w14:textId="0FEC0F92"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Renewable</w:t>
            </w:r>
            <w:r w:rsidR="002D3FD8" w:rsidRPr="000708BC">
              <w:rPr>
                <w:rFonts w:ascii="Arial" w:hAnsi="Arial" w:cs="Arial"/>
                <w:b/>
                <w:bCs/>
                <w:color w:val="000000"/>
                <w:sz w:val="20"/>
              </w:rPr>
              <w:t>s</w:t>
            </w:r>
            <w:r w:rsidRPr="000708BC">
              <w:rPr>
                <w:rFonts w:ascii="Arial" w:hAnsi="Arial" w:cs="Arial"/>
                <w:b/>
                <w:bCs/>
                <w:color w:val="000000"/>
                <w:sz w:val="20"/>
              </w:rPr>
              <w:t>-led</w:t>
            </w: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37E522A7" w14:textId="77777777" w:rsidR="00710F69" w:rsidRPr="000708BC" w:rsidRDefault="00710F69" w:rsidP="008661AA">
            <w:pPr>
              <w:jc w:val="center"/>
              <w:rPr>
                <w:rFonts w:ascii="Arial" w:hAnsi="Arial" w:cs="Arial"/>
                <w:b/>
                <w:bCs/>
                <w:color w:val="000000"/>
                <w:sz w:val="20"/>
              </w:rPr>
            </w:pPr>
          </w:p>
        </w:tc>
      </w:tr>
      <w:tr w:rsidR="00710F69" w:rsidRPr="000708BC" w14:paraId="322B14FE" w14:textId="77777777" w:rsidTr="008661AA">
        <w:trPr>
          <w:trHeight w:val="260"/>
          <w:jc w:val="center"/>
        </w:trPr>
        <w:tc>
          <w:tcPr>
            <w:tcW w:w="7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895165"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[P]Cu</w:t>
            </w:r>
          </w:p>
        </w:tc>
        <w:tc>
          <w:tcPr>
            <w:tcW w:w="1475" w:type="dxa"/>
            <w:tcBorders>
              <w:top w:val="nil"/>
              <w:left w:val="nil"/>
              <w:bottom w:val="single" w:sz="4" w:space="0" w:color="auto"/>
              <w:right w:val="single" w:sz="4" w:space="0" w:color="auto"/>
            </w:tcBorders>
            <w:shd w:val="clear" w:color="auto" w:fill="auto"/>
            <w:noWrap/>
            <w:vAlign w:val="center"/>
            <w:hideMark/>
          </w:tcPr>
          <w:p w14:paraId="2F0450A8"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Open Pit</w:t>
            </w:r>
          </w:p>
        </w:tc>
        <w:tc>
          <w:tcPr>
            <w:tcW w:w="962" w:type="dxa"/>
            <w:tcBorders>
              <w:top w:val="nil"/>
              <w:left w:val="nil"/>
              <w:bottom w:val="single" w:sz="4" w:space="0" w:color="auto"/>
              <w:right w:val="single" w:sz="4" w:space="0" w:color="auto"/>
            </w:tcBorders>
            <w:shd w:val="clear" w:color="auto" w:fill="auto"/>
            <w:noWrap/>
            <w:vAlign w:val="center"/>
            <w:hideMark/>
          </w:tcPr>
          <w:p w14:paraId="53970304"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635B8874"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487</w:t>
            </w:r>
          </w:p>
        </w:tc>
        <w:tc>
          <w:tcPr>
            <w:tcW w:w="1301" w:type="dxa"/>
            <w:tcBorders>
              <w:top w:val="nil"/>
              <w:left w:val="nil"/>
              <w:bottom w:val="single" w:sz="4" w:space="0" w:color="auto"/>
              <w:right w:val="single" w:sz="4" w:space="0" w:color="auto"/>
            </w:tcBorders>
            <w:shd w:val="clear" w:color="auto" w:fill="auto"/>
            <w:noWrap/>
            <w:vAlign w:val="center"/>
            <w:hideMark/>
          </w:tcPr>
          <w:p w14:paraId="498EC42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555</w:t>
            </w:r>
          </w:p>
        </w:tc>
        <w:tc>
          <w:tcPr>
            <w:tcW w:w="768" w:type="dxa"/>
            <w:tcBorders>
              <w:top w:val="nil"/>
              <w:left w:val="nil"/>
              <w:bottom w:val="single" w:sz="4" w:space="0" w:color="auto"/>
              <w:right w:val="single" w:sz="4" w:space="0" w:color="auto"/>
            </w:tcBorders>
            <w:shd w:val="clear" w:color="auto" w:fill="auto"/>
            <w:noWrap/>
            <w:vAlign w:val="center"/>
            <w:hideMark/>
          </w:tcPr>
          <w:p w14:paraId="0506CE61"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7,866</w:t>
            </w:r>
          </w:p>
        </w:tc>
        <w:tc>
          <w:tcPr>
            <w:tcW w:w="1301" w:type="dxa"/>
            <w:tcBorders>
              <w:top w:val="nil"/>
              <w:left w:val="nil"/>
              <w:bottom w:val="single" w:sz="4" w:space="0" w:color="auto"/>
              <w:right w:val="single" w:sz="4" w:space="0" w:color="auto"/>
            </w:tcBorders>
            <w:shd w:val="clear" w:color="auto" w:fill="auto"/>
            <w:noWrap/>
            <w:vAlign w:val="center"/>
            <w:hideMark/>
          </w:tcPr>
          <w:p w14:paraId="71280F0A"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8,967</w:t>
            </w:r>
          </w:p>
        </w:tc>
        <w:sdt>
          <w:sdtPr>
            <w:rPr>
              <w:rFonts w:ascii="Arial" w:hAnsi="Arial" w:cs="Arial"/>
              <w:color w:val="000000"/>
              <w:sz w:val="20"/>
            </w:rPr>
            <w:tag w:val="MENDELEY_CITATION_v3_eyJjaXRhdGlvbklEIjoiTUVOREVMRVlfQ0lUQVRJT05fMWEwMTBkY2UtOTQ5Ny00YzlhLWJkYzYtYzMwODgyMTJhMzNj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oaWxlYW4gQ29wcGVyIENvbW1pc3Npb24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
            <w:id w:val="-1216356681"/>
            <w:placeholder>
              <w:docPart w:val="604A2DB83B112048A46AE527236A7B54"/>
            </w:placeholder>
          </w:sdtPr>
          <w:sdtEndPr/>
          <w:sdtContent>
            <w:tc>
              <w:tcPr>
                <w:tcW w:w="1268" w:type="dxa"/>
                <w:vMerge w:val="restart"/>
                <w:tcBorders>
                  <w:top w:val="nil"/>
                  <w:left w:val="single" w:sz="4" w:space="0" w:color="auto"/>
                  <w:bottom w:val="single" w:sz="4" w:space="0" w:color="000000"/>
                  <w:right w:val="single" w:sz="4" w:space="0" w:color="auto"/>
                </w:tcBorders>
                <w:shd w:val="clear" w:color="auto" w:fill="auto"/>
                <w:vAlign w:val="center"/>
                <w:hideMark/>
              </w:tcPr>
              <w:p w14:paraId="28D5EE7E" w14:textId="2BE69BF7" w:rsidR="00710F69" w:rsidRPr="000708BC" w:rsidRDefault="002422C9" w:rsidP="008661AA">
                <w:pPr>
                  <w:jc w:val="center"/>
                  <w:rPr>
                    <w:rFonts w:ascii="Arial" w:hAnsi="Arial" w:cs="Arial"/>
                    <w:color w:val="000000"/>
                    <w:sz w:val="20"/>
                  </w:rPr>
                </w:pPr>
                <w:r w:rsidRPr="000708BC">
                  <w:rPr>
                    <w:rFonts w:ascii="Arial" w:hAnsi="Arial" w:cs="Arial"/>
                    <w:color w:val="000000"/>
                    <w:sz w:val="20"/>
                  </w:rPr>
                  <w:t>(Cochilco, 2024c)</w:t>
                </w:r>
              </w:p>
            </w:tc>
          </w:sdtContent>
        </w:sdt>
      </w:tr>
      <w:tr w:rsidR="00710F69" w:rsidRPr="000708BC" w14:paraId="1D2EA8BB"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39D1171C"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257067E9"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Underground Mine</w:t>
            </w:r>
          </w:p>
        </w:tc>
        <w:tc>
          <w:tcPr>
            <w:tcW w:w="962" w:type="dxa"/>
            <w:tcBorders>
              <w:top w:val="nil"/>
              <w:left w:val="nil"/>
              <w:bottom w:val="single" w:sz="4" w:space="0" w:color="auto"/>
              <w:right w:val="single" w:sz="4" w:space="0" w:color="auto"/>
            </w:tcBorders>
            <w:shd w:val="clear" w:color="auto" w:fill="auto"/>
            <w:noWrap/>
            <w:vAlign w:val="center"/>
            <w:hideMark/>
          </w:tcPr>
          <w:p w14:paraId="644F2E35"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4CAC9BE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422</w:t>
            </w:r>
          </w:p>
        </w:tc>
        <w:tc>
          <w:tcPr>
            <w:tcW w:w="1301" w:type="dxa"/>
            <w:tcBorders>
              <w:top w:val="nil"/>
              <w:left w:val="nil"/>
              <w:bottom w:val="single" w:sz="4" w:space="0" w:color="auto"/>
              <w:right w:val="single" w:sz="4" w:space="0" w:color="auto"/>
            </w:tcBorders>
            <w:shd w:val="clear" w:color="auto" w:fill="auto"/>
            <w:noWrap/>
            <w:vAlign w:val="center"/>
            <w:hideMark/>
          </w:tcPr>
          <w:p w14:paraId="14E65918"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481</w:t>
            </w:r>
          </w:p>
        </w:tc>
        <w:tc>
          <w:tcPr>
            <w:tcW w:w="768" w:type="dxa"/>
            <w:tcBorders>
              <w:top w:val="nil"/>
              <w:left w:val="nil"/>
              <w:bottom w:val="single" w:sz="4" w:space="0" w:color="auto"/>
              <w:right w:val="single" w:sz="4" w:space="0" w:color="auto"/>
            </w:tcBorders>
            <w:shd w:val="clear" w:color="auto" w:fill="auto"/>
            <w:noWrap/>
            <w:vAlign w:val="center"/>
            <w:hideMark/>
          </w:tcPr>
          <w:p w14:paraId="63F4B593"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249</w:t>
            </w:r>
          </w:p>
        </w:tc>
        <w:tc>
          <w:tcPr>
            <w:tcW w:w="1301" w:type="dxa"/>
            <w:tcBorders>
              <w:top w:val="nil"/>
              <w:left w:val="nil"/>
              <w:bottom w:val="single" w:sz="4" w:space="0" w:color="auto"/>
              <w:right w:val="single" w:sz="4" w:space="0" w:color="auto"/>
            </w:tcBorders>
            <w:shd w:val="clear" w:color="auto" w:fill="auto"/>
            <w:noWrap/>
            <w:vAlign w:val="center"/>
            <w:hideMark/>
          </w:tcPr>
          <w:p w14:paraId="3DE6A9A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284</w:t>
            </w:r>
          </w:p>
        </w:tc>
        <w:tc>
          <w:tcPr>
            <w:tcW w:w="1268" w:type="dxa"/>
            <w:vMerge/>
            <w:tcBorders>
              <w:top w:val="nil"/>
              <w:left w:val="single" w:sz="4" w:space="0" w:color="auto"/>
              <w:bottom w:val="single" w:sz="4" w:space="0" w:color="000000"/>
              <w:right w:val="single" w:sz="4" w:space="0" w:color="auto"/>
            </w:tcBorders>
            <w:vAlign w:val="center"/>
            <w:hideMark/>
          </w:tcPr>
          <w:p w14:paraId="55078964" w14:textId="77777777" w:rsidR="00710F69" w:rsidRPr="000708BC" w:rsidRDefault="00710F69" w:rsidP="008661AA">
            <w:pPr>
              <w:jc w:val="center"/>
              <w:rPr>
                <w:rFonts w:ascii="Arial" w:hAnsi="Arial" w:cs="Arial"/>
                <w:color w:val="000000"/>
                <w:sz w:val="20"/>
              </w:rPr>
            </w:pPr>
          </w:p>
        </w:tc>
      </w:tr>
      <w:tr w:rsidR="00710F69" w:rsidRPr="000708BC" w14:paraId="128232B9"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220BDAE3"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3BD8FED9"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Concentrating Plant</w:t>
            </w:r>
          </w:p>
        </w:tc>
        <w:tc>
          <w:tcPr>
            <w:tcW w:w="962" w:type="dxa"/>
            <w:tcBorders>
              <w:top w:val="nil"/>
              <w:left w:val="nil"/>
              <w:bottom w:val="single" w:sz="4" w:space="0" w:color="auto"/>
              <w:right w:val="single" w:sz="4" w:space="0" w:color="auto"/>
            </w:tcBorders>
            <w:shd w:val="clear" w:color="auto" w:fill="auto"/>
            <w:noWrap/>
            <w:vAlign w:val="center"/>
            <w:hideMark/>
          </w:tcPr>
          <w:p w14:paraId="0EB59025"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66678F97"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11,565</w:t>
            </w:r>
          </w:p>
        </w:tc>
        <w:tc>
          <w:tcPr>
            <w:tcW w:w="1301" w:type="dxa"/>
            <w:tcBorders>
              <w:top w:val="nil"/>
              <w:left w:val="nil"/>
              <w:bottom w:val="single" w:sz="4" w:space="0" w:color="auto"/>
              <w:right w:val="single" w:sz="4" w:space="0" w:color="auto"/>
            </w:tcBorders>
            <w:shd w:val="clear" w:color="auto" w:fill="auto"/>
            <w:noWrap/>
            <w:vAlign w:val="center"/>
            <w:hideMark/>
          </w:tcPr>
          <w:p w14:paraId="2DFC7DE1"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13,184</w:t>
            </w:r>
          </w:p>
        </w:tc>
        <w:tc>
          <w:tcPr>
            <w:tcW w:w="768" w:type="dxa"/>
            <w:tcBorders>
              <w:top w:val="nil"/>
              <w:left w:val="nil"/>
              <w:bottom w:val="single" w:sz="4" w:space="0" w:color="auto"/>
              <w:right w:val="single" w:sz="4" w:space="0" w:color="auto"/>
            </w:tcBorders>
            <w:shd w:val="clear" w:color="auto" w:fill="auto"/>
            <w:noWrap/>
            <w:vAlign w:val="center"/>
            <w:hideMark/>
          </w:tcPr>
          <w:p w14:paraId="4A75FB67"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465</w:t>
            </w:r>
          </w:p>
        </w:tc>
        <w:tc>
          <w:tcPr>
            <w:tcW w:w="1301" w:type="dxa"/>
            <w:tcBorders>
              <w:top w:val="nil"/>
              <w:left w:val="nil"/>
              <w:bottom w:val="single" w:sz="4" w:space="0" w:color="auto"/>
              <w:right w:val="single" w:sz="4" w:space="0" w:color="auto"/>
            </w:tcBorders>
            <w:shd w:val="clear" w:color="auto" w:fill="auto"/>
            <w:noWrap/>
            <w:vAlign w:val="center"/>
            <w:hideMark/>
          </w:tcPr>
          <w:p w14:paraId="2B3A7004"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530</w:t>
            </w:r>
          </w:p>
        </w:tc>
        <w:tc>
          <w:tcPr>
            <w:tcW w:w="1268" w:type="dxa"/>
            <w:vMerge/>
            <w:tcBorders>
              <w:top w:val="nil"/>
              <w:left w:val="single" w:sz="4" w:space="0" w:color="auto"/>
              <w:bottom w:val="single" w:sz="4" w:space="0" w:color="000000"/>
              <w:right w:val="single" w:sz="4" w:space="0" w:color="auto"/>
            </w:tcBorders>
            <w:vAlign w:val="center"/>
            <w:hideMark/>
          </w:tcPr>
          <w:p w14:paraId="7BE81BDF" w14:textId="77777777" w:rsidR="00710F69" w:rsidRPr="000708BC" w:rsidRDefault="00710F69" w:rsidP="008661AA">
            <w:pPr>
              <w:jc w:val="center"/>
              <w:rPr>
                <w:rFonts w:ascii="Arial" w:hAnsi="Arial" w:cs="Arial"/>
                <w:color w:val="000000"/>
                <w:sz w:val="20"/>
              </w:rPr>
            </w:pPr>
          </w:p>
        </w:tc>
      </w:tr>
      <w:tr w:rsidR="00710F69" w:rsidRPr="000708BC" w14:paraId="51C9B2B2"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27E0AEA9"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71995FDC"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Smelter</w:t>
            </w:r>
          </w:p>
        </w:tc>
        <w:tc>
          <w:tcPr>
            <w:tcW w:w="962" w:type="dxa"/>
            <w:tcBorders>
              <w:top w:val="nil"/>
              <w:left w:val="nil"/>
              <w:bottom w:val="single" w:sz="4" w:space="0" w:color="auto"/>
              <w:right w:val="single" w:sz="4" w:space="0" w:color="auto"/>
            </w:tcBorders>
            <w:shd w:val="clear" w:color="auto" w:fill="auto"/>
            <w:noWrap/>
            <w:vAlign w:val="center"/>
            <w:hideMark/>
          </w:tcPr>
          <w:p w14:paraId="23FF6C4A"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18EA25F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4,770</w:t>
            </w:r>
          </w:p>
        </w:tc>
        <w:tc>
          <w:tcPr>
            <w:tcW w:w="1301" w:type="dxa"/>
            <w:tcBorders>
              <w:top w:val="nil"/>
              <w:left w:val="nil"/>
              <w:bottom w:val="single" w:sz="4" w:space="0" w:color="auto"/>
              <w:right w:val="single" w:sz="4" w:space="0" w:color="auto"/>
            </w:tcBorders>
            <w:shd w:val="clear" w:color="auto" w:fill="auto"/>
            <w:noWrap/>
            <w:vAlign w:val="center"/>
            <w:hideMark/>
          </w:tcPr>
          <w:p w14:paraId="69BFD284"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4,770</w:t>
            </w:r>
          </w:p>
        </w:tc>
        <w:tc>
          <w:tcPr>
            <w:tcW w:w="768" w:type="dxa"/>
            <w:tcBorders>
              <w:top w:val="nil"/>
              <w:left w:val="nil"/>
              <w:bottom w:val="single" w:sz="4" w:space="0" w:color="auto"/>
              <w:right w:val="single" w:sz="4" w:space="0" w:color="auto"/>
            </w:tcBorders>
            <w:shd w:val="clear" w:color="auto" w:fill="auto"/>
            <w:noWrap/>
            <w:vAlign w:val="center"/>
            <w:hideMark/>
          </w:tcPr>
          <w:p w14:paraId="7EFC04F7"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4,974</w:t>
            </w:r>
          </w:p>
        </w:tc>
        <w:tc>
          <w:tcPr>
            <w:tcW w:w="1301" w:type="dxa"/>
            <w:tcBorders>
              <w:top w:val="nil"/>
              <w:left w:val="nil"/>
              <w:bottom w:val="single" w:sz="4" w:space="0" w:color="auto"/>
              <w:right w:val="single" w:sz="4" w:space="0" w:color="auto"/>
            </w:tcBorders>
            <w:shd w:val="clear" w:color="auto" w:fill="auto"/>
            <w:noWrap/>
            <w:vAlign w:val="center"/>
            <w:hideMark/>
          </w:tcPr>
          <w:p w14:paraId="255770F7"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4,974</w:t>
            </w:r>
          </w:p>
        </w:tc>
        <w:tc>
          <w:tcPr>
            <w:tcW w:w="1268" w:type="dxa"/>
            <w:vMerge/>
            <w:tcBorders>
              <w:top w:val="nil"/>
              <w:left w:val="single" w:sz="4" w:space="0" w:color="auto"/>
              <w:bottom w:val="single" w:sz="4" w:space="0" w:color="000000"/>
              <w:right w:val="single" w:sz="4" w:space="0" w:color="auto"/>
            </w:tcBorders>
            <w:vAlign w:val="center"/>
            <w:hideMark/>
          </w:tcPr>
          <w:p w14:paraId="26958986" w14:textId="77777777" w:rsidR="00710F69" w:rsidRPr="000708BC" w:rsidRDefault="00710F69" w:rsidP="008661AA">
            <w:pPr>
              <w:jc w:val="center"/>
              <w:rPr>
                <w:rFonts w:ascii="Arial" w:hAnsi="Arial" w:cs="Arial"/>
                <w:color w:val="000000"/>
                <w:sz w:val="20"/>
              </w:rPr>
            </w:pPr>
          </w:p>
        </w:tc>
      </w:tr>
      <w:tr w:rsidR="00710F69" w:rsidRPr="000708BC" w14:paraId="50838717"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41D92869"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42F02481"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Electrolytic Refining</w:t>
            </w:r>
          </w:p>
        </w:tc>
        <w:tc>
          <w:tcPr>
            <w:tcW w:w="962" w:type="dxa"/>
            <w:tcBorders>
              <w:top w:val="nil"/>
              <w:left w:val="nil"/>
              <w:bottom w:val="single" w:sz="4" w:space="0" w:color="auto"/>
              <w:right w:val="single" w:sz="4" w:space="0" w:color="auto"/>
            </w:tcBorders>
            <w:shd w:val="clear" w:color="auto" w:fill="auto"/>
            <w:noWrap/>
            <w:vAlign w:val="center"/>
            <w:hideMark/>
          </w:tcPr>
          <w:p w14:paraId="11B532F8"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6F712038"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1,284</w:t>
            </w:r>
          </w:p>
        </w:tc>
        <w:tc>
          <w:tcPr>
            <w:tcW w:w="1301" w:type="dxa"/>
            <w:tcBorders>
              <w:top w:val="nil"/>
              <w:left w:val="nil"/>
              <w:bottom w:val="single" w:sz="4" w:space="0" w:color="auto"/>
              <w:right w:val="single" w:sz="4" w:space="0" w:color="auto"/>
            </w:tcBorders>
            <w:shd w:val="clear" w:color="auto" w:fill="auto"/>
            <w:noWrap/>
            <w:vAlign w:val="center"/>
            <w:hideMark/>
          </w:tcPr>
          <w:p w14:paraId="61EDF32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1,284</w:t>
            </w:r>
          </w:p>
        </w:tc>
        <w:tc>
          <w:tcPr>
            <w:tcW w:w="768" w:type="dxa"/>
            <w:tcBorders>
              <w:top w:val="nil"/>
              <w:left w:val="nil"/>
              <w:bottom w:val="single" w:sz="4" w:space="0" w:color="auto"/>
              <w:right w:val="single" w:sz="4" w:space="0" w:color="auto"/>
            </w:tcBorders>
            <w:shd w:val="clear" w:color="auto" w:fill="auto"/>
            <w:noWrap/>
            <w:vAlign w:val="center"/>
            <w:hideMark/>
          </w:tcPr>
          <w:p w14:paraId="00965E9D"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2,033</w:t>
            </w:r>
          </w:p>
        </w:tc>
        <w:tc>
          <w:tcPr>
            <w:tcW w:w="1301" w:type="dxa"/>
            <w:tcBorders>
              <w:top w:val="nil"/>
              <w:left w:val="nil"/>
              <w:bottom w:val="single" w:sz="4" w:space="0" w:color="auto"/>
              <w:right w:val="single" w:sz="4" w:space="0" w:color="auto"/>
            </w:tcBorders>
            <w:shd w:val="clear" w:color="auto" w:fill="auto"/>
            <w:noWrap/>
            <w:vAlign w:val="center"/>
            <w:hideMark/>
          </w:tcPr>
          <w:p w14:paraId="23B8640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2,033</w:t>
            </w:r>
          </w:p>
        </w:tc>
        <w:tc>
          <w:tcPr>
            <w:tcW w:w="1268" w:type="dxa"/>
            <w:vMerge/>
            <w:tcBorders>
              <w:top w:val="nil"/>
              <w:left w:val="single" w:sz="4" w:space="0" w:color="auto"/>
              <w:bottom w:val="single" w:sz="4" w:space="0" w:color="000000"/>
              <w:right w:val="single" w:sz="4" w:space="0" w:color="auto"/>
            </w:tcBorders>
            <w:vAlign w:val="center"/>
            <w:hideMark/>
          </w:tcPr>
          <w:p w14:paraId="73E26D2F" w14:textId="77777777" w:rsidR="00710F69" w:rsidRPr="000708BC" w:rsidRDefault="00710F69" w:rsidP="008661AA">
            <w:pPr>
              <w:jc w:val="center"/>
              <w:rPr>
                <w:rFonts w:ascii="Arial" w:hAnsi="Arial" w:cs="Arial"/>
                <w:color w:val="000000"/>
                <w:sz w:val="20"/>
              </w:rPr>
            </w:pPr>
          </w:p>
        </w:tc>
      </w:tr>
      <w:tr w:rsidR="00710F69" w:rsidRPr="000708BC" w14:paraId="787F8B11"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60E26BDF"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69514724"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Services</w:t>
            </w:r>
          </w:p>
        </w:tc>
        <w:tc>
          <w:tcPr>
            <w:tcW w:w="962" w:type="dxa"/>
            <w:tcBorders>
              <w:top w:val="nil"/>
              <w:left w:val="nil"/>
              <w:bottom w:val="single" w:sz="4" w:space="0" w:color="auto"/>
              <w:right w:val="single" w:sz="4" w:space="0" w:color="auto"/>
            </w:tcBorders>
            <w:shd w:val="clear" w:color="auto" w:fill="auto"/>
            <w:noWrap/>
            <w:vAlign w:val="center"/>
            <w:hideMark/>
          </w:tcPr>
          <w:p w14:paraId="6E2316F4"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5334778A"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2,774</w:t>
            </w:r>
          </w:p>
        </w:tc>
        <w:tc>
          <w:tcPr>
            <w:tcW w:w="1301" w:type="dxa"/>
            <w:tcBorders>
              <w:top w:val="nil"/>
              <w:left w:val="nil"/>
              <w:bottom w:val="single" w:sz="4" w:space="0" w:color="auto"/>
              <w:right w:val="single" w:sz="4" w:space="0" w:color="auto"/>
            </w:tcBorders>
            <w:shd w:val="clear" w:color="auto" w:fill="auto"/>
            <w:noWrap/>
            <w:vAlign w:val="center"/>
            <w:hideMark/>
          </w:tcPr>
          <w:p w14:paraId="1EDACE5D"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2,774</w:t>
            </w:r>
          </w:p>
        </w:tc>
        <w:tc>
          <w:tcPr>
            <w:tcW w:w="768" w:type="dxa"/>
            <w:tcBorders>
              <w:top w:val="nil"/>
              <w:left w:val="nil"/>
              <w:bottom w:val="single" w:sz="4" w:space="0" w:color="auto"/>
              <w:right w:val="single" w:sz="4" w:space="0" w:color="auto"/>
            </w:tcBorders>
            <w:shd w:val="clear" w:color="auto" w:fill="auto"/>
            <w:noWrap/>
            <w:vAlign w:val="center"/>
            <w:hideMark/>
          </w:tcPr>
          <w:p w14:paraId="4B2B887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456</w:t>
            </w:r>
          </w:p>
        </w:tc>
        <w:tc>
          <w:tcPr>
            <w:tcW w:w="1301" w:type="dxa"/>
            <w:tcBorders>
              <w:top w:val="nil"/>
              <w:left w:val="nil"/>
              <w:bottom w:val="single" w:sz="4" w:space="0" w:color="auto"/>
              <w:right w:val="single" w:sz="4" w:space="0" w:color="auto"/>
            </w:tcBorders>
            <w:shd w:val="clear" w:color="auto" w:fill="auto"/>
            <w:noWrap/>
            <w:vAlign w:val="center"/>
            <w:hideMark/>
          </w:tcPr>
          <w:p w14:paraId="601F56C2"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456</w:t>
            </w:r>
          </w:p>
        </w:tc>
        <w:tc>
          <w:tcPr>
            <w:tcW w:w="1268" w:type="dxa"/>
            <w:vMerge/>
            <w:tcBorders>
              <w:top w:val="nil"/>
              <w:left w:val="single" w:sz="4" w:space="0" w:color="auto"/>
              <w:bottom w:val="single" w:sz="4" w:space="0" w:color="000000"/>
              <w:right w:val="single" w:sz="4" w:space="0" w:color="auto"/>
            </w:tcBorders>
            <w:vAlign w:val="center"/>
            <w:hideMark/>
          </w:tcPr>
          <w:p w14:paraId="2D503149" w14:textId="77777777" w:rsidR="00710F69" w:rsidRPr="000708BC" w:rsidRDefault="00710F69" w:rsidP="008661AA">
            <w:pPr>
              <w:jc w:val="center"/>
              <w:rPr>
                <w:rFonts w:ascii="Arial" w:hAnsi="Arial" w:cs="Arial"/>
                <w:color w:val="000000"/>
                <w:sz w:val="20"/>
              </w:rPr>
            </w:pPr>
          </w:p>
        </w:tc>
      </w:tr>
      <w:tr w:rsidR="00710F69" w:rsidRPr="000708BC" w14:paraId="3DB54886" w14:textId="77777777" w:rsidTr="008661AA">
        <w:trPr>
          <w:trHeight w:val="260"/>
          <w:jc w:val="center"/>
        </w:trPr>
        <w:tc>
          <w:tcPr>
            <w:tcW w:w="74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070B4D"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[H]Cu</w:t>
            </w:r>
          </w:p>
        </w:tc>
        <w:tc>
          <w:tcPr>
            <w:tcW w:w="1475" w:type="dxa"/>
            <w:tcBorders>
              <w:top w:val="nil"/>
              <w:left w:val="nil"/>
              <w:bottom w:val="single" w:sz="4" w:space="0" w:color="auto"/>
              <w:right w:val="single" w:sz="4" w:space="0" w:color="auto"/>
            </w:tcBorders>
            <w:shd w:val="clear" w:color="auto" w:fill="auto"/>
            <w:noWrap/>
            <w:vAlign w:val="center"/>
            <w:hideMark/>
          </w:tcPr>
          <w:p w14:paraId="39497A0A"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Open pit</w:t>
            </w:r>
          </w:p>
        </w:tc>
        <w:tc>
          <w:tcPr>
            <w:tcW w:w="962" w:type="dxa"/>
            <w:tcBorders>
              <w:top w:val="nil"/>
              <w:left w:val="nil"/>
              <w:bottom w:val="single" w:sz="4" w:space="0" w:color="auto"/>
              <w:right w:val="single" w:sz="4" w:space="0" w:color="auto"/>
            </w:tcBorders>
            <w:shd w:val="clear" w:color="auto" w:fill="auto"/>
            <w:noWrap/>
            <w:vAlign w:val="center"/>
            <w:hideMark/>
          </w:tcPr>
          <w:p w14:paraId="52DBAF24"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50DAEC4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189</w:t>
            </w:r>
          </w:p>
        </w:tc>
        <w:tc>
          <w:tcPr>
            <w:tcW w:w="1301" w:type="dxa"/>
            <w:tcBorders>
              <w:top w:val="nil"/>
              <w:left w:val="nil"/>
              <w:bottom w:val="single" w:sz="4" w:space="0" w:color="auto"/>
              <w:right w:val="single" w:sz="4" w:space="0" w:color="auto"/>
            </w:tcBorders>
            <w:shd w:val="clear" w:color="auto" w:fill="auto"/>
            <w:noWrap/>
            <w:vAlign w:val="center"/>
            <w:hideMark/>
          </w:tcPr>
          <w:p w14:paraId="79A7C884"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216</w:t>
            </w:r>
          </w:p>
        </w:tc>
        <w:tc>
          <w:tcPr>
            <w:tcW w:w="768" w:type="dxa"/>
            <w:tcBorders>
              <w:top w:val="nil"/>
              <w:left w:val="nil"/>
              <w:bottom w:val="single" w:sz="4" w:space="0" w:color="auto"/>
              <w:right w:val="single" w:sz="4" w:space="0" w:color="auto"/>
            </w:tcBorders>
            <w:shd w:val="clear" w:color="auto" w:fill="auto"/>
            <w:noWrap/>
            <w:vAlign w:val="center"/>
            <w:hideMark/>
          </w:tcPr>
          <w:p w14:paraId="34C476E6"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3,056</w:t>
            </w:r>
          </w:p>
        </w:tc>
        <w:tc>
          <w:tcPr>
            <w:tcW w:w="1301" w:type="dxa"/>
            <w:tcBorders>
              <w:top w:val="nil"/>
              <w:left w:val="nil"/>
              <w:bottom w:val="single" w:sz="4" w:space="0" w:color="auto"/>
              <w:right w:val="single" w:sz="4" w:space="0" w:color="auto"/>
            </w:tcBorders>
            <w:shd w:val="clear" w:color="auto" w:fill="auto"/>
            <w:noWrap/>
            <w:vAlign w:val="center"/>
            <w:hideMark/>
          </w:tcPr>
          <w:p w14:paraId="701234A3"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3,484</w:t>
            </w:r>
          </w:p>
        </w:tc>
        <w:tc>
          <w:tcPr>
            <w:tcW w:w="1268" w:type="dxa"/>
            <w:vMerge/>
            <w:tcBorders>
              <w:top w:val="nil"/>
              <w:left w:val="single" w:sz="4" w:space="0" w:color="auto"/>
              <w:bottom w:val="single" w:sz="4" w:space="0" w:color="000000"/>
              <w:right w:val="single" w:sz="4" w:space="0" w:color="auto"/>
            </w:tcBorders>
            <w:vAlign w:val="center"/>
            <w:hideMark/>
          </w:tcPr>
          <w:p w14:paraId="057A3E50" w14:textId="77777777" w:rsidR="00710F69" w:rsidRPr="000708BC" w:rsidRDefault="00710F69" w:rsidP="008661AA">
            <w:pPr>
              <w:jc w:val="center"/>
              <w:rPr>
                <w:rFonts w:ascii="Arial" w:hAnsi="Arial" w:cs="Arial"/>
                <w:color w:val="000000"/>
                <w:sz w:val="20"/>
              </w:rPr>
            </w:pPr>
          </w:p>
        </w:tc>
      </w:tr>
      <w:tr w:rsidR="00710F69" w:rsidRPr="000708BC" w14:paraId="7A8E584F"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6EABFEC4"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575986FC"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Lx/Sx/Ew</w:t>
            </w:r>
          </w:p>
        </w:tc>
        <w:tc>
          <w:tcPr>
            <w:tcW w:w="962" w:type="dxa"/>
            <w:tcBorders>
              <w:top w:val="nil"/>
              <w:left w:val="nil"/>
              <w:bottom w:val="single" w:sz="4" w:space="0" w:color="auto"/>
              <w:right w:val="single" w:sz="4" w:space="0" w:color="auto"/>
            </w:tcBorders>
            <w:shd w:val="clear" w:color="auto" w:fill="auto"/>
            <w:noWrap/>
            <w:vAlign w:val="center"/>
            <w:hideMark/>
          </w:tcPr>
          <w:p w14:paraId="209C4D09"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274423C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12,956</w:t>
            </w:r>
          </w:p>
        </w:tc>
        <w:tc>
          <w:tcPr>
            <w:tcW w:w="1301" w:type="dxa"/>
            <w:tcBorders>
              <w:top w:val="nil"/>
              <w:left w:val="nil"/>
              <w:bottom w:val="single" w:sz="4" w:space="0" w:color="auto"/>
              <w:right w:val="single" w:sz="4" w:space="0" w:color="auto"/>
            </w:tcBorders>
            <w:shd w:val="clear" w:color="auto" w:fill="auto"/>
            <w:noWrap/>
            <w:vAlign w:val="center"/>
            <w:hideMark/>
          </w:tcPr>
          <w:p w14:paraId="7C1DEE32"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12,956</w:t>
            </w:r>
          </w:p>
        </w:tc>
        <w:tc>
          <w:tcPr>
            <w:tcW w:w="768" w:type="dxa"/>
            <w:tcBorders>
              <w:top w:val="nil"/>
              <w:left w:val="nil"/>
              <w:bottom w:val="single" w:sz="4" w:space="0" w:color="auto"/>
              <w:right w:val="single" w:sz="4" w:space="0" w:color="auto"/>
            </w:tcBorders>
            <w:shd w:val="clear" w:color="auto" w:fill="auto"/>
            <w:noWrap/>
            <w:vAlign w:val="center"/>
            <w:hideMark/>
          </w:tcPr>
          <w:p w14:paraId="2347F0FF"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3,342</w:t>
            </w:r>
          </w:p>
        </w:tc>
        <w:tc>
          <w:tcPr>
            <w:tcW w:w="1301" w:type="dxa"/>
            <w:tcBorders>
              <w:top w:val="nil"/>
              <w:left w:val="nil"/>
              <w:bottom w:val="single" w:sz="4" w:space="0" w:color="auto"/>
              <w:right w:val="single" w:sz="4" w:space="0" w:color="auto"/>
            </w:tcBorders>
            <w:shd w:val="clear" w:color="auto" w:fill="auto"/>
            <w:noWrap/>
            <w:vAlign w:val="center"/>
            <w:hideMark/>
          </w:tcPr>
          <w:p w14:paraId="19F531A5"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3,342</w:t>
            </w:r>
          </w:p>
        </w:tc>
        <w:tc>
          <w:tcPr>
            <w:tcW w:w="1268" w:type="dxa"/>
            <w:vMerge/>
            <w:tcBorders>
              <w:top w:val="nil"/>
              <w:left w:val="single" w:sz="4" w:space="0" w:color="auto"/>
              <w:bottom w:val="single" w:sz="4" w:space="0" w:color="000000"/>
              <w:right w:val="single" w:sz="4" w:space="0" w:color="auto"/>
            </w:tcBorders>
            <w:vAlign w:val="center"/>
            <w:hideMark/>
          </w:tcPr>
          <w:p w14:paraId="6E7E3399" w14:textId="77777777" w:rsidR="00710F69" w:rsidRPr="000708BC" w:rsidRDefault="00710F69" w:rsidP="008661AA">
            <w:pPr>
              <w:jc w:val="center"/>
              <w:rPr>
                <w:rFonts w:ascii="Arial" w:hAnsi="Arial" w:cs="Arial"/>
                <w:color w:val="000000"/>
                <w:sz w:val="20"/>
              </w:rPr>
            </w:pPr>
          </w:p>
        </w:tc>
      </w:tr>
      <w:tr w:rsidR="00710F69" w:rsidRPr="000708BC" w14:paraId="0ED72AC7" w14:textId="77777777" w:rsidTr="008661AA">
        <w:trPr>
          <w:trHeight w:val="260"/>
          <w:jc w:val="center"/>
        </w:trPr>
        <w:tc>
          <w:tcPr>
            <w:tcW w:w="742" w:type="dxa"/>
            <w:vMerge/>
            <w:tcBorders>
              <w:top w:val="nil"/>
              <w:left w:val="single" w:sz="4" w:space="0" w:color="auto"/>
              <w:bottom w:val="single" w:sz="4" w:space="0" w:color="auto"/>
              <w:right w:val="single" w:sz="4" w:space="0" w:color="auto"/>
            </w:tcBorders>
            <w:vAlign w:val="center"/>
            <w:hideMark/>
          </w:tcPr>
          <w:p w14:paraId="41DEC5E9" w14:textId="77777777" w:rsidR="00710F69" w:rsidRPr="000708BC" w:rsidRDefault="00710F69" w:rsidP="008661AA">
            <w:pPr>
              <w:jc w:val="center"/>
              <w:rPr>
                <w:rFonts w:ascii="Arial" w:hAnsi="Arial" w:cs="Arial"/>
                <w:color w:val="000000"/>
                <w:sz w:val="20"/>
              </w:rPr>
            </w:pPr>
          </w:p>
        </w:tc>
        <w:tc>
          <w:tcPr>
            <w:tcW w:w="1475" w:type="dxa"/>
            <w:tcBorders>
              <w:top w:val="nil"/>
              <w:left w:val="nil"/>
              <w:bottom w:val="single" w:sz="4" w:space="0" w:color="auto"/>
              <w:right w:val="single" w:sz="4" w:space="0" w:color="auto"/>
            </w:tcBorders>
            <w:shd w:val="clear" w:color="auto" w:fill="auto"/>
            <w:noWrap/>
            <w:vAlign w:val="center"/>
            <w:hideMark/>
          </w:tcPr>
          <w:p w14:paraId="1A5B5530"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Services</w:t>
            </w:r>
          </w:p>
        </w:tc>
        <w:tc>
          <w:tcPr>
            <w:tcW w:w="962" w:type="dxa"/>
            <w:tcBorders>
              <w:top w:val="nil"/>
              <w:left w:val="nil"/>
              <w:bottom w:val="single" w:sz="4" w:space="0" w:color="auto"/>
              <w:right w:val="single" w:sz="4" w:space="0" w:color="auto"/>
            </w:tcBorders>
            <w:shd w:val="clear" w:color="auto" w:fill="auto"/>
            <w:noWrap/>
            <w:vAlign w:val="center"/>
            <w:hideMark/>
          </w:tcPr>
          <w:p w14:paraId="3CDFC83D"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MJ/t Cu</w:t>
            </w:r>
          </w:p>
        </w:tc>
        <w:tc>
          <w:tcPr>
            <w:tcW w:w="813" w:type="dxa"/>
            <w:tcBorders>
              <w:top w:val="nil"/>
              <w:left w:val="nil"/>
              <w:bottom w:val="single" w:sz="4" w:space="0" w:color="auto"/>
              <w:right w:val="single" w:sz="4" w:space="0" w:color="auto"/>
            </w:tcBorders>
            <w:shd w:val="clear" w:color="auto" w:fill="auto"/>
            <w:noWrap/>
            <w:vAlign w:val="center"/>
            <w:hideMark/>
          </w:tcPr>
          <w:p w14:paraId="70118FA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2,774</w:t>
            </w:r>
          </w:p>
        </w:tc>
        <w:tc>
          <w:tcPr>
            <w:tcW w:w="1301" w:type="dxa"/>
            <w:tcBorders>
              <w:top w:val="nil"/>
              <w:left w:val="nil"/>
              <w:bottom w:val="single" w:sz="4" w:space="0" w:color="auto"/>
              <w:right w:val="single" w:sz="4" w:space="0" w:color="auto"/>
            </w:tcBorders>
            <w:shd w:val="clear" w:color="auto" w:fill="auto"/>
            <w:noWrap/>
            <w:vAlign w:val="center"/>
            <w:hideMark/>
          </w:tcPr>
          <w:p w14:paraId="6CC18635"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2,774</w:t>
            </w:r>
          </w:p>
        </w:tc>
        <w:tc>
          <w:tcPr>
            <w:tcW w:w="768" w:type="dxa"/>
            <w:tcBorders>
              <w:top w:val="nil"/>
              <w:left w:val="nil"/>
              <w:bottom w:val="single" w:sz="4" w:space="0" w:color="auto"/>
              <w:right w:val="single" w:sz="4" w:space="0" w:color="auto"/>
            </w:tcBorders>
            <w:shd w:val="clear" w:color="auto" w:fill="auto"/>
            <w:noWrap/>
            <w:vAlign w:val="center"/>
            <w:hideMark/>
          </w:tcPr>
          <w:p w14:paraId="57469F75"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456</w:t>
            </w:r>
          </w:p>
        </w:tc>
        <w:tc>
          <w:tcPr>
            <w:tcW w:w="1301" w:type="dxa"/>
            <w:tcBorders>
              <w:top w:val="nil"/>
              <w:left w:val="nil"/>
              <w:bottom w:val="single" w:sz="4" w:space="0" w:color="auto"/>
              <w:right w:val="single" w:sz="4" w:space="0" w:color="auto"/>
            </w:tcBorders>
            <w:shd w:val="clear" w:color="auto" w:fill="auto"/>
            <w:noWrap/>
            <w:vAlign w:val="center"/>
            <w:hideMark/>
          </w:tcPr>
          <w:p w14:paraId="4B601D4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456</w:t>
            </w:r>
          </w:p>
        </w:tc>
        <w:tc>
          <w:tcPr>
            <w:tcW w:w="1268" w:type="dxa"/>
            <w:vMerge/>
            <w:tcBorders>
              <w:top w:val="nil"/>
              <w:left w:val="single" w:sz="4" w:space="0" w:color="auto"/>
              <w:bottom w:val="single" w:sz="4" w:space="0" w:color="000000"/>
              <w:right w:val="single" w:sz="4" w:space="0" w:color="auto"/>
            </w:tcBorders>
            <w:vAlign w:val="center"/>
            <w:hideMark/>
          </w:tcPr>
          <w:p w14:paraId="414F009C" w14:textId="77777777" w:rsidR="00710F69" w:rsidRPr="000708BC" w:rsidRDefault="00710F69" w:rsidP="008661AA">
            <w:pPr>
              <w:jc w:val="center"/>
              <w:rPr>
                <w:rFonts w:ascii="Arial" w:hAnsi="Arial" w:cs="Arial"/>
                <w:color w:val="000000"/>
                <w:sz w:val="20"/>
              </w:rPr>
            </w:pPr>
          </w:p>
        </w:tc>
      </w:tr>
    </w:tbl>
    <w:bookmarkEnd w:id="0"/>
    <w:bookmarkEnd w:id="1"/>
    <w:p w14:paraId="6F90E06B" w14:textId="77777777" w:rsidR="00710F69" w:rsidRPr="000708BC" w:rsidRDefault="00710F69" w:rsidP="00710F69">
      <w:pPr>
        <w:pStyle w:val="JIEreferencelist"/>
        <w:ind w:left="0" w:firstLine="0"/>
        <w:rPr>
          <w:rFonts w:ascii="Arial" w:hAnsi="Arial" w:cs="Arial"/>
          <w:iCs/>
          <w:sz w:val="18"/>
          <w:szCs w:val="18"/>
        </w:rPr>
      </w:pPr>
      <w:r w:rsidRPr="000708BC">
        <w:rPr>
          <w:rFonts w:ascii="Arial" w:hAnsi="Arial" w:cs="Arial"/>
          <w:iCs/>
          <w:sz w:val="18"/>
          <w:szCs w:val="18"/>
        </w:rPr>
        <w:t>Note: BAU = Business-as-usual, [P]Cu = Pyrometallurgy line, [H]Cu = Hydrometallurgy line, Lx/</w:t>
      </w:r>
      <w:proofErr w:type="spellStart"/>
      <w:r w:rsidRPr="000708BC">
        <w:rPr>
          <w:rFonts w:ascii="Arial" w:hAnsi="Arial" w:cs="Arial"/>
          <w:iCs/>
          <w:sz w:val="18"/>
          <w:szCs w:val="18"/>
        </w:rPr>
        <w:t>Sx</w:t>
      </w:r>
      <w:proofErr w:type="spellEnd"/>
      <w:r w:rsidRPr="000708BC">
        <w:rPr>
          <w:rFonts w:ascii="Arial" w:hAnsi="Arial" w:cs="Arial"/>
          <w:iCs/>
          <w:sz w:val="18"/>
          <w:szCs w:val="18"/>
        </w:rPr>
        <w:t>/</w:t>
      </w:r>
      <w:proofErr w:type="spellStart"/>
      <w:r w:rsidRPr="000708BC">
        <w:rPr>
          <w:rFonts w:ascii="Arial" w:hAnsi="Arial" w:cs="Arial"/>
          <w:iCs/>
          <w:sz w:val="18"/>
          <w:szCs w:val="18"/>
        </w:rPr>
        <w:t>Ew</w:t>
      </w:r>
      <w:proofErr w:type="spellEnd"/>
      <w:r w:rsidRPr="000708BC">
        <w:rPr>
          <w:rFonts w:ascii="Arial" w:hAnsi="Arial" w:cs="Arial"/>
          <w:iCs/>
          <w:sz w:val="18"/>
          <w:szCs w:val="18"/>
        </w:rPr>
        <w:t xml:space="preserve"> = Leaching/ Solvent Extraction/ Electro-winning.</w:t>
      </w:r>
    </w:p>
    <w:p w14:paraId="23FE57B1" w14:textId="77777777" w:rsidR="00710F69" w:rsidRPr="000708BC" w:rsidRDefault="00710F69" w:rsidP="00710F69">
      <w:pPr>
        <w:pStyle w:val="JIEreferencelist"/>
        <w:ind w:left="0" w:firstLine="0"/>
        <w:rPr>
          <w:rFonts w:ascii="Arial" w:hAnsi="Arial" w:cs="Arial"/>
          <w:iCs/>
          <w:sz w:val="22"/>
          <w:szCs w:val="22"/>
        </w:rPr>
      </w:pPr>
    </w:p>
    <w:p w14:paraId="6F76EDA6" w14:textId="77777777" w:rsidR="00710F69" w:rsidRPr="000708BC" w:rsidRDefault="00710F69" w:rsidP="00710F69">
      <w:pPr>
        <w:pStyle w:val="JIEreferencelist"/>
        <w:ind w:left="0" w:firstLine="0"/>
        <w:rPr>
          <w:rFonts w:ascii="Arial" w:hAnsi="Arial" w:cs="Arial"/>
          <w:iCs/>
          <w:sz w:val="22"/>
          <w:szCs w:val="22"/>
        </w:rPr>
      </w:pPr>
      <w:r w:rsidRPr="000708BC">
        <w:rPr>
          <w:rFonts w:ascii="Arial" w:hAnsi="Arial" w:cs="Arial"/>
          <w:iCs/>
          <w:sz w:val="22"/>
          <w:szCs w:val="22"/>
        </w:rPr>
        <w:t>Table S1-15 Water consumption in copper production.</w:t>
      </w:r>
    </w:p>
    <w:tbl>
      <w:tblPr>
        <w:tblW w:w="5000" w:type="pct"/>
        <w:jc w:val="center"/>
        <w:tblLook w:val="04A0" w:firstRow="1" w:lastRow="0" w:firstColumn="1" w:lastColumn="0" w:noHBand="0" w:noVBand="1"/>
      </w:tblPr>
      <w:tblGrid>
        <w:gridCol w:w="713"/>
        <w:gridCol w:w="1449"/>
        <w:gridCol w:w="982"/>
        <w:gridCol w:w="699"/>
        <w:gridCol w:w="1396"/>
        <w:gridCol w:w="738"/>
        <w:gridCol w:w="1396"/>
        <w:gridCol w:w="1257"/>
      </w:tblGrid>
      <w:tr w:rsidR="00710F69" w:rsidRPr="000708BC" w14:paraId="452D4D33" w14:textId="77777777" w:rsidTr="008661AA">
        <w:trPr>
          <w:trHeight w:val="260"/>
          <w:tblHeader/>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87FD07"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Line</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C02DBD2"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Process</w:t>
            </w:r>
          </w:p>
        </w:tc>
        <w:tc>
          <w:tcPr>
            <w:tcW w:w="101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4B7DECE"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Unit</w:t>
            </w:r>
          </w:p>
        </w:tc>
        <w:tc>
          <w:tcPr>
            <w:tcW w:w="20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CEB64AC"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Fresh Water</w:t>
            </w:r>
          </w:p>
        </w:tc>
        <w:tc>
          <w:tcPr>
            <w:tcW w:w="2076"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D81DA2C"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Desalinated Seawater</w:t>
            </w:r>
          </w:p>
        </w:tc>
        <w:tc>
          <w:tcPr>
            <w:tcW w:w="128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9BB2F5"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References</w:t>
            </w:r>
          </w:p>
        </w:tc>
      </w:tr>
      <w:tr w:rsidR="00710F69" w:rsidRPr="000708BC" w14:paraId="62C7009E" w14:textId="77777777" w:rsidTr="008661AA">
        <w:trPr>
          <w:trHeight w:val="260"/>
          <w:tblHeader/>
          <w:jc w:val="center"/>
        </w:trPr>
        <w:tc>
          <w:tcPr>
            <w:tcW w:w="732" w:type="dxa"/>
            <w:vMerge/>
            <w:tcBorders>
              <w:top w:val="single" w:sz="4" w:space="0" w:color="auto"/>
              <w:left w:val="single" w:sz="4" w:space="0" w:color="auto"/>
              <w:bottom w:val="single" w:sz="4" w:space="0" w:color="auto"/>
              <w:right w:val="single" w:sz="4" w:space="0" w:color="auto"/>
            </w:tcBorders>
            <w:vAlign w:val="center"/>
            <w:hideMark/>
          </w:tcPr>
          <w:p w14:paraId="75F78274" w14:textId="77777777" w:rsidR="00710F69" w:rsidRPr="000708BC" w:rsidRDefault="00710F69" w:rsidP="008661AA">
            <w:pPr>
              <w:jc w:val="center"/>
              <w:rPr>
                <w:rFonts w:ascii="Arial" w:hAnsi="Arial" w:cs="Arial"/>
                <w:b/>
                <w:bCs/>
                <w:color w:val="000000"/>
                <w:sz w:val="20"/>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3548FAE" w14:textId="77777777" w:rsidR="00710F69" w:rsidRPr="000708BC" w:rsidRDefault="00710F69" w:rsidP="008661AA">
            <w:pPr>
              <w:jc w:val="center"/>
              <w:rPr>
                <w:rFonts w:ascii="Arial" w:hAnsi="Arial" w:cs="Arial"/>
                <w:b/>
                <w:bCs/>
                <w:color w:val="000000"/>
                <w:sz w:val="20"/>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4E18E37F" w14:textId="77777777" w:rsidR="00710F69" w:rsidRPr="000708BC" w:rsidRDefault="00710F69" w:rsidP="008661AA">
            <w:pPr>
              <w:jc w:val="center"/>
              <w:rPr>
                <w:rFonts w:ascii="Arial" w:hAnsi="Arial" w:cs="Arial"/>
                <w:b/>
                <w:bCs/>
                <w:color w:val="000000"/>
                <w:sz w:val="20"/>
              </w:rPr>
            </w:pPr>
          </w:p>
        </w:tc>
        <w:tc>
          <w:tcPr>
            <w:tcW w:w="713" w:type="dxa"/>
            <w:tcBorders>
              <w:top w:val="nil"/>
              <w:left w:val="nil"/>
              <w:bottom w:val="single" w:sz="4" w:space="0" w:color="auto"/>
              <w:right w:val="single" w:sz="4" w:space="0" w:color="auto"/>
            </w:tcBorders>
            <w:shd w:val="clear" w:color="000000" w:fill="D9D9D9"/>
            <w:noWrap/>
            <w:vAlign w:val="center"/>
            <w:hideMark/>
          </w:tcPr>
          <w:p w14:paraId="2BDC5E72"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BAU</w:t>
            </w:r>
          </w:p>
        </w:tc>
        <w:tc>
          <w:tcPr>
            <w:tcW w:w="1319" w:type="dxa"/>
            <w:tcBorders>
              <w:top w:val="nil"/>
              <w:left w:val="nil"/>
              <w:bottom w:val="single" w:sz="4" w:space="0" w:color="auto"/>
              <w:right w:val="single" w:sz="4" w:space="0" w:color="auto"/>
            </w:tcBorders>
            <w:shd w:val="clear" w:color="000000" w:fill="D9D9D9"/>
            <w:noWrap/>
            <w:vAlign w:val="center"/>
            <w:hideMark/>
          </w:tcPr>
          <w:p w14:paraId="4020170D" w14:textId="6E1E0198"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Renewable</w:t>
            </w:r>
            <w:r w:rsidR="002D3FD8" w:rsidRPr="000708BC">
              <w:rPr>
                <w:rFonts w:ascii="Arial" w:hAnsi="Arial" w:cs="Arial"/>
                <w:b/>
                <w:bCs/>
                <w:color w:val="000000"/>
                <w:sz w:val="20"/>
              </w:rPr>
              <w:t>s</w:t>
            </w:r>
            <w:r w:rsidRPr="000708BC">
              <w:rPr>
                <w:rFonts w:ascii="Arial" w:hAnsi="Arial" w:cs="Arial"/>
                <w:b/>
                <w:bCs/>
                <w:color w:val="000000"/>
                <w:sz w:val="20"/>
              </w:rPr>
              <w:t>-led</w:t>
            </w:r>
          </w:p>
        </w:tc>
        <w:tc>
          <w:tcPr>
            <w:tcW w:w="757" w:type="dxa"/>
            <w:tcBorders>
              <w:top w:val="nil"/>
              <w:left w:val="nil"/>
              <w:bottom w:val="single" w:sz="4" w:space="0" w:color="auto"/>
              <w:right w:val="single" w:sz="4" w:space="0" w:color="auto"/>
            </w:tcBorders>
            <w:shd w:val="clear" w:color="000000" w:fill="D9D9D9"/>
            <w:noWrap/>
            <w:vAlign w:val="center"/>
            <w:hideMark/>
          </w:tcPr>
          <w:p w14:paraId="2A212D2F" w14:textId="77777777"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BAU</w:t>
            </w:r>
          </w:p>
        </w:tc>
        <w:tc>
          <w:tcPr>
            <w:tcW w:w="1319" w:type="dxa"/>
            <w:tcBorders>
              <w:top w:val="nil"/>
              <w:left w:val="nil"/>
              <w:bottom w:val="single" w:sz="4" w:space="0" w:color="auto"/>
              <w:right w:val="single" w:sz="4" w:space="0" w:color="auto"/>
            </w:tcBorders>
            <w:shd w:val="clear" w:color="000000" w:fill="D9D9D9"/>
            <w:noWrap/>
            <w:vAlign w:val="center"/>
            <w:hideMark/>
          </w:tcPr>
          <w:p w14:paraId="55CF2749" w14:textId="10300ED8" w:rsidR="00710F69" w:rsidRPr="000708BC" w:rsidRDefault="00710F69" w:rsidP="008661AA">
            <w:pPr>
              <w:jc w:val="center"/>
              <w:rPr>
                <w:rFonts w:ascii="Arial" w:hAnsi="Arial" w:cs="Arial"/>
                <w:b/>
                <w:bCs/>
                <w:color w:val="000000"/>
                <w:sz w:val="20"/>
              </w:rPr>
            </w:pPr>
            <w:r w:rsidRPr="000708BC">
              <w:rPr>
                <w:rFonts w:ascii="Arial" w:hAnsi="Arial" w:cs="Arial"/>
                <w:b/>
                <w:bCs/>
                <w:color w:val="000000"/>
                <w:sz w:val="20"/>
              </w:rPr>
              <w:t>Renewable</w:t>
            </w:r>
            <w:r w:rsidR="002D3FD8" w:rsidRPr="000708BC">
              <w:rPr>
                <w:rFonts w:ascii="Arial" w:hAnsi="Arial" w:cs="Arial"/>
                <w:b/>
                <w:bCs/>
                <w:color w:val="000000"/>
                <w:sz w:val="20"/>
              </w:rPr>
              <w:t>s</w:t>
            </w:r>
            <w:r w:rsidRPr="000708BC">
              <w:rPr>
                <w:rFonts w:ascii="Arial" w:hAnsi="Arial" w:cs="Arial"/>
                <w:b/>
                <w:bCs/>
                <w:color w:val="000000"/>
                <w:sz w:val="20"/>
              </w:rPr>
              <w:t>-led</w:t>
            </w: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0722F2BD" w14:textId="77777777" w:rsidR="00710F69" w:rsidRPr="000708BC" w:rsidRDefault="00710F69" w:rsidP="008661AA">
            <w:pPr>
              <w:jc w:val="center"/>
              <w:rPr>
                <w:rFonts w:ascii="Arial" w:hAnsi="Arial" w:cs="Arial"/>
                <w:b/>
                <w:bCs/>
                <w:color w:val="000000"/>
                <w:sz w:val="20"/>
              </w:rPr>
            </w:pPr>
          </w:p>
        </w:tc>
      </w:tr>
      <w:tr w:rsidR="00710F69" w:rsidRPr="000708BC" w14:paraId="0F7B165C" w14:textId="77777777" w:rsidTr="008661AA">
        <w:trPr>
          <w:trHeight w:val="260"/>
          <w:jc w:val="center"/>
        </w:trPr>
        <w:tc>
          <w:tcPr>
            <w:tcW w:w="7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6FA3F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[P]Cu</w:t>
            </w:r>
          </w:p>
        </w:tc>
        <w:tc>
          <w:tcPr>
            <w:tcW w:w="1494" w:type="dxa"/>
            <w:tcBorders>
              <w:top w:val="nil"/>
              <w:left w:val="nil"/>
              <w:bottom w:val="single" w:sz="4" w:space="0" w:color="auto"/>
              <w:right w:val="single" w:sz="4" w:space="0" w:color="auto"/>
            </w:tcBorders>
            <w:shd w:val="clear" w:color="auto" w:fill="auto"/>
            <w:noWrap/>
            <w:vAlign w:val="center"/>
            <w:hideMark/>
          </w:tcPr>
          <w:p w14:paraId="60F0EF4C"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Mine</w:t>
            </w:r>
          </w:p>
        </w:tc>
        <w:tc>
          <w:tcPr>
            <w:tcW w:w="1010" w:type="dxa"/>
            <w:tcBorders>
              <w:top w:val="nil"/>
              <w:left w:val="nil"/>
              <w:bottom w:val="single" w:sz="4" w:space="0" w:color="auto"/>
              <w:right w:val="single" w:sz="4" w:space="0" w:color="auto"/>
            </w:tcBorders>
            <w:shd w:val="clear" w:color="auto" w:fill="auto"/>
            <w:noWrap/>
            <w:vAlign w:val="center"/>
            <w:hideMark/>
          </w:tcPr>
          <w:p w14:paraId="161930E5"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5F758573"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2.72</w:t>
            </w:r>
          </w:p>
        </w:tc>
        <w:tc>
          <w:tcPr>
            <w:tcW w:w="1319" w:type="dxa"/>
            <w:tcBorders>
              <w:top w:val="nil"/>
              <w:left w:val="nil"/>
              <w:bottom w:val="single" w:sz="4" w:space="0" w:color="auto"/>
              <w:right w:val="single" w:sz="4" w:space="0" w:color="auto"/>
            </w:tcBorders>
            <w:shd w:val="clear" w:color="auto" w:fill="auto"/>
            <w:noWrap/>
            <w:vAlign w:val="center"/>
            <w:hideMark/>
          </w:tcPr>
          <w:p w14:paraId="3A8D78D3"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60610DA4"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9.34</w:t>
            </w:r>
          </w:p>
        </w:tc>
        <w:tc>
          <w:tcPr>
            <w:tcW w:w="1319" w:type="dxa"/>
            <w:tcBorders>
              <w:top w:val="nil"/>
              <w:left w:val="nil"/>
              <w:bottom w:val="single" w:sz="4" w:space="0" w:color="auto"/>
              <w:right w:val="single" w:sz="4" w:space="0" w:color="auto"/>
            </w:tcBorders>
            <w:shd w:val="clear" w:color="auto" w:fill="auto"/>
            <w:noWrap/>
            <w:vAlign w:val="center"/>
            <w:hideMark/>
          </w:tcPr>
          <w:p w14:paraId="0655485D"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12.06</w:t>
            </w:r>
          </w:p>
        </w:tc>
        <w:sdt>
          <w:sdtPr>
            <w:rPr>
              <w:rFonts w:ascii="Arial" w:hAnsi="Arial" w:cs="Arial"/>
              <w:color w:val="000000"/>
              <w:sz w:val="20"/>
            </w:rPr>
            <w:tag w:val="MENDELEY_CITATION_v3_eyJjaXRhdGlvbklEIjoiTUVOREVMRVlfQ0lUQVRJT05fODhiZWRiNzItZDVkNy00ODg4LTgwNzItNmM5NGQxN2UxYWQz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oaWxlYW4gQ29wcGVyIENvbW1pc3Npb24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
            <w:id w:val="407500667"/>
            <w:placeholder>
              <w:docPart w:val="604A2DB83B112048A46AE527236A7B54"/>
            </w:placeholder>
          </w:sdtPr>
          <w:sdtEndPr/>
          <w:sdtContent>
            <w:tc>
              <w:tcPr>
                <w:tcW w:w="1286" w:type="dxa"/>
                <w:vMerge w:val="restart"/>
                <w:tcBorders>
                  <w:top w:val="nil"/>
                  <w:left w:val="single" w:sz="4" w:space="0" w:color="auto"/>
                  <w:bottom w:val="single" w:sz="4" w:space="0" w:color="000000"/>
                  <w:right w:val="single" w:sz="4" w:space="0" w:color="auto"/>
                </w:tcBorders>
                <w:shd w:val="clear" w:color="auto" w:fill="auto"/>
                <w:vAlign w:val="center"/>
                <w:hideMark/>
              </w:tcPr>
              <w:p w14:paraId="10C5CDF6" w14:textId="4D06703A" w:rsidR="00710F69" w:rsidRPr="000708BC" w:rsidRDefault="002422C9" w:rsidP="008661AA">
                <w:pPr>
                  <w:jc w:val="center"/>
                  <w:rPr>
                    <w:rFonts w:ascii="Arial" w:hAnsi="Arial" w:cs="Arial"/>
                    <w:color w:val="000000"/>
                    <w:sz w:val="20"/>
                  </w:rPr>
                </w:pPr>
                <w:r w:rsidRPr="000708BC">
                  <w:rPr>
                    <w:rFonts w:ascii="Arial" w:hAnsi="Arial" w:cs="Arial"/>
                    <w:color w:val="000000"/>
                    <w:sz w:val="20"/>
                  </w:rPr>
                  <w:t>(Cochilco, 2024c)</w:t>
                </w:r>
              </w:p>
            </w:tc>
          </w:sdtContent>
        </w:sdt>
      </w:tr>
      <w:tr w:rsidR="00710F69" w:rsidRPr="000708BC" w14:paraId="11B4A7B7" w14:textId="77777777" w:rsidTr="008661AA">
        <w:trPr>
          <w:trHeight w:val="260"/>
          <w:jc w:val="center"/>
        </w:trPr>
        <w:tc>
          <w:tcPr>
            <w:tcW w:w="732" w:type="dxa"/>
            <w:vMerge/>
            <w:tcBorders>
              <w:top w:val="nil"/>
              <w:left w:val="single" w:sz="4" w:space="0" w:color="auto"/>
              <w:bottom w:val="single" w:sz="4" w:space="0" w:color="auto"/>
              <w:right w:val="single" w:sz="4" w:space="0" w:color="auto"/>
            </w:tcBorders>
            <w:vAlign w:val="center"/>
            <w:hideMark/>
          </w:tcPr>
          <w:p w14:paraId="00157F8C" w14:textId="77777777" w:rsidR="00710F69" w:rsidRPr="000708BC" w:rsidRDefault="00710F69" w:rsidP="008661AA">
            <w:pPr>
              <w:jc w:val="center"/>
              <w:rPr>
                <w:rFonts w:ascii="Arial" w:hAnsi="Arial" w:cs="Arial"/>
                <w:color w:val="000000"/>
                <w:sz w:val="20"/>
              </w:rPr>
            </w:pPr>
          </w:p>
        </w:tc>
        <w:tc>
          <w:tcPr>
            <w:tcW w:w="1494" w:type="dxa"/>
            <w:tcBorders>
              <w:top w:val="nil"/>
              <w:left w:val="nil"/>
              <w:bottom w:val="single" w:sz="4" w:space="0" w:color="auto"/>
              <w:right w:val="single" w:sz="4" w:space="0" w:color="auto"/>
            </w:tcBorders>
            <w:shd w:val="clear" w:color="auto" w:fill="auto"/>
            <w:noWrap/>
            <w:vAlign w:val="center"/>
            <w:hideMark/>
          </w:tcPr>
          <w:p w14:paraId="53CAD335"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Concentrating Plant</w:t>
            </w:r>
          </w:p>
        </w:tc>
        <w:tc>
          <w:tcPr>
            <w:tcW w:w="1010" w:type="dxa"/>
            <w:tcBorders>
              <w:top w:val="nil"/>
              <w:left w:val="nil"/>
              <w:bottom w:val="single" w:sz="4" w:space="0" w:color="auto"/>
              <w:right w:val="single" w:sz="4" w:space="0" w:color="auto"/>
            </w:tcBorders>
            <w:shd w:val="clear" w:color="auto" w:fill="auto"/>
            <w:noWrap/>
            <w:vAlign w:val="center"/>
            <w:hideMark/>
          </w:tcPr>
          <w:p w14:paraId="27157EAF"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7EA9CC4C"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46.20</w:t>
            </w:r>
          </w:p>
        </w:tc>
        <w:tc>
          <w:tcPr>
            <w:tcW w:w="1319" w:type="dxa"/>
            <w:tcBorders>
              <w:top w:val="nil"/>
              <w:left w:val="nil"/>
              <w:bottom w:val="single" w:sz="4" w:space="0" w:color="auto"/>
              <w:right w:val="single" w:sz="4" w:space="0" w:color="auto"/>
            </w:tcBorders>
            <w:shd w:val="clear" w:color="auto" w:fill="auto"/>
            <w:noWrap/>
            <w:vAlign w:val="center"/>
            <w:hideMark/>
          </w:tcPr>
          <w:p w14:paraId="530F7FD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14A7205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28.39</w:t>
            </w:r>
          </w:p>
        </w:tc>
        <w:tc>
          <w:tcPr>
            <w:tcW w:w="1319" w:type="dxa"/>
            <w:tcBorders>
              <w:top w:val="nil"/>
              <w:left w:val="nil"/>
              <w:bottom w:val="single" w:sz="4" w:space="0" w:color="auto"/>
              <w:right w:val="single" w:sz="4" w:space="0" w:color="auto"/>
            </w:tcBorders>
            <w:shd w:val="clear" w:color="auto" w:fill="auto"/>
            <w:noWrap/>
            <w:vAlign w:val="center"/>
            <w:hideMark/>
          </w:tcPr>
          <w:p w14:paraId="6A8F570E"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74.59</w:t>
            </w:r>
          </w:p>
        </w:tc>
        <w:tc>
          <w:tcPr>
            <w:tcW w:w="1286" w:type="dxa"/>
            <w:vMerge/>
            <w:tcBorders>
              <w:top w:val="nil"/>
              <w:left w:val="single" w:sz="4" w:space="0" w:color="auto"/>
              <w:bottom w:val="single" w:sz="4" w:space="0" w:color="000000"/>
              <w:right w:val="single" w:sz="4" w:space="0" w:color="auto"/>
            </w:tcBorders>
            <w:vAlign w:val="center"/>
            <w:hideMark/>
          </w:tcPr>
          <w:p w14:paraId="180BA48E" w14:textId="77777777" w:rsidR="00710F69" w:rsidRPr="000708BC" w:rsidRDefault="00710F69" w:rsidP="008661AA">
            <w:pPr>
              <w:jc w:val="center"/>
              <w:rPr>
                <w:rFonts w:ascii="Arial" w:hAnsi="Arial" w:cs="Arial"/>
                <w:color w:val="000000"/>
                <w:sz w:val="20"/>
              </w:rPr>
            </w:pPr>
          </w:p>
        </w:tc>
      </w:tr>
      <w:tr w:rsidR="00710F69" w:rsidRPr="000708BC" w14:paraId="1F6377E7" w14:textId="77777777" w:rsidTr="008661AA">
        <w:trPr>
          <w:trHeight w:val="260"/>
          <w:jc w:val="center"/>
        </w:trPr>
        <w:tc>
          <w:tcPr>
            <w:tcW w:w="732" w:type="dxa"/>
            <w:vMerge/>
            <w:tcBorders>
              <w:top w:val="nil"/>
              <w:left w:val="single" w:sz="4" w:space="0" w:color="auto"/>
              <w:bottom w:val="single" w:sz="4" w:space="0" w:color="auto"/>
              <w:right w:val="single" w:sz="4" w:space="0" w:color="auto"/>
            </w:tcBorders>
            <w:vAlign w:val="center"/>
            <w:hideMark/>
          </w:tcPr>
          <w:p w14:paraId="5A92DFEF" w14:textId="77777777" w:rsidR="00710F69" w:rsidRPr="000708BC" w:rsidRDefault="00710F69" w:rsidP="008661AA">
            <w:pPr>
              <w:jc w:val="center"/>
              <w:rPr>
                <w:rFonts w:ascii="Arial" w:hAnsi="Arial" w:cs="Arial"/>
                <w:color w:val="000000"/>
                <w:sz w:val="20"/>
              </w:rPr>
            </w:pPr>
          </w:p>
        </w:tc>
        <w:tc>
          <w:tcPr>
            <w:tcW w:w="1494" w:type="dxa"/>
            <w:tcBorders>
              <w:top w:val="nil"/>
              <w:left w:val="nil"/>
              <w:bottom w:val="single" w:sz="4" w:space="0" w:color="auto"/>
              <w:right w:val="single" w:sz="4" w:space="0" w:color="auto"/>
            </w:tcBorders>
            <w:shd w:val="clear" w:color="auto" w:fill="auto"/>
            <w:noWrap/>
            <w:vAlign w:val="center"/>
            <w:hideMark/>
          </w:tcPr>
          <w:p w14:paraId="4FA5C677"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Smelter&amp; Refinery</w:t>
            </w:r>
          </w:p>
        </w:tc>
        <w:tc>
          <w:tcPr>
            <w:tcW w:w="1010" w:type="dxa"/>
            <w:tcBorders>
              <w:top w:val="nil"/>
              <w:left w:val="nil"/>
              <w:bottom w:val="single" w:sz="4" w:space="0" w:color="auto"/>
              <w:right w:val="single" w:sz="4" w:space="0" w:color="auto"/>
            </w:tcBorders>
            <w:shd w:val="clear" w:color="auto" w:fill="auto"/>
            <w:noWrap/>
            <w:vAlign w:val="center"/>
            <w:hideMark/>
          </w:tcPr>
          <w:p w14:paraId="25BB99A0"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2901532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2.10</w:t>
            </w:r>
          </w:p>
        </w:tc>
        <w:tc>
          <w:tcPr>
            <w:tcW w:w="1319" w:type="dxa"/>
            <w:tcBorders>
              <w:top w:val="nil"/>
              <w:left w:val="nil"/>
              <w:bottom w:val="single" w:sz="4" w:space="0" w:color="auto"/>
              <w:right w:val="single" w:sz="4" w:space="0" w:color="auto"/>
            </w:tcBorders>
            <w:shd w:val="clear" w:color="auto" w:fill="auto"/>
            <w:noWrap/>
            <w:vAlign w:val="center"/>
            <w:hideMark/>
          </w:tcPr>
          <w:p w14:paraId="32E0230A"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5BACF3A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1319" w:type="dxa"/>
            <w:tcBorders>
              <w:top w:val="nil"/>
              <w:left w:val="nil"/>
              <w:bottom w:val="single" w:sz="4" w:space="0" w:color="auto"/>
              <w:right w:val="single" w:sz="4" w:space="0" w:color="auto"/>
            </w:tcBorders>
            <w:shd w:val="clear" w:color="auto" w:fill="auto"/>
            <w:noWrap/>
            <w:vAlign w:val="center"/>
            <w:hideMark/>
          </w:tcPr>
          <w:p w14:paraId="150B156C"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2.10</w:t>
            </w:r>
          </w:p>
        </w:tc>
        <w:tc>
          <w:tcPr>
            <w:tcW w:w="1286" w:type="dxa"/>
            <w:vMerge/>
            <w:tcBorders>
              <w:top w:val="nil"/>
              <w:left w:val="single" w:sz="4" w:space="0" w:color="auto"/>
              <w:bottom w:val="single" w:sz="4" w:space="0" w:color="000000"/>
              <w:right w:val="single" w:sz="4" w:space="0" w:color="auto"/>
            </w:tcBorders>
            <w:vAlign w:val="center"/>
            <w:hideMark/>
          </w:tcPr>
          <w:p w14:paraId="654190F8" w14:textId="77777777" w:rsidR="00710F69" w:rsidRPr="000708BC" w:rsidRDefault="00710F69" w:rsidP="008661AA">
            <w:pPr>
              <w:jc w:val="center"/>
              <w:rPr>
                <w:rFonts w:ascii="Arial" w:hAnsi="Arial" w:cs="Arial"/>
                <w:color w:val="000000"/>
                <w:sz w:val="20"/>
              </w:rPr>
            </w:pPr>
          </w:p>
        </w:tc>
      </w:tr>
      <w:tr w:rsidR="00710F69" w:rsidRPr="000708BC" w14:paraId="3B899902" w14:textId="77777777" w:rsidTr="008661AA">
        <w:trPr>
          <w:trHeight w:val="260"/>
          <w:jc w:val="center"/>
        </w:trPr>
        <w:tc>
          <w:tcPr>
            <w:tcW w:w="732" w:type="dxa"/>
            <w:vMerge/>
            <w:tcBorders>
              <w:top w:val="nil"/>
              <w:left w:val="single" w:sz="4" w:space="0" w:color="auto"/>
              <w:bottom w:val="single" w:sz="4" w:space="0" w:color="auto"/>
              <w:right w:val="single" w:sz="4" w:space="0" w:color="auto"/>
            </w:tcBorders>
            <w:vAlign w:val="center"/>
            <w:hideMark/>
          </w:tcPr>
          <w:p w14:paraId="45FB8B6B" w14:textId="77777777" w:rsidR="00710F69" w:rsidRPr="000708BC" w:rsidRDefault="00710F69" w:rsidP="008661AA">
            <w:pPr>
              <w:jc w:val="center"/>
              <w:rPr>
                <w:rFonts w:ascii="Arial" w:hAnsi="Arial" w:cs="Arial"/>
                <w:color w:val="000000"/>
                <w:sz w:val="20"/>
              </w:rPr>
            </w:pPr>
          </w:p>
        </w:tc>
        <w:tc>
          <w:tcPr>
            <w:tcW w:w="1494" w:type="dxa"/>
            <w:tcBorders>
              <w:top w:val="nil"/>
              <w:left w:val="nil"/>
              <w:bottom w:val="single" w:sz="4" w:space="0" w:color="auto"/>
              <w:right w:val="single" w:sz="4" w:space="0" w:color="auto"/>
            </w:tcBorders>
            <w:shd w:val="clear" w:color="auto" w:fill="auto"/>
            <w:noWrap/>
            <w:vAlign w:val="center"/>
            <w:hideMark/>
          </w:tcPr>
          <w:p w14:paraId="5E20720B"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Other &amp; Services</w:t>
            </w:r>
          </w:p>
        </w:tc>
        <w:tc>
          <w:tcPr>
            <w:tcW w:w="1010" w:type="dxa"/>
            <w:tcBorders>
              <w:top w:val="nil"/>
              <w:left w:val="nil"/>
              <w:bottom w:val="single" w:sz="4" w:space="0" w:color="auto"/>
              <w:right w:val="single" w:sz="4" w:space="0" w:color="auto"/>
            </w:tcBorders>
            <w:shd w:val="clear" w:color="auto" w:fill="auto"/>
            <w:noWrap/>
            <w:vAlign w:val="center"/>
            <w:hideMark/>
          </w:tcPr>
          <w:p w14:paraId="1DC3F899"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0224CEF1"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5.72</w:t>
            </w:r>
          </w:p>
        </w:tc>
        <w:tc>
          <w:tcPr>
            <w:tcW w:w="1319" w:type="dxa"/>
            <w:tcBorders>
              <w:top w:val="nil"/>
              <w:left w:val="nil"/>
              <w:bottom w:val="single" w:sz="4" w:space="0" w:color="auto"/>
              <w:right w:val="single" w:sz="4" w:space="0" w:color="auto"/>
            </w:tcBorders>
            <w:shd w:val="clear" w:color="auto" w:fill="auto"/>
            <w:noWrap/>
            <w:vAlign w:val="center"/>
            <w:hideMark/>
          </w:tcPr>
          <w:p w14:paraId="5923A05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46CBB4BA"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1319" w:type="dxa"/>
            <w:tcBorders>
              <w:top w:val="nil"/>
              <w:left w:val="nil"/>
              <w:bottom w:val="single" w:sz="4" w:space="0" w:color="auto"/>
              <w:right w:val="single" w:sz="4" w:space="0" w:color="auto"/>
            </w:tcBorders>
            <w:shd w:val="clear" w:color="auto" w:fill="auto"/>
            <w:noWrap/>
            <w:vAlign w:val="center"/>
            <w:hideMark/>
          </w:tcPr>
          <w:p w14:paraId="0FE1231B"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5.72</w:t>
            </w:r>
          </w:p>
        </w:tc>
        <w:tc>
          <w:tcPr>
            <w:tcW w:w="1286" w:type="dxa"/>
            <w:vMerge/>
            <w:tcBorders>
              <w:top w:val="nil"/>
              <w:left w:val="single" w:sz="4" w:space="0" w:color="auto"/>
              <w:bottom w:val="single" w:sz="4" w:space="0" w:color="000000"/>
              <w:right w:val="single" w:sz="4" w:space="0" w:color="auto"/>
            </w:tcBorders>
            <w:vAlign w:val="center"/>
            <w:hideMark/>
          </w:tcPr>
          <w:p w14:paraId="4B0C8CFD" w14:textId="77777777" w:rsidR="00710F69" w:rsidRPr="000708BC" w:rsidRDefault="00710F69" w:rsidP="008661AA">
            <w:pPr>
              <w:jc w:val="center"/>
              <w:rPr>
                <w:rFonts w:ascii="Arial" w:hAnsi="Arial" w:cs="Arial"/>
                <w:color w:val="000000"/>
                <w:sz w:val="20"/>
              </w:rPr>
            </w:pPr>
          </w:p>
        </w:tc>
      </w:tr>
      <w:tr w:rsidR="00710F69" w:rsidRPr="000708BC" w14:paraId="376BDC88" w14:textId="77777777" w:rsidTr="008661AA">
        <w:trPr>
          <w:trHeight w:val="260"/>
          <w:jc w:val="center"/>
        </w:trPr>
        <w:tc>
          <w:tcPr>
            <w:tcW w:w="73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BFA61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[H]Cu</w:t>
            </w:r>
          </w:p>
        </w:tc>
        <w:tc>
          <w:tcPr>
            <w:tcW w:w="1494" w:type="dxa"/>
            <w:tcBorders>
              <w:top w:val="nil"/>
              <w:left w:val="nil"/>
              <w:bottom w:val="single" w:sz="4" w:space="0" w:color="auto"/>
              <w:right w:val="single" w:sz="4" w:space="0" w:color="auto"/>
            </w:tcBorders>
            <w:shd w:val="clear" w:color="auto" w:fill="auto"/>
            <w:noWrap/>
            <w:vAlign w:val="center"/>
            <w:hideMark/>
          </w:tcPr>
          <w:p w14:paraId="5B528076"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Mine</w:t>
            </w:r>
          </w:p>
        </w:tc>
        <w:tc>
          <w:tcPr>
            <w:tcW w:w="1010" w:type="dxa"/>
            <w:tcBorders>
              <w:top w:val="nil"/>
              <w:left w:val="nil"/>
              <w:bottom w:val="single" w:sz="4" w:space="0" w:color="auto"/>
              <w:right w:val="single" w:sz="4" w:space="0" w:color="auto"/>
            </w:tcBorders>
            <w:shd w:val="clear" w:color="auto" w:fill="auto"/>
            <w:noWrap/>
            <w:vAlign w:val="center"/>
            <w:hideMark/>
          </w:tcPr>
          <w:p w14:paraId="0717281B"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1E6A433E"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0.93</w:t>
            </w:r>
          </w:p>
        </w:tc>
        <w:tc>
          <w:tcPr>
            <w:tcW w:w="1319" w:type="dxa"/>
            <w:tcBorders>
              <w:top w:val="nil"/>
              <w:left w:val="nil"/>
              <w:bottom w:val="single" w:sz="4" w:space="0" w:color="auto"/>
              <w:right w:val="single" w:sz="4" w:space="0" w:color="auto"/>
            </w:tcBorders>
            <w:shd w:val="clear" w:color="auto" w:fill="auto"/>
            <w:noWrap/>
            <w:vAlign w:val="center"/>
            <w:hideMark/>
          </w:tcPr>
          <w:p w14:paraId="6DA2542C"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0784141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3.18</w:t>
            </w:r>
          </w:p>
        </w:tc>
        <w:tc>
          <w:tcPr>
            <w:tcW w:w="1319" w:type="dxa"/>
            <w:tcBorders>
              <w:top w:val="nil"/>
              <w:left w:val="nil"/>
              <w:bottom w:val="single" w:sz="4" w:space="0" w:color="auto"/>
              <w:right w:val="single" w:sz="4" w:space="0" w:color="auto"/>
            </w:tcBorders>
            <w:shd w:val="clear" w:color="auto" w:fill="auto"/>
            <w:noWrap/>
            <w:vAlign w:val="center"/>
            <w:hideMark/>
          </w:tcPr>
          <w:p w14:paraId="7103BD26"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4.11</w:t>
            </w:r>
          </w:p>
        </w:tc>
        <w:tc>
          <w:tcPr>
            <w:tcW w:w="1286" w:type="dxa"/>
            <w:vMerge/>
            <w:tcBorders>
              <w:top w:val="nil"/>
              <w:left w:val="single" w:sz="4" w:space="0" w:color="auto"/>
              <w:bottom w:val="single" w:sz="4" w:space="0" w:color="000000"/>
              <w:right w:val="single" w:sz="4" w:space="0" w:color="auto"/>
            </w:tcBorders>
            <w:vAlign w:val="center"/>
            <w:hideMark/>
          </w:tcPr>
          <w:p w14:paraId="377C523E" w14:textId="77777777" w:rsidR="00710F69" w:rsidRPr="000708BC" w:rsidRDefault="00710F69" w:rsidP="008661AA">
            <w:pPr>
              <w:jc w:val="center"/>
              <w:rPr>
                <w:rFonts w:ascii="Arial" w:hAnsi="Arial" w:cs="Arial"/>
                <w:color w:val="000000"/>
                <w:sz w:val="20"/>
              </w:rPr>
            </w:pPr>
          </w:p>
        </w:tc>
      </w:tr>
      <w:tr w:rsidR="00710F69" w:rsidRPr="000708BC" w14:paraId="3C60AE4F" w14:textId="77777777" w:rsidTr="008661AA">
        <w:trPr>
          <w:trHeight w:val="260"/>
          <w:jc w:val="center"/>
        </w:trPr>
        <w:tc>
          <w:tcPr>
            <w:tcW w:w="732" w:type="dxa"/>
            <w:vMerge/>
            <w:tcBorders>
              <w:top w:val="nil"/>
              <w:left w:val="single" w:sz="4" w:space="0" w:color="auto"/>
              <w:bottom w:val="single" w:sz="4" w:space="0" w:color="auto"/>
              <w:right w:val="single" w:sz="4" w:space="0" w:color="auto"/>
            </w:tcBorders>
            <w:vAlign w:val="center"/>
            <w:hideMark/>
          </w:tcPr>
          <w:p w14:paraId="3FF8163D" w14:textId="77777777" w:rsidR="00710F69" w:rsidRPr="000708BC" w:rsidRDefault="00710F69" w:rsidP="008661AA">
            <w:pPr>
              <w:jc w:val="center"/>
              <w:rPr>
                <w:rFonts w:ascii="Arial" w:hAnsi="Arial" w:cs="Arial"/>
                <w:color w:val="000000"/>
                <w:sz w:val="20"/>
              </w:rPr>
            </w:pPr>
          </w:p>
        </w:tc>
        <w:tc>
          <w:tcPr>
            <w:tcW w:w="1494" w:type="dxa"/>
            <w:tcBorders>
              <w:top w:val="nil"/>
              <w:left w:val="nil"/>
              <w:bottom w:val="single" w:sz="4" w:space="0" w:color="auto"/>
              <w:right w:val="single" w:sz="4" w:space="0" w:color="auto"/>
            </w:tcBorders>
            <w:shd w:val="clear" w:color="auto" w:fill="auto"/>
            <w:noWrap/>
            <w:vAlign w:val="center"/>
            <w:hideMark/>
          </w:tcPr>
          <w:p w14:paraId="2B79EAEB"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Lx/Sx/Ew</w:t>
            </w:r>
          </w:p>
        </w:tc>
        <w:tc>
          <w:tcPr>
            <w:tcW w:w="1010" w:type="dxa"/>
            <w:tcBorders>
              <w:top w:val="nil"/>
              <w:left w:val="nil"/>
              <w:bottom w:val="single" w:sz="4" w:space="0" w:color="auto"/>
              <w:right w:val="single" w:sz="4" w:space="0" w:color="auto"/>
            </w:tcBorders>
            <w:shd w:val="clear" w:color="auto" w:fill="auto"/>
            <w:noWrap/>
            <w:vAlign w:val="center"/>
            <w:hideMark/>
          </w:tcPr>
          <w:p w14:paraId="7F35FB28"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54F119CD"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8.40</w:t>
            </w:r>
          </w:p>
        </w:tc>
        <w:tc>
          <w:tcPr>
            <w:tcW w:w="1319" w:type="dxa"/>
            <w:tcBorders>
              <w:top w:val="nil"/>
              <w:left w:val="nil"/>
              <w:bottom w:val="single" w:sz="4" w:space="0" w:color="auto"/>
              <w:right w:val="single" w:sz="4" w:space="0" w:color="auto"/>
            </w:tcBorders>
            <w:shd w:val="clear" w:color="auto" w:fill="auto"/>
            <w:noWrap/>
            <w:vAlign w:val="center"/>
            <w:hideMark/>
          </w:tcPr>
          <w:p w14:paraId="4077B972"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4C121A7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1319" w:type="dxa"/>
            <w:tcBorders>
              <w:top w:val="nil"/>
              <w:left w:val="nil"/>
              <w:bottom w:val="single" w:sz="4" w:space="0" w:color="auto"/>
              <w:right w:val="single" w:sz="4" w:space="0" w:color="auto"/>
            </w:tcBorders>
            <w:shd w:val="clear" w:color="auto" w:fill="auto"/>
            <w:noWrap/>
            <w:vAlign w:val="center"/>
            <w:hideMark/>
          </w:tcPr>
          <w:p w14:paraId="6D8D1439"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8.40</w:t>
            </w:r>
          </w:p>
        </w:tc>
        <w:tc>
          <w:tcPr>
            <w:tcW w:w="1286" w:type="dxa"/>
            <w:vMerge/>
            <w:tcBorders>
              <w:top w:val="nil"/>
              <w:left w:val="single" w:sz="4" w:space="0" w:color="auto"/>
              <w:bottom w:val="single" w:sz="4" w:space="0" w:color="000000"/>
              <w:right w:val="single" w:sz="4" w:space="0" w:color="auto"/>
            </w:tcBorders>
            <w:vAlign w:val="center"/>
            <w:hideMark/>
          </w:tcPr>
          <w:p w14:paraId="584DD13B" w14:textId="77777777" w:rsidR="00710F69" w:rsidRPr="000708BC" w:rsidRDefault="00710F69" w:rsidP="008661AA">
            <w:pPr>
              <w:jc w:val="center"/>
              <w:rPr>
                <w:rFonts w:ascii="Arial" w:hAnsi="Arial" w:cs="Arial"/>
                <w:color w:val="000000"/>
                <w:sz w:val="20"/>
              </w:rPr>
            </w:pPr>
          </w:p>
        </w:tc>
      </w:tr>
      <w:tr w:rsidR="00710F69" w:rsidRPr="000708BC" w14:paraId="1F27D1D6" w14:textId="77777777" w:rsidTr="008661AA">
        <w:trPr>
          <w:trHeight w:val="260"/>
          <w:jc w:val="center"/>
        </w:trPr>
        <w:tc>
          <w:tcPr>
            <w:tcW w:w="732" w:type="dxa"/>
            <w:vMerge/>
            <w:tcBorders>
              <w:top w:val="nil"/>
              <w:left w:val="single" w:sz="4" w:space="0" w:color="auto"/>
              <w:bottom w:val="single" w:sz="4" w:space="0" w:color="auto"/>
              <w:right w:val="single" w:sz="4" w:space="0" w:color="auto"/>
            </w:tcBorders>
            <w:vAlign w:val="center"/>
            <w:hideMark/>
          </w:tcPr>
          <w:p w14:paraId="640BD96D" w14:textId="77777777" w:rsidR="00710F69" w:rsidRPr="000708BC" w:rsidRDefault="00710F69" w:rsidP="008661AA">
            <w:pPr>
              <w:jc w:val="center"/>
              <w:rPr>
                <w:rFonts w:ascii="Arial" w:hAnsi="Arial" w:cs="Arial"/>
                <w:color w:val="000000"/>
                <w:sz w:val="20"/>
              </w:rPr>
            </w:pPr>
          </w:p>
        </w:tc>
        <w:tc>
          <w:tcPr>
            <w:tcW w:w="1494" w:type="dxa"/>
            <w:tcBorders>
              <w:top w:val="nil"/>
              <w:left w:val="nil"/>
              <w:bottom w:val="single" w:sz="4" w:space="0" w:color="auto"/>
              <w:right w:val="single" w:sz="4" w:space="0" w:color="auto"/>
            </w:tcBorders>
            <w:shd w:val="clear" w:color="auto" w:fill="auto"/>
            <w:noWrap/>
            <w:vAlign w:val="center"/>
            <w:hideMark/>
          </w:tcPr>
          <w:p w14:paraId="35A10470"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Other &amp; Services</w:t>
            </w:r>
          </w:p>
        </w:tc>
        <w:tc>
          <w:tcPr>
            <w:tcW w:w="1010" w:type="dxa"/>
            <w:tcBorders>
              <w:top w:val="nil"/>
              <w:left w:val="nil"/>
              <w:bottom w:val="single" w:sz="4" w:space="0" w:color="auto"/>
              <w:right w:val="single" w:sz="4" w:space="0" w:color="auto"/>
            </w:tcBorders>
            <w:shd w:val="clear" w:color="auto" w:fill="auto"/>
            <w:noWrap/>
            <w:vAlign w:val="center"/>
            <w:hideMark/>
          </w:tcPr>
          <w:p w14:paraId="7D340E5B" w14:textId="77777777" w:rsidR="00710F69" w:rsidRPr="000708BC" w:rsidRDefault="00710F69" w:rsidP="008661AA">
            <w:pPr>
              <w:rPr>
                <w:rFonts w:ascii="Arial" w:hAnsi="Arial" w:cs="Arial"/>
                <w:color w:val="000000"/>
                <w:sz w:val="20"/>
              </w:rPr>
            </w:pPr>
            <w:r w:rsidRPr="000708BC">
              <w:rPr>
                <w:rFonts w:ascii="Arial" w:hAnsi="Arial" w:cs="Arial"/>
                <w:color w:val="000000"/>
                <w:sz w:val="20"/>
              </w:rPr>
              <w:t>m</w:t>
            </w:r>
            <w:r w:rsidRPr="000708BC">
              <w:rPr>
                <w:rFonts w:ascii="Arial" w:hAnsi="Arial" w:cs="Arial"/>
                <w:color w:val="000000"/>
                <w:sz w:val="20"/>
                <w:vertAlign w:val="superscript"/>
              </w:rPr>
              <w:t>3</w:t>
            </w:r>
            <w:r w:rsidRPr="000708BC">
              <w:rPr>
                <w:rFonts w:ascii="Arial" w:hAnsi="Arial" w:cs="Arial"/>
                <w:color w:val="000000"/>
                <w:sz w:val="20"/>
              </w:rPr>
              <w:t>/t Cu</w:t>
            </w:r>
          </w:p>
        </w:tc>
        <w:tc>
          <w:tcPr>
            <w:tcW w:w="713" w:type="dxa"/>
            <w:tcBorders>
              <w:top w:val="nil"/>
              <w:left w:val="nil"/>
              <w:bottom w:val="single" w:sz="4" w:space="0" w:color="auto"/>
              <w:right w:val="single" w:sz="4" w:space="0" w:color="auto"/>
            </w:tcBorders>
            <w:shd w:val="clear" w:color="auto" w:fill="auto"/>
            <w:noWrap/>
            <w:vAlign w:val="center"/>
            <w:hideMark/>
          </w:tcPr>
          <w:p w14:paraId="5117B8D0"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5.72</w:t>
            </w:r>
          </w:p>
        </w:tc>
        <w:tc>
          <w:tcPr>
            <w:tcW w:w="1319" w:type="dxa"/>
            <w:tcBorders>
              <w:top w:val="nil"/>
              <w:left w:val="nil"/>
              <w:bottom w:val="single" w:sz="4" w:space="0" w:color="auto"/>
              <w:right w:val="single" w:sz="4" w:space="0" w:color="auto"/>
            </w:tcBorders>
            <w:shd w:val="clear" w:color="auto" w:fill="auto"/>
            <w:noWrap/>
            <w:vAlign w:val="center"/>
            <w:hideMark/>
          </w:tcPr>
          <w:p w14:paraId="1619D1DE"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757" w:type="dxa"/>
            <w:tcBorders>
              <w:top w:val="nil"/>
              <w:left w:val="nil"/>
              <w:bottom w:val="single" w:sz="4" w:space="0" w:color="auto"/>
              <w:right w:val="single" w:sz="4" w:space="0" w:color="auto"/>
            </w:tcBorders>
            <w:shd w:val="clear" w:color="auto" w:fill="auto"/>
            <w:noWrap/>
            <w:vAlign w:val="center"/>
            <w:hideMark/>
          </w:tcPr>
          <w:p w14:paraId="7794DE01"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0.00</w:t>
            </w:r>
          </w:p>
        </w:tc>
        <w:tc>
          <w:tcPr>
            <w:tcW w:w="1319" w:type="dxa"/>
            <w:tcBorders>
              <w:top w:val="nil"/>
              <w:left w:val="nil"/>
              <w:bottom w:val="single" w:sz="4" w:space="0" w:color="auto"/>
              <w:right w:val="single" w:sz="4" w:space="0" w:color="auto"/>
            </w:tcBorders>
            <w:shd w:val="clear" w:color="auto" w:fill="auto"/>
            <w:noWrap/>
            <w:vAlign w:val="center"/>
            <w:hideMark/>
          </w:tcPr>
          <w:p w14:paraId="2515BA96" w14:textId="77777777" w:rsidR="00710F69" w:rsidRPr="000708BC" w:rsidRDefault="00710F69" w:rsidP="008661AA">
            <w:pPr>
              <w:jc w:val="center"/>
              <w:rPr>
                <w:rFonts w:ascii="Arial" w:hAnsi="Arial" w:cs="Arial"/>
                <w:color w:val="000000"/>
                <w:sz w:val="20"/>
              </w:rPr>
            </w:pPr>
            <w:r w:rsidRPr="000708BC">
              <w:rPr>
                <w:rFonts w:ascii="Arial" w:hAnsi="Arial" w:cs="Arial"/>
                <w:color w:val="000000"/>
                <w:sz w:val="20"/>
              </w:rPr>
              <w:t>5.72</w:t>
            </w:r>
          </w:p>
        </w:tc>
        <w:tc>
          <w:tcPr>
            <w:tcW w:w="1286" w:type="dxa"/>
            <w:vMerge/>
            <w:tcBorders>
              <w:top w:val="nil"/>
              <w:left w:val="single" w:sz="4" w:space="0" w:color="auto"/>
              <w:bottom w:val="single" w:sz="4" w:space="0" w:color="000000"/>
              <w:right w:val="single" w:sz="4" w:space="0" w:color="auto"/>
            </w:tcBorders>
            <w:vAlign w:val="center"/>
            <w:hideMark/>
          </w:tcPr>
          <w:p w14:paraId="4DA3C776" w14:textId="77777777" w:rsidR="00710F69" w:rsidRPr="000708BC" w:rsidRDefault="00710F69" w:rsidP="008661AA">
            <w:pPr>
              <w:jc w:val="center"/>
              <w:rPr>
                <w:rFonts w:ascii="Arial" w:hAnsi="Arial" w:cs="Arial"/>
                <w:color w:val="000000"/>
                <w:sz w:val="20"/>
              </w:rPr>
            </w:pPr>
          </w:p>
        </w:tc>
      </w:tr>
    </w:tbl>
    <w:p w14:paraId="55A9BBA8" w14:textId="77777777" w:rsidR="00710F69" w:rsidRPr="000708BC" w:rsidRDefault="00710F69" w:rsidP="00710F69">
      <w:pPr>
        <w:pStyle w:val="JIEreferencelist"/>
        <w:ind w:left="0" w:firstLine="0"/>
        <w:rPr>
          <w:rFonts w:ascii="Arial" w:hAnsi="Arial" w:cs="Arial"/>
          <w:iCs/>
          <w:sz w:val="18"/>
          <w:szCs w:val="18"/>
        </w:rPr>
      </w:pPr>
      <w:r w:rsidRPr="000708BC">
        <w:rPr>
          <w:rFonts w:ascii="Arial" w:hAnsi="Arial" w:cs="Arial"/>
          <w:iCs/>
          <w:sz w:val="18"/>
          <w:szCs w:val="18"/>
        </w:rPr>
        <w:t>Note: BAU = Business-as-usual, [P]Cu = Pyrometallurgy line, [H]Cu = Hydrometallurgy line, Lx/</w:t>
      </w:r>
      <w:proofErr w:type="spellStart"/>
      <w:r w:rsidRPr="000708BC">
        <w:rPr>
          <w:rFonts w:ascii="Arial" w:hAnsi="Arial" w:cs="Arial"/>
          <w:iCs/>
          <w:sz w:val="18"/>
          <w:szCs w:val="18"/>
        </w:rPr>
        <w:t>Sx</w:t>
      </w:r>
      <w:proofErr w:type="spellEnd"/>
      <w:r w:rsidRPr="000708BC">
        <w:rPr>
          <w:rFonts w:ascii="Arial" w:hAnsi="Arial" w:cs="Arial"/>
          <w:iCs/>
          <w:sz w:val="18"/>
          <w:szCs w:val="18"/>
        </w:rPr>
        <w:t>/</w:t>
      </w:r>
      <w:proofErr w:type="spellStart"/>
      <w:r w:rsidRPr="000708BC">
        <w:rPr>
          <w:rFonts w:ascii="Arial" w:hAnsi="Arial" w:cs="Arial"/>
          <w:iCs/>
          <w:sz w:val="18"/>
          <w:szCs w:val="18"/>
        </w:rPr>
        <w:t>Ew</w:t>
      </w:r>
      <w:proofErr w:type="spellEnd"/>
      <w:r w:rsidRPr="000708BC">
        <w:rPr>
          <w:rFonts w:ascii="Arial" w:hAnsi="Arial" w:cs="Arial"/>
          <w:iCs/>
          <w:sz w:val="18"/>
          <w:szCs w:val="18"/>
        </w:rPr>
        <w:t xml:space="preserve"> = Leaching/ Solvent Extraction/ Electro-winning.</w:t>
      </w:r>
    </w:p>
    <w:p w14:paraId="6F8D70DD" w14:textId="77777777" w:rsidR="00D42845" w:rsidRPr="000708BC" w:rsidRDefault="00D42845" w:rsidP="00343799">
      <w:pPr>
        <w:pStyle w:val="JIEreferencelist"/>
        <w:ind w:left="0" w:firstLine="0"/>
        <w:jc w:val="both"/>
        <w:rPr>
          <w:rFonts w:ascii="Arial" w:hAnsi="Arial" w:cs="Arial"/>
          <w:iCs/>
          <w:sz w:val="22"/>
          <w:szCs w:val="22"/>
        </w:rPr>
      </w:pPr>
    </w:p>
    <w:p w14:paraId="7F5F620B" w14:textId="22FBCCD6" w:rsidR="006D748F" w:rsidRPr="000708BC" w:rsidRDefault="006D748F" w:rsidP="00343799">
      <w:pPr>
        <w:pStyle w:val="JIEreferencelist"/>
        <w:ind w:left="0" w:firstLine="0"/>
        <w:jc w:val="both"/>
        <w:rPr>
          <w:rFonts w:ascii="Arial" w:hAnsi="Arial" w:cs="Arial"/>
          <w:iCs/>
          <w:sz w:val="22"/>
          <w:szCs w:val="22"/>
        </w:rPr>
      </w:pPr>
      <w:r w:rsidRPr="000708BC">
        <w:rPr>
          <w:rFonts w:ascii="Arial" w:hAnsi="Arial" w:cs="Arial"/>
          <w:iCs/>
          <w:sz w:val="22"/>
          <w:szCs w:val="22"/>
        </w:rPr>
        <w:t xml:space="preserve">For copper production, </w:t>
      </w:r>
      <w:r w:rsidR="00710F69" w:rsidRPr="000708BC">
        <w:rPr>
          <w:rFonts w:ascii="Arial" w:hAnsi="Arial" w:cs="Arial"/>
          <w:iCs/>
          <w:sz w:val="22"/>
          <w:szCs w:val="22"/>
        </w:rPr>
        <w:t xml:space="preserve">material </w:t>
      </w:r>
      <w:r w:rsidRPr="000708BC">
        <w:rPr>
          <w:rFonts w:ascii="Arial" w:hAnsi="Arial" w:cs="Arial"/>
          <w:iCs/>
          <w:sz w:val="22"/>
          <w:szCs w:val="22"/>
        </w:rPr>
        <w:t>datasets from Ecoinvent were adapted to reflect Chile’s context. For example, the hydrometallurgical line was modified to consider sulfuric acid heap leaching and was configured to share the same mining infrastructure as the pyrometallurgical line. These adaptations ensured a consistent representation of site-level operations across both production pathways.</w:t>
      </w:r>
    </w:p>
    <w:p w14:paraId="2281E29D" w14:textId="77777777" w:rsidR="006A4426" w:rsidRPr="000708BC" w:rsidRDefault="006A4426" w:rsidP="00343799">
      <w:pPr>
        <w:pStyle w:val="JIEreferencelist"/>
        <w:ind w:left="0" w:firstLine="0"/>
        <w:jc w:val="both"/>
        <w:rPr>
          <w:rFonts w:ascii="Arial" w:hAnsi="Arial" w:cs="Arial"/>
          <w:iCs/>
          <w:sz w:val="22"/>
          <w:szCs w:val="22"/>
        </w:rPr>
      </w:pPr>
    </w:p>
    <w:p w14:paraId="27E6CF17" w14:textId="3A780C3F" w:rsidR="006D748F" w:rsidRPr="000708BC" w:rsidRDefault="006A4426" w:rsidP="0043118B">
      <w:pPr>
        <w:pStyle w:val="JIEreferencelist"/>
        <w:numPr>
          <w:ilvl w:val="0"/>
          <w:numId w:val="24"/>
        </w:numPr>
        <w:jc w:val="both"/>
        <w:rPr>
          <w:rFonts w:ascii="Arial" w:hAnsi="Arial" w:cs="Arial"/>
          <w:iCs/>
          <w:sz w:val="22"/>
          <w:szCs w:val="22"/>
        </w:rPr>
      </w:pPr>
      <w:r w:rsidRPr="000708BC">
        <w:rPr>
          <w:rFonts w:ascii="Arial" w:hAnsi="Arial" w:cs="Arial"/>
          <w:iCs/>
          <w:sz w:val="22"/>
          <w:szCs w:val="22"/>
        </w:rPr>
        <w:t>Copper concentrate, sulfide ore {CL}| copper mine operation and beneficiation, sulfide ore | Cut-off, U</w:t>
      </w:r>
    </w:p>
    <w:p w14:paraId="1D296E2C" w14:textId="3172BE9E" w:rsidR="00E24CC1" w:rsidRPr="000708BC" w:rsidRDefault="00E24CC1" w:rsidP="0043118B">
      <w:pPr>
        <w:pStyle w:val="JIEreferencelist"/>
        <w:numPr>
          <w:ilvl w:val="0"/>
          <w:numId w:val="24"/>
        </w:numPr>
        <w:jc w:val="both"/>
        <w:rPr>
          <w:rFonts w:ascii="Arial" w:hAnsi="Arial" w:cs="Arial"/>
          <w:iCs/>
          <w:sz w:val="22"/>
          <w:szCs w:val="22"/>
        </w:rPr>
      </w:pPr>
      <w:r w:rsidRPr="000708BC">
        <w:rPr>
          <w:rFonts w:ascii="Arial" w:hAnsi="Arial" w:cs="Arial"/>
          <w:iCs/>
          <w:sz w:val="22"/>
          <w:szCs w:val="22"/>
        </w:rPr>
        <w:t>Copper, anode {CL}| smelting of copper concentrate, sulfide ore | Cut-off, U</w:t>
      </w:r>
    </w:p>
    <w:p w14:paraId="13AA9D1B" w14:textId="58804EA3" w:rsidR="00BF5AA2" w:rsidRPr="000708BC" w:rsidRDefault="00BF5AA2" w:rsidP="0043118B">
      <w:pPr>
        <w:pStyle w:val="JIEreferencelist"/>
        <w:numPr>
          <w:ilvl w:val="0"/>
          <w:numId w:val="24"/>
        </w:numPr>
        <w:jc w:val="both"/>
        <w:rPr>
          <w:rFonts w:ascii="Arial" w:hAnsi="Arial" w:cs="Arial"/>
          <w:iCs/>
          <w:sz w:val="22"/>
          <w:szCs w:val="22"/>
        </w:rPr>
      </w:pPr>
      <w:r w:rsidRPr="000708BC">
        <w:rPr>
          <w:rFonts w:ascii="Arial" w:hAnsi="Arial" w:cs="Arial"/>
          <w:iCs/>
          <w:sz w:val="22"/>
          <w:szCs w:val="22"/>
        </w:rPr>
        <w:t>Copper, cathode {GLO}| electrorefining of copper, anode | Cut-off, U</w:t>
      </w:r>
    </w:p>
    <w:p w14:paraId="0C56080D" w14:textId="24AB4349" w:rsidR="0043118B" w:rsidRPr="000708BC" w:rsidRDefault="0043118B" w:rsidP="0043118B">
      <w:pPr>
        <w:pStyle w:val="JIEreferencelist"/>
        <w:numPr>
          <w:ilvl w:val="0"/>
          <w:numId w:val="24"/>
        </w:numPr>
        <w:jc w:val="both"/>
        <w:rPr>
          <w:rFonts w:ascii="Arial" w:hAnsi="Arial" w:cs="Arial"/>
          <w:iCs/>
          <w:sz w:val="22"/>
          <w:szCs w:val="22"/>
        </w:rPr>
      </w:pPr>
      <w:r w:rsidRPr="000708BC">
        <w:rPr>
          <w:rFonts w:ascii="Arial" w:hAnsi="Arial" w:cs="Arial"/>
          <w:iCs/>
          <w:sz w:val="22"/>
          <w:szCs w:val="22"/>
        </w:rPr>
        <w:t xml:space="preserve">Copper, cathode {GLO}| copper production, cathode, solvent </w:t>
      </w:r>
      <w:proofErr w:type="gramStart"/>
      <w:r w:rsidRPr="000708BC">
        <w:rPr>
          <w:rFonts w:ascii="Arial" w:hAnsi="Arial" w:cs="Arial"/>
          <w:iCs/>
          <w:sz w:val="22"/>
          <w:szCs w:val="22"/>
        </w:rPr>
        <w:t>extraction</w:t>
      </w:r>
      <w:proofErr w:type="gramEnd"/>
      <w:r w:rsidRPr="000708BC">
        <w:rPr>
          <w:rFonts w:ascii="Arial" w:hAnsi="Arial" w:cs="Arial"/>
          <w:iCs/>
          <w:sz w:val="22"/>
          <w:szCs w:val="22"/>
        </w:rPr>
        <w:t xml:space="preserve"> and electrowinning process | Cut-off, U</w:t>
      </w:r>
    </w:p>
    <w:p w14:paraId="7485C08A" w14:textId="77777777" w:rsidR="00E270BB" w:rsidRPr="000708BC" w:rsidRDefault="00E270BB">
      <w:pPr>
        <w:pStyle w:val="JIEreferencelist"/>
        <w:ind w:left="0" w:firstLine="0"/>
        <w:rPr>
          <w:rFonts w:ascii="Arial" w:hAnsi="Arial" w:cs="Arial"/>
          <w:iCs/>
          <w:sz w:val="22"/>
          <w:szCs w:val="22"/>
        </w:rPr>
      </w:pPr>
    </w:p>
    <w:p w14:paraId="4A385DBD" w14:textId="228BC380" w:rsidR="00FB0286" w:rsidRPr="000708BC" w:rsidRDefault="003739E5">
      <w:pPr>
        <w:pStyle w:val="JIEreferencelist"/>
        <w:ind w:left="0" w:firstLine="0"/>
        <w:rPr>
          <w:rFonts w:ascii="Arial" w:hAnsi="Arial" w:cs="Arial"/>
          <w:iCs/>
          <w:sz w:val="22"/>
          <w:szCs w:val="22"/>
        </w:rPr>
      </w:pPr>
      <w:r w:rsidRPr="000708BC">
        <w:rPr>
          <w:rFonts w:ascii="Arial" w:hAnsi="Arial" w:cs="Arial"/>
          <w:iCs/>
          <w:sz w:val="22"/>
          <w:szCs w:val="22"/>
        </w:rPr>
        <w:t xml:space="preserve">Detailed information on the datasets and life cycle inventories is provided in Supporting Information </w:t>
      </w:r>
      <w:r w:rsidR="002422C9" w:rsidRPr="000708BC">
        <w:rPr>
          <w:rFonts w:ascii="Arial" w:hAnsi="Arial" w:cs="Arial"/>
          <w:iCs/>
          <w:sz w:val="22"/>
          <w:szCs w:val="22"/>
        </w:rPr>
        <w:t>S</w:t>
      </w:r>
      <w:r w:rsidRPr="000708BC">
        <w:rPr>
          <w:rFonts w:ascii="Arial" w:hAnsi="Arial" w:cs="Arial"/>
          <w:iCs/>
          <w:sz w:val="22"/>
          <w:szCs w:val="22"/>
        </w:rPr>
        <w:t>4.</w:t>
      </w:r>
    </w:p>
    <w:p w14:paraId="35A1AEF4" w14:textId="16C1A3B5" w:rsidR="003739E5" w:rsidRPr="000708BC" w:rsidRDefault="003739E5">
      <w:pPr>
        <w:rPr>
          <w:rFonts w:ascii="Arial" w:eastAsia="SimSun" w:hAnsi="Arial" w:cs="Arial"/>
          <w:iCs/>
          <w:sz w:val="22"/>
          <w:szCs w:val="22"/>
          <w:lang w:val="en-US" w:eastAsia="en-US"/>
        </w:rPr>
      </w:pPr>
      <w:r w:rsidRPr="000708BC">
        <w:rPr>
          <w:rFonts w:ascii="Arial" w:hAnsi="Arial" w:cs="Arial"/>
          <w:iCs/>
          <w:sz w:val="22"/>
          <w:szCs w:val="22"/>
        </w:rPr>
        <w:br w:type="page"/>
      </w:r>
    </w:p>
    <w:p w14:paraId="6F70F798" w14:textId="77777777" w:rsidR="00FB0286" w:rsidRPr="000708BC" w:rsidRDefault="004217FD">
      <w:pPr>
        <w:pStyle w:val="JIEreferencelist"/>
        <w:ind w:left="0" w:firstLine="0"/>
        <w:rPr>
          <w:rFonts w:ascii="Arial" w:hAnsi="Arial" w:cs="Arial"/>
          <w:iCs/>
          <w:sz w:val="22"/>
          <w:szCs w:val="22"/>
        </w:rPr>
      </w:pPr>
      <w:r w:rsidRPr="000708BC">
        <w:rPr>
          <w:rFonts w:ascii="Arial" w:hAnsi="Arial" w:cs="Arial"/>
          <w:iCs/>
          <w:sz w:val="22"/>
          <w:szCs w:val="22"/>
        </w:rPr>
        <w:lastRenderedPageBreak/>
        <w:t>References</w:t>
      </w:r>
    </w:p>
    <w:p w14:paraId="3F19E749" w14:textId="452CD155" w:rsidR="00D45447" w:rsidRPr="000708BC" w:rsidRDefault="00D45447">
      <w:pPr>
        <w:pStyle w:val="JIEreferencelist"/>
        <w:ind w:left="0" w:firstLine="0"/>
        <w:rPr>
          <w:rFonts w:ascii="Arial" w:hAnsi="Arial" w:cs="Arial"/>
          <w:iCs/>
          <w:sz w:val="22"/>
          <w:szCs w:val="22"/>
        </w:rPr>
      </w:pPr>
    </w:p>
    <w:sdt>
      <w:sdtPr>
        <w:rPr>
          <w:rFonts w:ascii="Arial" w:eastAsia="SimSun" w:hAnsi="Arial" w:cs="Arial"/>
          <w:iCs/>
          <w:color w:val="000000"/>
          <w:sz w:val="22"/>
          <w:szCs w:val="22"/>
          <w:lang w:val="en-US" w:eastAsia="en-US"/>
        </w:rPr>
        <w:tag w:val="MENDELEY_BIBLIOGRAPHY"/>
        <w:id w:val="1245997864"/>
        <w:placeholder>
          <w:docPart w:val="DefaultPlaceholder_-1854013440"/>
        </w:placeholder>
      </w:sdtPr>
      <w:sdtEndPr/>
      <w:sdtContent>
        <w:p w14:paraId="3BD48C7C" w14:textId="77777777" w:rsidR="00E149E7" w:rsidRPr="000708BC" w:rsidRDefault="00E149E7">
          <w:pPr>
            <w:autoSpaceDE w:val="0"/>
            <w:autoSpaceDN w:val="0"/>
            <w:ind w:hanging="480"/>
            <w:divId w:val="680931419"/>
            <w:rPr>
              <w:rFonts w:ascii="Arial" w:hAnsi="Arial" w:cs="Arial"/>
              <w:color w:val="000000"/>
              <w:sz w:val="22"/>
              <w:szCs w:val="22"/>
            </w:rPr>
          </w:pPr>
          <w:r w:rsidRPr="000708BC">
            <w:rPr>
              <w:rFonts w:ascii="Arial" w:hAnsi="Arial" w:cs="Arial"/>
              <w:color w:val="000000"/>
              <w:sz w:val="22"/>
              <w:szCs w:val="22"/>
            </w:rPr>
            <w:t xml:space="preserve">Akhtar, M. S., Dickson, R., &amp; Liu, J. J. (2021). Life Cycle Assessment of Inland Green Hydrogen Supply Chain Networks with Current Challenges and Future Prospects. </w:t>
          </w:r>
          <w:r w:rsidRPr="000708BC">
            <w:rPr>
              <w:rFonts w:ascii="Arial" w:hAnsi="Arial" w:cs="Arial"/>
              <w:i/>
              <w:iCs/>
              <w:color w:val="000000"/>
              <w:sz w:val="22"/>
              <w:szCs w:val="22"/>
            </w:rPr>
            <w:t>ACS Sustainable Chemistry and Engineering</w:t>
          </w:r>
          <w:r w:rsidRPr="000708BC">
            <w:rPr>
              <w:rFonts w:ascii="Arial" w:hAnsi="Arial" w:cs="Arial"/>
              <w:color w:val="000000"/>
              <w:sz w:val="22"/>
              <w:szCs w:val="22"/>
            </w:rPr>
            <w:t xml:space="preserve">, </w:t>
          </w:r>
          <w:r w:rsidRPr="000708BC">
            <w:rPr>
              <w:rFonts w:ascii="Arial" w:hAnsi="Arial" w:cs="Arial"/>
              <w:i/>
              <w:iCs/>
              <w:color w:val="000000"/>
              <w:sz w:val="22"/>
              <w:szCs w:val="22"/>
            </w:rPr>
            <w:t>9</w:t>
          </w:r>
          <w:r w:rsidRPr="000708BC">
            <w:rPr>
              <w:rFonts w:ascii="Arial" w:hAnsi="Arial" w:cs="Arial"/>
              <w:color w:val="000000"/>
              <w:sz w:val="22"/>
              <w:szCs w:val="22"/>
            </w:rPr>
            <w:t>(50), 17152–17163. https://doi.org/10.1021/acssuschemeng.1c06769</w:t>
          </w:r>
        </w:p>
        <w:p w14:paraId="641E52FA" w14:textId="77777777" w:rsidR="00E149E7" w:rsidRPr="000708BC" w:rsidRDefault="00E149E7">
          <w:pPr>
            <w:autoSpaceDE w:val="0"/>
            <w:autoSpaceDN w:val="0"/>
            <w:ind w:hanging="480"/>
            <w:divId w:val="658921394"/>
            <w:rPr>
              <w:rFonts w:ascii="Arial" w:hAnsi="Arial" w:cs="Arial"/>
              <w:color w:val="000000"/>
              <w:sz w:val="22"/>
              <w:szCs w:val="22"/>
            </w:rPr>
          </w:pPr>
          <w:r w:rsidRPr="000708BC">
            <w:rPr>
              <w:rFonts w:ascii="Arial" w:hAnsi="Arial" w:cs="Arial"/>
              <w:color w:val="000000"/>
              <w:sz w:val="22"/>
              <w:szCs w:val="22"/>
            </w:rPr>
            <w:t xml:space="preserve">Ardente, F., &amp; Cellura, M. (2012). Economic Allocation in Life Cycle Assessment: The State of the Art and Discussion of Examples. </w:t>
          </w:r>
          <w:r w:rsidRPr="000708BC">
            <w:rPr>
              <w:rFonts w:ascii="Arial" w:hAnsi="Arial" w:cs="Arial"/>
              <w:i/>
              <w:iCs/>
              <w:color w:val="000000"/>
              <w:sz w:val="22"/>
              <w:szCs w:val="22"/>
            </w:rPr>
            <w:t>Journal of Industrial Ecology</w:t>
          </w:r>
          <w:r w:rsidRPr="000708BC">
            <w:rPr>
              <w:rFonts w:ascii="Arial" w:hAnsi="Arial" w:cs="Arial"/>
              <w:color w:val="000000"/>
              <w:sz w:val="22"/>
              <w:szCs w:val="22"/>
            </w:rPr>
            <w:t xml:space="preserve">, </w:t>
          </w:r>
          <w:r w:rsidRPr="000708BC">
            <w:rPr>
              <w:rFonts w:ascii="Arial" w:hAnsi="Arial" w:cs="Arial"/>
              <w:i/>
              <w:iCs/>
              <w:color w:val="000000"/>
              <w:sz w:val="22"/>
              <w:szCs w:val="22"/>
            </w:rPr>
            <w:t>16</w:t>
          </w:r>
          <w:r w:rsidRPr="000708BC">
            <w:rPr>
              <w:rFonts w:ascii="Arial" w:hAnsi="Arial" w:cs="Arial"/>
              <w:color w:val="000000"/>
              <w:sz w:val="22"/>
              <w:szCs w:val="22"/>
            </w:rPr>
            <w:t>(3), 387–398. https://doi.org/10.1111/j.1530-9290.2011.00434.x</w:t>
          </w:r>
        </w:p>
        <w:p w14:paraId="7A622A2B" w14:textId="77777777" w:rsidR="00E149E7" w:rsidRPr="000708BC" w:rsidRDefault="00E149E7">
          <w:pPr>
            <w:autoSpaceDE w:val="0"/>
            <w:autoSpaceDN w:val="0"/>
            <w:ind w:hanging="480"/>
            <w:divId w:val="1540363472"/>
            <w:rPr>
              <w:rFonts w:ascii="Arial" w:hAnsi="Arial" w:cs="Arial"/>
              <w:color w:val="000000"/>
              <w:sz w:val="22"/>
              <w:szCs w:val="22"/>
            </w:rPr>
          </w:pPr>
          <w:r w:rsidRPr="000708BC">
            <w:rPr>
              <w:rFonts w:ascii="Arial" w:hAnsi="Arial" w:cs="Arial"/>
              <w:color w:val="000000"/>
              <w:sz w:val="22"/>
              <w:szCs w:val="22"/>
            </w:rPr>
            <w:t xml:space="preserve">Bareiß, K., de la Rua, C., Möckl, M., &amp; Hamacher, T. (2019). Life cycle assessment of hydrogen from proton exchange membrane water electrolysis in future energy systems. </w:t>
          </w:r>
          <w:r w:rsidRPr="000708BC">
            <w:rPr>
              <w:rFonts w:ascii="Arial" w:hAnsi="Arial" w:cs="Arial"/>
              <w:i/>
              <w:iCs/>
              <w:color w:val="000000"/>
              <w:sz w:val="22"/>
              <w:szCs w:val="22"/>
            </w:rPr>
            <w:t>Applied Energy</w:t>
          </w:r>
          <w:r w:rsidRPr="000708BC">
            <w:rPr>
              <w:rFonts w:ascii="Arial" w:hAnsi="Arial" w:cs="Arial"/>
              <w:color w:val="000000"/>
              <w:sz w:val="22"/>
              <w:szCs w:val="22"/>
            </w:rPr>
            <w:t xml:space="preserve">, </w:t>
          </w:r>
          <w:r w:rsidRPr="000708BC">
            <w:rPr>
              <w:rFonts w:ascii="Arial" w:hAnsi="Arial" w:cs="Arial"/>
              <w:i/>
              <w:iCs/>
              <w:color w:val="000000"/>
              <w:sz w:val="22"/>
              <w:szCs w:val="22"/>
            </w:rPr>
            <w:t>237</w:t>
          </w:r>
          <w:r w:rsidRPr="000708BC">
            <w:rPr>
              <w:rFonts w:ascii="Arial" w:hAnsi="Arial" w:cs="Arial"/>
              <w:color w:val="000000"/>
              <w:sz w:val="22"/>
              <w:szCs w:val="22"/>
            </w:rPr>
            <w:t>, 862–872. https://doi.org/10.1016/j.apenergy.2019.01.001</w:t>
          </w:r>
        </w:p>
        <w:p w14:paraId="22F89C4C" w14:textId="77777777" w:rsidR="00E149E7" w:rsidRPr="000708BC" w:rsidRDefault="00E149E7">
          <w:pPr>
            <w:autoSpaceDE w:val="0"/>
            <w:autoSpaceDN w:val="0"/>
            <w:ind w:hanging="480"/>
            <w:divId w:val="164052170"/>
            <w:rPr>
              <w:rFonts w:ascii="Arial" w:hAnsi="Arial" w:cs="Arial"/>
              <w:color w:val="000000"/>
              <w:sz w:val="22"/>
              <w:szCs w:val="22"/>
            </w:rPr>
          </w:pPr>
          <w:r w:rsidRPr="000708BC">
            <w:rPr>
              <w:rFonts w:ascii="Arial" w:hAnsi="Arial" w:cs="Arial"/>
              <w:color w:val="000000"/>
              <w:sz w:val="22"/>
              <w:szCs w:val="22"/>
            </w:rPr>
            <w:t xml:space="preserve">Burkhardt, J., Patyk, A., Tanguy, P., &amp; Retzke, C. (2016). Hydrogen mobility from wind energy – A life cycle assessment focusing on the fuel supply. </w:t>
          </w:r>
          <w:r w:rsidRPr="000708BC">
            <w:rPr>
              <w:rFonts w:ascii="Arial" w:hAnsi="Arial" w:cs="Arial"/>
              <w:i/>
              <w:iCs/>
              <w:color w:val="000000"/>
              <w:sz w:val="22"/>
              <w:szCs w:val="22"/>
            </w:rPr>
            <w:t>Applied Energy</w:t>
          </w:r>
          <w:r w:rsidRPr="000708BC">
            <w:rPr>
              <w:rFonts w:ascii="Arial" w:hAnsi="Arial" w:cs="Arial"/>
              <w:color w:val="000000"/>
              <w:sz w:val="22"/>
              <w:szCs w:val="22"/>
            </w:rPr>
            <w:t xml:space="preserve">, </w:t>
          </w:r>
          <w:r w:rsidRPr="000708BC">
            <w:rPr>
              <w:rFonts w:ascii="Arial" w:hAnsi="Arial" w:cs="Arial"/>
              <w:i/>
              <w:iCs/>
              <w:color w:val="000000"/>
              <w:sz w:val="22"/>
              <w:szCs w:val="22"/>
            </w:rPr>
            <w:t>181</w:t>
          </w:r>
          <w:r w:rsidRPr="000708BC">
            <w:rPr>
              <w:rFonts w:ascii="Arial" w:hAnsi="Arial" w:cs="Arial"/>
              <w:color w:val="000000"/>
              <w:sz w:val="22"/>
              <w:szCs w:val="22"/>
            </w:rPr>
            <w:t>, 54–64. https://doi.org/10.1016/j.apenergy.2016.07.104</w:t>
          </w:r>
        </w:p>
        <w:p w14:paraId="3690E002" w14:textId="77777777" w:rsidR="00E149E7" w:rsidRPr="000708BC" w:rsidRDefault="00E149E7">
          <w:pPr>
            <w:autoSpaceDE w:val="0"/>
            <w:autoSpaceDN w:val="0"/>
            <w:ind w:hanging="480"/>
            <w:divId w:val="507915281"/>
            <w:rPr>
              <w:rFonts w:ascii="Arial" w:hAnsi="Arial" w:cs="Arial"/>
              <w:color w:val="000000"/>
              <w:sz w:val="22"/>
              <w:szCs w:val="22"/>
            </w:rPr>
          </w:pPr>
          <w:r w:rsidRPr="000708BC">
            <w:rPr>
              <w:rFonts w:ascii="Arial" w:hAnsi="Arial" w:cs="Arial"/>
              <w:color w:val="000000"/>
              <w:sz w:val="22"/>
              <w:szCs w:val="22"/>
            </w:rPr>
            <w:t xml:space="preserve">Castro-Molinare, J., Korre, A., &amp; Durucan, S. (2014). Sustainability Analysis of Copper Extraction and Processing using Life Cycle Analysis Methods: A Case Study in the North of Chile. In </w:t>
          </w:r>
          <w:r w:rsidRPr="000708BC">
            <w:rPr>
              <w:rFonts w:ascii="Arial" w:hAnsi="Arial" w:cs="Arial"/>
              <w:i/>
              <w:iCs/>
              <w:color w:val="000000"/>
              <w:sz w:val="22"/>
              <w:szCs w:val="22"/>
            </w:rPr>
            <w:t>Computer Aided Chemical Engineering</w:t>
          </w:r>
          <w:r w:rsidRPr="000708BC">
            <w:rPr>
              <w:rFonts w:ascii="Arial" w:hAnsi="Arial" w:cs="Arial"/>
              <w:color w:val="000000"/>
              <w:sz w:val="22"/>
              <w:szCs w:val="22"/>
            </w:rPr>
            <w:t xml:space="preserve"> (Vol. 33, pp. 1861–1866). Elsevier B.V. https://doi.org/10.1016/B978-0-444-63455-9.50145-8</w:t>
          </w:r>
        </w:p>
        <w:p w14:paraId="6EEE82BE" w14:textId="77777777" w:rsidR="00E149E7" w:rsidRPr="000708BC" w:rsidRDefault="00E149E7">
          <w:pPr>
            <w:autoSpaceDE w:val="0"/>
            <w:autoSpaceDN w:val="0"/>
            <w:ind w:hanging="480"/>
            <w:divId w:val="700325295"/>
            <w:rPr>
              <w:rFonts w:ascii="Arial" w:hAnsi="Arial" w:cs="Arial"/>
              <w:color w:val="000000"/>
              <w:sz w:val="22"/>
              <w:szCs w:val="22"/>
            </w:rPr>
          </w:pPr>
          <w:r w:rsidRPr="000708BC">
            <w:rPr>
              <w:rFonts w:ascii="Arial" w:hAnsi="Arial" w:cs="Arial"/>
              <w:color w:val="000000"/>
              <w:sz w:val="22"/>
              <w:szCs w:val="22"/>
            </w:rPr>
            <w:t xml:space="preserve">Cochilco. (2022). </w:t>
          </w:r>
          <w:r w:rsidRPr="000708BC">
            <w:rPr>
              <w:rFonts w:ascii="Arial" w:hAnsi="Arial" w:cs="Arial"/>
              <w:i/>
              <w:iCs/>
              <w:color w:val="000000"/>
              <w:sz w:val="22"/>
              <w:szCs w:val="22"/>
            </w:rPr>
            <w:t>Copper projection in Chile 2022-2033</w:t>
          </w:r>
          <w:r w:rsidRPr="000708BC">
            <w:rPr>
              <w:rFonts w:ascii="Arial" w:hAnsi="Arial" w:cs="Arial"/>
              <w:color w:val="000000"/>
              <w:sz w:val="22"/>
              <w:szCs w:val="22"/>
            </w:rPr>
            <w:t>. Santiago, Chile.</w:t>
          </w:r>
        </w:p>
        <w:p w14:paraId="4F1AA0F1" w14:textId="77777777" w:rsidR="00E149E7" w:rsidRPr="000708BC" w:rsidRDefault="00E149E7">
          <w:pPr>
            <w:autoSpaceDE w:val="0"/>
            <w:autoSpaceDN w:val="0"/>
            <w:ind w:hanging="480"/>
            <w:divId w:val="1333024125"/>
            <w:rPr>
              <w:rFonts w:ascii="Arial" w:hAnsi="Arial" w:cs="Arial"/>
              <w:color w:val="000000"/>
              <w:sz w:val="22"/>
              <w:szCs w:val="22"/>
            </w:rPr>
          </w:pPr>
          <w:r w:rsidRPr="000708BC">
            <w:rPr>
              <w:rFonts w:ascii="Arial" w:hAnsi="Arial" w:cs="Arial"/>
              <w:color w:val="000000"/>
              <w:sz w:val="22"/>
              <w:szCs w:val="22"/>
            </w:rPr>
            <w:t xml:space="preserve">Cochilco. (2024a). </w:t>
          </w:r>
          <w:r w:rsidRPr="000708BC">
            <w:rPr>
              <w:rFonts w:ascii="Arial" w:hAnsi="Arial" w:cs="Arial"/>
              <w:i/>
              <w:iCs/>
              <w:color w:val="000000"/>
              <w:sz w:val="22"/>
              <w:szCs w:val="22"/>
            </w:rPr>
            <w:t>Chilean sulfuric acid market. Projection to 2023</w:t>
          </w:r>
          <w:r w:rsidRPr="000708BC">
            <w:rPr>
              <w:rFonts w:ascii="Arial" w:hAnsi="Arial" w:cs="Arial"/>
              <w:color w:val="000000"/>
              <w:sz w:val="22"/>
              <w:szCs w:val="22"/>
            </w:rPr>
            <w:t>. Santiago, Chile.</w:t>
          </w:r>
        </w:p>
        <w:p w14:paraId="4B9D295F" w14:textId="77777777" w:rsidR="00E149E7" w:rsidRPr="000708BC" w:rsidRDefault="00E149E7">
          <w:pPr>
            <w:autoSpaceDE w:val="0"/>
            <w:autoSpaceDN w:val="0"/>
            <w:ind w:hanging="480"/>
            <w:divId w:val="1072581665"/>
            <w:rPr>
              <w:rFonts w:ascii="Arial" w:hAnsi="Arial" w:cs="Arial"/>
              <w:color w:val="000000"/>
              <w:sz w:val="22"/>
              <w:szCs w:val="22"/>
            </w:rPr>
          </w:pPr>
          <w:r w:rsidRPr="000708BC">
            <w:rPr>
              <w:rFonts w:ascii="Arial" w:hAnsi="Arial" w:cs="Arial"/>
              <w:color w:val="000000"/>
              <w:sz w:val="22"/>
              <w:szCs w:val="22"/>
            </w:rPr>
            <w:t xml:space="preserve">Cochilco. (2024b). </w:t>
          </w:r>
          <w:r w:rsidRPr="000708BC">
            <w:rPr>
              <w:rFonts w:ascii="Arial" w:hAnsi="Arial" w:cs="Arial"/>
              <w:i/>
              <w:iCs/>
              <w:color w:val="000000"/>
              <w:sz w:val="22"/>
              <w:szCs w:val="22"/>
            </w:rPr>
            <w:t>Projection of electrical energy consumption in copper mining 2023-2034</w:t>
          </w:r>
          <w:r w:rsidRPr="000708BC">
            <w:rPr>
              <w:rFonts w:ascii="Arial" w:hAnsi="Arial" w:cs="Arial"/>
              <w:color w:val="000000"/>
              <w:sz w:val="22"/>
              <w:szCs w:val="22"/>
            </w:rPr>
            <w:t>. Santiago, Chile. Retrieved from https://www.cochilco.cl/web/informe-proyeccion-del-consumo-de-energia-electrica-en-la-mineria-del-cobre-2023-2034/#:~:text=Se%20estima%20el%20consumo%20el%C3%A9ctrico,en%20el%20mismo%20periodo%20analizado.</w:t>
          </w:r>
        </w:p>
        <w:p w14:paraId="674909F6" w14:textId="77777777" w:rsidR="00E149E7" w:rsidRPr="000708BC" w:rsidRDefault="00E149E7">
          <w:pPr>
            <w:autoSpaceDE w:val="0"/>
            <w:autoSpaceDN w:val="0"/>
            <w:ind w:hanging="480"/>
            <w:divId w:val="802772634"/>
            <w:rPr>
              <w:rFonts w:ascii="Arial" w:hAnsi="Arial" w:cs="Arial"/>
              <w:color w:val="000000"/>
              <w:sz w:val="22"/>
              <w:szCs w:val="22"/>
            </w:rPr>
          </w:pPr>
          <w:r w:rsidRPr="000708BC">
            <w:rPr>
              <w:rFonts w:ascii="Arial" w:hAnsi="Arial" w:cs="Arial"/>
              <w:color w:val="000000"/>
              <w:sz w:val="22"/>
              <w:szCs w:val="22"/>
            </w:rPr>
            <w:t xml:space="preserve">Cochilco. (2024c). </w:t>
          </w:r>
          <w:r w:rsidRPr="000708BC">
            <w:rPr>
              <w:rFonts w:ascii="Arial" w:hAnsi="Arial" w:cs="Arial"/>
              <w:i/>
              <w:iCs/>
              <w:color w:val="000000"/>
              <w:sz w:val="22"/>
              <w:szCs w:val="22"/>
            </w:rPr>
            <w:t>Yearbook: Copper and Other Mineral Statistics 2004-2023</w:t>
          </w:r>
          <w:r w:rsidRPr="000708BC">
            <w:rPr>
              <w:rFonts w:ascii="Arial" w:hAnsi="Arial" w:cs="Arial"/>
              <w:color w:val="000000"/>
              <w:sz w:val="22"/>
              <w:szCs w:val="22"/>
            </w:rPr>
            <w:t>. Santiago, Chile. Retrieved from https://www.cochilco.cl/web/anuario-de-estadisticas-del-cobre-y-otros-minerales/</w:t>
          </w:r>
        </w:p>
        <w:p w14:paraId="78100425" w14:textId="77777777" w:rsidR="00E149E7" w:rsidRPr="000708BC" w:rsidRDefault="00E149E7">
          <w:pPr>
            <w:autoSpaceDE w:val="0"/>
            <w:autoSpaceDN w:val="0"/>
            <w:ind w:hanging="480"/>
            <w:divId w:val="2131701588"/>
            <w:rPr>
              <w:rFonts w:ascii="Arial" w:hAnsi="Arial" w:cs="Arial"/>
              <w:color w:val="000000"/>
              <w:sz w:val="22"/>
              <w:szCs w:val="22"/>
            </w:rPr>
          </w:pPr>
          <w:r w:rsidRPr="000708BC">
            <w:rPr>
              <w:rFonts w:ascii="Arial" w:hAnsi="Arial" w:cs="Arial"/>
              <w:color w:val="000000"/>
              <w:sz w:val="22"/>
              <w:szCs w:val="22"/>
            </w:rPr>
            <w:t>Cochilco. (2024d, December). Historical Metal Prices.</w:t>
          </w:r>
        </w:p>
        <w:p w14:paraId="197C0138" w14:textId="77777777" w:rsidR="00E149E7" w:rsidRPr="000708BC" w:rsidRDefault="00E149E7">
          <w:pPr>
            <w:autoSpaceDE w:val="0"/>
            <w:autoSpaceDN w:val="0"/>
            <w:ind w:hanging="480"/>
            <w:divId w:val="1146312030"/>
            <w:rPr>
              <w:rFonts w:ascii="Arial" w:hAnsi="Arial" w:cs="Arial"/>
              <w:color w:val="000000"/>
              <w:sz w:val="22"/>
              <w:szCs w:val="22"/>
            </w:rPr>
          </w:pPr>
          <w:r w:rsidRPr="000708BC">
            <w:rPr>
              <w:rFonts w:ascii="Arial" w:hAnsi="Arial" w:cs="Arial"/>
              <w:color w:val="000000"/>
              <w:sz w:val="22"/>
              <w:szCs w:val="22"/>
            </w:rPr>
            <w:t xml:space="preserve">Delpierre, M., Quist, J., Mertens, J., Prieur-Vernat, A., &amp; Cucurachi, S. (2021). Assessing the environmental impacts of wind-based hydrogen production in the Netherlands using ex-ante LCA and scenarios analysis. </w:t>
          </w:r>
          <w:r w:rsidRPr="000708BC">
            <w:rPr>
              <w:rFonts w:ascii="Arial" w:hAnsi="Arial" w:cs="Arial"/>
              <w:i/>
              <w:iCs/>
              <w:color w:val="000000"/>
              <w:sz w:val="22"/>
              <w:szCs w:val="22"/>
            </w:rPr>
            <w:t>Journal of Cleaner Production</w:t>
          </w:r>
          <w:r w:rsidRPr="000708BC">
            <w:rPr>
              <w:rFonts w:ascii="Arial" w:hAnsi="Arial" w:cs="Arial"/>
              <w:color w:val="000000"/>
              <w:sz w:val="22"/>
              <w:szCs w:val="22"/>
            </w:rPr>
            <w:t xml:space="preserve">, </w:t>
          </w:r>
          <w:r w:rsidRPr="000708BC">
            <w:rPr>
              <w:rFonts w:ascii="Arial" w:hAnsi="Arial" w:cs="Arial"/>
              <w:i/>
              <w:iCs/>
              <w:color w:val="000000"/>
              <w:sz w:val="22"/>
              <w:szCs w:val="22"/>
            </w:rPr>
            <w:t>299</w:t>
          </w:r>
          <w:r w:rsidRPr="000708BC">
            <w:rPr>
              <w:rFonts w:ascii="Arial" w:hAnsi="Arial" w:cs="Arial"/>
              <w:color w:val="000000"/>
              <w:sz w:val="22"/>
              <w:szCs w:val="22"/>
            </w:rPr>
            <w:t>. https://doi.org/10.1016/j.jclepro.2021.126866</w:t>
          </w:r>
        </w:p>
        <w:p w14:paraId="45478BE6" w14:textId="77777777" w:rsidR="00E149E7" w:rsidRPr="000708BC" w:rsidRDefault="00E149E7">
          <w:pPr>
            <w:autoSpaceDE w:val="0"/>
            <w:autoSpaceDN w:val="0"/>
            <w:ind w:hanging="480"/>
            <w:divId w:val="226454428"/>
            <w:rPr>
              <w:rFonts w:ascii="Arial" w:hAnsi="Arial" w:cs="Arial"/>
              <w:color w:val="000000"/>
              <w:sz w:val="22"/>
              <w:szCs w:val="22"/>
            </w:rPr>
          </w:pPr>
          <w:r w:rsidRPr="000708BC">
            <w:rPr>
              <w:rFonts w:ascii="Arial" w:hAnsi="Arial" w:cs="Arial"/>
              <w:color w:val="000000"/>
              <w:sz w:val="22"/>
              <w:szCs w:val="22"/>
            </w:rPr>
            <w:t xml:space="preserve">Ellersdorfer, P., Omar, A., Taylor, R. A., Daiyan, R., &amp; Leslie, G. (2023). Multi-effect distillation: a sustainable option to large-scale green hydrogen production using solar energy. </w:t>
          </w:r>
          <w:r w:rsidRPr="000708BC">
            <w:rPr>
              <w:rFonts w:ascii="Arial" w:hAnsi="Arial" w:cs="Arial"/>
              <w:i/>
              <w:iCs/>
              <w:color w:val="000000"/>
              <w:sz w:val="22"/>
              <w:szCs w:val="22"/>
            </w:rPr>
            <w:t>International Journal of Hydrogen Energy</w:t>
          </w:r>
          <w:r w:rsidRPr="000708BC">
            <w:rPr>
              <w:rFonts w:ascii="Arial" w:hAnsi="Arial" w:cs="Arial"/>
              <w:color w:val="000000"/>
              <w:sz w:val="22"/>
              <w:szCs w:val="22"/>
            </w:rPr>
            <w:t xml:space="preserve">, </w:t>
          </w:r>
          <w:r w:rsidRPr="000708BC">
            <w:rPr>
              <w:rFonts w:ascii="Arial" w:hAnsi="Arial" w:cs="Arial"/>
              <w:i/>
              <w:iCs/>
              <w:color w:val="000000"/>
              <w:sz w:val="22"/>
              <w:szCs w:val="22"/>
            </w:rPr>
            <w:t>48</w:t>
          </w:r>
          <w:r w:rsidRPr="000708BC">
            <w:rPr>
              <w:rFonts w:ascii="Arial" w:hAnsi="Arial" w:cs="Arial"/>
              <w:color w:val="000000"/>
              <w:sz w:val="22"/>
              <w:szCs w:val="22"/>
            </w:rPr>
            <w:t>(81), 31491–31505. https://doi.org/10.1016/j.ijhydene.2023.04.261</w:t>
          </w:r>
        </w:p>
        <w:p w14:paraId="64CEC620" w14:textId="77777777" w:rsidR="00E149E7" w:rsidRPr="000708BC" w:rsidRDefault="00E149E7">
          <w:pPr>
            <w:autoSpaceDE w:val="0"/>
            <w:autoSpaceDN w:val="0"/>
            <w:ind w:hanging="480"/>
            <w:divId w:val="1533224332"/>
            <w:rPr>
              <w:rFonts w:ascii="Arial" w:hAnsi="Arial" w:cs="Arial"/>
              <w:color w:val="000000"/>
              <w:sz w:val="22"/>
              <w:szCs w:val="22"/>
            </w:rPr>
          </w:pPr>
          <w:r w:rsidRPr="000708BC">
            <w:rPr>
              <w:rFonts w:ascii="Arial" w:hAnsi="Arial" w:cs="Arial"/>
              <w:color w:val="000000"/>
              <w:sz w:val="22"/>
              <w:szCs w:val="22"/>
            </w:rPr>
            <w:t xml:space="preserve">Evaluation Commission Antofagasta Region, R. of C. </w:t>
          </w:r>
          <w:r w:rsidRPr="000708BC">
            <w:rPr>
              <w:rFonts w:ascii="Arial" w:hAnsi="Arial" w:cs="Arial"/>
              <w:i/>
              <w:iCs/>
              <w:color w:val="000000"/>
              <w:sz w:val="22"/>
              <w:szCs w:val="22"/>
            </w:rPr>
            <w:t>HyEx Project - Green Hydrogen Production</w:t>
          </w:r>
          <w:r w:rsidRPr="000708BC">
            <w:rPr>
              <w:rFonts w:ascii="Arial" w:hAnsi="Arial" w:cs="Arial"/>
              <w:color w:val="000000"/>
              <w:sz w:val="22"/>
              <w:szCs w:val="22"/>
            </w:rPr>
            <w:t>. , Pub. L. No. RCA 202202001118 (2022). Chile.</w:t>
          </w:r>
        </w:p>
        <w:p w14:paraId="6B93B614" w14:textId="77777777" w:rsidR="00E149E7" w:rsidRPr="000708BC" w:rsidRDefault="00E149E7">
          <w:pPr>
            <w:autoSpaceDE w:val="0"/>
            <w:autoSpaceDN w:val="0"/>
            <w:ind w:hanging="480"/>
            <w:divId w:val="280235283"/>
            <w:rPr>
              <w:rFonts w:ascii="Arial" w:hAnsi="Arial" w:cs="Arial"/>
              <w:color w:val="000000"/>
              <w:sz w:val="22"/>
              <w:szCs w:val="22"/>
            </w:rPr>
          </w:pPr>
          <w:r w:rsidRPr="000708BC">
            <w:rPr>
              <w:rFonts w:ascii="Arial" w:hAnsi="Arial" w:cs="Arial"/>
              <w:color w:val="000000"/>
              <w:sz w:val="22"/>
              <w:szCs w:val="22"/>
            </w:rPr>
            <w:t xml:space="preserve">Evaluation Commission Republic of Chile. </w:t>
          </w:r>
          <w:r w:rsidRPr="000708BC">
            <w:rPr>
              <w:rFonts w:ascii="Arial" w:hAnsi="Arial" w:cs="Arial"/>
              <w:i/>
              <w:iCs/>
              <w:color w:val="000000"/>
              <w:sz w:val="22"/>
              <w:szCs w:val="22"/>
            </w:rPr>
            <w:t>Infrastructure development and improvement of the productive capacity of Collahuasi</w:t>
          </w:r>
          <w:r w:rsidRPr="000708BC">
            <w:rPr>
              <w:rFonts w:ascii="Arial" w:hAnsi="Arial" w:cs="Arial"/>
              <w:color w:val="000000"/>
              <w:sz w:val="22"/>
              <w:szCs w:val="22"/>
            </w:rPr>
            <w:t>. , Pub. L. No. RCA 20219900112 (2021). Chile.</w:t>
          </w:r>
        </w:p>
        <w:p w14:paraId="1CBD1228" w14:textId="77777777" w:rsidR="00E149E7" w:rsidRPr="000708BC" w:rsidRDefault="00E149E7">
          <w:pPr>
            <w:autoSpaceDE w:val="0"/>
            <w:autoSpaceDN w:val="0"/>
            <w:ind w:hanging="480"/>
            <w:divId w:val="490023213"/>
            <w:rPr>
              <w:rFonts w:ascii="Arial" w:hAnsi="Arial" w:cs="Arial"/>
              <w:color w:val="000000"/>
              <w:sz w:val="22"/>
              <w:szCs w:val="22"/>
            </w:rPr>
          </w:pPr>
          <w:r w:rsidRPr="000708BC">
            <w:rPr>
              <w:rFonts w:ascii="Arial" w:hAnsi="Arial" w:cs="Arial"/>
              <w:color w:val="000000"/>
              <w:sz w:val="22"/>
              <w:szCs w:val="22"/>
            </w:rPr>
            <w:t xml:space="preserve">Harmsen, J. H. M., Roes, A. L., &amp; Patel, M. K. (2013). The impact of copper scarcity on the efficiency of 2050 global renewable energy scenarios. </w:t>
          </w:r>
          <w:r w:rsidRPr="000708BC">
            <w:rPr>
              <w:rFonts w:ascii="Arial" w:hAnsi="Arial" w:cs="Arial"/>
              <w:i/>
              <w:iCs/>
              <w:color w:val="000000"/>
              <w:sz w:val="22"/>
              <w:szCs w:val="22"/>
            </w:rPr>
            <w:t>Energy</w:t>
          </w:r>
          <w:r w:rsidRPr="000708BC">
            <w:rPr>
              <w:rFonts w:ascii="Arial" w:hAnsi="Arial" w:cs="Arial"/>
              <w:color w:val="000000"/>
              <w:sz w:val="22"/>
              <w:szCs w:val="22"/>
            </w:rPr>
            <w:t xml:space="preserve">, </w:t>
          </w:r>
          <w:r w:rsidRPr="000708BC">
            <w:rPr>
              <w:rFonts w:ascii="Arial" w:hAnsi="Arial" w:cs="Arial"/>
              <w:i/>
              <w:iCs/>
              <w:color w:val="000000"/>
              <w:sz w:val="22"/>
              <w:szCs w:val="22"/>
            </w:rPr>
            <w:t>50</w:t>
          </w:r>
          <w:r w:rsidRPr="000708BC">
            <w:rPr>
              <w:rFonts w:ascii="Arial" w:hAnsi="Arial" w:cs="Arial"/>
              <w:color w:val="000000"/>
              <w:sz w:val="22"/>
              <w:szCs w:val="22"/>
            </w:rPr>
            <w:t>(1), 62–73. https://doi.org/10.1016/j.energy.2012.12.006</w:t>
          </w:r>
        </w:p>
        <w:p w14:paraId="1C6E49CC" w14:textId="77777777" w:rsidR="00E149E7" w:rsidRPr="000708BC" w:rsidRDefault="00E149E7">
          <w:pPr>
            <w:autoSpaceDE w:val="0"/>
            <w:autoSpaceDN w:val="0"/>
            <w:ind w:hanging="480"/>
            <w:divId w:val="938097374"/>
            <w:rPr>
              <w:rFonts w:ascii="Arial" w:hAnsi="Arial" w:cs="Arial"/>
              <w:color w:val="000000"/>
              <w:sz w:val="22"/>
              <w:szCs w:val="22"/>
            </w:rPr>
          </w:pPr>
          <w:r w:rsidRPr="000708BC">
            <w:rPr>
              <w:rFonts w:ascii="Arial" w:hAnsi="Arial" w:cs="Arial"/>
              <w:color w:val="000000"/>
              <w:sz w:val="22"/>
              <w:szCs w:val="22"/>
            </w:rPr>
            <w:t xml:space="preserve">Jolliet, O., Saadé-Sbeih, M., Shaked, S., &amp; Crettaz, P. (2020). </w:t>
          </w:r>
          <w:r w:rsidRPr="000708BC">
            <w:rPr>
              <w:rFonts w:ascii="Arial" w:hAnsi="Arial" w:cs="Arial"/>
              <w:i/>
              <w:iCs/>
              <w:color w:val="000000"/>
              <w:sz w:val="22"/>
              <w:szCs w:val="22"/>
            </w:rPr>
            <w:t>Environmental Life Cycle Assessment</w:t>
          </w:r>
          <w:r w:rsidRPr="000708BC">
            <w:rPr>
              <w:rFonts w:ascii="Arial" w:hAnsi="Arial" w:cs="Arial"/>
              <w:color w:val="000000"/>
              <w:sz w:val="22"/>
              <w:szCs w:val="22"/>
            </w:rPr>
            <w:t xml:space="preserve"> (2nd edition). CRC Predd.</w:t>
          </w:r>
        </w:p>
        <w:p w14:paraId="4E11D29A" w14:textId="77777777" w:rsidR="00E149E7" w:rsidRPr="000708BC" w:rsidRDefault="00E149E7">
          <w:pPr>
            <w:autoSpaceDE w:val="0"/>
            <w:autoSpaceDN w:val="0"/>
            <w:ind w:hanging="480"/>
            <w:divId w:val="2067677470"/>
            <w:rPr>
              <w:rFonts w:ascii="Arial" w:hAnsi="Arial" w:cs="Arial"/>
              <w:color w:val="000000"/>
              <w:sz w:val="22"/>
              <w:szCs w:val="22"/>
            </w:rPr>
          </w:pPr>
          <w:r w:rsidRPr="000708BC">
            <w:rPr>
              <w:rFonts w:ascii="Arial" w:hAnsi="Arial" w:cs="Arial"/>
              <w:color w:val="000000"/>
              <w:sz w:val="22"/>
              <w:szCs w:val="22"/>
            </w:rPr>
            <w:lastRenderedPageBreak/>
            <w:t xml:space="preserve">Khan, M. H. A., Sitaraman, T., Haque, N., Leslie, G., Saydam, S., Daiyan, R., … Kara, S. (2024). Strategies for life cycle impact reduction of green hydrogen production – Influence of electrolyser value chain design. </w:t>
          </w:r>
          <w:r w:rsidRPr="000708BC">
            <w:rPr>
              <w:rFonts w:ascii="Arial" w:hAnsi="Arial" w:cs="Arial"/>
              <w:i/>
              <w:iCs/>
              <w:color w:val="000000"/>
              <w:sz w:val="22"/>
              <w:szCs w:val="22"/>
            </w:rPr>
            <w:t>International Journal of Hydrogen Energy</w:t>
          </w:r>
          <w:r w:rsidRPr="000708BC">
            <w:rPr>
              <w:rFonts w:ascii="Arial" w:hAnsi="Arial" w:cs="Arial"/>
              <w:color w:val="000000"/>
              <w:sz w:val="22"/>
              <w:szCs w:val="22"/>
            </w:rPr>
            <w:t xml:space="preserve">, </w:t>
          </w:r>
          <w:r w:rsidRPr="000708BC">
            <w:rPr>
              <w:rFonts w:ascii="Arial" w:hAnsi="Arial" w:cs="Arial"/>
              <w:i/>
              <w:iCs/>
              <w:color w:val="000000"/>
              <w:sz w:val="22"/>
              <w:szCs w:val="22"/>
            </w:rPr>
            <w:t>62</w:t>
          </w:r>
          <w:r w:rsidRPr="000708BC">
            <w:rPr>
              <w:rFonts w:ascii="Arial" w:hAnsi="Arial" w:cs="Arial"/>
              <w:color w:val="000000"/>
              <w:sz w:val="22"/>
              <w:szCs w:val="22"/>
            </w:rPr>
            <w:t>, 769–782. https://doi.org/10.1016/j.ijhydene.2024.01.081</w:t>
          </w:r>
        </w:p>
        <w:p w14:paraId="1CC94054" w14:textId="77777777" w:rsidR="00E149E7" w:rsidRPr="000708BC" w:rsidRDefault="00E149E7">
          <w:pPr>
            <w:autoSpaceDE w:val="0"/>
            <w:autoSpaceDN w:val="0"/>
            <w:ind w:hanging="480"/>
            <w:divId w:val="1003780605"/>
            <w:rPr>
              <w:rFonts w:ascii="Arial" w:hAnsi="Arial" w:cs="Arial"/>
              <w:color w:val="000000"/>
              <w:sz w:val="22"/>
              <w:szCs w:val="22"/>
            </w:rPr>
          </w:pPr>
          <w:r w:rsidRPr="000708BC">
            <w:rPr>
              <w:rFonts w:ascii="Arial" w:hAnsi="Arial" w:cs="Arial"/>
              <w:color w:val="000000"/>
              <w:sz w:val="22"/>
              <w:szCs w:val="22"/>
            </w:rPr>
            <w:t xml:space="preserve">Koj, J. C., Wulf, C., Schreiber, A., &amp; Zapp, P. (2017). Site-dependent environmental impacts of industrial hydrogen production by alkalinewater electrolysis. </w:t>
          </w:r>
          <w:r w:rsidRPr="000708BC">
            <w:rPr>
              <w:rFonts w:ascii="Arial" w:hAnsi="Arial" w:cs="Arial"/>
              <w:i/>
              <w:iCs/>
              <w:color w:val="000000"/>
              <w:sz w:val="22"/>
              <w:szCs w:val="22"/>
            </w:rPr>
            <w:t>Energies</w:t>
          </w:r>
          <w:r w:rsidRPr="000708BC">
            <w:rPr>
              <w:rFonts w:ascii="Arial" w:hAnsi="Arial" w:cs="Arial"/>
              <w:color w:val="000000"/>
              <w:sz w:val="22"/>
              <w:szCs w:val="22"/>
            </w:rPr>
            <w:t xml:space="preserve">, </w:t>
          </w:r>
          <w:r w:rsidRPr="000708BC">
            <w:rPr>
              <w:rFonts w:ascii="Arial" w:hAnsi="Arial" w:cs="Arial"/>
              <w:i/>
              <w:iCs/>
              <w:color w:val="000000"/>
              <w:sz w:val="22"/>
              <w:szCs w:val="22"/>
            </w:rPr>
            <w:t>10</w:t>
          </w:r>
          <w:r w:rsidRPr="000708BC">
            <w:rPr>
              <w:rFonts w:ascii="Arial" w:hAnsi="Arial" w:cs="Arial"/>
              <w:color w:val="000000"/>
              <w:sz w:val="22"/>
              <w:szCs w:val="22"/>
            </w:rPr>
            <w:t>(7). https://doi.org/10.3390/en10070860</w:t>
          </w:r>
        </w:p>
        <w:p w14:paraId="6FB59CF2" w14:textId="77777777" w:rsidR="00E149E7" w:rsidRPr="000708BC" w:rsidRDefault="00E149E7">
          <w:pPr>
            <w:autoSpaceDE w:val="0"/>
            <w:autoSpaceDN w:val="0"/>
            <w:ind w:hanging="480"/>
            <w:divId w:val="325745615"/>
            <w:rPr>
              <w:rFonts w:ascii="Arial" w:hAnsi="Arial" w:cs="Arial"/>
              <w:color w:val="000000"/>
              <w:sz w:val="22"/>
              <w:szCs w:val="22"/>
            </w:rPr>
          </w:pPr>
          <w:r w:rsidRPr="000708BC">
            <w:rPr>
              <w:rFonts w:ascii="Arial" w:hAnsi="Arial" w:cs="Arial"/>
              <w:color w:val="000000"/>
              <w:sz w:val="22"/>
              <w:szCs w:val="22"/>
            </w:rPr>
            <w:t xml:space="preserve">Krishnan, S., Corona, B., Kramer, G. J., Junginger, M., &amp; Koning, V. (2024). Prospective LCA of alkaline and PEM electrolyser systems. </w:t>
          </w:r>
          <w:r w:rsidRPr="000708BC">
            <w:rPr>
              <w:rFonts w:ascii="Arial" w:hAnsi="Arial" w:cs="Arial"/>
              <w:i/>
              <w:iCs/>
              <w:color w:val="000000"/>
              <w:sz w:val="22"/>
              <w:szCs w:val="22"/>
            </w:rPr>
            <w:t>International Journal of Hydrogen Energy</w:t>
          </w:r>
          <w:r w:rsidRPr="000708BC">
            <w:rPr>
              <w:rFonts w:ascii="Arial" w:hAnsi="Arial" w:cs="Arial"/>
              <w:color w:val="000000"/>
              <w:sz w:val="22"/>
              <w:szCs w:val="22"/>
            </w:rPr>
            <w:t xml:space="preserve">, </w:t>
          </w:r>
          <w:r w:rsidRPr="000708BC">
            <w:rPr>
              <w:rFonts w:ascii="Arial" w:hAnsi="Arial" w:cs="Arial"/>
              <w:i/>
              <w:iCs/>
              <w:color w:val="000000"/>
              <w:sz w:val="22"/>
              <w:szCs w:val="22"/>
            </w:rPr>
            <w:t>55</w:t>
          </w:r>
          <w:r w:rsidRPr="000708BC">
            <w:rPr>
              <w:rFonts w:ascii="Arial" w:hAnsi="Arial" w:cs="Arial"/>
              <w:color w:val="000000"/>
              <w:sz w:val="22"/>
              <w:szCs w:val="22"/>
            </w:rPr>
            <w:t>, 26–41. https://doi.org/10.1016/j.ijhydene.2023.10.192</w:t>
          </w:r>
        </w:p>
        <w:p w14:paraId="2552E63A" w14:textId="77777777" w:rsidR="00E149E7" w:rsidRPr="000708BC" w:rsidRDefault="00E149E7">
          <w:pPr>
            <w:autoSpaceDE w:val="0"/>
            <w:autoSpaceDN w:val="0"/>
            <w:ind w:hanging="480"/>
            <w:divId w:val="1639459452"/>
            <w:rPr>
              <w:rFonts w:ascii="Arial" w:hAnsi="Arial" w:cs="Arial"/>
              <w:color w:val="000000"/>
              <w:sz w:val="22"/>
              <w:szCs w:val="22"/>
            </w:rPr>
          </w:pPr>
          <w:r w:rsidRPr="000708BC">
            <w:rPr>
              <w:rFonts w:ascii="Arial" w:hAnsi="Arial" w:cs="Arial"/>
              <w:color w:val="000000"/>
              <w:sz w:val="22"/>
              <w:szCs w:val="22"/>
            </w:rPr>
            <w:t xml:space="preserve">Lagos, G., Peters, D., Videla, A., &amp; Jara, J. J. (2018). The effect of mine aging on the evolution of environmental footprint indicators in the Chilean copper mining industry 2001–2015. </w:t>
          </w:r>
          <w:r w:rsidRPr="000708BC">
            <w:rPr>
              <w:rFonts w:ascii="Arial" w:hAnsi="Arial" w:cs="Arial"/>
              <w:i/>
              <w:iCs/>
              <w:color w:val="000000"/>
              <w:sz w:val="22"/>
              <w:szCs w:val="22"/>
            </w:rPr>
            <w:t>Journal of Cleaner Production</w:t>
          </w:r>
          <w:r w:rsidRPr="000708BC">
            <w:rPr>
              <w:rFonts w:ascii="Arial" w:hAnsi="Arial" w:cs="Arial"/>
              <w:color w:val="000000"/>
              <w:sz w:val="22"/>
              <w:szCs w:val="22"/>
            </w:rPr>
            <w:t xml:space="preserve">, </w:t>
          </w:r>
          <w:r w:rsidRPr="000708BC">
            <w:rPr>
              <w:rFonts w:ascii="Arial" w:hAnsi="Arial" w:cs="Arial"/>
              <w:i/>
              <w:iCs/>
              <w:color w:val="000000"/>
              <w:sz w:val="22"/>
              <w:szCs w:val="22"/>
            </w:rPr>
            <w:t>174</w:t>
          </w:r>
          <w:r w:rsidRPr="000708BC">
            <w:rPr>
              <w:rFonts w:ascii="Arial" w:hAnsi="Arial" w:cs="Arial"/>
              <w:color w:val="000000"/>
              <w:sz w:val="22"/>
              <w:szCs w:val="22"/>
            </w:rPr>
            <w:t>, 389–400. https://doi.org/10.1016/j.jclepro.2017.10.290</w:t>
          </w:r>
        </w:p>
        <w:p w14:paraId="785711B7" w14:textId="77777777" w:rsidR="00E149E7" w:rsidRPr="000708BC" w:rsidRDefault="00E149E7">
          <w:pPr>
            <w:autoSpaceDE w:val="0"/>
            <w:autoSpaceDN w:val="0"/>
            <w:ind w:hanging="480"/>
            <w:divId w:val="1831211097"/>
            <w:rPr>
              <w:rFonts w:ascii="Arial" w:hAnsi="Arial" w:cs="Arial"/>
              <w:color w:val="000000"/>
              <w:sz w:val="22"/>
              <w:szCs w:val="22"/>
            </w:rPr>
          </w:pPr>
          <w:r w:rsidRPr="000708BC">
            <w:rPr>
              <w:rFonts w:ascii="Arial" w:hAnsi="Arial" w:cs="Arial"/>
              <w:color w:val="000000"/>
              <w:sz w:val="22"/>
              <w:szCs w:val="22"/>
            </w:rPr>
            <w:t>London Metal Exchange. (2024, December). LME Copper Official Prices curve.</w:t>
          </w:r>
        </w:p>
        <w:p w14:paraId="3F4F80BB" w14:textId="77777777" w:rsidR="00E149E7" w:rsidRPr="000708BC" w:rsidRDefault="00E149E7">
          <w:pPr>
            <w:autoSpaceDE w:val="0"/>
            <w:autoSpaceDN w:val="0"/>
            <w:ind w:hanging="480"/>
            <w:divId w:val="1040397874"/>
            <w:rPr>
              <w:rFonts w:ascii="Arial" w:hAnsi="Arial" w:cs="Arial"/>
              <w:color w:val="000000"/>
              <w:sz w:val="22"/>
              <w:szCs w:val="22"/>
            </w:rPr>
          </w:pPr>
          <w:r w:rsidRPr="000708BC">
            <w:rPr>
              <w:rFonts w:ascii="Arial" w:hAnsi="Arial" w:cs="Arial"/>
              <w:color w:val="000000"/>
              <w:sz w:val="22"/>
              <w:szCs w:val="22"/>
            </w:rPr>
            <w:t xml:space="preserve">Lotrič, A., Sekavčnik, M., Kuštrin, I., &amp; Mori, M. (2021). Life-cycle assessment of hydrogen technologies with the focus on EU critical raw materials and end-of-life strategies. </w:t>
          </w:r>
          <w:r w:rsidRPr="000708BC">
            <w:rPr>
              <w:rFonts w:ascii="Arial" w:hAnsi="Arial" w:cs="Arial"/>
              <w:i/>
              <w:iCs/>
              <w:color w:val="000000"/>
              <w:sz w:val="22"/>
              <w:szCs w:val="22"/>
            </w:rPr>
            <w:t>International Journal of Hydrogen Energy</w:t>
          </w:r>
          <w:r w:rsidRPr="000708BC">
            <w:rPr>
              <w:rFonts w:ascii="Arial" w:hAnsi="Arial" w:cs="Arial"/>
              <w:color w:val="000000"/>
              <w:sz w:val="22"/>
              <w:szCs w:val="22"/>
            </w:rPr>
            <w:t xml:space="preserve">, </w:t>
          </w:r>
          <w:r w:rsidRPr="000708BC">
            <w:rPr>
              <w:rFonts w:ascii="Arial" w:hAnsi="Arial" w:cs="Arial"/>
              <w:i/>
              <w:iCs/>
              <w:color w:val="000000"/>
              <w:sz w:val="22"/>
              <w:szCs w:val="22"/>
            </w:rPr>
            <w:t>46</w:t>
          </w:r>
          <w:r w:rsidRPr="000708BC">
            <w:rPr>
              <w:rFonts w:ascii="Arial" w:hAnsi="Arial" w:cs="Arial"/>
              <w:color w:val="000000"/>
              <w:sz w:val="22"/>
              <w:szCs w:val="22"/>
            </w:rPr>
            <w:t>(16), 10143–10160. https://doi.org/10.1016/j.ijhydene.2020.06.190</w:t>
          </w:r>
        </w:p>
        <w:p w14:paraId="680A6B4F" w14:textId="77777777" w:rsidR="00E149E7" w:rsidRPr="000708BC" w:rsidRDefault="00E149E7">
          <w:pPr>
            <w:autoSpaceDE w:val="0"/>
            <w:autoSpaceDN w:val="0"/>
            <w:ind w:hanging="480"/>
            <w:divId w:val="678387531"/>
            <w:rPr>
              <w:rFonts w:ascii="Arial" w:hAnsi="Arial" w:cs="Arial"/>
              <w:color w:val="000000"/>
              <w:sz w:val="22"/>
              <w:szCs w:val="22"/>
            </w:rPr>
          </w:pPr>
          <w:r w:rsidRPr="000708BC">
            <w:rPr>
              <w:rFonts w:ascii="Arial" w:hAnsi="Arial" w:cs="Arial"/>
              <w:color w:val="000000"/>
              <w:sz w:val="22"/>
              <w:szCs w:val="22"/>
            </w:rPr>
            <w:t xml:space="preserve">Mining Council of Chile. (2024). </w:t>
          </w:r>
          <w:r w:rsidRPr="000708BC">
            <w:rPr>
              <w:rFonts w:ascii="Arial" w:hAnsi="Arial" w:cs="Arial"/>
              <w:i/>
              <w:iCs/>
              <w:color w:val="000000"/>
              <w:sz w:val="22"/>
              <w:szCs w:val="22"/>
            </w:rPr>
            <w:t>Updated Mining Figures</w:t>
          </w:r>
          <w:r w:rsidRPr="000708BC">
            <w:rPr>
              <w:rFonts w:ascii="Arial" w:hAnsi="Arial" w:cs="Arial"/>
              <w:color w:val="000000"/>
              <w:sz w:val="22"/>
              <w:szCs w:val="22"/>
            </w:rPr>
            <w:t>. Santiago, Chile. Retrieved from https://consejominero.cl/wp-content/uploads/2024/05/20240527-CAM.pdf</w:t>
          </w:r>
        </w:p>
        <w:p w14:paraId="72C3ACAF" w14:textId="77777777" w:rsidR="00E149E7" w:rsidRPr="000708BC" w:rsidRDefault="00E149E7">
          <w:pPr>
            <w:autoSpaceDE w:val="0"/>
            <w:autoSpaceDN w:val="0"/>
            <w:ind w:hanging="480"/>
            <w:divId w:val="1765300589"/>
            <w:rPr>
              <w:rFonts w:ascii="Arial" w:hAnsi="Arial" w:cs="Arial"/>
              <w:color w:val="000000"/>
              <w:sz w:val="22"/>
              <w:szCs w:val="22"/>
            </w:rPr>
          </w:pPr>
          <w:r w:rsidRPr="000708BC">
            <w:rPr>
              <w:rFonts w:ascii="Arial" w:hAnsi="Arial" w:cs="Arial"/>
              <w:color w:val="000000"/>
              <w:sz w:val="22"/>
              <w:szCs w:val="22"/>
            </w:rPr>
            <w:t>Ministry of Energy, C. (2021). Long-Term Energy Planning.</w:t>
          </w:r>
        </w:p>
        <w:p w14:paraId="57C4A07F" w14:textId="77777777" w:rsidR="00E149E7" w:rsidRPr="000708BC" w:rsidRDefault="00E149E7">
          <w:pPr>
            <w:autoSpaceDE w:val="0"/>
            <w:autoSpaceDN w:val="0"/>
            <w:ind w:hanging="480"/>
            <w:divId w:val="1348408168"/>
            <w:rPr>
              <w:rFonts w:ascii="Arial" w:hAnsi="Arial" w:cs="Arial"/>
              <w:color w:val="000000"/>
              <w:sz w:val="22"/>
              <w:szCs w:val="22"/>
            </w:rPr>
          </w:pPr>
          <w:r w:rsidRPr="000708BC">
            <w:rPr>
              <w:rFonts w:ascii="Arial" w:hAnsi="Arial" w:cs="Arial"/>
              <w:color w:val="000000"/>
              <w:sz w:val="22"/>
              <w:szCs w:val="22"/>
            </w:rPr>
            <w:t xml:space="preserve">Ministry of Mines Chile. </w:t>
          </w:r>
          <w:r w:rsidRPr="000708BC">
            <w:rPr>
              <w:rFonts w:ascii="Arial" w:hAnsi="Arial" w:cs="Arial"/>
              <w:i/>
              <w:iCs/>
              <w:color w:val="000000"/>
              <w:sz w:val="22"/>
              <w:szCs w:val="22"/>
            </w:rPr>
            <w:t>National Mining Policy 2050</w:t>
          </w:r>
          <w:r w:rsidRPr="000708BC">
            <w:rPr>
              <w:rFonts w:ascii="Arial" w:hAnsi="Arial" w:cs="Arial"/>
              <w:color w:val="000000"/>
              <w:sz w:val="22"/>
              <w:szCs w:val="22"/>
            </w:rPr>
            <w:t>. , (2021). Chile.</w:t>
          </w:r>
        </w:p>
        <w:p w14:paraId="2D4E09C5" w14:textId="77777777" w:rsidR="00E149E7" w:rsidRPr="000708BC" w:rsidRDefault="00E149E7">
          <w:pPr>
            <w:autoSpaceDE w:val="0"/>
            <w:autoSpaceDN w:val="0"/>
            <w:ind w:hanging="480"/>
            <w:divId w:val="421148277"/>
            <w:rPr>
              <w:rFonts w:ascii="Arial" w:hAnsi="Arial" w:cs="Arial"/>
              <w:color w:val="000000"/>
              <w:sz w:val="22"/>
              <w:szCs w:val="22"/>
            </w:rPr>
          </w:pPr>
          <w:r w:rsidRPr="000708BC">
            <w:rPr>
              <w:rFonts w:ascii="Arial" w:hAnsi="Arial" w:cs="Arial"/>
              <w:color w:val="000000"/>
              <w:sz w:val="22"/>
              <w:szCs w:val="22"/>
            </w:rPr>
            <w:t xml:space="preserve">Ministry of Mining Chile. (2021). </w:t>
          </w:r>
          <w:r w:rsidRPr="000708BC">
            <w:rPr>
              <w:rFonts w:ascii="Arial" w:hAnsi="Arial" w:cs="Arial"/>
              <w:i/>
              <w:iCs/>
              <w:color w:val="000000"/>
              <w:sz w:val="22"/>
              <w:szCs w:val="22"/>
            </w:rPr>
            <w:t>Chilean Mining Policy 2050</w:t>
          </w:r>
          <w:r w:rsidRPr="000708BC">
            <w:rPr>
              <w:rFonts w:ascii="Arial" w:hAnsi="Arial" w:cs="Arial"/>
              <w:color w:val="000000"/>
              <w:sz w:val="22"/>
              <w:szCs w:val="22"/>
            </w:rPr>
            <w:t>.</w:t>
          </w:r>
        </w:p>
        <w:p w14:paraId="25D9980B" w14:textId="77777777" w:rsidR="00E149E7" w:rsidRPr="000708BC" w:rsidRDefault="00E149E7">
          <w:pPr>
            <w:autoSpaceDE w:val="0"/>
            <w:autoSpaceDN w:val="0"/>
            <w:ind w:hanging="480"/>
            <w:divId w:val="1216547352"/>
            <w:rPr>
              <w:rFonts w:ascii="Arial" w:hAnsi="Arial" w:cs="Arial"/>
              <w:color w:val="000000"/>
              <w:sz w:val="22"/>
              <w:szCs w:val="22"/>
            </w:rPr>
          </w:pPr>
          <w:r w:rsidRPr="000708BC">
            <w:rPr>
              <w:rFonts w:ascii="Arial" w:hAnsi="Arial" w:cs="Arial"/>
              <w:color w:val="000000"/>
              <w:sz w:val="22"/>
              <w:szCs w:val="22"/>
            </w:rPr>
            <w:t xml:space="preserve">Molina, A., Falvey, M., &amp; Rondanelli, R. (2017). A solar radiation database for Chile. </w:t>
          </w:r>
          <w:r w:rsidRPr="000708BC">
            <w:rPr>
              <w:rFonts w:ascii="Arial" w:hAnsi="Arial" w:cs="Arial"/>
              <w:i/>
              <w:iCs/>
              <w:color w:val="000000"/>
              <w:sz w:val="22"/>
              <w:szCs w:val="22"/>
            </w:rPr>
            <w:t>Scientific Reports</w:t>
          </w:r>
          <w:r w:rsidRPr="000708BC">
            <w:rPr>
              <w:rFonts w:ascii="Arial" w:hAnsi="Arial" w:cs="Arial"/>
              <w:color w:val="000000"/>
              <w:sz w:val="22"/>
              <w:szCs w:val="22"/>
            </w:rPr>
            <w:t xml:space="preserve">, </w:t>
          </w:r>
          <w:r w:rsidRPr="000708BC">
            <w:rPr>
              <w:rFonts w:ascii="Arial" w:hAnsi="Arial" w:cs="Arial"/>
              <w:i/>
              <w:iCs/>
              <w:color w:val="000000"/>
              <w:sz w:val="22"/>
              <w:szCs w:val="22"/>
            </w:rPr>
            <w:t>7</w:t>
          </w:r>
          <w:r w:rsidRPr="000708BC">
            <w:rPr>
              <w:rFonts w:ascii="Arial" w:hAnsi="Arial" w:cs="Arial"/>
              <w:color w:val="000000"/>
              <w:sz w:val="22"/>
              <w:szCs w:val="22"/>
            </w:rPr>
            <w:t>(1). https://doi.org/10.1038/s41598-017-13761-x</w:t>
          </w:r>
        </w:p>
        <w:p w14:paraId="27AAB0CB" w14:textId="77777777" w:rsidR="00E149E7" w:rsidRPr="000708BC" w:rsidRDefault="00E149E7">
          <w:pPr>
            <w:autoSpaceDE w:val="0"/>
            <w:autoSpaceDN w:val="0"/>
            <w:ind w:hanging="480"/>
            <w:divId w:val="1233152327"/>
            <w:rPr>
              <w:rFonts w:ascii="Arial" w:hAnsi="Arial" w:cs="Arial"/>
              <w:color w:val="000000"/>
              <w:sz w:val="22"/>
              <w:szCs w:val="22"/>
            </w:rPr>
          </w:pPr>
          <w:r w:rsidRPr="000708BC">
            <w:rPr>
              <w:rFonts w:ascii="Arial" w:hAnsi="Arial" w:cs="Arial"/>
              <w:color w:val="000000"/>
              <w:sz w:val="22"/>
              <w:szCs w:val="22"/>
            </w:rPr>
            <w:t xml:space="preserve">Norgate, T., &amp; Jahanshahi, S. (2006). </w:t>
          </w:r>
          <w:r w:rsidRPr="000708BC">
            <w:rPr>
              <w:rFonts w:ascii="Arial" w:hAnsi="Arial" w:cs="Arial"/>
              <w:i/>
              <w:iCs/>
              <w:color w:val="000000"/>
              <w:sz w:val="22"/>
              <w:szCs w:val="22"/>
            </w:rPr>
            <w:t>Energy and greenhouse gas implications of deteriorating quality ore reserves</w:t>
          </w:r>
          <w:r w:rsidRPr="000708BC">
            <w:rPr>
              <w:rFonts w:ascii="Arial" w:hAnsi="Arial" w:cs="Arial"/>
              <w:color w:val="000000"/>
              <w:sz w:val="22"/>
              <w:szCs w:val="22"/>
            </w:rPr>
            <w:t>.</w:t>
          </w:r>
        </w:p>
        <w:p w14:paraId="5A4D2A92" w14:textId="77777777" w:rsidR="00E149E7" w:rsidRPr="000708BC" w:rsidRDefault="00E149E7">
          <w:pPr>
            <w:autoSpaceDE w:val="0"/>
            <w:autoSpaceDN w:val="0"/>
            <w:ind w:hanging="480"/>
            <w:divId w:val="1843467049"/>
            <w:rPr>
              <w:rFonts w:ascii="Arial" w:hAnsi="Arial" w:cs="Arial"/>
              <w:color w:val="000000"/>
              <w:sz w:val="22"/>
              <w:szCs w:val="22"/>
            </w:rPr>
          </w:pPr>
          <w:r w:rsidRPr="000708BC">
            <w:rPr>
              <w:rFonts w:ascii="Arial" w:hAnsi="Arial" w:cs="Arial"/>
              <w:color w:val="000000"/>
              <w:sz w:val="22"/>
              <w:szCs w:val="22"/>
            </w:rPr>
            <w:t xml:space="preserve">Norgate, T., &amp; Jahanshahi, S. (2010). Low grade ores - Smelt, leach or concentrate? </w:t>
          </w:r>
          <w:r w:rsidRPr="000708BC">
            <w:rPr>
              <w:rFonts w:ascii="Arial" w:hAnsi="Arial" w:cs="Arial"/>
              <w:i/>
              <w:iCs/>
              <w:color w:val="000000"/>
              <w:sz w:val="22"/>
              <w:szCs w:val="22"/>
            </w:rPr>
            <w:t>Minerals Engineering</w:t>
          </w:r>
          <w:r w:rsidRPr="000708BC">
            <w:rPr>
              <w:rFonts w:ascii="Arial" w:hAnsi="Arial" w:cs="Arial"/>
              <w:color w:val="000000"/>
              <w:sz w:val="22"/>
              <w:szCs w:val="22"/>
            </w:rPr>
            <w:t xml:space="preserve">, </w:t>
          </w:r>
          <w:r w:rsidRPr="000708BC">
            <w:rPr>
              <w:rFonts w:ascii="Arial" w:hAnsi="Arial" w:cs="Arial"/>
              <w:i/>
              <w:iCs/>
              <w:color w:val="000000"/>
              <w:sz w:val="22"/>
              <w:szCs w:val="22"/>
            </w:rPr>
            <w:t>23</w:t>
          </w:r>
          <w:r w:rsidRPr="000708BC">
            <w:rPr>
              <w:rFonts w:ascii="Arial" w:hAnsi="Arial" w:cs="Arial"/>
              <w:color w:val="000000"/>
              <w:sz w:val="22"/>
              <w:szCs w:val="22"/>
            </w:rPr>
            <w:t>(2), 65–73. https://doi.org/10.1016/j.mineng.2009.10.002</w:t>
          </w:r>
        </w:p>
        <w:p w14:paraId="5D67002C" w14:textId="77777777" w:rsidR="00E149E7" w:rsidRPr="000708BC" w:rsidRDefault="00E149E7">
          <w:pPr>
            <w:autoSpaceDE w:val="0"/>
            <w:autoSpaceDN w:val="0"/>
            <w:ind w:hanging="480"/>
            <w:divId w:val="659507565"/>
            <w:rPr>
              <w:rFonts w:ascii="Arial" w:hAnsi="Arial" w:cs="Arial"/>
              <w:color w:val="000000"/>
              <w:sz w:val="22"/>
              <w:szCs w:val="22"/>
            </w:rPr>
          </w:pPr>
          <w:r w:rsidRPr="000708BC">
            <w:rPr>
              <w:rFonts w:ascii="Arial" w:hAnsi="Arial" w:cs="Arial"/>
              <w:color w:val="000000"/>
              <w:sz w:val="22"/>
              <w:szCs w:val="22"/>
            </w:rPr>
            <w:t xml:space="preserve">Northey, S., Mohr, S., Mudd, G. M., Weng, Z., &amp; Giurco, D. (2014). Modelling future copper ore grade decline based on a detailed assessment of copper resources and mining. </w:t>
          </w:r>
          <w:r w:rsidRPr="000708BC">
            <w:rPr>
              <w:rFonts w:ascii="Arial" w:hAnsi="Arial" w:cs="Arial"/>
              <w:i/>
              <w:iCs/>
              <w:color w:val="000000"/>
              <w:sz w:val="22"/>
              <w:szCs w:val="22"/>
            </w:rPr>
            <w:t>Resources, Conservation and Recycling</w:t>
          </w:r>
          <w:r w:rsidRPr="000708BC">
            <w:rPr>
              <w:rFonts w:ascii="Arial" w:hAnsi="Arial" w:cs="Arial"/>
              <w:color w:val="000000"/>
              <w:sz w:val="22"/>
              <w:szCs w:val="22"/>
            </w:rPr>
            <w:t xml:space="preserve">, </w:t>
          </w:r>
          <w:r w:rsidRPr="000708BC">
            <w:rPr>
              <w:rFonts w:ascii="Arial" w:hAnsi="Arial" w:cs="Arial"/>
              <w:i/>
              <w:iCs/>
              <w:color w:val="000000"/>
              <w:sz w:val="22"/>
              <w:szCs w:val="22"/>
            </w:rPr>
            <w:t>83</w:t>
          </w:r>
          <w:r w:rsidRPr="000708BC">
            <w:rPr>
              <w:rFonts w:ascii="Arial" w:hAnsi="Arial" w:cs="Arial"/>
              <w:color w:val="000000"/>
              <w:sz w:val="22"/>
              <w:szCs w:val="22"/>
            </w:rPr>
            <w:t>, 190–201. https://doi.org/10.1016/j.resconrec.2013.10.005</w:t>
          </w:r>
        </w:p>
        <w:p w14:paraId="537E8FB8" w14:textId="77777777" w:rsidR="00E149E7" w:rsidRPr="000708BC" w:rsidRDefault="00E149E7">
          <w:pPr>
            <w:autoSpaceDE w:val="0"/>
            <w:autoSpaceDN w:val="0"/>
            <w:ind w:hanging="480"/>
            <w:divId w:val="2028604485"/>
            <w:rPr>
              <w:rFonts w:ascii="Arial" w:hAnsi="Arial" w:cs="Arial"/>
              <w:color w:val="000000"/>
              <w:sz w:val="22"/>
              <w:szCs w:val="22"/>
            </w:rPr>
          </w:pPr>
          <w:r w:rsidRPr="000708BC">
            <w:rPr>
              <w:rFonts w:ascii="Arial" w:hAnsi="Arial" w:cs="Arial"/>
              <w:color w:val="000000"/>
              <w:sz w:val="22"/>
              <w:szCs w:val="22"/>
            </w:rPr>
            <w:t xml:space="preserve">PRé Sustainability. (2023). </w:t>
          </w:r>
          <w:r w:rsidRPr="000708BC">
            <w:rPr>
              <w:rFonts w:ascii="Arial" w:hAnsi="Arial" w:cs="Arial"/>
              <w:i/>
              <w:iCs/>
              <w:color w:val="000000"/>
              <w:sz w:val="22"/>
              <w:szCs w:val="22"/>
            </w:rPr>
            <w:t>SimaPro</w:t>
          </w:r>
          <w:r w:rsidRPr="000708BC">
            <w:rPr>
              <w:rFonts w:ascii="Arial" w:hAnsi="Arial" w:cs="Arial"/>
              <w:color w:val="000000"/>
              <w:sz w:val="22"/>
              <w:szCs w:val="22"/>
            </w:rPr>
            <w:t>.</w:t>
          </w:r>
        </w:p>
        <w:p w14:paraId="395C69B9" w14:textId="77777777" w:rsidR="00E149E7" w:rsidRPr="000708BC" w:rsidRDefault="00E149E7">
          <w:pPr>
            <w:autoSpaceDE w:val="0"/>
            <w:autoSpaceDN w:val="0"/>
            <w:ind w:hanging="480"/>
            <w:divId w:val="784153767"/>
            <w:rPr>
              <w:rFonts w:ascii="Arial" w:hAnsi="Arial" w:cs="Arial"/>
              <w:color w:val="000000"/>
              <w:sz w:val="22"/>
              <w:szCs w:val="22"/>
            </w:rPr>
          </w:pPr>
          <w:r w:rsidRPr="000708BC">
            <w:rPr>
              <w:rFonts w:ascii="Arial" w:hAnsi="Arial" w:cs="Arial"/>
              <w:color w:val="000000"/>
              <w:sz w:val="22"/>
              <w:szCs w:val="22"/>
            </w:rPr>
            <w:t xml:space="preserve">Reuß, M., Grube, T., Robinius, M., Preuster, P., Wasserscheid, P., &amp; Stolten, D. (2017). Seasonal storage and alternative carriers: A flexible hydrogen supply chain model. </w:t>
          </w:r>
          <w:r w:rsidRPr="000708BC">
            <w:rPr>
              <w:rFonts w:ascii="Arial" w:hAnsi="Arial" w:cs="Arial"/>
              <w:i/>
              <w:iCs/>
              <w:color w:val="000000"/>
              <w:sz w:val="22"/>
              <w:szCs w:val="22"/>
            </w:rPr>
            <w:t>Applied Energy</w:t>
          </w:r>
          <w:r w:rsidRPr="000708BC">
            <w:rPr>
              <w:rFonts w:ascii="Arial" w:hAnsi="Arial" w:cs="Arial"/>
              <w:color w:val="000000"/>
              <w:sz w:val="22"/>
              <w:szCs w:val="22"/>
            </w:rPr>
            <w:t xml:space="preserve">, </w:t>
          </w:r>
          <w:r w:rsidRPr="000708BC">
            <w:rPr>
              <w:rFonts w:ascii="Arial" w:hAnsi="Arial" w:cs="Arial"/>
              <w:i/>
              <w:iCs/>
              <w:color w:val="000000"/>
              <w:sz w:val="22"/>
              <w:szCs w:val="22"/>
            </w:rPr>
            <w:t>200</w:t>
          </w:r>
          <w:r w:rsidRPr="000708BC">
            <w:rPr>
              <w:rFonts w:ascii="Arial" w:hAnsi="Arial" w:cs="Arial"/>
              <w:color w:val="000000"/>
              <w:sz w:val="22"/>
              <w:szCs w:val="22"/>
            </w:rPr>
            <w:t>, 290–302. https://doi.org/10.1016/j.apenergy.2017.05.050</w:t>
          </w:r>
        </w:p>
        <w:p w14:paraId="2950BCEB" w14:textId="77777777" w:rsidR="00E149E7" w:rsidRPr="000708BC" w:rsidRDefault="00E149E7">
          <w:pPr>
            <w:autoSpaceDE w:val="0"/>
            <w:autoSpaceDN w:val="0"/>
            <w:ind w:hanging="480"/>
            <w:divId w:val="1783497606"/>
            <w:rPr>
              <w:rFonts w:ascii="Arial" w:hAnsi="Arial" w:cs="Arial"/>
              <w:color w:val="000000"/>
              <w:sz w:val="22"/>
              <w:szCs w:val="22"/>
            </w:rPr>
          </w:pPr>
          <w:r w:rsidRPr="000708BC">
            <w:rPr>
              <w:rFonts w:ascii="Arial" w:hAnsi="Arial" w:cs="Arial"/>
              <w:color w:val="000000"/>
              <w:sz w:val="22"/>
              <w:szCs w:val="22"/>
            </w:rPr>
            <w:t xml:space="preserve">Smith, B. L., Sekar, A., Mirletz, H., Heath, G., &amp; Margolis, R. (2024). </w:t>
          </w:r>
          <w:r w:rsidRPr="000708BC">
            <w:rPr>
              <w:rFonts w:ascii="Arial" w:hAnsi="Arial" w:cs="Arial"/>
              <w:i/>
              <w:iCs/>
              <w:color w:val="000000"/>
              <w:sz w:val="22"/>
              <w:szCs w:val="22"/>
            </w:rPr>
            <w:t>An Updated Life Cycle Assessment of Utility-Scale Solar Photovoltaic Systems Installed in the United States</w:t>
          </w:r>
          <w:r w:rsidRPr="000708BC">
            <w:rPr>
              <w:rFonts w:ascii="Arial" w:hAnsi="Arial" w:cs="Arial"/>
              <w:color w:val="000000"/>
              <w:sz w:val="22"/>
              <w:szCs w:val="22"/>
            </w:rPr>
            <w:t>. Retrieved from www.nrel.gov/publications.</w:t>
          </w:r>
        </w:p>
        <w:p w14:paraId="196C4DA1" w14:textId="77777777" w:rsidR="00E149E7" w:rsidRPr="000708BC" w:rsidRDefault="00E149E7">
          <w:pPr>
            <w:autoSpaceDE w:val="0"/>
            <w:autoSpaceDN w:val="0"/>
            <w:ind w:hanging="480"/>
            <w:divId w:val="1152600275"/>
            <w:rPr>
              <w:rFonts w:ascii="Arial" w:hAnsi="Arial" w:cs="Arial"/>
              <w:color w:val="000000"/>
              <w:sz w:val="22"/>
              <w:szCs w:val="22"/>
            </w:rPr>
          </w:pPr>
          <w:r w:rsidRPr="000708BC">
            <w:rPr>
              <w:rFonts w:ascii="Arial" w:hAnsi="Arial" w:cs="Arial"/>
              <w:color w:val="000000"/>
              <w:sz w:val="22"/>
              <w:szCs w:val="22"/>
            </w:rPr>
            <w:t xml:space="preserve">Tsiklios, C., Hermesmann, M., &amp; Müller, T. E. (2022). Hydrogen transport in large-scale transmission pipeline networks: Thermodynamic and environmental assessment of repurposed and new pipeline configurations. </w:t>
          </w:r>
          <w:r w:rsidRPr="000708BC">
            <w:rPr>
              <w:rFonts w:ascii="Arial" w:hAnsi="Arial" w:cs="Arial"/>
              <w:i/>
              <w:iCs/>
              <w:color w:val="000000"/>
              <w:sz w:val="22"/>
              <w:szCs w:val="22"/>
            </w:rPr>
            <w:t>Applied Energy</w:t>
          </w:r>
          <w:r w:rsidRPr="000708BC">
            <w:rPr>
              <w:rFonts w:ascii="Arial" w:hAnsi="Arial" w:cs="Arial"/>
              <w:color w:val="000000"/>
              <w:sz w:val="22"/>
              <w:szCs w:val="22"/>
            </w:rPr>
            <w:t xml:space="preserve">, </w:t>
          </w:r>
          <w:r w:rsidRPr="000708BC">
            <w:rPr>
              <w:rFonts w:ascii="Arial" w:hAnsi="Arial" w:cs="Arial"/>
              <w:i/>
              <w:iCs/>
              <w:color w:val="000000"/>
              <w:sz w:val="22"/>
              <w:szCs w:val="22"/>
            </w:rPr>
            <w:t>327</w:t>
          </w:r>
          <w:r w:rsidRPr="000708BC">
            <w:rPr>
              <w:rFonts w:ascii="Arial" w:hAnsi="Arial" w:cs="Arial"/>
              <w:color w:val="000000"/>
              <w:sz w:val="22"/>
              <w:szCs w:val="22"/>
            </w:rPr>
            <w:t>. https://doi.org/10.1016/j.apenergy.2022.120097</w:t>
          </w:r>
        </w:p>
        <w:p w14:paraId="6AEACD30" w14:textId="77777777" w:rsidR="00E149E7" w:rsidRPr="000708BC" w:rsidRDefault="00E149E7">
          <w:pPr>
            <w:autoSpaceDE w:val="0"/>
            <w:autoSpaceDN w:val="0"/>
            <w:ind w:hanging="480"/>
            <w:divId w:val="1888297685"/>
            <w:rPr>
              <w:rFonts w:ascii="Arial" w:hAnsi="Arial" w:cs="Arial"/>
              <w:color w:val="000000"/>
              <w:sz w:val="22"/>
              <w:szCs w:val="22"/>
            </w:rPr>
          </w:pPr>
          <w:r w:rsidRPr="000708BC">
            <w:rPr>
              <w:rFonts w:ascii="Arial" w:hAnsi="Arial" w:cs="Arial"/>
              <w:color w:val="000000"/>
              <w:sz w:val="22"/>
              <w:szCs w:val="22"/>
            </w:rPr>
            <w:t xml:space="preserve">Wernet, G., Bauer, C., Steubing, B., Reinhard, J., Moreno-Ruiz, E., &amp; Weidema, B. (2016). The ecoinvent database version 3 (part I): overview and methodology. </w:t>
          </w:r>
          <w:r w:rsidRPr="000708BC">
            <w:rPr>
              <w:rFonts w:ascii="Arial" w:hAnsi="Arial" w:cs="Arial"/>
              <w:i/>
              <w:iCs/>
              <w:color w:val="000000"/>
              <w:sz w:val="22"/>
              <w:szCs w:val="22"/>
            </w:rPr>
            <w:t>International Journal of Life Cycle Assessment</w:t>
          </w:r>
          <w:r w:rsidRPr="000708BC">
            <w:rPr>
              <w:rFonts w:ascii="Arial" w:hAnsi="Arial" w:cs="Arial"/>
              <w:color w:val="000000"/>
              <w:sz w:val="22"/>
              <w:szCs w:val="22"/>
            </w:rPr>
            <w:t xml:space="preserve">, </w:t>
          </w:r>
          <w:r w:rsidRPr="000708BC">
            <w:rPr>
              <w:rFonts w:ascii="Arial" w:hAnsi="Arial" w:cs="Arial"/>
              <w:i/>
              <w:iCs/>
              <w:color w:val="000000"/>
              <w:sz w:val="22"/>
              <w:szCs w:val="22"/>
            </w:rPr>
            <w:t>21</w:t>
          </w:r>
          <w:r w:rsidRPr="000708BC">
            <w:rPr>
              <w:rFonts w:ascii="Arial" w:hAnsi="Arial" w:cs="Arial"/>
              <w:color w:val="000000"/>
              <w:sz w:val="22"/>
              <w:szCs w:val="22"/>
            </w:rPr>
            <w:t>(9), 1218–1230. https://doi.org/10.1007/s11367-016-1087-8</w:t>
          </w:r>
        </w:p>
        <w:p w14:paraId="4CCE9104" w14:textId="77777777" w:rsidR="00E149E7" w:rsidRPr="000708BC" w:rsidRDefault="00E149E7">
          <w:pPr>
            <w:autoSpaceDE w:val="0"/>
            <w:autoSpaceDN w:val="0"/>
            <w:ind w:hanging="480"/>
            <w:divId w:val="1231694518"/>
            <w:rPr>
              <w:rFonts w:ascii="Arial" w:hAnsi="Arial" w:cs="Arial"/>
              <w:color w:val="000000"/>
              <w:sz w:val="22"/>
              <w:szCs w:val="22"/>
            </w:rPr>
          </w:pPr>
          <w:r w:rsidRPr="000708BC">
            <w:rPr>
              <w:rFonts w:ascii="Arial" w:hAnsi="Arial" w:cs="Arial"/>
              <w:color w:val="000000"/>
              <w:sz w:val="22"/>
              <w:szCs w:val="22"/>
            </w:rPr>
            <w:t xml:space="preserve">White, F. M. (1998). </w:t>
          </w:r>
          <w:r w:rsidRPr="000708BC">
            <w:rPr>
              <w:rFonts w:ascii="Arial" w:hAnsi="Arial" w:cs="Arial"/>
              <w:i/>
              <w:iCs/>
              <w:color w:val="000000"/>
              <w:sz w:val="22"/>
              <w:szCs w:val="22"/>
            </w:rPr>
            <w:t>Fluid Mechanics</w:t>
          </w:r>
          <w:r w:rsidRPr="000708BC">
            <w:rPr>
              <w:rFonts w:ascii="Arial" w:hAnsi="Arial" w:cs="Arial"/>
              <w:color w:val="000000"/>
              <w:sz w:val="22"/>
              <w:szCs w:val="22"/>
            </w:rPr>
            <w:t xml:space="preserve"> (4th ed.; J. P. Holman &amp; J. Lloyd, Eds.). McGraw-Hill Science Engineering.</w:t>
          </w:r>
        </w:p>
        <w:p w14:paraId="2B9E138E" w14:textId="77777777" w:rsidR="00E149E7" w:rsidRPr="000708BC" w:rsidRDefault="00E149E7">
          <w:pPr>
            <w:autoSpaceDE w:val="0"/>
            <w:autoSpaceDN w:val="0"/>
            <w:ind w:hanging="480"/>
            <w:divId w:val="506866208"/>
            <w:rPr>
              <w:rFonts w:ascii="Arial" w:hAnsi="Arial" w:cs="Arial"/>
              <w:color w:val="000000"/>
              <w:sz w:val="22"/>
              <w:szCs w:val="22"/>
            </w:rPr>
          </w:pPr>
          <w:r w:rsidRPr="000708BC">
            <w:rPr>
              <w:rFonts w:ascii="Arial" w:hAnsi="Arial" w:cs="Arial"/>
              <w:color w:val="000000"/>
              <w:sz w:val="22"/>
              <w:szCs w:val="22"/>
            </w:rPr>
            <w:lastRenderedPageBreak/>
            <w:t xml:space="preserve">Wulf, C., Reuß, M., Grube, T., Zapp, P., Robinius, M., Hake, J. F., &amp; Stolten, D. (2018). Life Cycle Assessment of hydrogen transport and distribution options. </w:t>
          </w:r>
          <w:r w:rsidRPr="000708BC">
            <w:rPr>
              <w:rFonts w:ascii="Arial" w:hAnsi="Arial" w:cs="Arial"/>
              <w:i/>
              <w:iCs/>
              <w:color w:val="000000"/>
              <w:sz w:val="22"/>
              <w:szCs w:val="22"/>
            </w:rPr>
            <w:t>Journal of Cleaner Production</w:t>
          </w:r>
          <w:r w:rsidRPr="000708BC">
            <w:rPr>
              <w:rFonts w:ascii="Arial" w:hAnsi="Arial" w:cs="Arial"/>
              <w:color w:val="000000"/>
              <w:sz w:val="22"/>
              <w:szCs w:val="22"/>
            </w:rPr>
            <w:t xml:space="preserve">, </w:t>
          </w:r>
          <w:r w:rsidRPr="000708BC">
            <w:rPr>
              <w:rFonts w:ascii="Arial" w:hAnsi="Arial" w:cs="Arial"/>
              <w:i/>
              <w:iCs/>
              <w:color w:val="000000"/>
              <w:sz w:val="22"/>
              <w:szCs w:val="22"/>
            </w:rPr>
            <w:t>199</w:t>
          </w:r>
          <w:r w:rsidRPr="000708BC">
            <w:rPr>
              <w:rFonts w:ascii="Arial" w:hAnsi="Arial" w:cs="Arial"/>
              <w:color w:val="000000"/>
              <w:sz w:val="22"/>
              <w:szCs w:val="22"/>
            </w:rPr>
            <w:t>, 431–443. https://doi.org/10.1016/j.jclepro.2018.07.180</w:t>
          </w:r>
        </w:p>
        <w:p w14:paraId="0B215E23" w14:textId="6A6104E7" w:rsidR="003739E5" w:rsidRPr="000708BC" w:rsidRDefault="00E149E7">
          <w:pPr>
            <w:pStyle w:val="JIEreferencelist"/>
            <w:ind w:left="0" w:firstLine="0"/>
            <w:rPr>
              <w:rFonts w:ascii="Arial" w:hAnsi="Arial" w:cs="Arial"/>
              <w:iCs/>
              <w:sz w:val="22"/>
              <w:szCs w:val="22"/>
            </w:rPr>
          </w:pPr>
          <w:r w:rsidRPr="000708BC">
            <w:rPr>
              <w:rFonts w:ascii="Arial" w:eastAsia="Times New Roman" w:hAnsi="Arial" w:cs="Arial"/>
              <w:color w:val="000000"/>
              <w:sz w:val="22"/>
              <w:szCs w:val="22"/>
            </w:rPr>
            <w:t> </w:t>
          </w:r>
        </w:p>
      </w:sdtContent>
    </w:sdt>
    <w:p w14:paraId="5BCB4E8E" w14:textId="77777777" w:rsidR="00CF42A3" w:rsidRPr="000708BC" w:rsidRDefault="00CF42A3">
      <w:pPr>
        <w:pStyle w:val="JIEreferencelist"/>
        <w:ind w:left="0" w:firstLine="0"/>
        <w:rPr>
          <w:rFonts w:ascii="Arial" w:hAnsi="Arial" w:cs="Arial"/>
          <w:iCs/>
          <w:sz w:val="22"/>
          <w:szCs w:val="22"/>
        </w:rPr>
      </w:pPr>
    </w:p>
    <w:p w14:paraId="2B00331E" w14:textId="77777777" w:rsidR="00CF42A3" w:rsidRPr="000708BC" w:rsidRDefault="00CF42A3">
      <w:pPr>
        <w:pStyle w:val="JIEreferencelist"/>
        <w:ind w:left="0" w:firstLine="0"/>
        <w:rPr>
          <w:rFonts w:ascii="Arial" w:hAnsi="Arial" w:cs="Arial"/>
          <w:iCs/>
          <w:sz w:val="22"/>
          <w:szCs w:val="22"/>
        </w:rPr>
      </w:pPr>
    </w:p>
    <w:sectPr w:rsidR="00CF42A3" w:rsidRPr="000708BC" w:rsidSect="00E921D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74C2C" w14:textId="77777777" w:rsidR="00B604E3" w:rsidRDefault="00B604E3">
      <w:r>
        <w:separator/>
      </w:r>
    </w:p>
  </w:endnote>
  <w:endnote w:type="continuationSeparator" w:id="0">
    <w:p w14:paraId="2A4C665E" w14:textId="77777777" w:rsidR="00B604E3" w:rsidRDefault="00B6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modern"/>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E1606" w14:textId="64C3F010" w:rsidR="00637D84" w:rsidRPr="00DB45F4" w:rsidRDefault="00637D84">
    <w:pPr>
      <w:autoSpaceDE w:val="0"/>
      <w:autoSpaceDN w:val="0"/>
      <w:adjustRightInd w:val="0"/>
      <w:jc w:val="center"/>
    </w:pPr>
    <w:r w:rsidRPr="00DB45F4">
      <w:t>S</w:t>
    </w:r>
    <w:r w:rsidR="002E34C6">
      <w:t>1</w:t>
    </w:r>
    <w:r w:rsidRPr="00DB45F4">
      <w:t>-</w:t>
    </w:r>
    <w:r w:rsidR="00127752" w:rsidRPr="00DB45F4">
      <w:rPr>
        <w:rStyle w:val="PageNumber"/>
        <w:lang w:val="en-GB"/>
      </w:rPr>
      <w:fldChar w:fldCharType="begin"/>
    </w:r>
    <w:r w:rsidRPr="00DB45F4">
      <w:rPr>
        <w:rStyle w:val="PageNumber"/>
        <w:lang w:val="en-GB"/>
      </w:rPr>
      <w:instrText xml:space="preserve"> PAGE </w:instrText>
    </w:r>
    <w:r w:rsidR="00127752" w:rsidRPr="00DB45F4">
      <w:rPr>
        <w:rStyle w:val="PageNumber"/>
        <w:lang w:val="en-GB"/>
      </w:rPr>
      <w:fldChar w:fldCharType="separate"/>
    </w:r>
    <w:r w:rsidR="005342AF" w:rsidRPr="00DB45F4">
      <w:rPr>
        <w:rStyle w:val="PageNumber"/>
        <w:noProof/>
        <w:lang w:val="en-GB"/>
      </w:rPr>
      <w:t>1</w:t>
    </w:r>
    <w:r w:rsidR="00127752" w:rsidRPr="00DB45F4">
      <w:rPr>
        <w:rStyle w:val="PageNumber"/>
        <w:lang w:val="en-GB"/>
      </w:rPr>
      <w:fldChar w:fldCharType="end"/>
    </w:r>
  </w:p>
  <w:p w14:paraId="385FA2E5" w14:textId="77777777" w:rsidR="00637D84" w:rsidRDefault="00637D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BE3B0" w14:textId="77777777" w:rsidR="00B604E3" w:rsidRDefault="00B604E3">
      <w:r>
        <w:separator/>
      </w:r>
    </w:p>
  </w:footnote>
  <w:footnote w:type="continuationSeparator" w:id="0">
    <w:p w14:paraId="4B884F83" w14:textId="77777777" w:rsidR="00B604E3" w:rsidRDefault="00B60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785B" w14:textId="77777777" w:rsidR="00637D84" w:rsidRDefault="00637D84">
    <w:pPr>
      <w:autoSpaceDE w:val="0"/>
      <w:autoSpaceDN w:val="0"/>
      <w:adjustRightInd w:val="0"/>
    </w:pPr>
    <w:r>
      <w:rPr>
        <w:rFonts w:ascii="Arial" w:hAnsi="Arial"/>
        <w:sz w:val="20"/>
      </w:rPr>
      <w:t xml:space="preserve">Journal of Industrial Ecology – </w:t>
    </w:r>
    <w:hyperlink r:id="rId1" w:history="1">
      <w:r w:rsidR="0005253F" w:rsidRPr="0005253F">
        <w:rPr>
          <w:rStyle w:val="Hyperlink"/>
          <w:rFonts w:ascii="Arial" w:hAnsi="Arial" w:cs="Arial"/>
          <w:b/>
          <w:bCs/>
          <w:sz w:val="20"/>
        </w:rPr>
        <w:t>www.wileyonlinelibrary.com/journal/jie</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3B361" w14:textId="77777777" w:rsidR="00637D84" w:rsidRDefault="00637D84">
    <w:pPr>
      <w:pStyle w:val="JIEnormal-noindent"/>
      <w:autoSpaceDE w:val="0"/>
      <w:autoSpaceDN w:val="0"/>
      <w:adjustRightInd w:val="0"/>
      <w:spacing w:line="240" w:lineRule="auto"/>
    </w:pPr>
    <w:r>
      <w:rPr>
        <w:rFonts w:ascii="Arial" w:hAnsi="Arial" w:cs="Arial"/>
        <w:sz w:val="20"/>
      </w:rPr>
      <w:t>2007</w:t>
    </w:r>
    <w:r>
      <w:rPr>
        <w:rFonts w:ascii="Arial" w:hAnsi="Arial" w:cs="Arial"/>
      </w:rPr>
      <w:t xml:space="preserve"> </w:t>
    </w:r>
    <w:r>
      <w:rPr>
        <w:rFonts w:ascii="Arial" w:hAnsi="Arial"/>
        <w:sz w:val="20"/>
      </w:rPr>
      <w:t>Journal of Industrial Ecology – www.mitpressjournals.org/jie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A09E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E4AD6F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316409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CA0C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CFED8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3E69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C88A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EA2C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9564E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3214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337EE4"/>
    <w:multiLevelType w:val="singleLevel"/>
    <w:tmpl w:val="70E47D3E"/>
    <w:lvl w:ilvl="0">
      <w:start w:val="3"/>
      <w:numFmt w:val="bullet"/>
      <w:lvlText w:val="-"/>
      <w:lvlJc w:val="left"/>
      <w:pPr>
        <w:tabs>
          <w:tab w:val="num" w:pos="360"/>
        </w:tabs>
        <w:ind w:left="360" w:hanging="360"/>
      </w:pPr>
      <w:rPr>
        <w:rFonts w:hint="default"/>
      </w:rPr>
    </w:lvl>
  </w:abstractNum>
  <w:abstractNum w:abstractNumId="11" w15:restartNumberingAfterBreak="0">
    <w:nsid w:val="1EAC6C20"/>
    <w:multiLevelType w:val="hybridMultilevel"/>
    <w:tmpl w:val="A67A0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94082F"/>
    <w:multiLevelType w:val="hybridMultilevel"/>
    <w:tmpl w:val="3A6A8574"/>
    <w:lvl w:ilvl="0" w:tplc="1EB21D96">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BF5770"/>
    <w:multiLevelType w:val="singleLevel"/>
    <w:tmpl w:val="33663910"/>
    <w:lvl w:ilvl="0">
      <w:start w:val="1"/>
      <w:numFmt w:val="decimal"/>
      <w:lvlText w:val="(%1)"/>
      <w:lvlJc w:val="left"/>
      <w:pPr>
        <w:tabs>
          <w:tab w:val="num" w:pos="360"/>
        </w:tabs>
        <w:ind w:left="360" w:hanging="360"/>
      </w:pPr>
      <w:rPr>
        <w:rFonts w:hint="default"/>
      </w:rPr>
    </w:lvl>
  </w:abstractNum>
  <w:abstractNum w:abstractNumId="14" w15:restartNumberingAfterBreak="0">
    <w:nsid w:val="25EB5E38"/>
    <w:multiLevelType w:val="singleLevel"/>
    <w:tmpl w:val="BA3E57E0"/>
    <w:lvl w:ilvl="0">
      <w:start w:val="2"/>
      <w:numFmt w:val="bullet"/>
      <w:lvlText w:val="-"/>
      <w:lvlJc w:val="left"/>
      <w:pPr>
        <w:tabs>
          <w:tab w:val="num" w:pos="360"/>
        </w:tabs>
        <w:ind w:left="360" w:hanging="360"/>
      </w:pPr>
      <w:rPr>
        <w:rFonts w:hint="default"/>
      </w:rPr>
    </w:lvl>
  </w:abstractNum>
  <w:abstractNum w:abstractNumId="15" w15:restartNumberingAfterBreak="0">
    <w:nsid w:val="38803DC1"/>
    <w:multiLevelType w:val="singleLevel"/>
    <w:tmpl w:val="A98E3B3E"/>
    <w:lvl w:ilvl="0">
      <w:start w:val="5"/>
      <w:numFmt w:val="decimal"/>
      <w:lvlText w:val="%1."/>
      <w:lvlJc w:val="left"/>
      <w:pPr>
        <w:tabs>
          <w:tab w:val="num" w:pos="360"/>
        </w:tabs>
        <w:ind w:left="360" w:hanging="360"/>
      </w:pPr>
      <w:rPr>
        <w:rFonts w:hint="default"/>
        <w:i/>
      </w:rPr>
    </w:lvl>
  </w:abstractNum>
  <w:abstractNum w:abstractNumId="16" w15:restartNumberingAfterBreak="0">
    <w:nsid w:val="41504999"/>
    <w:multiLevelType w:val="singleLevel"/>
    <w:tmpl w:val="0409000F"/>
    <w:lvl w:ilvl="0">
      <w:start w:val="6"/>
      <w:numFmt w:val="decimal"/>
      <w:lvlText w:val="%1."/>
      <w:lvlJc w:val="left"/>
      <w:pPr>
        <w:tabs>
          <w:tab w:val="num" w:pos="360"/>
        </w:tabs>
        <w:ind w:left="360" w:hanging="360"/>
      </w:pPr>
      <w:rPr>
        <w:rFonts w:hint="default"/>
      </w:rPr>
    </w:lvl>
  </w:abstractNum>
  <w:abstractNum w:abstractNumId="17" w15:restartNumberingAfterBreak="0">
    <w:nsid w:val="49D0692F"/>
    <w:multiLevelType w:val="hybridMultilevel"/>
    <w:tmpl w:val="03DC6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C42E2B"/>
    <w:multiLevelType w:val="singleLevel"/>
    <w:tmpl w:val="DA742C6E"/>
    <w:lvl w:ilvl="0">
      <w:start w:val="1"/>
      <w:numFmt w:val="decimal"/>
      <w:lvlText w:val="(%1)"/>
      <w:lvlJc w:val="left"/>
      <w:pPr>
        <w:tabs>
          <w:tab w:val="num" w:pos="360"/>
        </w:tabs>
        <w:ind w:left="360" w:hanging="360"/>
      </w:pPr>
      <w:rPr>
        <w:rFonts w:hint="default"/>
      </w:rPr>
    </w:lvl>
  </w:abstractNum>
  <w:abstractNum w:abstractNumId="19" w15:restartNumberingAfterBreak="0">
    <w:nsid w:val="59474098"/>
    <w:multiLevelType w:val="singleLevel"/>
    <w:tmpl w:val="0409000F"/>
    <w:lvl w:ilvl="0">
      <w:start w:val="5"/>
      <w:numFmt w:val="decimal"/>
      <w:lvlText w:val="%1."/>
      <w:lvlJc w:val="left"/>
      <w:pPr>
        <w:tabs>
          <w:tab w:val="num" w:pos="360"/>
        </w:tabs>
        <w:ind w:left="360" w:hanging="360"/>
      </w:pPr>
      <w:rPr>
        <w:rFonts w:hint="default"/>
      </w:rPr>
    </w:lvl>
  </w:abstractNum>
  <w:abstractNum w:abstractNumId="20" w15:restartNumberingAfterBreak="0">
    <w:nsid w:val="616817F5"/>
    <w:multiLevelType w:val="singleLevel"/>
    <w:tmpl w:val="7E1C9194"/>
    <w:lvl w:ilvl="0">
      <w:start w:val="1"/>
      <w:numFmt w:val="lowerRoman"/>
      <w:lvlText w:val="(%1)"/>
      <w:lvlJc w:val="left"/>
      <w:pPr>
        <w:tabs>
          <w:tab w:val="num" w:pos="720"/>
        </w:tabs>
        <w:ind w:left="720" w:hanging="720"/>
      </w:pPr>
      <w:rPr>
        <w:rFonts w:hint="default"/>
      </w:rPr>
    </w:lvl>
  </w:abstractNum>
  <w:abstractNum w:abstractNumId="21" w15:restartNumberingAfterBreak="0">
    <w:nsid w:val="65942637"/>
    <w:multiLevelType w:val="singleLevel"/>
    <w:tmpl w:val="6F9C28B6"/>
    <w:lvl w:ilvl="0">
      <w:start w:val="1"/>
      <w:numFmt w:val="bullet"/>
      <w:lvlText w:val="-"/>
      <w:lvlJc w:val="left"/>
      <w:pPr>
        <w:tabs>
          <w:tab w:val="num" w:pos="360"/>
        </w:tabs>
        <w:ind w:left="360" w:hanging="360"/>
      </w:pPr>
      <w:rPr>
        <w:rFonts w:hint="default"/>
      </w:rPr>
    </w:lvl>
  </w:abstractNum>
  <w:abstractNum w:abstractNumId="22" w15:restartNumberingAfterBreak="0">
    <w:nsid w:val="706348D3"/>
    <w:multiLevelType w:val="singleLevel"/>
    <w:tmpl w:val="2DC06656"/>
    <w:lvl w:ilvl="0">
      <w:start w:val="1"/>
      <w:numFmt w:val="decimal"/>
      <w:lvlText w:val="(%1)"/>
      <w:lvlJc w:val="left"/>
      <w:pPr>
        <w:tabs>
          <w:tab w:val="num" w:pos="360"/>
        </w:tabs>
        <w:ind w:left="360" w:hanging="360"/>
      </w:pPr>
      <w:rPr>
        <w:rFonts w:hint="default"/>
      </w:rPr>
    </w:lvl>
  </w:abstractNum>
  <w:abstractNum w:abstractNumId="23" w15:restartNumberingAfterBreak="0">
    <w:nsid w:val="72F15821"/>
    <w:multiLevelType w:val="singleLevel"/>
    <w:tmpl w:val="58A6672C"/>
    <w:lvl w:ilvl="0">
      <w:start w:val="1"/>
      <w:numFmt w:val="bullet"/>
      <w:lvlText w:val="-"/>
      <w:lvlJc w:val="left"/>
      <w:pPr>
        <w:tabs>
          <w:tab w:val="num" w:pos="360"/>
        </w:tabs>
        <w:ind w:left="360" w:hanging="360"/>
      </w:pPr>
      <w:rPr>
        <w:rFonts w:hint="default"/>
      </w:rPr>
    </w:lvl>
  </w:abstractNum>
  <w:abstractNum w:abstractNumId="24" w15:restartNumberingAfterBreak="0">
    <w:nsid w:val="78326307"/>
    <w:multiLevelType w:val="singleLevel"/>
    <w:tmpl w:val="B70838CA"/>
    <w:lvl w:ilvl="0">
      <w:start w:val="8"/>
      <w:numFmt w:val="bullet"/>
      <w:lvlText w:val="-"/>
      <w:lvlJc w:val="left"/>
      <w:pPr>
        <w:tabs>
          <w:tab w:val="num" w:pos="360"/>
        </w:tabs>
        <w:ind w:left="360" w:hanging="360"/>
      </w:pPr>
      <w:rPr>
        <w:rFonts w:hint="default"/>
      </w:rPr>
    </w:lvl>
  </w:abstractNum>
  <w:abstractNum w:abstractNumId="25" w15:restartNumberingAfterBreak="0">
    <w:nsid w:val="793955C5"/>
    <w:multiLevelType w:val="singleLevel"/>
    <w:tmpl w:val="7CC40C30"/>
    <w:lvl w:ilvl="0">
      <w:start w:val="3"/>
      <w:numFmt w:val="bullet"/>
      <w:lvlText w:val="-"/>
      <w:lvlJc w:val="left"/>
      <w:pPr>
        <w:tabs>
          <w:tab w:val="num" w:pos="360"/>
        </w:tabs>
        <w:ind w:left="360" w:hanging="360"/>
      </w:pPr>
      <w:rPr>
        <w:rFonts w:hint="default"/>
      </w:rPr>
    </w:lvl>
  </w:abstractNum>
  <w:num w:numId="1" w16cid:durableId="1379205757">
    <w:abstractNumId w:val="14"/>
  </w:num>
  <w:num w:numId="2" w16cid:durableId="372969949">
    <w:abstractNumId w:val="20"/>
  </w:num>
  <w:num w:numId="3" w16cid:durableId="14120171">
    <w:abstractNumId w:val="23"/>
  </w:num>
  <w:num w:numId="4" w16cid:durableId="782461841">
    <w:abstractNumId w:val="18"/>
  </w:num>
  <w:num w:numId="5" w16cid:durableId="2056348982">
    <w:abstractNumId w:val="22"/>
  </w:num>
  <w:num w:numId="6" w16cid:durableId="104732927">
    <w:abstractNumId w:val="13"/>
  </w:num>
  <w:num w:numId="7" w16cid:durableId="377706141">
    <w:abstractNumId w:val="16"/>
  </w:num>
  <w:num w:numId="8" w16cid:durableId="373041172">
    <w:abstractNumId w:val="25"/>
  </w:num>
  <w:num w:numId="9" w16cid:durableId="794905549">
    <w:abstractNumId w:val="21"/>
  </w:num>
  <w:num w:numId="10" w16cid:durableId="929587366">
    <w:abstractNumId w:val="24"/>
  </w:num>
  <w:num w:numId="11" w16cid:durableId="118038410">
    <w:abstractNumId w:val="19"/>
  </w:num>
  <w:num w:numId="12" w16cid:durableId="580022721">
    <w:abstractNumId w:val="15"/>
  </w:num>
  <w:num w:numId="13" w16cid:durableId="942541890">
    <w:abstractNumId w:val="10"/>
  </w:num>
  <w:num w:numId="14" w16cid:durableId="1896816616">
    <w:abstractNumId w:val="9"/>
  </w:num>
  <w:num w:numId="15" w16cid:durableId="953436780">
    <w:abstractNumId w:val="7"/>
  </w:num>
  <w:num w:numId="16" w16cid:durableId="1727559039">
    <w:abstractNumId w:val="6"/>
  </w:num>
  <w:num w:numId="17" w16cid:durableId="1211839961">
    <w:abstractNumId w:val="5"/>
  </w:num>
  <w:num w:numId="18" w16cid:durableId="39938101">
    <w:abstractNumId w:val="4"/>
  </w:num>
  <w:num w:numId="19" w16cid:durableId="2142653293">
    <w:abstractNumId w:val="8"/>
  </w:num>
  <w:num w:numId="20" w16cid:durableId="1675691143">
    <w:abstractNumId w:val="3"/>
  </w:num>
  <w:num w:numId="21" w16cid:durableId="1685012928">
    <w:abstractNumId w:val="2"/>
  </w:num>
  <w:num w:numId="22" w16cid:durableId="477920742">
    <w:abstractNumId w:val="1"/>
  </w:num>
  <w:num w:numId="23" w16cid:durableId="1148210775">
    <w:abstractNumId w:val="0"/>
  </w:num>
  <w:num w:numId="24" w16cid:durableId="12415577">
    <w:abstractNumId w:val="11"/>
  </w:num>
  <w:num w:numId="25" w16cid:durableId="577598712">
    <w:abstractNumId w:val="12"/>
  </w:num>
  <w:num w:numId="26" w16cid:durableId="1298880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678"/>
    <w:rsid w:val="00001D0F"/>
    <w:rsid w:val="00010C97"/>
    <w:rsid w:val="00013D1E"/>
    <w:rsid w:val="00026AC0"/>
    <w:rsid w:val="0005253F"/>
    <w:rsid w:val="000577DB"/>
    <w:rsid w:val="00065DD4"/>
    <w:rsid w:val="000708BC"/>
    <w:rsid w:val="000A3DE8"/>
    <w:rsid w:val="000C1B25"/>
    <w:rsid w:val="000E1EDA"/>
    <w:rsid w:val="000F3546"/>
    <w:rsid w:val="000F36B0"/>
    <w:rsid w:val="000F428D"/>
    <w:rsid w:val="000F5A02"/>
    <w:rsid w:val="001128B4"/>
    <w:rsid w:val="00122404"/>
    <w:rsid w:val="00126269"/>
    <w:rsid w:val="00127752"/>
    <w:rsid w:val="00130BE4"/>
    <w:rsid w:val="0013509A"/>
    <w:rsid w:val="00140520"/>
    <w:rsid w:val="001478D9"/>
    <w:rsid w:val="00151F63"/>
    <w:rsid w:val="00154BB7"/>
    <w:rsid w:val="001641E2"/>
    <w:rsid w:val="00164C58"/>
    <w:rsid w:val="001748F0"/>
    <w:rsid w:val="00177180"/>
    <w:rsid w:val="001A05F3"/>
    <w:rsid w:val="001B0CD6"/>
    <w:rsid w:val="001B155B"/>
    <w:rsid w:val="001B4683"/>
    <w:rsid w:val="001C01DA"/>
    <w:rsid w:val="001C02FE"/>
    <w:rsid w:val="001C346C"/>
    <w:rsid w:val="001C7728"/>
    <w:rsid w:val="001E2393"/>
    <w:rsid w:val="001E4714"/>
    <w:rsid w:val="001F28E3"/>
    <w:rsid w:val="00201DA9"/>
    <w:rsid w:val="0020220E"/>
    <w:rsid w:val="00205CE4"/>
    <w:rsid w:val="00210627"/>
    <w:rsid w:val="00210B70"/>
    <w:rsid w:val="00236FFC"/>
    <w:rsid w:val="002422C9"/>
    <w:rsid w:val="00243BF0"/>
    <w:rsid w:val="00244AEE"/>
    <w:rsid w:val="00244C3F"/>
    <w:rsid w:val="00252C26"/>
    <w:rsid w:val="002531A2"/>
    <w:rsid w:val="0025530F"/>
    <w:rsid w:val="002641BF"/>
    <w:rsid w:val="0026444F"/>
    <w:rsid w:val="0026556F"/>
    <w:rsid w:val="00281931"/>
    <w:rsid w:val="00286C63"/>
    <w:rsid w:val="00296293"/>
    <w:rsid w:val="002B01AD"/>
    <w:rsid w:val="002B1B19"/>
    <w:rsid w:val="002B5979"/>
    <w:rsid w:val="002C1C26"/>
    <w:rsid w:val="002C25FD"/>
    <w:rsid w:val="002C3BE2"/>
    <w:rsid w:val="002D3FD8"/>
    <w:rsid w:val="002D46CC"/>
    <w:rsid w:val="002E0FA9"/>
    <w:rsid w:val="002E29C9"/>
    <w:rsid w:val="002E34C6"/>
    <w:rsid w:val="002E5538"/>
    <w:rsid w:val="002E6D5C"/>
    <w:rsid w:val="002E76A7"/>
    <w:rsid w:val="002F1CAE"/>
    <w:rsid w:val="002F5B04"/>
    <w:rsid w:val="002F64B4"/>
    <w:rsid w:val="00305A60"/>
    <w:rsid w:val="00312C21"/>
    <w:rsid w:val="00327E2D"/>
    <w:rsid w:val="003328E4"/>
    <w:rsid w:val="003349B0"/>
    <w:rsid w:val="00340BAB"/>
    <w:rsid w:val="00343799"/>
    <w:rsid w:val="00355DDD"/>
    <w:rsid w:val="003574D2"/>
    <w:rsid w:val="003677D6"/>
    <w:rsid w:val="00371571"/>
    <w:rsid w:val="003739E5"/>
    <w:rsid w:val="00373EB2"/>
    <w:rsid w:val="00376B38"/>
    <w:rsid w:val="003877B5"/>
    <w:rsid w:val="00387D46"/>
    <w:rsid w:val="00392495"/>
    <w:rsid w:val="00397F0E"/>
    <w:rsid w:val="003A0D78"/>
    <w:rsid w:val="003C1639"/>
    <w:rsid w:val="003D2DDF"/>
    <w:rsid w:val="003D40E6"/>
    <w:rsid w:val="003F06E5"/>
    <w:rsid w:val="003F5198"/>
    <w:rsid w:val="00401066"/>
    <w:rsid w:val="00405228"/>
    <w:rsid w:val="00410374"/>
    <w:rsid w:val="004217FD"/>
    <w:rsid w:val="004242C9"/>
    <w:rsid w:val="0043029D"/>
    <w:rsid w:val="0043118B"/>
    <w:rsid w:val="00437604"/>
    <w:rsid w:val="00461AA5"/>
    <w:rsid w:val="00462736"/>
    <w:rsid w:val="00462D12"/>
    <w:rsid w:val="004636C7"/>
    <w:rsid w:val="00470259"/>
    <w:rsid w:val="00470EA9"/>
    <w:rsid w:val="00495F98"/>
    <w:rsid w:val="004A2B29"/>
    <w:rsid w:val="004B5A0A"/>
    <w:rsid w:val="004D6E6F"/>
    <w:rsid w:val="004F406C"/>
    <w:rsid w:val="005018EC"/>
    <w:rsid w:val="005041EC"/>
    <w:rsid w:val="005053C2"/>
    <w:rsid w:val="00516DD8"/>
    <w:rsid w:val="00520A56"/>
    <w:rsid w:val="005212CA"/>
    <w:rsid w:val="005342AF"/>
    <w:rsid w:val="00541582"/>
    <w:rsid w:val="00541604"/>
    <w:rsid w:val="00552E07"/>
    <w:rsid w:val="005537D1"/>
    <w:rsid w:val="00555CFF"/>
    <w:rsid w:val="005868DA"/>
    <w:rsid w:val="00597759"/>
    <w:rsid w:val="005A15EA"/>
    <w:rsid w:val="005A2E2F"/>
    <w:rsid w:val="005B141F"/>
    <w:rsid w:val="005B4F63"/>
    <w:rsid w:val="005D4B7F"/>
    <w:rsid w:val="005E0368"/>
    <w:rsid w:val="005E3032"/>
    <w:rsid w:val="00600655"/>
    <w:rsid w:val="00602419"/>
    <w:rsid w:val="0060488A"/>
    <w:rsid w:val="00605261"/>
    <w:rsid w:val="006227E4"/>
    <w:rsid w:val="00624347"/>
    <w:rsid w:val="00633318"/>
    <w:rsid w:val="00637D84"/>
    <w:rsid w:val="00655075"/>
    <w:rsid w:val="006574A0"/>
    <w:rsid w:val="0067182A"/>
    <w:rsid w:val="00675B72"/>
    <w:rsid w:val="006762C8"/>
    <w:rsid w:val="00682EB2"/>
    <w:rsid w:val="00694D2D"/>
    <w:rsid w:val="006A3B63"/>
    <w:rsid w:val="006A4426"/>
    <w:rsid w:val="006C276D"/>
    <w:rsid w:val="006D748F"/>
    <w:rsid w:val="006E2334"/>
    <w:rsid w:val="006E36CA"/>
    <w:rsid w:val="0070580C"/>
    <w:rsid w:val="00710F69"/>
    <w:rsid w:val="00721155"/>
    <w:rsid w:val="00724D19"/>
    <w:rsid w:val="007401FA"/>
    <w:rsid w:val="00741002"/>
    <w:rsid w:val="00750865"/>
    <w:rsid w:val="00753B61"/>
    <w:rsid w:val="00754310"/>
    <w:rsid w:val="0075664B"/>
    <w:rsid w:val="007673C9"/>
    <w:rsid w:val="0077777A"/>
    <w:rsid w:val="00792F07"/>
    <w:rsid w:val="007A518D"/>
    <w:rsid w:val="007B384F"/>
    <w:rsid w:val="007E6150"/>
    <w:rsid w:val="007F10CC"/>
    <w:rsid w:val="007F4644"/>
    <w:rsid w:val="007F7B33"/>
    <w:rsid w:val="00811425"/>
    <w:rsid w:val="00813908"/>
    <w:rsid w:val="0082531A"/>
    <w:rsid w:val="008340C5"/>
    <w:rsid w:val="008349EB"/>
    <w:rsid w:val="00854038"/>
    <w:rsid w:val="00861C5D"/>
    <w:rsid w:val="00882346"/>
    <w:rsid w:val="008929D7"/>
    <w:rsid w:val="008946D6"/>
    <w:rsid w:val="008A2B05"/>
    <w:rsid w:val="008B1F6A"/>
    <w:rsid w:val="008B69EF"/>
    <w:rsid w:val="008D7368"/>
    <w:rsid w:val="008E0C5F"/>
    <w:rsid w:val="008F3AD9"/>
    <w:rsid w:val="008F603C"/>
    <w:rsid w:val="00912D2C"/>
    <w:rsid w:val="009139F3"/>
    <w:rsid w:val="009150E3"/>
    <w:rsid w:val="00925C6A"/>
    <w:rsid w:val="00933DB9"/>
    <w:rsid w:val="009534A1"/>
    <w:rsid w:val="00957CB3"/>
    <w:rsid w:val="009618A6"/>
    <w:rsid w:val="00966C3C"/>
    <w:rsid w:val="00990181"/>
    <w:rsid w:val="009913E8"/>
    <w:rsid w:val="0099208C"/>
    <w:rsid w:val="009A31CE"/>
    <w:rsid w:val="009B1440"/>
    <w:rsid w:val="009B445B"/>
    <w:rsid w:val="009C2CA7"/>
    <w:rsid w:val="009C606D"/>
    <w:rsid w:val="009C7008"/>
    <w:rsid w:val="009D7C33"/>
    <w:rsid w:val="009F5CBF"/>
    <w:rsid w:val="00A0155D"/>
    <w:rsid w:val="00A205DA"/>
    <w:rsid w:val="00A208B1"/>
    <w:rsid w:val="00A2357E"/>
    <w:rsid w:val="00A42767"/>
    <w:rsid w:val="00A60F26"/>
    <w:rsid w:val="00A645EB"/>
    <w:rsid w:val="00A6783A"/>
    <w:rsid w:val="00A70222"/>
    <w:rsid w:val="00A724BC"/>
    <w:rsid w:val="00A814E6"/>
    <w:rsid w:val="00A91307"/>
    <w:rsid w:val="00A93098"/>
    <w:rsid w:val="00A96336"/>
    <w:rsid w:val="00AA0225"/>
    <w:rsid w:val="00AA0276"/>
    <w:rsid w:val="00AB3506"/>
    <w:rsid w:val="00AB6F7D"/>
    <w:rsid w:val="00AC3430"/>
    <w:rsid w:val="00AC4FD7"/>
    <w:rsid w:val="00AD12A1"/>
    <w:rsid w:val="00AD5A08"/>
    <w:rsid w:val="00AE0F21"/>
    <w:rsid w:val="00AE2C1B"/>
    <w:rsid w:val="00AF4E11"/>
    <w:rsid w:val="00B12064"/>
    <w:rsid w:val="00B17939"/>
    <w:rsid w:val="00B23319"/>
    <w:rsid w:val="00B44D97"/>
    <w:rsid w:val="00B4795E"/>
    <w:rsid w:val="00B604E3"/>
    <w:rsid w:val="00B60924"/>
    <w:rsid w:val="00B7251F"/>
    <w:rsid w:val="00B73A83"/>
    <w:rsid w:val="00B82850"/>
    <w:rsid w:val="00B91716"/>
    <w:rsid w:val="00B929B1"/>
    <w:rsid w:val="00BA5131"/>
    <w:rsid w:val="00BB6867"/>
    <w:rsid w:val="00BC1238"/>
    <w:rsid w:val="00BC4005"/>
    <w:rsid w:val="00BD34DF"/>
    <w:rsid w:val="00BE2079"/>
    <w:rsid w:val="00BF5AA2"/>
    <w:rsid w:val="00C03D2D"/>
    <w:rsid w:val="00C04295"/>
    <w:rsid w:val="00C16F08"/>
    <w:rsid w:val="00C22841"/>
    <w:rsid w:val="00C22C3F"/>
    <w:rsid w:val="00C26D07"/>
    <w:rsid w:val="00C32FCC"/>
    <w:rsid w:val="00C416D8"/>
    <w:rsid w:val="00C51073"/>
    <w:rsid w:val="00C5333A"/>
    <w:rsid w:val="00C646B1"/>
    <w:rsid w:val="00C76AB7"/>
    <w:rsid w:val="00C90CAF"/>
    <w:rsid w:val="00C97586"/>
    <w:rsid w:val="00CA196A"/>
    <w:rsid w:val="00CA6730"/>
    <w:rsid w:val="00CB7191"/>
    <w:rsid w:val="00CB71D6"/>
    <w:rsid w:val="00CC2886"/>
    <w:rsid w:val="00CE02CB"/>
    <w:rsid w:val="00CF42A3"/>
    <w:rsid w:val="00D02CFB"/>
    <w:rsid w:val="00D21A24"/>
    <w:rsid w:val="00D36673"/>
    <w:rsid w:val="00D36905"/>
    <w:rsid w:val="00D42845"/>
    <w:rsid w:val="00D45447"/>
    <w:rsid w:val="00D455C3"/>
    <w:rsid w:val="00D651F9"/>
    <w:rsid w:val="00D66026"/>
    <w:rsid w:val="00D661C5"/>
    <w:rsid w:val="00D75942"/>
    <w:rsid w:val="00D9488B"/>
    <w:rsid w:val="00D95E2C"/>
    <w:rsid w:val="00D974E8"/>
    <w:rsid w:val="00DA2276"/>
    <w:rsid w:val="00DB45F4"/>
    <w:rsid w:val="00DB5013"/>
    <w:rsid w:val="00DD3D1F"/>
    <w:rsid w:val="00DD7CA1"/>
    <w:rsid w:val="00DE26B3"/>
    <w:rsid w:val="00DE6AFC"/>
    <w:rsid w:val="00DF3356"/>
    <w:rsid w:val="00E04C9A"/>
    <w:rsid w:val="00E149E7"/>
    <w:rsid w:val="00E20F3D"/>
    <w:rsid w:val="00E24CC1"/>
    <w:rsid w:val="00E270BB"/>
    <w:rsid w:val="00E308F3"/>
    <w:rsid w:val="00E33CA5"/>
    <w:rsid w:val="00E502BA"/>
    <w:rsid w:val="00E50F6B"/>
    <w:rsid w:val="00E73B61"/>
    <w:rsid w:val="00E921D9"/>
    <w:rsid w:val="00EA54E2"/>
    <w:rsid w:val="00EB10B0"/>
    <w:rsid w:val="00ED7C1E"/>
    <w:rsid w:val="00EE0EE5"/>
    <w:rsid w:val="00EF3966"/>
    <w:rsid w:val="00F03E0C"/>
    <w:rsid w:val="00F106E6"/>
    <w:rsid w:val="00F27E68"/>
    <w:rsid w:val="00F40714"/>
    <w:rsid w:val="00F62E3C"/>
    <w:rsid w:val="00F6584F"/>
    <w:rsid w:val="00F8636A"/>
    <w:rsid w:val="00F965E7"/>
    <w:rsid w:val="00FB0286"/>
    <w:rsid w:val="00FB2CAA"/>
    <w:rsid w:val="00FB57DC"/>
    <w:rsid w:val="00FC3678"/>
    <w:rsid w:val="00FD061F"/>
    <w:rsid w:val="00FD35F7"/>
  </w:rsids>
  <m:mathPr>
    <m:mathFont m:val="Cambria Math"/>
    <m:brkBin m:val="before"/>
    <m:brkBinSub m:val="--"/>
    <m:smallFrac m:val="0"/>
    <m:dispDef/>
    <m:lMargin m:val="0"/>
    <m:rMargin m:val="0"/>
    <m:defJc m:val="centerGroup"/>
    <m:wrapIndent m:val="1440"/>
    <m:intLim m:val="subSup"/>
    <m:naryLim m:val="undOvr"/>
  </m:mathPr>
  <w:themeFontLang w:val="en-C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D096093"/>
  <w15:chartTrackingRefBased/>
  <w15:docId w15:val="{40860210-8D86-A148-A5A5-EAD8DE4E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DE8"/>
    <w:rPr>
      <w:rFonts w:eastAsia="Times New Roman"/>
      <w:sz w:val="24"/>
      <w:szCs w:val="24"/>
    </w:rPr>
  </w:style>
  <w:style w:type="paragraph" w:styleId="Heading1">
    <w:name w:val="heading 1"/>
    <w:basedOn w:val="Normal"/>
    <w:next w:val="Normal"/>
    <w:qFormat/>
    <w:rsid w:val="00724D19"/>
    <w:pPr>
      <w:keepNext/>
      <w:numPr>
        <w:numId w:val="25"/>
      </w:numPr>
      <w:spacing w:line="360" w:lineRule="auto"/>
      <w:jc w:val="both"/>
      <w:outlineLvl w:val="0"/>
    </w:pPr>
    <w:rPr>
      <w:rFonts w:ascii="Arial" w:eastAsia="SimSun" w:hAnsi="Arial"/>
      <w:b/>
      <w:szCs w:val="20"/>
      <w:lang w:val="en-US" w:eastAsia="en-US"/>
    </w:rPr>
  </w:style>
  <w:style w:type="paragraph" w:styleId="Heading2">
    <w:name w:val="heading 2"/>
    <w:basedOn w:val="Normal"/>
    <w:next w:val="Normal"/>
    <w:qFormat/>
    <w:rsid w:val="007F4644"/>
    <w:pPr>
      <w:keepNext/>
      <w:outlineLvl w:val="1"/>
    </w:pPr>
    <w:rPr>
      <w:rFonts w:eastAsia="SimSun"/>
      <w:b/>
      <w:sz w:val="32"/>
      <w:szCs w:val="20"/>
      <w:lang w:val="en-US" w:eastAsia="en-US"/>
    </w:rPr>
  </w:style>
  <w:style w:type="paragraph" w:styleId="Heading3">
    <w:name w:val="heading 3"/>
    <w:basedOn w:val="Normal"/>
    <w:next w:val="Normal"/>
    <w:qFormat/>
    <w:rsid w:val="007F4644"/>
    <w:pPr>
      <w:keepNext/>
      <w:outlineLvl w:val="2"/>
    </w:pPr>
    <w:rPr>
      <w:rFonts w:eastAsia="SimSun"/>
      <w:b/>
      <w:i/>
      <w:sz w:val="32"/>
      <w:szCs w:val="20"/>
      <w:lang w:val="en-US" w:eastAsia="en-US"/>
    </w:rPr>
  </w:style>
  <w:style w:type="paragraph" w:styleId="Heading4">
    <w:name w:val="heading 4"/>
    <w:basedOn w:val="Normal"/>
    <w:next w:val="Normal"/>
    <w:qFormat/>
    <w:rsid w:val="007F4644"/>
    <w:pPr>
      <w:keepNext/>
      <w:outlineLvl w:val="3"/>
    </w:pPr>
    <w:rPr>
      <w:rFonts w:eastAsia="SimSun"/>
      <w:b/>
      <w:sz w:val="28"/>
      <w:szCs w:val="20"/>
      <w:lang w:val="en-US" w:eastAsia="en-US"/>
    </w:rPr>
  </w:style>
  <w:style w:type="paragraph" w:styleId="Heading5">
    <w:name w:val="heading 5"/>
    <w:basedOn w:val="Normal"/>
    <w:next w:val="Normal"/>
    <w:qFormat/>
    <w:rsid w:val="007F4644"/>
    <w:pPr>
      <w:keepNext/>
      <w:jc w:val="both"/>
      <w:outlineLvl w:val="4"/>
    </w:pPr>
    <w:rPr>
      <w:rFonts w:eastAsia="SimSun"/>
      <w:b/>
      <w:bCs/>
      <w:sz w:val="22"/>
      <w:szCs w:val="20"/>
      <w:lang w:val="en-US" w:eastAsia="en-US"/>
    </w:rPr>
  </w:style>
  <w:style w:type="paragraph" w:styleId="Heading6">
    <w:name w:val="heading 6"/>
    <w:basedOn w:val="Normal"/>
    <w:next w:val="Normal"/>
    <w:qFormat/>
    <w:rsid w:val="007F4644"/>
    <w:pPr>
      <w:keepNext/>
      <w:outlineLvl w:val="5"/>
    </w:pPr>
    <w:rPr>
      <w:rFonts w:eastAsia="SimSun"/>
      <w:b/>
      <w:i/>
      <w:sz w:val="26"/>
      <w:szCs w:val="20"/>
      <w:lang w:val="en-US" w:eastAsia="en-US"/>
    </w:rPr>
  </w:style>
  <w:style w:type="paragraph" w:styleId="Heading7">
    <w:name w:val="heading 7"/>
    <w:basedOn w:val="Normal"/>
    <w:next w:val="Normal"/>
    <w:qFormat/>
    <w:rsid w:val="007F4644"/>
    <w:pPr>
      <w:keepNext/>
      <w:outlineLvl w:val="6"/>
    </w:pPr>
    <w:rPr>
      <w:rFonts w:eastAsia="SimSun"/>
      <w:b/>
      <w:bCs/>
      <w:i/>
      <w:iCs/>
      <w:sz w:val="26"/>
      <w:szCs w:val="20"/>
      <w:lang w:val="en-US" w:eastAsia="en-US"/>
    </w:rPr>
  </w:style>
  <w:style w:type="paragraph" w:styleId="Heading8">
    <w:name w:val="heading 8"/>
    <w:basedOn w:val="Normal"/>
    <w:next w:val="Normal"/>
    <w:qFormat/>
    <w:rsid w:val="007F4644"/>
    <w:pPr>
      <w:keepNext/>
      <w:jc w:val="both"/>
      <w:outlineLvl w:val="7"/>
    </w:pPr>
    <w:rPr>
      <w:rFonts w:eastAsia="SimSun"/>
      <w:b/>
      <w:sz w:val="32"/>
      <w:szCs w:val="20"/>
      <w:lang w:val="en-US" w:eastAsia="en-US"/>
    </w:rPr>
  </w:style>
  <w:style w:type="paragraph" w:styleId="Heading9">
    <w:name w:val="heading 9"/>
    <w:basedOn w:val="Normal"/>
    <w:next w:val="Normal"/>
    <w:qFormat/>
    <w:rsid w:val="007F4644"/>
    <w:pPr>
      <w:keepNext/>
      <w:jc w:val="both"/>
      <w:outlineLvl w:val="8"/>
    </w:pPr>
    <w:rPr>
      <w:rFonts w:eastAsia="SimSun"/>
      <w:b/>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7F4644"/>
    <w:rPr>
      <w:rFonts w:eastAsia="SimSun"/>
      <w:sz w:val="20"/>
      <w:szCs w:val="20"/>
      <w:lang w:val="en-US" w:eastAsia="en-US"/>
    </w:rPr>
  </w:style>
  <w:style w:type="character" w:styleId="FootnoteReference">
    <w:name w:val="footnote reference"/>
    <w:semiHidden/>
    <w:rsid w:val="007F4644"/>
    <w:rPr>
      <w:vertAlign w:val="superscript"/>
    </w:rPr>
  </w:style>
  <w:style w:type="paragraph" w:styleId="BodyText2">
    <w:name w:val="Body Text 2"/>
    <w:basedOn w:val="Normal"/>
    <w:rsid w:val="007F4644"/>
    <w:rPr>
      <w:rFonts w:eastAsia="SimSun"/>
      <w:b/>
      <w:szCs w:val="20"/>
      <w:lang w:val="en-US" w:eastAsia="en-US"/>
    </w:rPr>
  </w:style>
  <w:style w:type="paragraph" w:customStyle="1" w:styleId="JIEnormal-noindent">
    <w:name w:val="JIE normal - no indent"/>
    <w:basedOn w:val="Normal"/>
    <w:rsid w:val="007F4644"/>
    <w:pPr>
      <w:spacing w:line="480" w:lineRule="auto"/>
    </w:pPr>
    <w:rPr>
      <w:rFonts w:ascii="Garamond" w:eastAsia="SimSun" w:hAnsi="Garamond"/>
      <w:szCs w:val="20"/>
      <w:lang w:val="en-US" w:eastAsia="en-US"/>
    </w:rPr>
  </w:style>
  <w:style w:type="paragraph" w:customStyle="1" w:styleId="Feature">
    <w:name w:val="Feature"/>
    <w:basedOn w:val="Heading2"/>
    <w:rsid w:val="007F4644"/>
    <w:rPr>
      <w:sz w:val="20"/>
    </w:rPr>
  </w:style>
  <w:style w:type="paragraph" w:styleId="BlockText">
    <w:name w:val="Block Text"/>
    <w:basedOn w:val="Normal"/>
    <w:rsid w:val="007F4644"/>
    <w:pPr>
      <w:ind w:left="720" w:right="720"/>
      <w:jc w:val="both"/>
    </w:pPr>
    <w:rPr>
      <w:rFonts w:eastAsia="SimSun"/>
      <w:szCs w:val="20"/>
      <w:lang w:val="en-US" w:eastAsia="en-US"/>
    </w:rPr>
  </w:style>
  <w:style w:type="paragraph" w:styleId="Footer">
    <w:name w:val="footer"/>
    <w:basedOn w:val="Normal"/>
    <w:rsid w:val="007F4644"/>
    <w:pPr>
      <w:tabs>
        <w:tab w:val="center" w:pos="4320"/>
        <w:tab w:val="right" w:pos="8640"/>
      </w:tabs>
    </w:pPr>
    <w:rPr>
      <w:rFonts w:eastAsia="SimSun"/>
      <w:szCs w:val="20"/>
      <w:lang w:val="en-GB" w:eastAsia="en-US"/>
    </w:rPr>
  </w:style>
  <w:style w:type="paragraph" w:styleId="Header">
    <w:name w:val="header"/>
    <w:basedOn w:val="Normal"/>
    <w:rsid w:val="007F4644"/>
    <w:pPr>
      <w:tabs>
        <w:tab w:val="center" w:pos="4320"/>
        <w:tab w:val="right" w:pos="8640"/>
      </w:tabs>
    </w:pPr>
    <w:rPr>
      <w:rFonts w:eastAsia="SimSun"/>
      <w:szCs w:val="20"/>
      <w:lang w:val="en-US" w:eastAsia="en-US"/>
    </w:rPr>
  </w:style>
  <w:style w:type="paragraph" w:styleId="BodyText">
    <w:name w:val="Body Text"/>
    <w:basedOn w:val="Normal"/>
    <w:rsid w:val="007F4644"/>
    <w:pPr>
      <w:jc w:val="center"/>
    </w:pPr>
    <w:rPr>
      <w:rFonts w:eastAsia="SimSun"/>
      <w:b/>
      <w:sz w:val="32"/>
      <w:szCs w:val="20"/>
      <w:lang w:val="en-US" w:eastAsia="en-US"/>
    </w:rPr>
  </w:style>
  <w:style w:type="paragraph" w:customStyle="1" w:styleId="MFAHeading">
    <w:name w:val="MFA Heading"/>
    <w:basedOn w:val="Heading3"/>
    <w:rsid w:val="007F4644"/>
    <w:pPr>
      <w:keepNext w:val="0"/>
      <w:outlineLvl w:val="9"/>
    </w:pPr>
    <w:rPr>
      <w:i w:val="0"/>
      <w:sz w:val="30"/>
    </w:rPr>
  </w:style>
  <w:style w:type="character" w:styleId="PageNumber">
    <w:name w:val="page number"/>
    <w:basedOn w:val="DefaultParagraphFont"/>
    <w:rsid w:val="007F4644"/>
  </w:style>
  <w:style w:type="character" w:styleId="CommentReference">
    <w:name w:val="annotation reference"/>
    <w:semiHidden/>
    <w:rsid w:val="007F4644"/>
    <w:rPr>
      <w:sz w:val="16"/>
    </w:rPr>
  </w:style>
  <w:style w:type="paragraph" w:styleId="CommentText">
    <w:name w:val="annotation text"/>
    <w:basedOn w:val="Normal"/>
    <w:semiHidden/>
    <w:rsid w:val="007F4644"/>
  </w:style>
  <w:style w:type="paragraph" w:styleId="Title">
    <w:name w:val="Title"/>
    <w:basedOn w:val="Normal"/>
    <w:qFormat/>
    <w:rsid w:val="007F4644"/>
    <w:pPr>
      <w:jc w:val="center"/>
    </w:pPr>
    <w:rPr>
      <w:rFonts w:eastAsia="SimSun"/>
      <w:b/>
      <w:szCs w:val="20"/>
      <w:lang w:val="en-US" w:eastAsia="en-US"/>
    </w:rPr>
  </w:style>
  <w:style w:type="paragraph" w:styleId="BodyText3">
    <w:name w:val="Body Text 3"/>
    <w:basedOn w:val="Normal"/>
    <w:rsid w:val="007F4644"/>
    <w:pPr>
      <w:spacing w:line="360" w:lineRule="auto"/>
      <w:jc w:val="both"/>
    </w:pPr>
    <w:rPr>
      <w:rFonts w:eastAsia="SimSun"/>
      <w:szCs w:val="20"/>
      <w:lang w:val="en-US" w:eastAsia="en-US"/>
    </w:rPr>
  </w:style>
  <w:style w:type="paragraph" w:customStyle="1" w:styleId="JIEnormal">
    <w:name w:val="JIE normal"/>
    <w:basedOn w:val="Normal"/>
    <w:rsid w:val="007F4644"/>
    <w:pPr>
      <w:spacing w:line="480" w:lineRule="auto"/>
      <w:ind w:firstLine="720"/>
    </w:pPr>
    <w:rPr>
      <w:rFonts w:ascii="Garamond" w:eastAsia="SimSun" w:hAnsi="Garamond"/>
      <w:szCs w:val="20"/>
      <w:lang w:val="en-US" w:eastAsia="en-US"/>
    </w:rPr>
  </w:style>
  <w:style w:type="paragraph" w:customStyle="1" w:styleId="JIEreferencelist">
    <w:name w:val="JIE reference list"/>
    <w:basedOn w:val="Normal"/>
    <w:rsid w:val="007F4644"/>
    <w:pPr>
      <w:spacing w:line="360" w:lineRule="auto"/>
      <w:ind w:left="720" w:hanging="720"/>
    </w:pPr>
    <w:rPr>
      <w:rFonts w:ascii="Garamond" w:eastAsia="SimSun" w:hAnsi="Garamond"/>
      <w:szCs w:val="20"/>
      <w:lang w:val="en-US" w:eastAsia="en-US"/>
    </w:rPr>
  </w:style>
  <w:style w:type="character" w:styleId="Hyperlink">
    <w:name w:val="Hyperlink"/>
    <w:rsid w:val="007F4644"/>
    <w:rPr>
      <w:color w:val="0000FF"/>
      <w:u w:val="single"/>
    </w:rPr>
  </w:style>
  <w:style w:type="paragraph" w:customStyle="1" w:styleId="Bibentry2">
    <w:name w:val="Bib entry2"/>
    <w:basedOn w:val="Normal"/>
    <w:rsid w:val="007F4644"/>
    <w:pPr>
      <w:ind w:left="720" w:hanging="720"/>
    </w:pPr>
    <w:rPr>
      <w:rFonts w:eastAsia="SimSun"/>
      <w:lang w:val="en-US" w:eastAsia="en-US"/>
    </w:rPr>
  </w:style>
  <w:style w:type="paragraph" w:styleId="BodyTextIndent">
    <w:name w:val="Body Text Indent"/>
    <w:basedOn w:val="Normal"/>
    <w:autoRedefine/>
    <w:rsid w:val="007F4644"/>
    <w:pPr>
      <w:spacing w:before="120" w:after="120" w:line="360" w:lineRule="auto"/>
      <w:ind w:left="720" w:hanging="720"/>
    </w:pPr>
    <w:rPr>
      <w:rFonts w:ascii="Garamond" w:eastAsia="SimSun" w:hAnsi="Garamond"/>
      <w:szCs w:val="20"/>
      <w:lang w:val="en-US" w:eastAsia="en-US"/>
    </w:rPr>
  </w:style>
  <w:style w:type="paragraph" w:customStyle="1" w:styleId="Default">
    <w:name w:val="Default"/>
    <w:rsid w:val="007F4644"/>
    <w:pPr>
      <w:autoSpaceDE w:val="0"/>
      <w:autoSpaceDN w:val="0"/>
      <w:adjustRightInd w:val="0"/>
    </w:pPr>
    <w:rPr>
      <w:rFonts w:ascii="Arial" w:eastAsia="Times New Roman" w:hAnsi="Arial" w:cs="Arial"/>
      <w:lang w:val="en-US" w:eastAsia="en-US"/>
    </w:rPr>
  </w:style>
  <w:style w:type="paragraph" w:styleId="BodyTextIndent2">
    <w:name w:val="Body Text Indent 2"/>
    <w:basedOn w:val="Normal"/>
    <w:rsid w:val="007F4644"/>
    <w:pPr>
      <w:autoSpaceDE w:val="0"/>
      <w:autoSpaceDN w:val="0"/>
      <w:adjustRightInd w:val="0"/>
      <w:ind w:left="540"/>
    </w:pPr>
    <w:rPr>
      <w:rFonts w:ascii="Arial" w:hAnsi="Arial" w:cs="Arial"/>
      <w:sz w:val="20"/>
      <w:szCs w:val="20"/>
      <w:lang w:val="en-US" w:eastAsia="en-US"/>
    </w:rPr>
  </w:style>
  <w:style w:type="character" w:styleId="FollowedHyperlink">
    <w:name w:val="FollowedHyperlink"/>
    <w:rsid w:val="007F4644"/>
    <w:rPr>
      <w:color w:val="800080"/>
      <w:u w:val="single"/>
    </w:rPr>
  </w:style>
  <w:style w:type="character" w:styleId="PlaceholderText">
    <w:name w:val="Placeholder Text"/>
    <w:basedOn w:val="DefaultParagraphFont"/>
    <w:uiPriority w:val="99"/>
    <w:unhideWhenUsed/>
    <w:rsid w:val="00BA5131"/>
    <w:rPr>
      <w:color w:val="666666"/>
    </w:rPr>
  </w:style>
  <w:style w:type="table" w:styleId="TableGrid">
    <w:name w:val="Table Grid"/>
    <w:basedOn w:val="TableNormal"/>
    <w:rsid w:val="00FB2CAA"/>
    <w:rPr>
      <w:rFonts w:eastAsiaTheme="minorEastAsia"/>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130">
      <w:bodyDiv w:val="1"/>
      <w:marLeft w:val="0"/>
      <w:marRight w:val="0"/>
      <w:marTop w:val="0"/>
      <w:marBottom w:val="0"/>
      <w:divBdr>
        <w:top w:val="none" w:sz="0" w:space="0" w:color="auto"/>
        <w:left w:val="none" w:sz="0" w:space="0" w:color="auto"/>
        <w:bottom w:val="none" w:sz="0" w:space="0" w:color="auto"/>
        <w:right w:val="none" w:sz="0" w:space="0" w:color="auto"/>
      </w:divBdr>
    </w:div>
    <w:div w:id="4401165">
      <w:bodyDiv w:val="1"/>
      <w:marLeft w:val="0"/>
      <w:marRight w:val="0"/>
      <w:marTop w:val="0"/>
      <w:marBottom w:val="0"/>
      <w:divBdr>
        <w:top w:val="none" w:sz="0" w:space="0" w:color="auto"/>
        <w:left w:val="none" w:sz="0" w:space="0" w:color="auto"/>
        <w:bottom w:val="none" w:sz="0" w:space="0" w:color="auto"/>
        <w:right w:val="none" w:sz="0" w:space="0" w:color="auto"/>
      </w:divBdr>
    </w:div>
    <w:div w:id="5719735">
      <w:bodyDiv w:val="1"/>
      <w:marLeft w:val="0"/>
      <w:marRight w:val="0"/>
      <w:marTop w:val="0"/>
      <w:marBottom w:val="0"/>
      <w:divBdr>
        <w:top w:val="none" w:sz="0" w:space="0" w:color="auto"/>
        <w:left w:val="none" w:sz="0" w:space="0" w:color="auto"/>
        <w:bottom w:val="none" w:sz="0" w:space="0" w:color="auto"/>
        <w:right w:val="none" w:sz="0" w:space="0" w:color="auto"/>
      </w:divBdr>
    </w:div>
    <w:div w:id="7369727">
      <w:bodyDiv w:val="1"/>
      <w:marLeft w:val="0"/>
      <w:marRight w:val="0"/>
      <w:marTop w:val="0"/>
      <w:marBottom w:val="0"/>
      <w:divBdr>
        <w:top w:val="none" w:sz="0" w:space="0" w:color="auto"/>
        <w:left w:val="none" w:sz="0" w:space="0" w:color="auto"/>
        <w:bottom w:val="none" w:sz="0" w:space="0" w:color="auto"/>
        <w:right w:val="none" w:sz="0" w:space="0" w:color="auto"/>
      </w:divBdr>
    </w:div>
    <w:div w:id="15085614">
      <w:bodyDiv w:val="1"/>
      <w:marLeft w:val="0"/>
      <w:marRight w:val="0"/>
      <w:marTop w:val="0"/>
      <w:marBottom w:val="0"/>
      <w:divBdr>
        <w:top w:val="none" w:sz="0" w:space="0" w:color="auto"/>
        <w:left w:val="none" w:sz="0" w:space="0" w:color="auto"/>
        <w:bottom w:val="none" w:sz="0" w:space="0" w:color="auto"/>
        <w:right w:val="none" w:sz="0" w:space="0" w:color="auto"/>
      </w:divBdr>
    </w:div>
    <w:div w:id="42953088">
      <w:bodyDiv w:val="1"/>
      <w:marLeft w:val="0"/>
      <w:marRight w:val="0"/>
      <w:marTop w:val="0"/>
      <w:marBottom w:val="0"/>
      <w:divBdr>
        <w:top w:val="none" w:sz="0" w:space="0" w:color="auto"/>
        <w:left w:val="none" w:sz="0" w:space="0" w:color="auto"/>
        <w:bottom w:val="none" w:sz="0" w:space="0" w:color="auto"/>
        <w:right w:val="none" w:sz="0" w:space="0" w:color="auto"/>
      </w:divBdr>
    </w:div>
    <w:div w:id="47732368">
      <w:bodyDiv w:val="1"/>
      <w:marLeft w:val="0"/>
      <w:marRight w:val="0"/>
      <w:marTop w:val="0"/>
      <w:marBottom w:val="0"/>
      <w:divBdr>
        <w:top w:val="none" w:sz="0" w:space="0" w:color="auto"/>
        <w:left w:val="none" w:sz="0" w:space="0" w:color="auto"/>
        <w:bottom w:val="none" w:sz="0" w:space="0" w:color="auto"/>
        <w:right w:val="none" w:sz="0" w:space="0" w:color="auto"/>
      </w:divBdr>
    </w:div>
    <w:div w:id="51347120">
      <w:bodyDiv w:val="1"/>
      <w:marLeft w:val="0"/>
      <w:marRight w:val="0"/>
      <w:marTop w:val="0"/>
      <w:marBottom w:val="0"/>
      <w:divBdr>
        <w:top w:val="none" w:sz="0" w:space="0" w:color="auto"/>
        <w:left w:val="none" w:sz="0" w:space="0" w:color="auto"/>
        <w:bottom w:val="none" w:sz="0" w:space="0" w:color="auto"/>
        <w:right w:val="none" w:sz="0" w:space="0" w:color="auto"/>
      </w:divBdr>
    </w:div>
    <w:div w:id="52393874">
      <w:bodyDiv w:val="1"/>
      <w:marLeft w:val="0"/>
      <w:marRight w:val="0"/>
      <w:marTop w:val="0"/>
      <w:marBottom w:val="0"/>
      <w:divBdr>
        <w:top w:val="none" w:sz="0" w:space="0" w:color="auto"/>
        <w:left w:val="none" w:sz="0" w:space="0" w:color="auto"/>
        <w:bottom w:val="none" w:sz="0" w:space="0" w:color="auto"/>
        <w:right w:val="none" w:sz="0" w:space="0" w:color="auto"/>
      </w:divBdr>
    </w:div>
    <w:div w:id="53546435">
      <w:bodyDiv w:val="1"/>
      <w:marLeft w:val="0"/>
      <w:marRight w:val="0"/>
      <w:marTop w:val="0"/>
      <w:marBottom w:val="0"/>
      <w:divBdr>
        <w:top w:val="none" w:sz="0" w:space="0" w:color="auto"/>
        <w:left w:val="none" w:sz="0" w:space="0" w:color="auto"/>
        <w:bottom w:val="none" w:sz="0" w:space="0" w:color="auto"/>
        <w:right w:val="none" w:sz="0" w:space="0" w:color="auto"/>
      </w:divBdr>
      <w:divsChild>
        <w:div w:id="668872751">
          <w:marLeft w:val="480"/>
          <w:marRight w:val="0"/>
          <w:marTop w:val="0"/>
          <w:marBottom w:val="0"/>
          <w:divBdr>
            <w:top w:val="none" w:sz="0" w:space="0" w:color="auto"/>
            <w:left w:val="none" w:sz="0" w:space="0" w:color="auto"/>
            <w:bottom w:val="none" w:sz="0" w:space="0" w:color="auto"/>
            <w:right w:val="none" w:sz="0" w:space="0" w:color="auto"/>
          </w:divBdr>
        </w:div>
        <w:div w:id="323247253">
          <w:marLeft w:val="480"/>
          <w:marRight w:val="0"/>
          <w:marTop w:val="0"/>
          <w:marBottom w:val="0"/>
          <w:divBdr>
            <w:top w:val="none" w:sz="0" w:space="0" w:color="auto"/>
            <w:left w:val="none" w:sz="0" w:space="0" w:color="auto"/>
            <w:bottom w:val="none" w:sz="0" w:space="0" w:color="auto"/>
            <w:right w:val="none" w:sz="0" w:space="0" w:color="auto"/>
          </w:divBdr>
        </w:div>
        <w:div w:id="1391072220">
          <w:marLeft w:val="480"/>
          <w:marRight w:val="0"/>
          <w:marTop w:val="0"/>
          <w:marBottom w:val="0"/>
          <w:divBdr>
            <w:top w:val="none" w:sz="0" w:space="0" w:color="auto"/>
            <w:left w:val="none" w:sz="0" w:space="0" w:color="auto"/>
            <w:bottom w:val="none" w:sz="0" w:space="0" w:color="auto"/>
            <w:right w:val="none" w:sz="0" w:space="0" w:color="auto"/>
          </w:divBdr>
        </w:div>
        <w:div w:id="1951819097">
          <w:marLeft w:val="480"/>
          <w:marRight w:val="0"/>
          <w:marTop w:val="0"/>
          <w:marBottom w:val="0"/>
          <w:divBdr>
            <w:top w:val="none" w:sz="0" w:space="0" w:color="auto"/>
            <w:left w:val="none" w:sz="0" w:space="0" w:color="auto"/>
            <w:bottom w:val="none" w:sz="0" w:space="0" w:color="auto"/>
            <w:right w:val="none" w:sz="0" w:space="0" w:color="auto"/>
          </w:divBdr>
        </w:div>
        <w:div w:id="790633074">
          <w:marLeft w:val="480"/>
          <w:marRight w:val="0"/>
          <w:marTop w:val="0"/>
          <w:marBottom w:val="0"/>
          <w:divBdr>
            <w:top w:val="none" w:sz="0" w:space="0" w:color="auto"/>
            <w:left w:val="none" w:sz="0" w:space="0" w:color="auto"/>
            <w:bottom w:val="none" w:sz="0" w:space="0" w:color="auto"/>
            <w:right w:val="none" w:sz="0" w:space="0" w:color="auto"/>
          </w:divBdr>
        </w:div>
        <w:div w:id="379869326">
          <w:marLeft w:val="480"/>
          <w:marRight w:val="0"/>
          <w:marTop w:val="0"/>
          <w:marBottom w:val="0"/>
          <w:divBdr>
            <w:top w:val="none" w:sz="0" w:space="0" w:color="auto"/>
            <w:left w:val="none" w:sz="0" w:space="0" w:color="auto"/>
            <w:bottom w:val="none" w:sz="0" w:space="0" w:color="auto"/>
            <w:right w:val="none" w:sz="0" w:space="0" w:color="auto"/>
          </w:divBdr>
        </w:div>
        <w:div w:id="1343243884">
          <w:marLeft w:val="480"/>
          <w:marRight w:val="0"/>
          <w:marTop w:val="0"/>
          <w:marBottom w:val="0"/>
          <w:divBdr>
            <w:top w:val="none" w:sz="0" w:space="0" w:color="auto"/>
            <w:left w:val="none" w:sz="0" w:space="0" w:color="auto"/>
            <w:bottom w:val="none" w:sz="0" w:space="0" w:color="auto"/>
            <w:right w:val="none" w:sz="0" w:space="0" w:color="auto"/>
          </w:divBdr>
        </w:div>
        <w:div w:id="765732875">
          <w:marLeft w:val="480"/>
          <w:marRight w:val="0"/>
          <w:marTop w:val="0"/>
          <w:marBottom w:val="0"/>
          <w:divBdr>
            <w:top w:val="none" w:sz="0" w:space="0" w:color="auto"/>
            <w:left w:val="none" w:sz="0" w:space="0" w:color="auto"/>
            <w:bottom w:val="none" w:sz="0" w:space="0" w:color="auto"/>
            <w:right w:val="none" w:sz="0" w:space="0" w:color="auto"/>
          </w:divBdr>
        </w:div>
        <w:div w:id="898440240">
          <w:marLeft w:val="480"/>
          <w:marRight w:val="0"/>
          <w:marTop w:val="0"/>
          <w:marBottom w:val="0"/>
          <w:divBdr>
            <w:top w:val="none" w:sz="0" w:space="0" w:color="auto"/>
            <w:left w:val="none" w:sz="0" w:space="0" w:color="auto"/>
            <w:bottom w:val="none" w:sz="0" w:space="0" w:color="auto"/>
            <w:right w:val="none" w:sz="0" w:space="0" w:color="auto"/>
          </w:divBdr>
        </w:div>
        <w:div w:id="1644699749">
          <w:marLeft w:val="480"/>
          <w:marRight w:val="0"/>
          <w:marTop w:val="0"/>
          <w:marBottom w:val="0"/>
          <w:divBdr>
            <w:top w:val="none" w:sz="0" w:space="0" w:color="auto"/>
            <w:left w:val="none" w:sz="0" w:space="0" w:color="auto"/>
            <w:bottom w:val="none" w:sz="0" w:space="0" w:color="auto"/>
            <w:right w:val="none" w:sz="0" w:space="0" w:color="auto"/>
          </w:divBdr>
        </w:div>
        <w:div w:id="1135635963">
          <w:marLeft w:val="480"/>
          <w:marRight w:val="0"/>
          <w:marTop w:val="0"/>
          <w:marBottom w:val="0"/>
          <w:divBdr>
            <w:top w:val="none" w:sz="0" w:space="0" w:color="auto"/>
            <w:left w:val="none" w:sz="0" w:space="0" w:color="auto"/>
            <w:bottom w:val="none" w:sz="0" w:space="0" w:color="auto"/>
            <w:right w:val="none" w:sz="0" w:space="0" w:color="auto"/>
          </w:divBdr>
        </w:div>
        <w:div w:id="1357849334">
          <w:marLeft w:val="480"/>
          <w:marRight w:val="0"/>
          <w:marTop w:val="0"/>
          <w:marBottom w:val="0"/>
          <w:divBdr>
            <w:top w:val="none" w:sz="0" w:space="0" w:color="auto"/>
            <w:left w:val="none" w:sz="0" w:space="0" w:color="auto"/>
            <w:bottom w:val="none" w:sz="0" w:space="0" w:color="auto"/>
            <w:right w:val="none" w:sz="0" w:space="0" w:color="auto"/>
          </w:divBdr>
        </w:div>
        <w:div w:id="1225874225">
          <w:marLeft w:val="480"/>
          <w:marRight w:val="0"/>
          <w:marTop w:val="0"/>
          <w:marBottom w:val="0"/>
          <w:divBdr>
            <w:top w:val="none" w:sz="0" w:space="0" w:color="auto"/>
            <w:left w:val="none" w:sz="0" w:space="0" w:color="auto"/>
            <w:bottom w:val="none" w:sz="0" w:space="0" w:color="auto"/>
            <w:right w:val="none" w:sz="0" w:space="0" w:color="auto"/>
          </w:divBdr>
        </w:div>
        <w:div w:id="454257824">
          <w:marLeft w:val="480"/>
          <w:marRight w:val="0"/>
          <w:marTop w:val="0"/>
          <w:marBottom w:val="0"/>
          <w:divBdr>
            <w:top w:val="none" w:sz="0" w:space="0" w:color="auto"/>
            <w:left w:val="none" w:sz="0" w:space="0" w:color="auto"/>
            <w:bottom w:val="none" w:sz="0" w:space="0" w:color="auto"/>
            <w:right w:val="none" w:sz="0" w:space="0" w:color="auto"/>
          </w:divBdr>
        </w:div>
        <w:div w:id="1272588566">
          <w:marLeft w:val="480"/>
          <w:marRight w:val="0"/>
          <w:marTop w:val="0"/>
          <w:marBottom w:val="0"/>
          <w:divBdr>
            <w:top w:val="none" w:sz="0" w:space="0" w:color="auto"/>
            <w:left w:val="none" w:sz="0" w:space="0" w:color="auto"/>
            <w:bottom w:val="none" w:sz="0" w:space="0" w:color="auto"/>
            <w:right w:val="none" w:sz="0" w:space="0" w:color="auto"/>
          </w:divBdr>
        </w:div>
        <w:div w:id="1376810107">
          <w:marLeft w:val="480"/>
          <w:marRight w:val="0"/>
          <w:marTop w:val="0"/>
          <w:marBottom w:val="0"/>
          <w:divBdr>
            <w:top w:val="none" w:sz="0" w:space="0" w:color="auto"/>
            <w:left w:val="none" w:sz="0" w:space="0" w:color="auto"/>
            <w:bottom w:val="none" w:sz="0" w:space="0" w:color="auto"/>
            <w:right w:val="none" w:sz="0" w:space="0" w:color="auto"/>
          </w:divBdr>
        </w:div>
        <w:div w:id="996804882">
          <w:marLeft w:val="480"/>
          <w:marRight w:val="0"/>
          <w:marTop w:val="0"/>
          <w:marBottom w:val="0"/>
          <w:divBdr>
            <w:top w:val="none" w:sz="0" w:space="0" w:color="auto"/>
            <w:left w:val="none" w:sz="0" w:space="0" w:color="auto"/>
            <w:bottom w:val="none" w:sz="0" w:space="0" w:color="auto"/>
            <w:right w:val="none" w:sz="0" w:space="0" w:color="auto"/>
          </w:divBdr>
        </w:div>
        <w:div w:id="324404116">
          <w:marLeft w:val="480"/>
          <w:marRight w:val="0"/>
          <w:marTop w:val="0"/>
          <w:marBottom w:val="0"/>
          <w:divBdr>
            <w:top w:val="none" w:sz="0" w:space="0" w:color="auto"/>
            <w:left w:val="none" w:sz="0" w:space="0" w:color="auto"/>
            <w:bottom w:val="none" w:sz="0" w:space="0" w:color="auto"/>
            <w:right w:val="none" w:sz="0" w:space="0" w:color="auto"/>
          </w:divBdr>
        </w:div>
        <w:div w:id="1260138202">
          <w:marLeft w:val="480"/>
          <w:marRight w:val="0"/>
          <w:marTop w:val="0"/>
          <w:marBottom w:val="0"/>
          <w:divBdr>
            <w:top w:val="none" w:sz="0" w:space="0" w:color="auto"/>
            <w:left w:val="none" w:sz="0" w:space="0" w:color="auto"/>
            <w:bottom w:val="none" w:sz="0" w:space="0" w:color="auto"/>
            <w:right w:val="none" w:sz="0" w:space="0" w:color="auto"/>
          </w:divBdr>
        </w:div>
      </w:divsChild>
    </w:div>
    <w:div w:id="57749453">
      <w:bodyDiv w:val="1"/>
      <w:marLeft w:val="0"/>
      <w:marRight w:val="0"/>
      <w:marTop w:val="0"/>
      <w:marBottom w:val="0"/>
      <w:divBdr>
        <w:top w:val="none" w:sz="0" w:space="0" w:color="auto"/>
        <w:left w:val="none" w:sz="0" w:space="0" w:color="auto"/>
        <w:bottom w:val="none" w:sz="0" w:space="0" w:color="auto"/>
        <w:right w:val="none" w:sz="0" w:space="0" w:color="auto"/>
      </w:divBdr>
    </w:div>
    <w:div w:id="59985452">
      <w:bodyDiv w:val="1"/>
      <w:marLeft w:val="0"/>
      <w:marRight w:val="0"/>
      <w:marTop w:val="0"/>
      <w:marBottom w:val="0"/>
      <w:divBdr>
        <w:top w:val="none" w:sz="0" w:space="0" w:color="auto"/>
        <w:left w:val="none" w:sz="0" w:space="0" w:color="auto"/>
        <w:bottom w:val="none" w:sz="0" w:space="0" w:color="auto"/>
        <w:right w:val="none" w:sz="0" w:space="0" w:color="auto"/>
      </w:divBdr>
      <w:divsChild>
        <w:div w:id="1434590504">
          <w:marLeft w:val="480"/>
          <w:marRight w:val="0"/>
          <w:marTop w:val="0"/>
          <w:marBottom w:val="0"/>
          <w:divBdr>
            <w:top w:val="none" w:sz="0" w:space="0" w:color="auto"/>
            <w:left w:val="none" w:sz="0" w:space="0" w:color="auto"/>
            <w:bottom w:val="none" w:sz="0" w:space="0" w:color="auto"/>
            <w:right w:val="none" w:sz="0" w:space="0" w:color="auto"/>
          </w:divBdr>
        </w:div>
        <w:div w:id="423231510">
          <w:marLeft w:val="480"/>
          <w:marRight w:val="0"/>
          <w:marTop w:val="0"/>
          <w:marBottom w:val="0"/>
          <w:divBdr>
            <w:top w:val="none" w:sz="0" w:space="0" w:color="auto"/>
            <w:left w:val="none" w:sz="0" w:space="0" w:color="auto"/>
            <w:bottom w:val="none" w:sz="0" w:space="0" w:color="auto"/>
            <w:right w:val="none" w:sz="0" w:space="0" w:color="auto"/>
          </w:divBdr>
        </w:div>
        <w:div w:id="1312713741">
          <w:marLeft w:val="480"/>
          <w:marRight w:val="0"/>
          <w:marTop w:val="0"/>
          <w:marBottom w:val="0"/>
          <w:divBdr>
            <w:top w:val="none" w:sz="0" w:space="0" w:color="auto"/>
            <w:left w:val="none" w:sz="0" w:space="0" w:color="auto"/>
            <w:bottom w:val="none" w:sz="0" w:space="0" w:color="auto"/>
            <w:right w:val="none" w:sz="0" w:space="0" w:color="auto"/>
          </w:divBdr>
        </w:div>
        <w:div w:id="1174035414">
          <w:marLeft w:val="480"/>
          <w:marRight w:val="0"/>
          <w:marTop w:val="0"/>
          <w:marBottom w:val="0"/>
          <w:divBdr>
            <w:top w:val="none" w:sz="0" w:space="0" w:color="auto"/>
            <w:left w:val="none" w:sz="0" w:space="0" w:color="auto"/>
            <w:bottom w:val="none" w:sz="0" w:space="0" w:color="auto"/>
            <w:right w:val="none" w:sz="0" w:space="0" w:color="auto"/>
          </w:divBdr>
        </w:div>
        <w:div w:id="901717938">
          <w:marLeft w:val="480"/>
          <w:marRight w:val="0"/>
          <w:marTop w:val="0"/>
          <w:marBottom w:val="0"/>
          <w:divBdr>
            <w:top w:val="none" w:sz="0" w:space="0" w:color="auto"/>
            <w:left w:val="none" w:sz="0" w:space="0" w:color="auto"/>
            <w:bottom w:val="none" w:sz="0" w:space="0" w:color="auto"/>
            <w:right w:val="none" w:sz="0" w:space="0" w:color="auto"/>
          </w:divBdr>
        </w:div>
        <w:div w:id="2132433662">
          <w:marLeft w:val="480"/>
          <w:marRight w:val="0"/>
          <w:marTop w:val="0"/>
          <w:marBottom w:val="0"/>
          <w:divBdr>
            <w:top w:val="none" w:sz="0" w:space="0" w:color="auto"/>
            <w:left w:val="none" w:sz="0" w:space="0" w:color="auto"/>
            <w:bottom w:val="none" w:sz="0" w:space="0" w:color="auto"/>
            <w:right w:val="none" w:sz="0" w:space="0" w:color="auto"/>
          </w:divBdr>
        </w:div>
        <w:div w:id="1646231054">
          <w:marLeft w:val="480"/>
          <w:marRight w:val="0"/>
          <w:marTop w:val="0"/>
          <w:marBottom w:val="0"/>
          <w:divBdr>
            <w:top w:val="none" w:sz="0" w:space="0" w:color="auto"/>
            <w:left w:val="none" w:sz="0" w:space="0" w:color="auto"/>
            <w:bottom w:val="none" w:sz="0" w:space="0" w:color="auto"/>
            <w:right w:val="none" w:sz="0" w:space="0" w:color="auto"/>
          </w:divBdr>
        </w:div>
        <w:div w:id="373040361">
          <w:marLeft w:val="480"/>
          <w:marRight w:val="0"/>
          <w:marTop w:val="0"/>
          <w:marBottom w:val="0"/>
          <w:divBdr>
            <w:top w:val="none" w:sz="0" w:space="0" w:color="auto"/>
            <w:left w:val="none" w:sz="0" w:space="0" w:color="auto"/>
            <w:bottom w:val="none" w:sz="0" w:space="0" w:color="auto"/>
            <w:right w:val="none" w:sz="0" w:space="0" w:color="auto"/>
          </w:divBdr>
        </w:div>
        <w:div w:id="364256605">
          <w:marLeft w:val="480"/>
          <w:marRight w:val="0"/>
          <w:marTop w:val="0"/>
          <w:marBottom w:val="0"/>
          <w:divBdr>
            <w:top w:val="none" w:sz="0" w:space="0" w:color="auto"/>
            <w:left w:val="none" w:sz="0" w:space="0" w:color="auto"/>
            <w:bottom w:val="none" w:sz="0" w:space="0" w:color="auto"/>
            <w:right w:val="none" w:sz="0" w:space="0" w:color="auto"/>
          </w:divBdr>
        </w:div>
        <w:div w:id="351803837">
          <w:marLeft w:val="480"/>
          <w:marRight w:val="0"/>
          <w:marTop w:val="0"/>
          <w:marBottom w:val="0"/>
          <w:divBdr>
            <w:top w:val="none" w:sz="0" w:space="0" w:color="auto"/>
            <w:left w:val="none" w:sz="0" w:space="0" w:color="auto"/>
            <w:bottom w:val="none" w:sz="0" w:space="0" w:color="auto"/>
            <w:right w:val="none" w:sz="0" w:space="0" w:color="auto"/>
          </w:divBdr>
        </w:div>
        <w:div w:id="1679843208">
          <w:marLeft w:val="480"/>
          <w:marRight w:val="0"/>
          <w:marTop w:val="0"/>
          <w:marBottom w:val="0"/>
          <w:divBdr>
            <w:top w:val="none" w:sz="0" w:space="0" w:color="auto"/>
            <w:left w:val="none" w:sz="0" w:space="0" w:color="auto"/>
            <w:bottom w:val="none" w:sz="0" w:space="0" w:color="auto"/>
            <w:right w:val="none" w:sz="0" w:space="0" w:color="auto"/>
          </w:divBdr>
        </w:div>
        <w:div w:id="70081576">
          <w:marLeft w:val="480"/>
          <w:marRight w:val="0"/>
          <w:marTop w:val="0"/>
          <w:marBottom w:val="0"/>
          <w:divBdr>
            <w:top w:val="none" w:sz="0" w:space="0" w:color="auto"/>
            <w:left w:val="none" w:sz="0" w:space="0" w:color="auto"/>
            <w:bottom w:val="none" w:sz="0" w:space="0" w:color="auto"/>
            <w:right w:val="none" w:sz="0" w:space="0" w:color="auto"/>
          </w:divBdr>
        </w:div>
        <w:div w:id="300578237">
          <w:marLeft w:val="480"/>
          <w:marRight w:val="0"/>
          <w:marTop w:val="0"/>
          <w:marBottom w:val="0"/>
          <w:divBdr>
            <w:top w:val="none" w:sz="0" w:space="0" w:color="auto"/>
            <w:left w:val="none" w:sz="0" w:space="0" w:color="auto"/>
            <w:bottom w:val="none" w:sz="0" w:space="0" w:color="auto"/>
            <w:right w:val="none" w:sz="0" w:space="0" w:color="auto"/>
          </w:divBdr>
        </w:div>
        <w:div w:id="19017263">
          <w:marLeft w:val="480"/>
          <w:marRight w:val="0"/>
          <w:marTop w:val="0"/>
          <w:marBottom w:val="0"/>
          <w:divBdr>
            <w:top w:val="none" w:sz="0" w:space="0" w:color="auto"/>
            <w:left w:val="none" w:sz="0" w:space="0" w:color="auto"/>
            <w:bottom w:val="none" w:sz="0" w:space="0" w:color="auto"/>
            <w:right w:val="none" w:sz="0" w:space="0" w:color="auto"/>
          </w:divBdr>
        </w:div>
        <w:div w:id="1773428819">
          <w:marLeft w:val="480"/>
          <w:marRight w:val="0"/>
          <w:marTop w:val="0"/>
          <w:marBottom w:val="0"/>
          <w:divBdr>
            <w:top w:val="none" w:sz="0" w:space="0" w:color="auto"/>
            <w:left w:val="none" w:sz="0" w:space="0" w:color="auto"/>
            <w:bottom w:val="none" w:sz="0" w:space="0" w:color="auto"/>
            <w:right w:val="none" w:sz="0" w:space="0" w:color="auto"/>
          </w:divBdr>
        </w:div>
        <w:div w:id="1781604733">
          <w:marLeft w:val="480"/>
          <w:marRight w:val="0"/>
          <w:marTop w:val="0"/>
          <w:marBottom w:val="0"/>
          <w:divBdr>
            <w:top w:val="none" w:sz="0" w:space="0" w:color="auto"/>
            <w:left w:val="none" w:sz="0" w:space="0" w:color="auto"/>
            <w:bottom w:val="none" w:sz="0" w:space="0" w:color="auto"/>
            <w:right w:val="none" w:sz="0" w:space="0" w:color="auto"/>
          </w:divBdr>
        </w:div>
        <w:div w:id="1086390511">
          <w:marLeft w:val="480"/>
          <w:marRight w:val="0"/>
          <w:marTop w:val="0"/>
          <w:marBottom w:val="0"/>
          <w:divBdr>
            <w:top w:val="none" w:sz="0" w:space="0" w:color="auto"/>
            <w:left w:val="none" w:sz="0" w:space="0" w:color="auto"/>
            <w:bottom w:val="none" w:sz="0" w:space="0" w:color="auto"/>
            <w:right w:val="none" w:sz="0" w:space="0" w:color="auto"/>
          </w:divBdr>
        </w:div>
        <w:div w:id="1443190347">
          <w:marLeft w:val="480"/>
          <w:marRight w:val="0"/>
          <w:marTop w:val="0"/>
          <w:marBottom w:val="0"/>
          <w:divBdr>
            <w:top w:val="none" w:sz="0" w:space="0" w:color="auto"/>
            <w:left w:val="none" w:sz="0" w:space="0" w:color="auto"/>
            <w:bottom w:val="none" w:sz="0" w:space="0" w:color="auto"/>
            <w:right w:val="none" w:sz="0" w:space="0" w:color="auto"/>
          </w:divBdr>
        </w:div>
        <w:div w:id="482236098">
          <w:marLeft w:val="480"/>
          <w:marRight w:val="0"/>
          <w:marTop w:val="0"/>
          <w:marBottom w:val="0"/>
          <w:divBdr>
            <w:top w:val="none" w:sz="0" w:space="0" w:color="auto"/>
            <w:left w:val="none" w:sz="0" w:space="0" w:color="auto"/>
            <w:bottom w:val="none" w:sz="0" w:space="0" w:color="auto"/>
            <w:right w:val="none" w:sz="0" w:space="0" w:color="auto"/>
          </w:divBdr>
        </w:div>
        <w:div w:id="1610964331">
          <w:marLeft w:val="480"/>
          <w:marRight w:val="0"/>
          <w:marTop w:val="0"/>
          <w:marBottom w:val="0"/>
          <w:divBdr>
            <w:top w:val="none" w:sz="0" w:space="0" w:color="auto"/>
            <w:left w:val="none" w:sz="0" w:space="0" w:color="auto"/>
            <w:bottom w:val="none" w:sz="0" w:space="0" w:color="auto"/>
            <w:right w:val="none" w:sz="0" w:space="0" w:color="auto"/>
          </w:divBdr>
        </w:div>
      </w:divsChild>
    </w:div>
    <w:div w:id="60325296">
      <w:bodyDiv w:val="1"/>
      <w:marLeft w:val="0"/>
      <w:marRight w:val="0"/>
      <w:marTop w:val="0"/>
      <w:marBottom w:val="0"/>
      <w:divBdr>
        <w:top w:val="none" w:sz="0" w:space="0" w:color="auto"/>
        <w:left w:val="none" w:sz="0" w:space="0" w:color="auto"/>
        <w:bottom w:val="none" w:sz="0" w:space="0" w:color="auto"/>
        <w:right w:val="none" w:sz="0" w:space="0" w:color="auto"/>
      </w:divBdr>
      <w:divsChild>
        <w:div w:id="1225023754">
          <w:marLeft w:val="480"/>
          <w:marRight w:val="0"/>
          <w:marTop w:val="0"/>
          <w:marBottom w:val="0"/>
          <w:divBdr>
            <w:top w:val="none" w:sz="0" w:space="0" w:color="auto"/>
            <w:left w:val="none" w:sz="0" w:space="0" w:color="auto"/>
            <w:bottom w:val="none" w:sz="0" w:space="0" w:color="auto"/>
            <w:right w:val="none" w:sz="0" w:space="0" w:color="auto"/>
          </w:divBdr>
        </w:div>
        <w:div w:id="1948465308">
          <w:marLeft w:val="480"/>
          <w:marRight w:val="0"/>
          <w:marTop w:val="0"/>
          <w:marBottom w:val="0"/>
          <w:divBdr>
            <w:top w:val="none" w:sz="0" w:space="0" w:color="auto"/>
            <w:left w:val="none" w:sz="0" w:space="0" w:color="auto"/>
            <w:bottom w:val="none" w:sz="0" w:space="0" w:color="auto"/>
            <w:right w:val="none" w:sz="0" w:space="0" w:color="auto"/>
          </w:divBdr>
        </w:div>
        <w:div w:id="1688095449">
          <w:marLeft w:val="480"/>
          <w:marRight w:val="0"/>
          <w:marTop w:val="0"/>
          <w:marBottom w:val="0"/>
          <w:divBdr>
            <w:top w:val="none" w:sz="0" w:space="0" w:color="auto"/>
            <w:left w:val="none" w:sz="0" w:space="0" w:color="auto"/>
            <w:bottom w:val="none" w:sz="0" w:space="0" w:color="auto"/>
            <w:right w:val="none" w:sz="0" w:space="0" w:color="auto"/>
          </w:divBdr>
        </w:div>
        <w:div w:id="2079667730">
          <w:marLeft w:val="480"/>
          <w:marRight w:val="0"/>
          <w:marTop w:val="0"/>
          <w:marBottom w:val="0"/>
          <w:divBdr>
            <w:top w:val="none" w:sz="0" w:space="0" w:color="auto"/>
            <w:left w:val="none" w:sz="0" w:space="0" w:color="auto"/>
            <w:bottom w:val="none" w:sz="0" w:space="0" w:color="auto"/>
            <w:right w:val="none" w:sz="0" w:space="0" w:color="auto"/>
          </w:divBdr>
        </w:div>
        <w:div w:id="1523544151">
          <w:marLeft w:val="480"/>
          <w:marRight w:val="0"/>
          <w:marTop w:val="0"/>
          <w:marBottom w:val="0"/>
          <w:divBdr>
            <w:top w:val="none" w:sz="0" w:space="0" w:color="auto"/>
            <w:left w:val="none" w:sz="0" w:space="0" w:color="auto"/>
            <w:bottom w:val="none" w:sz="0" w:space="0" w:color="auto"/>
            <w:right w:val="none" w:sz="0" w:space="0" w:color="auto"/>
          </w:divBdr>
        </w:div>
        <w:div w:id="1346246136">
          <w:marLeft w:val="480"/>
          <w:marRight w:val="0"/>
          <w:marTop w:val="0"/>
          <w:marBottom w:val="0"/>
          <w:divBdr>
            <w:top w:val="none" w:sz="0" w:space="0" w:color="auto"/>
            <w:left w:val="none" w:sz="0" w:space="0" w:color="auto"/>
            <w:bottom w:val="none" w:sz="0" w:space="0" w:color="auto"/>
            <w:right w:val="none" w:sz="0" w:space="0" w:color="auto"/>
          </w:divBdr>
        </w:div>
        <w:div w:id="1733262990">
          <w:marLeft w:val="480"/>
          <w:marRight w:val="0"/>
          <w:marTop w:val="0"/>
          <w:marBottom w:val="0"/>
          <w:divBdr>
            <w:top w:val="none" w:sz="0" w:space="0" w:color="auto"/>
            <w:left w:val="none" w:sz="0" w:space="0" w:color="auto"/>
            <w:bottom w:val="none" w:sz="0" w:space="0" w:color="auto"/>
            <w:right w:val="none" w:sz="0" w:space="0" w:color="auto"/>
          </w:divBdr>
        </w:div>
        <w:div w:id="920065535">
          <w:marLeft w:val="480"/>
          <w:marRight w:val="0"/>
          <w:marTop w:val="0"/>
          <w:marBottom w:val="0"/>
          <w:divBdr>
            <w:top w:val="none" w:sz="0" w:space="0" w:color="auto"/>
            <w:left w:val="none" w:sz="0" w:space="0" w:color="auto"/>
            <w:bottom w:val="none" w:sz="0" w:space="0" w:color="auto"/>
            <w:right w:val="none" w:sz="0" w:space="0" w:color="auto"/>
          </w:divBdr>
        </w:div>
        <w:div w:id="1674063376">
          <w:marLeft w:val="480"/>
          <w:marRight w:val="0"/>
          <w:marTop w:val="0"/>
          <w:marBottom w:val="0"/>
          <w:divBdr>
            <w:top w:val="none" w:sz="0" w:space="0" w:color="auto"/>
            <w:left w:val="none" w:sz="0" w:space="0" w:color="auto"/>
            <w:bottom w:val="none" w:sz="0" w:space="0" w:color="auto"/>
            <w:right w:val="none" w:sz="0" w:space="0" w:color="auto"/>
          </w:divBdr>
        </w:div>
        <w:div w:id="627856577">
          <w:marLeft w:val="480"/>
          <w:marRight w:val="0"/>
          <w:marTop w:val="0"/>
          <w:marBottom w:val="0"/>
          <w:divBdr>
            <w:top w:val="none" w:sz="0" w:space="0" w:color="auto"/>
            <w:left w:val="none" w:sz="0" w:space="0" w:color="auto"/>
            <w:bottom w:val="none" w:sz="0" w:space="0" w:color="auto"/>
            <w:right w:val="none" w:sz="0" w:space="0" w:color="auto"/>
          </w:divBdr>
        </w:div>
        <w:div w:id="130096329">
          <w:marLeft w:val="480"/>
          <w:marRight w:val="0"/>
          <w:marTop w:val="0"/>
          <w:marBottom w:val="0"/>
          <w:divBdr>
            <w:top w:val="none" w:sz="0" w:space="0" w:color="auto"/>
            <w:left w:val="none" w:sz="0" w:space="0" w:color="auto"/>
            <w:bottom w:val="none" w:sz="0" w:space="0" w:color="auto"/>
            <w:right w:val="none" w:sz="0" w:space="0" w:color="auto"/>
          </w:divBdr>
        </w:div>
        <w:div w:id="1425343034">
          <w:marLeft w:val="480"/>
          <w:marRight w:val="0"/>
          <w:marTop w:val="0"/>
          <w:marBottom w:val="0"/>
          <w:divBdr>
            <w:top w:val="none" w:sz="0" w:space="0" w:color="auto"/>
            <w:left w:val="none" w:sz="0" w:space="0" w:color="auto"/>
            <w:bottom w:val="none" w:sz="0" w:space="0" w:color="auto"/>
            <w:right w:val="none" w:sz="0" w:space="0" w:color="auto"/>
          </w:divBdr>
        </w:div>
        <w:div w:id="1983729156">
          <w:marLeft w:val="480"/>
          <w:marRight w:val="0"/>
          <w:marTop w:val="0"/>
          <w:marBottom w:val="0"/>
          <w:divBdr>
            <w:top w:val="none" w:sz="0" w:space="0" w:color="auto"/>
            <w:left w:val="none" w:sz="0" w:space="0" w:color="auto"/>
            <w:bottom w:val="none" w:sz="0" w:space="0" w:color="auto"/>
            <w:right w:val="none" w:sz="0" w:space="0" w:color="auto"/>
          </w:divBdr>
        </w:div>
        <w:div w:id="458764647">
          <w:marLeft w:val="480"/>
          <w:marRight w:val="0"/>
          <w:marTop w:val="0"/>
          <w:marBottom w:val="0"/>
          <w:divBdr>
            <w:top w:val="none" w:sz="0" w:space="0" w:color="auto"/>
            <w:left w:val="none" w:sz="0" w:space="0" w:color="auto"/>
            <w:bottom w:val="none" w:sz="0" w:space="0" w:color="auto"/>
            <w:right w:val="none" w:sz="0" w:space="0" w:color="auto"/>
          </w:divBdr>
        </w:div>
        <w:div w:id="1657300022">
          <w:marLeft w:val="480"/>
          <w:marRight w:val="0"/>
          <w:marTop w:val="0"/>
          <w:marBottom w:val="0"/>
          <w:divBdr>
            <w:top w:val="none" w:sz="0" w:space="0" w:color="auto"/>
            <w:left w:val="none" w:sz="0" w:space="0" w:color="auto"/>
            <w:bottom w:val="none" w:sz="0" w:space="0" w:color="auto"/>
            <w:right w:val="none" w:sz="0" w:space="0" w:color="auto"/>
          </w:divBdr>
        </w:div>
        <w:div w:id="65692086">
          <w:marLeft w:val="480"/>
          <w:marRight w:val="0"/>
          <w:marTop w:val="0"/>
          <w:marBottom w:val="0"/>
          <w:divBdr>
            <w:top w:val="none" w:sz="0" w:space="0" w:color="auto"/>
            <w:left w:val="none" w:sz="0" w:space="0" w:color="auto"/>
            <w:bottom w:val="none" w:sz="0" w:space="0" w:color="auto"/>
            <w:right w:val="none" w:sz="0" w:space="0" w:color="auto"/>
          </w:divBdr>
        </w:div>
        <w:div w:id="545030139">
          <w:marLeft w:val="480"/>
          <w:marRight w:val="0"/>
          <w:marTop w:val="0"/>
          <w:marBottom w:val="0"/>
          <w:divBdr>
            <w:top w:val="none" w:sz="0" w:space="0" w:color="auto"/>
            <w:left w:val="none" w:sz="0" w:space="0" w:color="auto"/>
            <w:bottom w:val="none" w:sz="0" w:space="0" w:color="auto"/>
            <w:right w:val="none" w:sz="0" w:space="0" w:color="auto"/>
          </w:divBdr>
        </w:div>
        <w:div w:id="1976792527">
          <w:marLeft w:val="480"/>
          <w:marRight w:val="0"/>
          <w:marTop w:val="0"/>
          <w:marBottom w:val="0"/>
          <w:divBdr>
            <w:top w:val="none" w:sz="0" w:space="0" w:color="auto"/>
            <w:left w:val="none" w:sz="0" w:space="0" w:color="auto"/>
            <w:bottom w:val="none" w:sz="0" w:space="0" w:color="auto"/>
            <w:right w:val="none" w:sz="0" w:space="0" w:color="auto"/>
          </w:divBdr>
        </w:div>
        <w:div w:id="946422722">
          <w:marLeft w:val="480"/>
          <w:marRight w:val="0"/>
          <w:marTop w:val="0"/>
          <w:marBottom w:val="0"/>
          <w:divBdr>
            <w:top w:val="none" w:sz="0" w:space="0" w:color="auto"/>
            <w:left w:val="none" w:sz="0" w:space="0" w:color="auto"/>
            <w:bottom w:val="none" w:sz="0" w:space="0" w:color="auto"/>
            <w:right w:val="none" w:sz="0" w:space="0" w:color="auto"/>
          </w:divBdr>
        </w:div>
        <w:div w:id="2070107426">
          <w:marLeft w:val="480"/>
          <w:marRight w:val="0"/>
          <w:marTop w:val="0"/>
          <w:marBottom w:val="0"/>
          <w:divBdr>
            <w:top w:val="none" w:sz="0" w:space="0" w:color="auto"/>
            <w:left w:val="none" w:sz="0" w:space="0" w:color="auto"/>
            <w:bottom w:val="none" w:sz="0" w:space="0" w:color="auto"/>
            <w:right w:val="none" w:sz="0" w:space="0" w:color="auto"/>
          </w:divBdr>
        </w:div>
        <w:div w:id="134495380">
          <w:marLeft w:val="480"/>
          <w:marRight w:val="0"/>
          <w:marTop w:val="0"/>
          <w:marBottom w:val="0"/>
          <w:divBdr>
            <w:top w:val="none" w:sz="0" w:space="0" w:color="auto"/>
            <w:left w:val="none" w:sz="0" w:space="0" w:color="auto"/>
            <w:bottom w:val="none" w:sz="0" w:space="0" w:color="auto"/>
            <w:right w:val="none" w:sz="0" w:space="0" w:color="auto"/>
          </w:divBdr>
        </w:div>
      </w:divsChild>
    </w:div>
    <w:div w:id="68118514">
      <w:bodyDiv w:val="1"/>
      <w:marLeft w:val="0"/>
      <w:marRight w:val="0"/>
      <w:marTop w:val="0"/>
      <w:marBottom w:val="0"/>
      <w:divBdr>
        <w:top w:val="none" w:sz="0" w:space="0" w:color="auto"/>
        <w:left w:val="none" w:sz="0" w:space="0" w:color="auto"/>
        <w:bottom w:val="none" w:sz="0" w:space="0" w:color="auto"/>
        <w:right w:val="none" w:sz="0" w:space="0" w:color="auto"/>
      </w:divBdr>
    </w:div>
    <w:div w:id="70810880">
      <w:bodyDiv w:val="1"/>
      <w:marLeft w:val="0"/>
      <w:marRight w:val="0"/>
      <w:marTop w:val="0"/>
      <w:marBottom w:val="0"/>
      <w:divBdr>
        <w:top w:val="none" w:sz="0" w:space="0" w:color="auto"/>
        <w:left w:val="none" w:sz="0" w:space="0" w:color="auto"/>
        <w:bottom w:val="none" w:sz="0" w:space="0" w:color="auto"/>
        <w:right w:val="none" w:sz="0" w:space="0" w:color="auto"/>
      </w:divBdr>
    </w:div>
    <w:div w:id="78138124">
      <w:bodyDiv w:val="1"/>
      <w:marLeft w:val="0"/>
      <w:marRight w:val="0"/>
      <w:marTop w:val="0"/>
      <w:marBottom w:val="0"/>
      <w:divBdr>
        <w:top w:val="none" w:sz="0" w:space="0" w:color="auto"/>
        <w:left w:val="none" w:sz="0" w:space="0" w:color="auto"/>
        <w:bottom w:val="none" w:sz="0" w:space="0" w:color="auto"/>
        <w:right w:val="none" w:sz="0" w:space="0" w:color="auto"/>
      </w:divBdr>
    </w:div>
    <w:div w:id="81877527">
      <w:bodyDiv w:val="1"/>
      <w:marLeft w:val="0"/>
      <w:marRight w:val="0"/>
      <w:marTop w:val="0"/>
      <w:marBottom w:val="0"/>
      <w:divBdr>
        <w:top w:val="none" w:sz="0" w:space="0" w:color="auto"/>
        <w:left w:val="none" w:sz="0" w:space="0" w:color="auto"/>
        <w:bottom w:val="none" w:sz="0" w:space="0" w:color="auto"/>
        <w:right w:val="none" w:sz="0" w:space="0" w:color="auto"/>
      </w:divBdr>
    </w:div>
    <w:div w:id="98261089">
      <w:bodyDiv w:val="1"/>
      <w:marLeft w:val="0"/>
      <w:marRight w:val="0"/>
      <w:marTop w:val="0"/>
      <w:marBottom w:val="0"/>
      <w:divBdr>
        <w:top w:val="none" w:sz="0" w:space="0" w:color="auto"/>
        <w:left w:val="none" w:sz="0" w:space="0" w:color="auto"/>
        <w:bottom w:val="none" w:sz="0" w:space="0" w:color="auto"/>
        <w:right w:val="none" w:sz="0" w:space="0" w:color="auto"/>
      </w:divBdr>
    </w:div>
    <w:div w:id="112676901">
      <w:bodyDiv w:val="1"/>
      <w:marLeft w:val="0"/>
      <w:marRight w:val="0"/>
      <w:marTop w:val="0"/>
      <w:marBottom w:val="0"/>
      <w:divBdr>
        <w:top w:val="none" w:sz="0" w:space="0" w:color="auto"/>
        <w:left w:val="none" w:sz="0" w:space="0" w:color="auto"/>
        <w:bottom w:val="none" w:sz="0" w:space="0" w:color="auto"/>
        <w:right w:val="none" w:sz="0" w:space="0" w:color="auto"/>
      </w:divBdr>
    </w:div>
    <w:div w:id="123472592">
      <w:bodyDiv w:val="1"/>
      <w:marLeft w:val="0"/>
      <w:marRight w:val="0"/>
      <w:marTop w:val="0"/>
      <w:marBottom w:val="0"/>
      <w:divBdr>
        <w:top w:val="none" w:sz="0" w:space="0" w:color="auto"/>
        <w:left w:val="none" w:sz="0" w:space="0" w:color="auto"/>
        <w:bottom w:val="none" w:sz="0" w:space="0" w:color="auto"/>
        <w:right w:val="none" w:sz="0" w:space="0" w:color="auto"/>
      </w:divBdr>
    </w:div>
    <w:div w:id="124466497">
      <w:bodyDiv w:val="1"/>
      <w:marLeft w:val="0"/>
      <w:marRight w:val="0"/>
      <w:marTop w:val="0"/>
      <w:marBottom w:val="0"/>
      <w:divBdr>
        <w:top w:val="none" w:sz="0" w:space="0" w:color="auto"/>
        <w:left w:val="none" w:sz="0" w:space="0" w:color="auto"/>
        <w:bottom w:val="none" w:sz="0" w:space="0" w:color="auto"/>
        <w:right w:val="none" w:sz="0" w:space="0" w:color="auto"/>
      </w:divBdr>
    </w:div>
    <w:div w:id="125246370">
      <w:bodyDiv w:val="1"/>
      <w:marLeft w:val="0"/>
      <w:marRight w:val="0"/>
      <w:marTop w:val="0"/>
      <w:marBottom w:val="0"/>
      <w:divBdr>
        <w:top w:val="none" w:sz="0" w:space="0" w:color="auto"/>
        <w:left w:val="none" w:sz="0" w:space="0" w:color="auto"/>
        <w:bottom w:val="none" w:sz="0" w:space="0" w:color="auto"/>
        <w:right w:val="none" w:sz="0" w:space="0" w:color="auto"/>
      </w:divBdr>
    </w:div>
    <w:div w:id="139883424">
      <w:bodyDiv w:val="1"/>
      <w:marLeft w:val="0"/>
      <w:marRight w:val="0"/>
      <w:marTop w:val="0"/>
      <w:marBottom w:val="0"/>
      <w:divBdr>
        <w:top w:val="none" w:sz="0" w:space="0" w:color="auto"/>
        <w:left w:val="none" w:sz="0" w:space="0" w:color="auto"/>
        <w:bottom w:val="none" w:sz="0" w:space="0" w:color="auto"/>
        <w:right w:val="none" w:sz="0" w:space="0" w:color="auto"/>
      </w:divBdr>
    </w:div>
    <w:div w:id="143474359">
      <w:bodyDiv w:val="1"/>
      <w:marLeft w:val="0"/>
      <w:marRight w:val="0"/>
      <w:marTop w:val="0"/>
      <w:marBottom w:val="0"/>
      <w:divBdr>
        <w:top w:val="none" w:sz="0" w:space="0" w:color="auto"/>
        <w:left w:val="none" w:sz="0" w:space="0" w:color="auto"/>
        <w:bottom w:val="none" w:sz="0" w:space="0" w:color="auto"/>
        <w:right w:val="none" w:sz="0" w:space="0" w:color="auto"/>
      </w:divBdr>
    </w:div>
    <w:div w:id="151726343">
      <w:bodyDiv w:val="1"/>
      <w:marLeft w:val="0"/>
      <w:marRight w:val="0"/>
      <w:marTop w:val="0"/>
      <w:marBottom w:val="0"/>
      <w:divBdr>
        <w:top w:val="none" w:sz="0" w:space="0" w:color="auto"/>
        <w:left w:val="none" w:sz="0" w:space="0" w:color="auto"/>
        <w:bottom w:val="none" w:sz="0" w:space="0" w:color="auto"/>
        <w:right w:val="none" w:sz="0" w:space="0" w:color="auto"/>
      </w:divBdr>
    </w:div>
    <w:div w:id="165488241">
      <w:bodyDiv w:val="1"/>
      <w:marLeft w:val="0"/>
      <w:marRight w:val="0"/>
      <w:marTop w:val="0"/>
      <w:marBottom w:val="0"/>
      <w:divBdr>
        <w:top w:val="none" w:sz="0" w:space="0" w:color="auto"/>
        <w:left w:val="none" w:sz="0" w:space="0" w:color="auto"/>
        <w:bottom w:val="none" w:sz="0" w:space="0" w:color="auto"/>
        <w:right w:val="none" w:sz="0" w:space="0" w:color="auto"/>
      </w:divBdr>
    </w:div>
    <w:div w:id="175582842">
      <w:bodyDiv w:val="1"/>
      <w:marLeft w:val="0"/>
      <w:marRight w:val="0"/>
      <w:marTop w:val="0"/>
      <w:marBottom w:val="0"/>
      <w:divBdr>
        <w:top w:val="none" w:sz="0" w:space="0" w:color="auto"/>
        <w:left w:val="none" w:sz="0" w:space="0" w:color="auto"/>
        <w:bottom w:val="none" w:sz="0" w:space="0" w:color="auto"/>
        <w:right w:val="none" w:sz="0" w:space="0" w:color="auto"/>
      </w:divBdr>
    </w:div>
    <w:div w:id="177815308">
      <w:bodyDiv w:val="1"/>
      <w:marLeft w:val="0"/>
      <w:marRight w:val="0"/>
      <w:marTop w:val="0"/>
      <w:marBottom w:val="0"/>
      <w:divBdr>
        <w:top w:val="none" w:sz="0" w:space="0" w:color="auto"/>
        <w:left w:val="none" w:sz="0" w:space="0" w:color="auto"/>
        <w:bottom w:val="none" w:sz="0" w:space="0" w:color="auto"/>
        <w:right w:val="none" w:sz="0" w:space="0" w:color="auto"/>
      </w:divBdr>
    </w:div>
    <w:div w:id="192379653">
      <w:bodyDiv w:val="1"/>
      <w:marLeft w:val="0"/>
      <w:marRight w:val="0"/>
      <w:marTop w:val="0"/>
      <w:marBottom w:val="0"/>
      <w:divBdr>
        <w:top w:val="none" w:sz="0" w:space="0" w:color="auto"/>
        <w:left w:val="none" w:sz="0" w:space="0" w:color="auto"/>
        <w:bottom w:val="none" w:sz="0" w:space="0" w:color="auto"/>
        <w:right w:val="none" w:sz="0" w:space="0" w:color="auto"/>
      </w:divBdr>
    </w:div>
    <w:div w:id="196357307">
      <w:bodyDiv w:val="1"/>
      <w:marLeft w:val="0"/>
      <w:marRight w:val="0"/>
      <w:marTop w:val="0"/>
      <w:marBottom w:val="0"/>
      <w:divBdr>
        <w:top w:val="none" w:sz="0" w:space="0" w:color="auto"/>
        <w:left w:val="none" w:sz="0" w:space="0" w:color="auto"/>
        <w:bottom w:val="none" w:sz="0" w:space="0" w:color="auto"/>
        <w:right w:val="none" w:sz="0" w:space="0" w:color="auto"/>
      </w:divBdr>
    </w:div>
    <w:div w:id="213590826">
      <w:bodyDiv w:val="1"/>
      <w:marLeft w:val="0"/>
      <w:marRight w:val="0"/>
      <w:marTop w:val="0"/>
      <w:marBottom w:val="0"/>
      <w:divBdr>
        <w:top w:val="none" w:sz="0" w:space="0" w:color="auto"/>
        <w:left w:val="none" w:sz="0" w:space="0" w:color="auto"/>
        <w:bottom w:val="none" w:sz="0" w:space="0" w:color="auto"/>
        <w:right w:val="none" w:sz="0" w:space="0" w:color="auto"/>
      </w:divBdr>
    </w:div>
    <w:div w:id="228734719">
      <w:bodyDiv w:val="1"/>
      <w:marLeft w:val="0"/>
      <w:marRight w:val="0"/>
      <w:marTop w:val="0"/>
      <w:marBottom w:val="0"/>
      <w:divBdr>
        <w:top w:val="none" w:sz="0" w:space="0" w:color="auto"/>
        <w:left w:val="none" w:sz="0" w:space="0" w:color="auto"/>
        <w:bottom w:val="none" w:sz="0" w:space="0" w:color="auto"/>
        <w:right w:val="none" w:sz="0" w:space="0" w:color="auto"/>
      </w:divBdr>
    </w:div>
    <w:div w:id="229466346">
      <w:bodyDiv w:val="1"/>
      <w:marLeft w:val="0"/>
      <w:marRight w:val="0"/>
      <w:marTop w:val="0"/>
      <w:marBottom w:val="0"/>
      <w:divBdr>
        <w:top w:val="none" w:sz="0" w:space="0" w:color="auto"/>
        <w:left w:val="none" w:sz="0" w:space="0" w:color="auto"/>
        <w:bottom w:val="none" w:sz="0" w:space="0" w:color="auto"/>
        <w:right w:val="none" w:sz="0" w:space="0" w:color="auto"/>
      </w:divBdr>
    </w:div>
    <w:div w:id="235239750">
      <w:bodyDiv w:val="1"/>
      <w:marLeft w:val="0"/>
      <w:marRight w:val="0"/>
      <w:marTop w:val="0"/>
      <w:marBottom w:val="0"/>
      <w:divBdr>
        <w:top w:val="none" w:sz="0" w:space="0" w:color="auto"/>
        <w:left w:val="none" w:sz="0" w:space="0" w:color="auto"/>
        <w:bottom w:val="none" w:sz="0" w:space="0" w:color="auto"/>
        <w:right w:val="none" w:sz="0" w:space="0" w:color="auto"/>
      </w:divBdr>
    </w:div>
    <w:div w:id="240410540">
      <w:bodyDiv w:val="1"/>
      <w:marLeft w:val="0"/>
      <w:marRight w:val="0"/>
      <w:marTop w:val="0"/>
      <w:marBottom w:val="0"/>
      <w:divBdr>
        <w:top w:val="none" w:sz="0" w:space="0" w:color="auto"/>
        <w:left w:val="none" w:sz="0" w:space="0" w:color="auto"/>
        <w:bottom w:val="none" w:sz="0" w:space="0" w:color="auto"/>
        <w:right w:val="none" w:sz="0" w:space="0" w:color="auto"/>
      </w:divBdr>
    </w:div>
    <w:div w:id="244851363">
      <w:bodyDiv w:val="1"/>
      <w:marLeft w:val="0"/>
      <w:marRight w:val="0"/>
      <w:marTop w:val="0"/>
      <w:marBottom w:val="0"/>
      <w:divBdr>
        <w:top w:val="none" w:sz="0" w:space="0" w:color="auto"/>
        <w:left w:val="none" w:sz="0" w:space="0" w:color="auto"/>
        <w:bottom w:val="none" w:sz="0" w:space="0" w:color="auto"/>
        <w:right w:val="none" w:sz="0" w:space="0" w:color="auto"/>
      </w:divBdr>
    </w:div>
    <w:div w:id="245696941">
      <w:bodyDiv w:val="1"/>
      <w:marLeft w:val="0"/>
      <w:marRight w:val="0"/>
      <w:marTop w:val="0"/>
      <w:marBottom w:val="0"/>
      <w:divBdr>
        <w:top w:val="none" w:sz="0" w:space="0" w:color="auto"/>
        <w:left w:val="none" w:sz="0" w:space="0" w:color="auto"/>
        <w:bottom w:val="none" w:sz="0" w:space="0" w:color="auto"/>
        <w:right w:val="none" w:sz="0" w:space="0" w:color="auto"/>
      </w:divBdr>
      <w:divsChild>
        <w:div w:id="1586574488">
          <w:marLeft w:val="480"/>
          <w:marRight w:val="0"/>
          <w:marTop w:val="0"/>
          <w:marBottom w:val="0"/>
          <w:divBdr>
            <w:top w:val="none" w:sz="0" w:space="0" w:color="auto"/>
            <w:left w:val="none" w:sz="0" w:space="0" w:color="auto"/>
            <w:bottom w:val="none" w:sz="0" w:space="0" w:color="auto"/>
            <w:right w:val="none" w:sz="0" w:space="0" w:color="auto"/>
          </w:divBdr>
        </w:div>
        <w:div w:id="1110053006">
          <w:marLeft w:val="480"/>
          <w:marRight w:val="0"/>
          <w:marTop w:val="0"/>
          <w:marBottom w:val="0"/>
          <w:divBdr>
            <w:top w:val="none" w:sz="0" w:space="0" w:color="auto"/>
            <w:left w:val="none" w:sz="0" w:space="0" w:color="auto"/>
            <w:bottom w:val="none" w:sz="0" w:space="0" w:color="auto"/>
            <w:right w:val="none" w:sz="0" w:space="0" w:color="auto"/>
          </w:divBdr>
        </w:div>
        <w:div w:id="584610408">
          <w:marLeft w:val="480"/>
          <w:marRight w:val="0"/>
          <w:marTop w:val="0"/>
          <w:marBottom w:val="0"/>
          <w:divBdr>
            <w:top w:val="none" w:sz="0" w:space="0" w:color="auto"/>
            <w:left w:val="none" w:sz="0" w:space="0" w:color="auto"/>
            <w:bottom w:val="none" w:sz="0" w:space="0" w:color="auto"/>
            <w:right w:val="none" w:sz="0" w:space="0" w:color="auto"/>
          </w:divBdr>
        </w:div>
        <w:div w:id="641499127">
          <w:marLeft w:val="480"/>
          <w:marRight w:val="0"/>
          <w:marTop w:val="0"/>
          <w:marBottom w:val="0"/>
          <w:divBdr>
            <w:top w:val="none" w:sz="0" w:space="0" w:color="auto"/>
            <w:left w:val="none" w:sz="0" w:space="0" w:color="auto"/>
            <w:bottom w:val="none" w:sz="0" w:space="0" w:color="auto"/>
            <w:right w:val="none" w:sz="0" w:space="0" w:color="auto"/>
          </w:divBdr>
        </w:div>
        <w:div w:id="1700398747">
          <w:marLeft w:val="480"/>
          <w:marRight w:val="0"/>
          <w:marTop w:val="0"/>
          <w:marBottom w:val="0"/>
          <w:divBdr>
            <w:top w:val="none" w:sz="0" w:space="0" w:color="auto"/>
            <w:left w:val="none" w:sz="0" w:space="0" w:color="auto"/>
            <w:bottom w:val="none" w:sz="0" w:space="0" w:color="auto"/>
            <w:right w:val="none" w:sz="0" w:space="0" w:color="auto"/>
          </w:divBdr>
        </w:div>
        <w:div w:id="1747802608">
          <w:marLeft w:val="480"/>
          <w:marRight w:val="0"/>
          <w:marTop w:val="0"/>
          <w:marBottom w:val="0"/>
          <w:divBdr>
            <w:top w:val="none" w:sz="0" w:space="0" w:color="auto"/>
            <w:left w:val="none" w:sz="0" w:space="0" w:color="auto"/>
            <w:bottom w:val="none" w:sz="0" w:space="0" w:color="auto"/>
            <w:right w:val="none" w:sz="0" w:space="0" w:color="auto"/>
          </w:divBdr>
        </w:div>
        <w:div w:id="1986542069">
          <w:marLeft w:val="480"/>
          <w:marRight w:val="0"/>
          <w:marTop w:val="0"/>
          <w:marBottom w:val="0"/>
          <w:divBdr>
            <w:top w:val="none" w:sz="0" w:space="0" w:color="auto"/>
            <w:left w:val="none" w:sz="0" w:space="0" w:color="auto"/>
            <w:bottom w:val="none" w:sz="0" w:space="0" w:color="auto"/>
            <w:right w:val="none" w:sz="0" w:space="0" w:color="auto"/>
          </w:divBdr>
        </w:div>
        <w:div w:id="1949044631">
          <w:marLeft w:val="480"/>
          <w:marRight w:val="0"/>
          <w:marTop w:val="0"/>
          <w:marBottom w:val="0"/>
          <w:divBdr>
            <w:top w:val="none" w:sz="0" w:space="0" w:color="auto"/>
            <w:left w:val="none" w:sz="0" w:space="0" w:color="auto"/>
            <w:bottom w:val="none" w:sz="0" w:space="0" w:color="auto"/>
            <w:right w:val="none" w:sz="0" w:space="0" w:color="auto"/>
          </w:divBdr>
        </w:div>
        <w:div w:id="806122309">
          <w:marLeft w:val="480"/>
          <w:marRight w:val="0"/>
          <w:marTop w:val="0"/>
          <w:marBottom w:val="0"/>
          <w:divBdr>
            <w:top w:val="none" w:sz="0" w:space="0" w:color="auto"/>
            <w:left w:val="none" w:sz="0" w:space="0" w:color="auto"/>
            <w:bottom w:val="none" w:sz="0" w:space="0" w:color="auto"/>
            <w:right w:val="none" w:sz="0" w:space="0" w:color="auto"/>
          </w:divBdr>
        </w:div>
        <w:div w:id="1356426773">
          <w:marLeft w:val="480"/>
          <w:marRight w:val="0"/>
          <w:marTop w:val="0"/>
          <w:marBottom w:val="0"/>
          <w:divBdr>
            <w:top w:val="none" w:sz="0" w:space="0" w:color="auto"/>
            <w:left w:val="none" w:sz="0" w:space="0" w:color="auto"/>
            <w:bottom w:val="none" w:sz="0" w:space="0" w:color="auto"/>
            <w:right w:val="none" w:sz="0" w:space="0" w:color="auto"/>
          </w:divBdr>
        </w:div>
        <w:div w:id="1170371751">
          <w:marLeft w:val="480"/>
          <w:marRight w:val="0"/>
          <w:marTop w:val="0"/>
          <w:marBottom w:val="0"/>
          <w:divBdr>
            <w:top w:val="none" w:sz="0" w:space="0" w:color="auto"/>
            <w:left w:val="none" w:sz="0" w:space="0" w:color="auto"/>
            <w:bottom w:val="none" w:sz="0" w:space="0" w:color="auto"/>
            <w:right w:val="none" w:sz="0" w:space="0" w:color="auto"/>
          </w:divBdr>
        </w:div>
        <w:div w:id="1144463801">
          <w:marLeft w:val="480"/>
          <w:marRight w:val="0"/>
          <w:marTop w:val="0"/>
          <w:marBottom w:val="0"/>
          <w:divBdr>
            <w:top w:val="none" w:sz="0" w:space="0" w:color="auto"/>
            <w:left w:val="none" w:sz="0" w:space="0" w:color="auto"/>
            <w:bottom w:val="none" w:sz="0" w:space="0" w:color="auto"/>
            <w:right w:val="none" w:sz="0" w:space="0" w:color="auto"/>
          </w:divBdr>
        </w:div>
        <w:div w:id="1405178065">
          <w:marLeft w:val="480"/>
          <w:marRight w:val="0"/>
          <w:marTop w:val="0"/>
          <w:marBottom w:val="0"/>
          <w:divBdr>
            <w:top w:val="none" w:sz="0" w:space="0" w:color="auto"/>
            <w:left w:val="none" w:sz="0" w:space="0" w:color="auto"/>
            <w:bottom w:val="none" w:sz="0" w:space="0" w:color="auto"/>
            <w:right w:val="none" w:sz="0" w:space="0" w:color="auto"/>
          </w:divBdr>
        </w:div>
        <w:div w:id="1947271988">
          <w:marLeft w:val="480"/>
          <w:marRight w:val="0"/>
          <w:marTop w:val="0"/>
          <w:marBottom w:val="0"/>
          <w:divBdr>
            <w:top w:val="none" w:sz="0" w:space="0" w:color="auto"/>
            <w:left w:val="none" w:sz="0" w:space="0" w:color="auto"/>
            <w:bottom w:val="none" w:sz="0" w:space="0" w:color="auto"/>
            <w:right w:val="none" w:sz="0" w:space="0" w:color="auto"/>
          </w:divBdr>
        </w:div>
        <w:div w:id="1751659340">
          <w:marLeft w:val="480"/>
          <w:marRight w:val="0"/>
          <w:marTop w:val="0"/>
          <w:marBottom w:val="0"/>
          <w:divBdr>
            <w:top w:val="none" w:sz="0" w:space="0" w:color="auto"/>
            <w:left w:val="none" w:sz="0" w:space="0" w:color="auto"/>
            <w:bottom w:val="none" w:sz="0" w:space="0" w:color="auto"/>
            <w:right w:val="none" w:sz="0" w:space="0" w:color="auto"/>
          </w:divBdr>
        </w:div>
        <w:div w:id="1946302436">
          <w:marLeft w:val="480"/>
          <w:marRight w:val="0"/>
          <w:marTop w:val="0"/>
          <w:marBottom w:val="0"/>
          <w:divBdr>
            <w:top w:val="none" w:sz="0" w:space="0" w:color="auto"/>
            <w:left w:val="none" w:sz="0" w:space="0" w:color="auto"/>
            <w:bottom w:val="none" w:sz="0" w:space="0" w:color="auto"/>
            <w:right w:val="none" w:sz="0" w:space="0" w:color="auto"/>
          </w:divBdr>
        </w:div>
        <w:div w:id="944309143">
          <w:marLeft w:val="480"/>
          <w:marRight w:val="0"/>
          <w:marTop w:val="0"/>
          <w:marBottom w:val="0"/>
          <w:divBdr>
            <w:top w:val="none" w:sz="0" w:space="0" w:color="auto"/>
            <w:left w:val="none" w:sz="0" w:space="0" w:color="auto"/>
            <w:bottom w:val="none" w:sz="0" w:space="0" w:color="auto"/>
            <w:right w:val="none" w:sz="0" w:space="0" w:color="auto"/>
          </w:divBdr>
        </w:div>
        <w:div w:id="980311297">
          <w:marLeft w:val="480"/>
          <w:marRight w:val="0"/>
          <w:marTop w:val="0"/>
          <w:marBottom w:val="0"/>
          <w:divBdr>
            <w:top w:val="none" w:sz="0" w:space="0" w:color="auto"/>
            <w:left w:val="none" w:sz="0" w:space="0" w:color="auto"/>
            <w:bottom w:val="none" w:sz="0" w:space="0" w:color="auto"/>
            <w:right w:val="none" w:sz="0" w:space="0" w:color="auto"/>
          </w:divBdr>
        </w:div>
      </w:divsChild>
    </w:div>
    <w:div w:id="246114163">
      <w:bodyDiv w:val="1"/>
      <w:marLeft w:val="0"/>
      <w:marRight w:val="0"/>
      <w:marTop w:val="0"/>
      <w:marBottom w:val="0"/>
      <w:divBdr>
        <w:top w:val="none" w:sz="0" w:space="0" w:color="auto"/>
        <w:left w:val="none" w:sz="0" w:space="0" w:color="auto"/>
        <w:bottom w:val="none" w:sz="0" w:space="0" w:color="auto"/>
        <w:right w:val="none" w:sz="0" w:space="0" w:color="auto"/>
      </w:divBdr>
    </w:div>
    <w:div w:id="250093178">
      <w:bodyDiv w:val="1"/>
      <w:marLeft w:val="0"/>
      <w:marRight w:val="0"/>
      <w:marTop w:val="0"/>
      <w:marBottom w:val="0"/>
      <w:divBdr>
        <w:top w:val="none" w:sz="0" w:space="0" w:color="auto"/>
        <w:left w:val="none" w:sz="0" w:space="0" w:color="auto"/>
        <w:bottom w:val="none" w:sz="0" w:space="0" w:color="auto"/>
        <w:right w:val="none" w:sz="0" w:space="0" w:color="auto"/>
      </w:divBdr>
    </w:div>
    <w:div w:id="250820130">
      <w:bodyDiv w:val="1"/>
      <w:marLeft w:val="0"/>
      <w:marRight w:val="0"/>
      <w:marTop w:val="0"/>
      <w:marBottom w:val="0"/>
      <w:divBdr>
        <w:top w:val="none" w:sz="0" w:space="0" w:color="auto"/>
        <w:left w:val="none" w:sz="0" w:space="0" w:color="auto"/>
        <w:bottom w:val="none" w:sz="0" w:space="0" w:color="auto"/>
        <w:right w:val="none" w:sz="0" w:space="0" w:color="auto"/>
      </w:divBdr>
    </w:div>
    <w:div w:id="253826661">
      <w:bodyDiv w:val="1"/>
      <w:marLeft w:val="0"/>
      <w:marRight w:val="0"/>
      <w:marTop w:val="0"/>
      <w:marBottom w:val="0"/>
      <w:divBdr>
        <w:top w:val="none" w:sz="0" w:space="0" w:color="auto"/>
        <w:left w:val="none" w:sz="0" w:space="0" w:color="auto"/>
        <w:bottom w:val="none" w:sz="0" w:space="0" w:color="auto"/>
        <w:right w:val="none" w:sz="0" w:space="0" w:color="auto"/>
      </w:divBdr>
    </w:div>
    <w:div w:id="256835690">
      <w:bodyDiv w:val="1"/>
      <w:marLeft w:val="0"/>
      <w:marRight w:val="0"/>
      <w:marTop w:val="0"/>
      <w:marBottom w:val="0"/>
      <w:divBdr>
        <w:top w:val="none" w:sz="0" w:space="0" w:color="auto"/>
        <w:left w:val="none" w:sz="0" w:space="0" w:color="auto"/>
        <w:bottom w:val="none" w:sz="0" w:space="0" w:color="auto"/>
        <w:right w:val="none" w:sz="0" w:space="0" w:color="auto"/>
      </w:divBdr>
    </w:div>
    <w:div w:id="259215679">
      <w:bodyDiv w:val="1"/>
      <w:marLeft w:val="0"/>
      <w:marRight w:val="0"/>
      <w:marTop w:val="0"/>
      <w:marBottom w:val="0"/>
      <w:divBdr>
        <w:top w:val="none" w:sz="0" w:space="0" w:color="auto"/>
        <w:left w:val="none" w:sz="0" w:space="0" w:color="auto"/>
        <w:bottom w:val="none" w:sz="0" w:space="0" w:color="auto"/>
        <w:right w:val="none" w:sz="0" w:space="0" w:color="auto"/>
      </w:divBdr>
      <w:divsChild>
        <w:div w:id="282076636">
          <w:marLeft w:val="480"/>
          <w:marRight w:val="0"/>
          <w:marTop w:val="0"/>
          <w:marBottom w:val="0"/>
          <w:divBdr>
            <w:top w:val="none" w:sz="0" w:space="0" w:color="auto"/>
            <w:left w:val="none" w:sz="0" w:space="0" w:color="auto"/>
            <w:bottom w:val="none" w:sz="0" w:space="0" w:color="auto"/>
            <w:right w:val="none" w:sz="0" w:space="0" w:color="auto"/>
          </w:divBdr>
        </w:div>
        <w:div w:id="116678701">
          <w:marLeft w:val="480"/>
          <w:marRight w:val="0"/>
          <w:marTop w:val="0"/>
          <w:marBottom w:val="0"/>
          <w:divBdr>
            <w:top w:val="none" w:sz="0" w:space="0" w:color="auto"/>
            <w:left w:val="none" w:sz="0" w:space="0" w:color="auto"/>
            <w:bottom w:val="none" w:sz="0" w:space="0" w:color="auto"/>
            <w:right w:val="none" w:sz="0" w:space="0" w:color="auto"/>
          </w:divBdr>
        </w:div>
        <w:div w:id="1131363093">
          <w:marLeft w:val="480"/>
          <w:marRight w:val="0"/>
          <w:marTop w:val="0"/>
          <w:marBottom w:val="0"/>
          <w:divBdr>
            <w:top w:val="none" w:sz="0" w:space="0" w:color="auto"/>
            <w:left w:val="none" w:sz="0" w:space="0" w:color="auto"/>
            <w:bottom w:val="none" w:sz="0" w:space="0" w:color="auto"/>
            <w:right w:val="none" w:sz="0" w:space="0" w:color="auto"/>
          </w:divBdr>
        </w:div>
        <w:div w:id="1066607261">
          <w:marLeft w:val="480"/>
          <w:marRight w:val="0"/>
          <w:marTop w:val="0"/>
          <w:marBottom w:val="0"/>
          <w:divBdr>
            <w:top w:val="none" w:sz="0" w:space="0" w:color="auto"/>
            <w:left w:val="none" w:sz="0" w:space="0" w:color="auto"/>
            <w:bottom w:val="none" w:sz="0" w:space="0" w:color="auto"/>
            <w:right w:val="none" w:sz="0" w:space="0" w:color="auto"/>
          </w:divBdr>
        </w:div>
        <w:div w:id="1825003817">
          <w:marLeft w:val="480"/>
          <w:marRight w:val="0"/>
          <w:marTop w:val="0"/>
          <w:marBottom w:val="0"/>
          <w:divBdr>
            <w:top w:val="none" w:sz="0" w:space="0" w:color="auto"/>
            <w:left w:val="none" w:sz="0" w:space="0" w:color="auto"/>
            <w:bottom w:val="none" w:sz="0" w:space="0" w:color="auto"/>
            <w:right w:val="none" w:sz="0" w:space="0" w:color="auto"/>
          </w:divBdr>
        </w:div>
        <w:div w:id="198395571">
          <w:marLeft w:val="480"/>
          <w:marRight w:val="0"/>
          <w:marTop w:val="0"/>
          <w:marBottom w:val="0"/>
          <w:divBdr>
            <w:top w:val="none" w:sz="0" w:space="0" w:color="auto"/>
            <w:left w:val="none" w:sz="0" w:space="0" w:color="auto"/>
            <w:bottom w:val="none" w:sz="0" w:space="0" w:color="auto"/>
            <w:right w:val="none" w:sz="0" w:space="0" w:color="auto"/>
          </w:divBdr>
        </w:div>
        <w:div w:id="1501190528">
          <w:marLeft w:val="480"/>
          <w:marRight w:val="0"/>
          <w:marTop w:val="0"/>
          <w:marBottom w:val="0"/>
          <w:divBdr>
            <w:top w:val="none" w:sz="0" w:space="0" w:color="auto"/>
            <w:left w:val="none" w:sz="0" w:space="0" w:color="auto"/>
            <w:bottom w:val="none" w:sz="0" w:space="0" w:color="auto"/>
            <w:right w:val="none" w:sz="0" w:space="0" w:color="auto"/>
          </w:divBdr>
        </w:div>
        <w:div w:id="599601583">
          <w:marLeft w:val="480"/>
          <w:marRight w:val="0"/>
          <w:marTop w:val="0"/>
          <w:marBottom w:val="0"/>
          <w:divBdr>
            <w:top w:val="none" w:sz="0" w:space="0" w:color="auto"/>
            <w:left w:val="none" w:sz="0" w:space="0" w:color="auto"/>
            <w:bottom w:val="none" w:sz="0" w:space="0" w:color="auto"/>
            <w:right w:val="none" w:sz="0" w:space="0" w:color="auto"/>
          </w:divBdr>
        </w:div>
        <w:div w:id="665405167">
          <w:marLeft w:val="480"/>
          <w:marRight w:val="0"/>
          <w:marTop w:val="0"/>
          <w:marBottom w:val="0"/>
          <w:divBdr>
            <w:top w:val="none" w:sz="0" w:space="0" w:color="auto"/>
            <w:left w:val="none" w:sz="0" w:space="0" w:color="auto"/>
            <w:bottom w:val="none" w:sz="0" w:space="0" w:color="auto"/>
            <w:right w:val="none" w:sz="0" w:space="0" w:color="auto"/>
          </w:divBdr>
        </w:div>
        <w:div w:id="1445732005">
          <w:marLeft w:val="480"/>
          <w:marRight w:val="0"/>
          <w:marTop w:val="0"/>
          <w:marBottom w:val="0"/>
          <w:divBdr>
            <w:top w:val="none" w:sz="0" w:space="0" w:color="auto"/>
            <w:left w:val="none" w:sz="0" w:space="0" w:color="auto"/>
            <w:bottom w:val="none" w:sz="0" w:space="0" w:color="auto"/>
            <w:right w:val="none" w:sz="0" w:space="0" w:color="auto"/>
          </w:divBdr>
        </w:div>
        <w:div w:id="702947157">
          <w:marLeft w:val="480"/>
          <w:marRight w:val="0"/>
          <w:marTop w:val="0"/>
          <w:marBottom w:val="0"/>
          <w:divBdr>
            <w:top w:val="none" w:sz="0" w:space="0" w:color="auto"/>
            <w:left w:val="none" w:sz="0" w:space="0" w:color="auto"/>
            <w:bottom w:val="none" w:sz="0" w:space="0" w:color="auto"/>
            <w:right w:val="none" w:sz="0" w:space="0" w:color="auto"/>
          </w:divBdr>
        </w:div>
        <w:div w:id="2136560128">
          <w:marLeft w:val="480"/>
          <w:marRight w:val="0"/>
          <w:marTop w:val="0"/>
          <w:marBottom w:val="0"/>
          <w:divBdr>
            <w:top w:val="none" w:sz="0" w:space="0" w:color="auto"/>
            <w:left w:val="none" w:sz="0" w:space="0" w:color="auto"/>
            <w:bottom w:val="none" w:sz="0" w:space="0" w:color="auto"/>
            <w:right w:val="none" w:sz="0" w:space="0" w:color="auto"/>
          </w:divBdr>
        </w:div>
        <w:div w:id="1916427828">
          <w:marLeft w:val="480"/>
          <w:marRight w:val="0"/>
          <w:marTop w:val="0"/>
          <w:marBottom w:val="0"/>
          <w:divBdr>
            <w:top w:val="none" w:sz="0" w:space="0" w:color="auto"/>
            <w:left w:val="none" w:sz="0" w:space="0" w:color="auto"/>
            <w:bottom w:val="none" w:sz="0" w:space="0" w:color="auto"/>
            <w:right w:val="none" w:sz="0" w:space="0" w:color="auto"/>
          </w:divBdr>
        </w:div>
        <w:div w:id="217939414">
          <w:marLeft w:val="480"/>
          <w:marRight w:val="0"/>
          <w:marTop w:val="0"/>
          <w:marBottom w:val="0"/>
          <w:divBdr>
            <w:top w:val="none" w:sz="0" w:space="0" w:color="auto"/>
            <w:left w:val="none" w:sz="0" w:space="0" w:color="auto"/>
            <w:bottom w:val="none" w:sz="0" w:space="0" w:color="auto"/>
            <w:right w:val="none" w:sz="0" w:space="0" w:color="auto"/>
          </w:divBdr>
        </w:div>
        <w:div w:id="685443734">
          <w:marLeft w:val="480"/>
          <w:marRight w:val="0"/>
          <w:marTop w:val="0"/>
          <w:marBottom w:val="0"/>
          <w:divBdr>
            <w:top w:val="none" w:sz="0" w:space="0" w:color="auto"/>
            <w:left w:val="none" w:sz="0" w:space="0" w:color="auto"/>
            <w:bottom w:val="none" w:sz="0" w:space="0" w:color="auto"/>
            <w:right w:val="none" w:sz="0" w:space="0" w:color="auto"/>
          </w:divBdr>
        </w:div>
        <w:div w:id="460342053">
          <w:marLeft w:val="480"/>
          <w:marRight w:val="0"/>
          <w:marTop w:val="0"/>
          <w:marBottom w:val="0"/>
          <w:divBdr>
            <w:top w:val="none" w:sz="0" w:space="0" w:color="auto"/>
            <w:left w:val="none" w:sz="0" w:space="0" w:color="auto"/>
            <w:bottom w:val="none" w:sz="0" w:space="0" w:color="auto"/>
            <w:right w:val="none" w:sz="0" w:space="0" w:color="auto"/>
          </w:divBdr>
        </w:div>
        <w:div w:id="2128574218">
          <w:marLeft w:val="480"/>
          <w:marRight w:val="0"/>
          <w:marTop w:val="0"/>
          <w:marBottom w:val="0"/>
          <w:divBdr>
            <w:top w:val="none" w:sz="0" w:space="0" w:color="auto"/>
            <w:left w:val="none" w:sz="0" w:space="0" w:color="auto"/>
            <w:bottom w:val="none" w:sz="0" w:space="0" w:color="auto"/>
            <w:right w:val="none" w:sz="0" w:space="0" w:color="auto"/>
          </w:divBdr>
        </w:div>
        <w:div w:id="1938097391">
          <w:marLeft w:val="480"/>
          <w:marRight w:val="0"/>
          <w:marTop w:val="0"/>
          <w:marBottom w:val="0"/>
          <w:divBdr>
            <w:top w:val="none" w:sz="0" w:space="0" w:color="auto"/>
            <w:left w:val="none" w:sz="0" w:space="0" w:color="auto"/>
            <w:bottom w:val="none" w:sz="0" w:space="0" w:color="auto"/>
            <w:right w:val="none" w:sz="0" w:space="0" w:color="auto"/>
          </w:divBdr>
        </w:div>
        <w:div w:id="1026713299">
          <w:marLeft w:val="480"/>
          <w:marRight w:val="0"/>
          <w:marTop w:val="0"/>
          <w:marBottom w:val="0"/>
          <w:divBdr>
            <w:top w:val="none" w:sz="0" w:space="0" w:color="auto"/>
            <w:left w:val="none" w:sz="0" w:space="0" w:color="auto"/>
            <w:bottom w:val="none" w:sz="0" w:space="0" w:color="auto"/>
            <w:right w:val="none" w:sz="0" w:space="0" w:color="auto"/>
          </w:divBdr>
        </w:div>
        <w:div w:id="1429547715">
          <w:marLeft w:val="480"/>
          <w:marRight w:val="0"/>
          <w:marTop w:val="0"/>
          <w:marBottom w:val="0"/>
          <w:divBdr>
            <w:top w:val="none" w:sz="0" w:space="0" w:color="auto"/>
            <w:left w:val="none" w:sz="0" w:space="0" w:color="auto"/>
            <w:bottom w:val="none" w:sz="0" w:space="0" w:color="auto"/>
            <w:right w:val="none" w:sz="0" w:space="0" w:color="auto"/>
          </w:divBdr>
        </w:div>
      </w:divsChild>
    </w:div>
    <w:div w:id="267277387">
      <w:bodyDiv w:val="1"/>
      <w:marLeft w:val="0"/>
      <w:marRight w:val="0"/>
      <w:marTop w:val="0"/>
      <w:marBottom w:val="0"/>
      <w:divBdr>
        <w:top w:val="none" w:sz="0" w:space="0" w:color="auto"/>
        <w:left w:val="none" w:sz="0" w:space="0" w:color="auto"/>
        <w:bottom w:val="none" w:sz="0" w:space="0" w:color="auto"/>
        <w:right w:val="none" w:sz="0" w:space="0" w:color="auto"/>
      </w:divBdr>
    </w:div>
    <w:div w:id="268202769">
      <w:bodyDiv w:val="1"/>
      <w:marLeft w:val="0"/>
      <w:marRight w:val="0"/>
      <w:marTop w:val="0"/>
      <w:marBottom w:val="0"/>
      <w:divBdr>
        <w:top w:val="none" w:sz="0" w:space="0" w:color="auto"/>
        <w:left w:val="none" w:sz="0" w:space="0" w:color="auto"/>
        <w:bottom w:val="none" w:sz="0" w:space="0" w:color="auto"/>
        <w:right w:val="none" w:sz="0" w:space="0" w:color="auto"/>
      </w:divBdr>
    </w:div>
    <w:div w:id="273681367">
      <w:bodyDiv w:val="1"/>
      <w:marLeft w:val="0"/>
      <w:marRight w:val="0"/>
      <w:marTop w:val="0"/>
      <w:marBottom w:val="0"/>
      <w:divBdr>
        <w:top w:val="none" w:sz="0" w:space="0" w:color="auto"/>
        <w:left w:val="none" w:sz="0" w:space="0" w:color="auto"/>
        <w:bottom w:val="none" w:sz="0" w:space="0" w:color="auto"/>
        <w:right w:val="none" w:sz="0" w:space="0" w:color="auto"/>
      </w:divBdr>
      <w:divsChild>
        <w:div w:id="1403718496">
          <w:marLeft w:val="480"/>
          <w:marRight w:val="0"/>
          <w:marTop w:val="0"/>
          <w:marBottom w:val="0"/>
          <w:divBdr>
            <w:top w:val="none" w:sz="0" w:space="0" w:color="auto"/>
            <w:left w:val="none" w:sz="0" w:space="0" w:color="auto"/>
            <w:bottom w:val="none" w:sz="0" w:space="0" w:color="auto"/>
            <w:right w:val="none" w:sz="0" w:space="0" w:color="auto"/>
          </w:divBdr>
        </w:div>
        <w:div w:id="1739665067">
          <w:marLeft w:val="480"/>
          <w:marRight w:val="0"/>
          <w:marTop w:val="0"/>
          <w:marBottom w:val="0"/>
          <w:divBdr>
            <w:top w:val="none" w:sz="0" w:space="0" w:color="auto"/>
            <w:left w:val="none" w:sz="0" w:space="0" w:color="auto"/>
            <w:bottom w:val="none" w:sz="0" w:space="0" w:color="auto"/>
            <w:right w:val="none" w:sz="0" w:space="0" w:color="auto"/>
          </w:divBdr>
        </w:div>
        <w:div w:id="1788960915">
          <w:marLeft w:val="480"/>
          <w:marRight w:val="0"/>
          <w:marTop w:val="0"/>
          <w:marBottom w:val="0"/>
          <w:divBdr>
            <w:top w:val="none" w:sz="0" w:space="0" w:color="auto"/>
            <w:left w:val="none" w:sz="0" w:space="0" w:color="auto"/>
            <w:bottom w:val="none" w:sz="0" w:space="0" w:color="auto"/>
            <w:right w:val="none" w:sz="0" w:space="0" w:color="auto"/>
          </w:divBdr>
        </w:div>
        <w:div w:id="91825905">
          <w:marLeft w:val="480"/>
          <w:marRight w:val="0"/>
          <w:marTop w:val="0"/>
          <w:marBottom w:val="0"/>
          <w:divBdr>
            <w:top w:val="none" w:sz="0" w:space="0" w:color="auto"/>
            <w:left w:val="none" w:sz="0" w:space="0" w:color="auto"/>
            <w:bottom w:val="none" w:sz="0" w:space="0" w:color="auto"/>
            <w:right w:val="none" w:sz="0" w:space="0" w:color="auto"/>
          </w:divBdr>
        </w:div>
        <w:div w:id="140779803">
          <w:marLeft w:val="480"/>
          <w:marRight w:val="0"/>
          <w:marTop w:val="0"/>
          <w:marBottom w:val="0"/>
          <w:divBdr>
            <w:top w:val="none" w:sz="0" w:space="0" w:color="auto"/>
            <w:left w:val="none" w:sz="0" w:space="0" w:color="auto"/>
            <w:bottom w:val="none" w:sz="0" w:space="0" w:color="auto"/>
            <w:right w:val="none" w:sz="0" w:space="0" w:color="auto"/>
          </w:divBdr>
        </w:div>
        <w:div w:id="659306160">
          <w:marLeft w:val="480"/>
          <w:marRight w:val="0"/>
          <w:marTop w:val="0"/>
          <w:marBottom w:val="0"/>
          <w:divBdr>
            <w:top w:val="none" w:sz="0" w:space="0" w:color="auto"/>
            <w:left w:val="none" w:sz="0" w:space="0" w:color="auto"/>
            <w:bottom w:val="none" w:sz="0" w:space="0" w:color="auto"/>
            <w:right w:val="none" w:sz="0" w:space="0" w:color="auto"/>
          </w:divBdr>
        </w:div>
        <w:div w:id="677194219">
          <w:marLeft w:val="480"/>
          <w:marRight w:val="0"/>
          <w:marTop w:val="0"/>
          <w:marBottom w:val="0"/>
          <w:divBdr>
            <w:top w:val="none" w:sz="0" w:space="0" w:color="auto"/>
            <w:left w:val="none" w:sz="0" w:space="0" w:color="auto"/>
            <w:bottom w:val="none" w:sz="0" w:space="0" w:color="auto"/>
            <w:right w:val="none" w:sz="0" w:space="0" w:color="auto"/>
          </w:divBdr>
        </w:div>
        <w:div w:id="966356212">
          <w:marLeft w:val="480"/>
          <w:marRight w:val="0"/>
          <w:marTop w:val="0"/>
          <w:marBottom w:val="0"/>
          <w:divBdr>
            <w:top w:val="none" w:sz="0" w:space="0" w:color="auto"/>
            <w:left w:val="none" w:sz="0" w:space="0" w:color="auto"/>
            <w:bottom w:val="none" w:sz="0" w:space="0" w:color="auto"/>
            <w:right w:val="none" w:sz="0" w:space="0" w:color="auto"/>
          </w:divBdr>
        </w:div>
        <w:div w:id="1645968286">
          <w:marLeft w:val="480"/>
          <w:marRight w:val="0"/>
          <w:marTop w:val="0"/>
          <w:marBottom w:val="0"/>
          <w:divBdr>
            <w:top w:val="none" w:sz="0" w:space="0" w:color="auto"/>
            <w:left w:val="none" w:sz="0" w:space="0" w:color="auto"/>
            <w:bottom w:val="none" w:sz="0" w:space="0" w:color="auto"/>
            <w:right w:val="none" w:sz="0" w:space="0" w:color="auto"/>
          </w:divBdr>
        </w:div>
        <w:div w:id="270213213">
          <w:marLeft w:val="480"/>
          <w:marRight w:val="0"/>
          <w:marTop w:val="0"/>
          <w:marBottom w:val="0"/>
          <w:divBdr>
            <w:top w:val="none" w:sz="0" w:space="0" w:color="auto"/>
            <w:left w:val="none" w:sz="0" w:space="0" w:color="auto"/>
            <w:bottom w:val="none" w:sz="0" w:space="0" w:color="auto"/>
            <w:right w:val="none" w:sz="0" w:space="0" w:color="auto"/>
          </w:divBdr>
        </w:div>
        <w:div w:id="646667871">
          <w:marLeft w:val="480"/>
          <w:marRight w:val="0"/>
          <w:marTop w:val="0"/>
          <w:marBottom w:val="0"/>
          <w:divBdr>
            <w:top w:val="none" w:sz="0" w:space="0" w:color="auto"/>
            <w:left w:val="none" w:sz="0" w:space="0" w:color="auto"/>
            <w:bottom w:val="none" w:sz="0" w:space="0" w:color="auto"/>
            <w:right w:val="none" w:sz="0" w:space="0" w:color="auto"/>
          </w:divBdr>
        </w:div>
        <w:div w:id="203567780">
          <w:marLeft w:val="480"/>
          <w:marRight w:val="0"/>
          <w:marTop w:val="0"/>
          <w:marBottom w:val="0"/>
          <w:divBdr>
            <w:top w:val="none" w:sz="0" w:space="0" w:color="auto"/>
            <w:left w:val="none" w:sz="0" w:space="0" w:color="auto"/>
            <w:bottom w:val="none" w:sz="0" w:space="0" w:color="auto"/>
            <w:right w:val="none" w:sz="0" w:space="0" w:color="auto"/>
          </w:divBdr>
        </w:div>
        <w:div w:id="1609120709">
          <w:marLeft w:val="480"/>
          <w:marRight w:val="0"/>
          <w:marTop w:val="0"/>
          <w:marBottom w:val="0"/>
          <w:divBdr>
            <w:top w:val="none" w:sz="0" w:space="0" w:color="auto"/>
            <w:left w:val="none" w:sz="0" w:space="0" w:color="auto"/>
            <w:bottom w:val="none" w:sz="0" w:space="0" w:color="auto"/>
            <w:right w:val="none" w:sz="0" w:space="0" w:color="auto"/>
          </w:divBdr>
        </w:div>
        <w:div w:id="220019073">
          <w:marLeft w:val="480"/>
          <w:marRight w:val="0"/>
          <w:marTop w:val="0"/>
          <w:marBottom w:val="0"/>
          <w:divBdr>
            <w:top w:val="none" w:sz="0" w:space="0" w:color="auto"/>
            <w:left w:val="none" w:sz="0" w:space="0" w:color="auto"/>
            <w:bottom w:val="none" w:sz="0" w:space="0" w:color="auto"/>
            <w:right w:val="none" w:sz="0" w:space="0" w:color="auto"/>
          </w:divBdr>
        </w:div>
        <w:div w:id="631979497">
          <w:marLeft w:val="480"/>
          <w:marRight w:val="0"/>
          <w:marTop w:val="0"/>
          <w:marBottom w:val="0"/>
          <w:divBdr>
            <w:top w:val="none" w:sz="0" w:space="0" w:color="auto"/>
            <w:left w:val="none" w:sz="0" w:space="0" w:color="auto"/>
            <w:bottom w:val="none" w:sz="0" w:space="0" w:color="auto"/>
            <w:right w:val="none" w:sz="0" w:space="0" w:color="auto"/>
          </w:divBdr>
        </w:div>
        <w:div w:id="830146152">
          <w:marLeft w:val="480"/>
          <w:marRight w:val="0"/>
          <w:marTop w:val="0"/>
          <w:marBottom w:val="0"/>
          <w:divBdr>
            <w:top w:val="none" w:sz="0" w:space="0" w:color="auto"/>
            <w:left w:val="none" w:sz="0" w:space="0" w:color="auto"/>
            <w:bottom w:val="none" w:sz="0" w:space="0" w:color="auto"/>
            <w:right w:val="none" w:sz="0" w:space="0" w:color="auto"/>
          </w:divBdr>
        </w:div>
        <w:div w:id="1564214248">
          <w:marLeft w:val="480"/>
          <w:marRight w:val="0"/>
          <w:marTop w:val="0"/>
          <w:marBottom w:val="0"/>
          <w:divBdr>
            <w:top w:val="none" w:sz="0" w:space="0" w:color="auto"/>
            <w:left w:val="none" w:sz="0" w:space="0" w:color="auto"/>
            <w:bottom w:val="none" w:sz="0" w:space="0" w:color="auto"/>
            <w:right w:val="none" w:sz="0" w:space="0" w:color="auto"/>
          </w:divBdr>
        </w:div>
        <w:div w:id="1912890781">
          <w:marLeft w:val="480"/>
          <w:marRight w:val="0"/>
          <w:marTop w:val="0"/>
          <w:marBottom w:val="0"/>
          <w:divBdr>
            <w:top w:val="none" w:sz="0" w:space="0" w:color="auto"/>
            <w:left w:val="none" w:sz="0" w:space="0" w:color="auto"/>
            <w:bottom w:val="none" w:sz="0" w:space="0" w:color="auto"/>
            <w:right w:val="none" w:sz="0" w:space="0" w:color="auto"/>
          </w:divBdr>
        </w:div>
        <w:div w:id="1563441056">
          <w:marLeft w:val="480"/>
          <w:marRight w:val="0"/>
          <w:marTop w:val="0"/>
          <w:marBottom w:val="0"/>
          <w:divBdr>
            <w:top w:val="none" w:sz="0" w:space="0" w:color="auto"/>
            <w:left w:val="none" w:sz="0" w:space="0" w:color="auto"/>
            <w:bottom w:val="none" w:sz="0" w:space="0" w:color="auto"/>
            <w:right w:val="none" w:sz="0" w:space="0" w:color="auto"/>
          </w:divBdr>
        </w:div>
        <w:div w:id="209071334">
          <w:marLeft w:val="480"/>
          <w:marRight w:val="0"/>
          <w:marTop w:val="0"/>
          <w:marBottom w:val="0"/>
          <w:divBdr>
            <w:top w:val="none" w:sz="0" w:space="0" w:color="auto"/>
            <w:left w:val="none" w:sz="0" w:space="0" w:color="auto"/>
            <w:bottom w:val="none" w:sz="0" w:space="0" w:color="auto"/>
            <w:right w:val="none" w:sz="0" w:space="0" w:color="auto"/>
          </w:divBdr>
        </w:div>
        <w:div w:id="65107932">
          <w:marLeft w:val="480"/>
          <w:marRight w:val="0"/>
          <w:marTop w:val="0"/>
          <w:marBottom w:val="0"/>
          <w:divBdr>
            <w:top w:val="none" w:sz="0" w:space="0" w:color="auto"/>
            <w:left w:val="none" w:sz="0" w:space="0" w:color="auto"/>
            <w:bottom w:val="none" w:sz="0" w:space="0" w:color="auto"/>
            <w:right w:val="none" w:sz="0" w:space="0" w:color="auto"/>
          </w:divBdr>
        </w:div>
        <w:div w:id="1509521075">
          <w:marLeft w:val="480"/>
          <w:marRight w:val="0"/>
          <w:marTop w:val="0"/>
          <w:marBottom w:val="0"/>
          <w:divBdr>
            <w:top w:val="none" w:sz="0" w:space="0" w:color="auto"/>
            <w:left w:val="none" w:sz="0" w:space="0" w:color="auto"/>
            <w:bottom w:val="none" w:sz="0" w:space="0" w:color="auto"/>
            <w:right w:val="none" w:sz="0" w:space="0" w:color="auto"/>
          </w:divBdr>
        </w:div>
        <w:div w:id="1544978310">
          <w:marLeft w:val="480"/>
          <w:marRight w:val="0"/>
          <w:marTop w:val="0"/>
          <w:marBottom w:val="0"/>
          <w:divBdr>
            <w:top w:val="none" w:sz="0" w:space="0" w:color="auto"/>
            <w:left w:val="none" w:sz="0" w:space="0" w:color="auto"/>
            <w:bottom w:val="none" w:sz="0" w:space="0" w:color="auto"/>
            <w:right w:val="none" w:sz="0" w:space="0" w:color="auto"/>
          </w:divBdr>
        </w:div>
        <w:div w:id="1457334268">
          <w:marLeft w:val="480"/>
          <w:marRight w:val="0"/>
          <w:marTop w:val="0"/>
          <w:marBottom w:val="0"/>
          <w:divBdr>
            <w:top w:val="none" w:sz="0" w:space="0" w:color="auto"/>
            <w:left w:val="none" w:sz="0" w:space="0" w:color="auto"/>
            <w:bottom w:val="none" w:sz="0" w:space="0" w:color="auto"/>
            <w:right w:val="none" w:sz="0" w:space="0" w:color="auto"/>
          </w:divBdr>
        </w:div>
        <w:div w:id="2112890142">
          <w:marLeft w:val="480"/>
          <w:marRight w:val="0"/>
          <w:marTop w:val="0"/>
          <w:marBottom w:val="0"/>
          <w:divBdr>
            <w:top w:val="none" w:sz="0" w:space="0" w:color="auto"/>
            <w:left w:val="none" w:sz="0" w:space="0" w:color="auto"/>
            <w:bottom w:val="none" w:sz="0" w:space="0" w:color="auto"/>
            <w:right w:val="none" w:sz="0" w:space="0" w:color="auto"/>
          </w:divBdr>
        </w:div>
        <w:div w:id="151336224">
          <w:marLeft w:val="480"/>
          <w:marRight w:val="0"/>
          <w:marTop w:val="0"/>
          <w:marBottom w:val="0"/>
          <w:divBdr>
            <w:top w:val="none" w:sz="0" w:space="0" w:color="auto"/>
            <w:left w:val="none" w:sz="0" w:space="0" w:color="auto"/>
            <w:bottom w:val="none" w:sz="0" w:space="0" w:color="auto"/>
            <w:right w:val="none" w:sz="0" w:space="0" w:color="auto"/>
          </w:divBdr>
        </w:div>
        <w:div w:id="696587827">
          <w:marLeft w:val="480"/>
          <w:marRight w:val="0"/>
          <w:marTop w:val="0"/>
          <w:marBottom w:val="0"/>
          <w:divBdr>
            <w:top w:val="none" w:sz="0" w:space="0" w:color="auto"/>
            <w:left w:val="none" w:sz="0" w:space="0" w:color="auto"/>
            <w:bottom w:val="none" w:sz="0" w:space="0" w:color="auto"/>
            <w:right w:val="none" w:sz="0" w:space="0" w:color="auto"/>
          </w:divBdr>
        </w:div>
        <w:div w:id="808480995">
          <w:marLeft w:val="480"/>
          <w:marRight w:val="0"/>
          <w:marTop w:val="0"/>
          <w:marBottom w:val="0"/>
          <w:divBdr>
            <w:top w:val="none" w:sz="0" w:space="0" w:color="auto"/>
            <w:left w:val="none" w:sz="0" w:space="0" w:color="auto"/>
            <w:bottom w:val="none" w:sz="0" w:space="0" w:color="auto"/>
            <w:right w:val="none" w:sz="0" w:space="0" w:color="auto"/>
          </w:divBdr>
        </w:div>
        <w:div w:id="1473870005">
          <w:marLeft w:val="480"/>
          <w:marRight w:val="0"/>
          <w:marTop w:val="0"/>
          <w:marBottom w:val="0"/>
          <w:divBdr>
            <w:top w:val="none" w:sz="0" w:space="0" w:color="auto"/>
            <w:left w:val="none" w:sz="0" w:space="0" w:color="auto"/>
            <w:bottom w:val="none" w:sz="0" w:space="0" w:color="auto"/>
            <w:right w:val="none" w:sz="0" w:space="0" w:color="auto"/>
          </w:divBdr>
        </w:div>
        <w:div w:id="1571694839">
          <w:marLeft w:val="480"/>
          <w:marRight w:val="0"/>
          <w:marTop w:val="0"/>
          <w:marBottom w:val="0"/>
          <w:divBdr>
            <w:top w:val="none" w:sz="0" w:space="0" w:color="auto"/>
            <w:left w:val="none" w:sz="0" w:space="0" w:color="auto"/>
            <w:bottom w:val="none" w:sz="0" w:space="0" w:color="auto"/>
            <w:right w:val="none" w:sz="0" w:space="0" w:color="auto"/>
          </w:divBdr>
        </w:div>
        <w:div w:id="219944862">
          <w:marLeft w:val="480"/>
          <w:marRight w:val="0"/>
          <w:marTop w:val="0"/>
          <w:marBottom w:val="0"/>
          <w:divBdr>
            <w:top w:val="none" w:sz="0" w:space="0" w:color="auto"/>
            <w:left w:val="none" w:sz="0" w:space="0" w:color="auto"/>
            <w:bottom w:val="none" w:sz="0" w:space="0" w:color="auto"/>
            <w:right w:val="none" w:sz="0" w:space="0" w:color="auto"/>
          </w:divBdr>
        </w:div>
        <w:div w:id="560290630">
          <w:marLeft w:val="480"/>
          <w:marRight w:val="0"/>
          <w:marTop w:val="0"/>
          <w:marBottom w:val="0"/>
          <w:divBdr>
            <w:top w:val="none" w:sz="0" w:space="0" w:color="auto"/>
            <w:left w:val="none" w:sz="0" w:space="0" w:color="auto"/>
            <w:bottom w:val="none" w:sz="0" w:space="0" w:color="auto"/>
            <w:right w:val="none" w:sz="0" w:space="0" w:color="auto"/>
          </w:divBdr>
        </w:div>
        <w:div w:id="1079211916">
          <w:marLeft w:val="480"/>
          <w:marRight w:val="0"/>
          <w:marTop w:val="0"/>
          <w:marBottom w:val="0"/>
          <w:divBdr>
            <w:top w:val="none" w:sz="0" w:space="0" w:color="auto"/>
            <w:left w:val="none" w:sz="0" w:space="0" w:color="auto"/>
            <w:bottom w:val="none" w:sz="0" w:space="0" w:color="auto"/>
            <w:right w:val="none" w:sz="0" w:space="0" w:color="auto"/>
          </w:divBdr>
        </w:div>
        <w:div w:id="1783766850">
          <w:marLeft w:val="480"/>
          <w:marRight w:val="0"/>
          <w:marTop w:val="0"/>
          <w:marBottom w:val="0"/>
          <w:divBdr>
            <w:top w:val="none" w:sz="0" w:space="0" w:color="auto"/>
            <w:left w:val="none" w:sz="0" w:space="0" w:color="auto"/>
            <w:bottom w:val="none" w:sz="0" w:space="0" w:color="auto"/>
            <w:right w:val="none" w:sz="0" w:space="0" w:color="auto"/>
          </w:divBdr>
        </w:div>
        <w:div w:id="850339096">
          <w:marLeft w:val="480"/>
          <w:marRight w:val="0"/>
          <w:marTop w:val="0"/>
          <w:marBottom w:val="0"/>
          <w:divBdr>
            <w:top w:val="none" w:sz="0" w:space="0" w:color="auto"/>
            <w:left w:val="none" w:sz="0" w:space="0" w:color="auto"/>
            <w:bottom w:val="none" w:sz="0" w:space="0" w:color="auto"/>
            <w:right w:val="none" w:sz="0" w:space="0" w:color="auto"/>
          </w:divBdr>
        </w:div>
      </w:divsChild>
    </w:div>
    <w:div w:id="274102493">
      <w:bodyDiv w:val="1"/>
      <w:marLeft w:val="0"/>
      <w:marRight w:val="0"/>
      <w:marTop w:val="0"/>
      <w:marBottom w:val="0"/>
      <w:divBdr>
        <w:top w:val="none" w:sz="0" w:space="0" w:color="auto"/>
        <w:left w:val="none" w:sz="0" w:space="0" w:color="auto"/>
        <w:bottom w:val="none" w:sz="0" w:space="0" w:color="auto"/>
        <w:right w:val="none" w:sz="0" w:space="0" w:color="auto"/>
      </w:divBdr>
      <w:divsChild>
        <w:div w:id="680931419">
          <w:marLeft w:val="480"/>
          <w:marRight w:val="0"/>
          <w:marTop w:val="0"/>
          <w:marBottom w:val="0"/>
          <w:divBdr>
            <w:top w:val="none" w:sz="0" w:space="0" w:color="auto"/>
            <w:left w:val="none" w:sz="0" w:space="0" w:color="auto"/>
            <w:bottom w:val="none" w:sz="0" w:space="0" w:color="auto"/>
            <w:right w:val="none" w:sz="0" w:space="0" w:color="auto"/>
          </w:divBdr>
        </w:div>
        <w:div w:id="658921394">
          <w:marLeft w:val="480"/>
          <w:marRight w:val="0"/>
          <w:marTop w:val="0"/>
          <w:marBottom w:val="0"/>
          <w:divBdr>
            <w:top w:val="none" w:sz="0" w:space="0" w:color="auto"/>
            <w:left w:val="none" w:sz="0" w:space="0" w:color="auto"/>
            <w:bottom w:val="none" w:sz="0" w:space="0" w:color="auto"/>
            <w:right w:val="none" w:sz="0" w:space="0" w:color="auto"/>
          </w:divBdr>
        </w:div>
        <w:div w:id="1540363472">
          <w:marLeft w:val="480"/>
          <w:marRight w:val="0"/>
          <w:marTop w:val="0"/>
          <w:marBottom w:val="0"/>
          <w:divBdr>
            <w:top w:val="none" w:sz="0" w:space="0" w:color="auto"/>
            <w:left w:val="none" w:sz="0" w:space="0" w:color="auto"/>
            <w:bottom w:val="none" w:sz="0" w:space="0" w:color="auto"/>
            <w:right w:val="none" w:sz="0" w:space="0" w:color="auto"/>
          </w:divBdr>
        </w:div>
        <w:div w:id="164052170">
          <w:marLeft w:val="480"/>
          <w:marRight w:val="0"/>
          <w:marTop w:val="0"/>
          <w:marBottom w:val="0"/>
          <w:divBdr>
            <w:top w:val="none" w:sz="0" w:space="0" w:color="auto"/>
            <w:left w:val="none" w:sz="0" w:space="0" w:color="auto"/>
            <w:bottom w:val="none" w:sz="0" w:space="0" w:color="auto"/>
            <w:right w:val="none" w:sz="0" w:space="0" w:color="auto"/>
          </w:divBdr>
        </w:div>
        <w:div w:id="507915281">
          <w:marLeft w:val="480"/>
          <w:marRight w:val="0"/>
          <w:marTop w:val="0"/>
          <w:marBottom w:val="0"/>
          <w:divBdr>
            <w:top w:val="none" w:sz="0" w:space="0" w:color="auto"/>
            <w:left w:val="none" w:sz="0" w:space="0" w:color="auto"/>
            <w:bottom w:val="none" w:sz="0" w:space="0" w:color="auto"/>
            <w:right w:val="none" w:sz="0" w:space="0" w:color="auto"/>
          </w:divBdr>
        </w:div>
        <w:div w:id="700325295">
          <w:marLeft w:val="480"/>
          <w:marRight w:val="0"/>
          <w:marTop w:val="0"/>
          <w:marBottom w:val="0"/>
          <w:divBdr>
            <w:top w:val="none" w:sz="0" w:space="0" w:color="auto"/>
            <w:left w:val="none" w:sz="0" w:space="0" w:color="auto"/>
            <w:bottom w:val="none" w:sz="0" w:space="0" w:color="auto"/>
            <w:right w:val="none" w:sz="0" w:space="0" w:color="auto"/>
          </w:divBdr>
        </w:div>
        <w:div w:id="1333024125">
          <w:marLeft w:val="480"/>
          <w:marRight w:val="0"/>
          <w:marTop w:val="0"/>
          <w:marBottom w:val="0"/>
          <w:divBdr>
            <w:top w:val="none" w:sz="0" w:space="0" w:color="auto"/>
            <w:left w:val="none" w:sz="0" w:space="0" w:color="auto"/>
            <w:bottom w:val="none" w:sz="0" w:space="0" w:color="auto"/>
            <w:right w:val="none" w:sz="0" w:space="0" w:color="auto"/>
          </w:divBdr>
        </w:div>
        <w:div w:id="1072581665">
          <w:marLeft w:val="480"/>
          <w:marRight w:val="0"/>
          <w:marTop w:val="0"/>
          <w:marBottom w:val="0"/>
          <w:divBdr>
            <w:top w:val="none" w:sz="0" w:space="0" w:color="auto"/>
            <w:left w:val="none" w:sz="0" w:space="0" w:color="auto"/>
            <w:bottom w:val="none" w:sz="0" w:space="0" w:color="auto"/>
            <w:right w:val="none" w:sz="0" w:space="0" w:color="auto"/>
          </w:divBdr>
        </w:div>
        <w:div w:id="802772634">
          <w:marLeft w:val="480"/>
          <w:marRight w:val="0"/>
          <w:marTop w:val="0"/>
          <w:marBottom w:val="0"/>
          <w:divBdr>
            <w:top w:val="none" w:sz="0" w:space="0" w:color="auto"/>
            <w:left w:val="none" w:sz="0" w:space="0" w:color="auto"/>
            <w:bottom w:val="none" w:sz="0" w:space="0" w:color="auto"/>
            <w:right w:val="none" w:sz="0" w:space="0" w:color="auto"/>
          </w:divBdr>
        </w:div>
        <w:div w:id="2131701588">
          <w:marLeft w:val="480"/>
          <w:marRight w:val="0"/>
          <w:marTop w:val="0"/>
          <w:marBottom w:val="0"/>
          <w:divBdr>
            <w:top w:val="none" w:sz="0" w:space="0" w:color="auto"/>
            <w:left w:val="none" w:sz="0" w:space="0" w:color="auto"/>
            <w:bottom w:val="none" w:sz="0" w:space="0" w:color="auto"/>
            <w:right w:val="none" w:sz="0" w:space="0" w:color="auto"/>
          </w:divBdr>
        </w:div>
        <w:div w:id="1146312030">
          <w:marLeft w:val="480"/>
          <w:marRight w:val="0"/>
          <w:marTop w:val="0"/>
          <w:marBottom w:val="0"/>
          <w:divBdr>
            <w:top w:val="none" w:sz="0" w:space="0" w:color="auto"/>
            <w:left w:val="none" w:sz="0" w:space="0" w:color="auto"/>
            <w:bottom w:val="none" w:sz="0" w:space="0" w:color="auto"/>
            <w:right w:val="none" w:sz="0" w:space="0" w:color="auto"/>
          </w:divBdr>
        </w:div>
        <w:div w:id="226454428">
          <w:marLeft w:val="480"/>
          <w:marRight w:val="0"/>
          <w:marTop w:val="0"/>
          <w:marBottom w:val="0"/>
          <w:divBdr>
            <w:top w:val="none" w:sz="0" w:space="0" w:color="auto"/>
            <w:left w:val="none" w:sz="0" w:space="0" w:color="auto"/>
            <w:bottom w:val="none" w:sz="0" w:space="0" w:color="auto"/>
            <w:right w:val="none" w:sz="0" w:space="0" w:color="auto"/>
          </w:divBdr>
        </w:div>
        <w:div w:id="1533224332">
          <w:marLeft w:val="480"/>
          <w:marRight w:val="0"/>
          <w:marTop w:val="0"/>
          <w:marBottom w:val="0"/>
          <w:divBdr>
            <w:top w:val="none" w:sz="0" w:space="0" w:color="auto"/>
            <w:left w:val="none" w:sz="0" w:space="0" w:color="auto"/>
            <w:bottom w:val="none" w:sz="0" w:space="0" w:color="auto"/>
            <w:right w:val="none" w:sz="0" w:space="0" w:color="auto"/>
          </w:divBdr>
        </w:div>
        <w:div w:id="280235283">
          <w:marLeft w:val="480"/>
          <w:marRight w:val="0"/>
          <w:marTop w:val="0"/>
          <w:marBottom w:val="0"/>
          <w:divBdr>
            <w:top w:val="none" w:sz="0" w:space="0" w:color="auto"/>
            <w:left w:val="none" w:sz="0" w:space="0" w:color="auto"/>
            <w:bottom w:val="none" w:sz="0" w:space="0" w:color="auto"/>
            <w:right w:val="none" w:sz="0" w:space="0" w:color="auto"/>
          </w:divBdr>
        </w:div>
        <w:div w:id="490023213">
          <w:marLeft w:val="480"/>
          <w:marRight w:val="0"/>
          <w:marTop w:val="0"/>
          <w:marBottom w:val="0"/>
          <w:divBdr>
            <w:top w:val="none" w:sz="0" w:space="0" w:color="auto"/>
            <w:left w:val="none" w:sz="0" w:space="0" w:color="auto"/>
            <w:bottom w:val="none" w:sz="0" w:space="0" w:color="auto"/>
            <w:right w:val="none" w:sz="0" w:space="0" w:color="auto"/>
          </w:divBdr>
        </w:div>
        <w:div w:id="938097374">
          <w:marLeft w:val="480"/>
          <w:marRight w:val="0"/>
          <w:marTop w:val="0"/>
          <w:marBottom w:val="0"/>
          <w:divBdr>
            <w:top w:val="none" w:sz="0" w:space="0" w:color="auto"/>
            <w:left w:val="none" w:sz="0" w:space="0" w:color="auto"/>
            <w:bottom w:val="none" w:sz="0" w:space="0" w:color="auto"/>
            <w:right w:val="none" w:sz="0" w:space="0" w:color="auto"/>
          </w:divBdr>
        </w:div>
        <w:div w:id="2067677470">
          <w:marLeft w:val="480"/>
          <w:marRight w:val="0"/>
          <w:marTop w:val="0"/>
          <w:marBottom w:val="0"/>
          <w:divBdr>
            <w:top w:val="none" w:sz="0" w:space="0" w:color="auto"/>
            <w:left w:val="none" w:sz="0" w:space="0" w:color="auto"/>
            <w:bottom w:val="none" w:sz="0" w:space="0" w:color="auto"/>
            <w:right w:val="none" w:sz="0" w:space="0" w:color="auto"/>
          </w:divBdr>
        </w:div>
        <w:div w:id="1003780605">
          <w:marLeft w:val="480"/>
          <w:marRight w:val="0"/>
          <w:marTop w:val="0"/>
          <w:marBottom w:val="0"/>
          <w:divBdr>
            <w:top w:val="none" w:sz="0" w:space="0" w:color="auto"/>
            <w:left w:val="none" w:sz="0" w:space="0" w:color="auto"/>
            <w:bottom w:val="none" w:sz="0" w:space="0" w:color="auto"/>
            <w:right w:val="none" w:sz="0" w:space="0" w:color="auto"/>
          </w:divBdr>
        </w:div>
        <w:div w:id="325745615">
          <w:marLeft w:val="480"/>
          <w:marRight w:val="0"/>
          <w:marTop w:val="0"/>
          <w:marBottom w:val="0"/>
          <w:divBdr>
            <w:top w:val="none" w:sz="0" w:space="0" w:color="auto"/>
            <w:left w:val="none" w:sz="0" w:space="0" w:color="auto"/>
            <w:bottom w:val="none" w:sz="0" w:space="0" w:color="auto"/>
            <w:right w:val="none" w:sz="0" w:space="0" w:color="auto"/>
          </w:divBdr>
        </w:div>
        <w:div w:id="1639459452">
          <w:marLeft w:val="480"/>
          <w:marRight w:val="0"/>
          <w:marTop w:val="0"/>
          <w:marBottom w:val="0"/>
          <w:divBdr>
            <w:top w:val="none" w:sz="0" w:space="0" w:color="auto"/>
            <w:left w:val="none" w:sz="0" w:space="0" w:color="auto"/>
            <w:bottom w:val="none" w:sz="0" w:space="0" w:color="auto"/>
            <w:right w:val="none" w:sz="0" w:space="0" w:color="auto"/>
          </w:divBdr>
        </w:div>
        <w:div w:id="1831211097">
          <w:marLeft w:val="480"/>
          <w:marRight w:val="0"/>
          <w:marTop w:val="0"/>
          <w:marBottom w:val="0"/>
          <w:divBdr>
            <w:top w:val="none" w:sz="0" w:space="0" w:color="auto"/>
            <w:left w:val="none" w:sz="0" w:space="0" w:color="auto"/>
            <w:bottom w:val="none" w:sz="0" w:space="0" w:color="auto"/>
            <w:right w:val="none" w:sz="0" w:space="0" w:color="auto"/>
          </w:divBdr>
        </w:div>
        <w:div w:id="1040397874">
          <w:marLeft w:val="480"/>
          <w:marRight w:val="0"/>
          <w:marTop w:val="0"/>
          <w:marBottom w:val="0"/>
          <w:divBdr>
            <w:top w:val="none" w:sz="0" w:space="0" w:color="auto"/>
            <w:left w:val="none" w:sz="0" w:space="0" w:color="auto"/>
            <w:bottom w:val="none" w:sz="0" w:space="0" w:color="auto"/>
            <w:right w:val="none" w:sz="0" w:space="0" w:color="auto"/>
          </w:divBdr>
        </w:div>
        <w:div w:id="678387531">
          <w:marLeft w:val="480"/>
          <w:marRight w:val="0"/>
          <w:marTop w:val="0"/>
          <w:marBottom w:val="0"/>
          <w:divBdr>
            <w:top w:val="none" w:sz="0" w:space="0" w:color="auto"/>
            <w:left w:val="none" w:sz="0" w:space="0" w:color="auto"/>
            <w:bottom w:val="none" w:sz="0" w:space="0" w:color="auto"/>
            <w:right w:val="none" w:sz="0" w:space="0" w:color="auto"/>
          </w:divBdr>
        </w:div>
        <w:div w:id="1765300589">
          <w:marLeft w:val="480"/>
          <w:marRight w:val="0"/>
          <w:marTop w:val="0"/>
          <w:marBottom w:val="0"/>
          <w:divBdr>
            <w:top w:val="none" w:sz="0" w:space="0" w:color="auto"/>
            <w:left w:val="none" w:sz="0" w:space="0" w:color="auto"/>
            <w:bottom w:val="none" w:sz="0" w:space="0" w:color="auto"/>
            <w:right w:val="none" w:sz="0" w:space="0" w:color="auto"/>
          </w:divBdr>
        </w:div>
        <w:div w:id="1348408168">
          <w:marLeft w:val="480"/>
          <w:marRight w:val="0"/>
          <w:marTop w:val="0"/>
          <w:marBottom w:val="0"/>
          <w:divBdr>
            <w:top w:val="none" w:sz="0" w:space="0" w:color="auto"/>
            <w:left w:val="none" w:sz="0" w:space="0" w:color="auto"/>
            <w:bottom w:val="none" w:sz="0" w:space="0" w:color="auto"/>
            <w:right w:val="none" w:sz="0" w:space="0" w:color="auto"/>
          </w:divBdr>
        </w:div>
        <w:div w:id="421148277">
          <w:marLeft w:val="480"/>
          <w:marRight w:val="0"/>
          <w:marTop w:val="0"/>
          <w:marBottom w:val="0"/>
          <w:divBdr>
            <w:top w:val="none" w:sz="0" w:space="0" w:color="auto"/>
            <w:left w:val="none" w:sz="0" w:space="0" w:color="auto"/>
            <w:bottom w:val="none" w:sz="0" w:space="0" w:color="auto"/>
            <w:right w:val="none" w:sz="0" w:space="0" w:color="auto"/>
          </w:divBdr>
        </w:div>
        <w:div w:id="1216547352">
          <w:marLeft w:val="480"/>
          <w:marRight w:val="0"/>
          <w:marTop w:val="0"/>
          <w:marBottom w:val="0"/>
          <w:divBdr>
            <w:top w:val="none" w:sz="0" w:space="0" w:color="auto"/>
            <w:left w:val="none" w:sz="0" w:space="0" w:color="auto"/>
            <w:bottom w:val="none" w:sz="0" w:space="0" w:color="auto"/>
            <w:right w:val="none" w:sz="0" w:space="0" w:color="auto"/>
          </w:divBdr>
        </w:div>
        <w:div w:id="1233152327">
          <w:marLeft w:val="480"/>
          <w:marRight w:val="0"/>
          <w:marTop w:val="0"/>
          <w:marBottom w:val="0"/>
          <w:divBdr>
            <w:top w:val="none" w:sz="0" w:space="0" w:color="auto"/>
            <w:left w:val="none" w:sz="0" w:space="0" w:color="auto"/>
            <w:bottom w:val="none" w:sz="0" w:space="0" w:color="auto"/>
            <w:right w:val="none" w:sz="0" w:space="0" w:color="auto"/>
          </w:divBdr>
        </w:div>
        <w:div w:id="1843467049">
          <w:marLeft w:val="480"/>
          <w:marRight w:val="0"/>
          <w:marTop w:val="0"/>
          <w:marBottom w:val="0"/>
          <w:divBdr>
            <w:top w:val="none" w:sz="0" w:space="0" w:color="auto"/>
            <w:left w:val="none" w:sz="0" w:space="0" w:color="auto"/>
            <w:bottom w:val="none" w:sz="0" w:space="0" w:color="auto"/>
            <w:right w:val="none" w:sz="0" w:space="0" w:color="auto"/>
          </w:divBdr>
        </w:div>
        <w:div w:id="659507565">
          <w:marLeft w:val="480"/>
          <w:marRight w:val="0"/>
          <w:marTop w:val="0"/>
          <w:marBottom w:val="0"/>
          <w:divBdr>
            <w:top w:val="none" w:sz="0" w:space="0" w:color="auto"/>
            <w:left w:val="none" w:sz="0" w:space="0" w:color="auto"/>
            <w:bottom w:val="none" w:sz="0" w:space="0" w:color="auto"/>
            <w:right w:val="none" w:sz="0" w:space="0" w:color="auto"/>
          </w:divBdr>
        </w:div>
        <w:div w:id="2028604485">
          <w:marLeft w:val="480"/>
          <w:marRight w:val="0"/>
          <w:marTop w:val="0"/>
          <w:marBottom w:val="0"/>
          <w:divBdr>
            <w:top w:val="none" w:sz="0" w:space="0" w:color="auto"/>
            <w:left w:val="none" w:sz="0" w:space="0" w:color="auto"/>
            <w:bottom w:val="none" w:sz="0" w:space="0" w:color="auto"/>
            <w:right w:val="none" w:sz="0" w:space="0" w:color="auto"/>
          </w:divBdr>
        </w:div>
        <w:div w:id="784153767">
          <w:marLeft w:val="480"/>
          <w:marRight w:val="0"/>
          <w:marTop w:val="0"/>
          <w:marBottom w:val="0"/>
          <w:divBdr>
            <w:top w:val="none" w:sz="0" w:space="0" w:color="auto"/>
            <w:left w:val="none" w:sz="0" w:space="0" w:color="auto"/>
            <w:bottom w:val="none" w:sz="0" w:space="0" w:color="auto"/>
            <w:right w:val="none" w:sz="0" w:space="0" w:color="auto"/>
          </w:divBdr>
        </w:div>
        <w:div w:id="1783497606">
          <w:marLeft w:val="480"/>
          <w:marRight w:val="0"/>
          <w:marTop w:val="0"/>
          <w:marBottom w:val="0"/>
          <w:divBdr>
            <w:top w:val="none" w:sz="0" w:space="0" w:color="auto"/>
            <w:left w:val="none" w:sz="0" w:space="0" w:color="auto"/>
            <w:bottom w:val="none" w:sz="0" w:space="0" w:color="auto"/>
            <w:right w:val="none" w:sz="0" w:space="0" w:color="auto"/>
          </w:divBdr>
        </w:div>
        <w:div w:id="1152600275">
          <w:marLeft w:val="480"/>
          <w:marRight w:val="0"/>
          <w:marTop w:val="0"/>
          <w:marBottom w:val="0"/>
          <w:divBdr>
            <w:top w:val="none" w:sz="0" w:space="0" w:color="auto"/>
            <w:left w:val="none" w:sz="0" w:space="0" w:color="auto"/>
            <w:bottom w:val="none" w:sz="0" w:space="0" w:color="auto"/>
            <w:right w:val="none" w:sz="0" w:space="0" w:color="auto"/>
          </w:divBdr>
        </w:div>
        <w:div w:id="1888297685">
          <w:marLeft w:val="480"/>
          <w:marRight w:val="0"/>
          <w:marTop w:val="0"/>
          <w:marBottom w:val="0"/>
          <w:divBdr>
            <w:top w:val="none" w:sz="0" w:space="0" w:color="auto"/>
            <w:left w:val="none" w:sz="0" w:space="0" w:color="auto"/>
            <w:bottom w:val="none" w:sz="0" w:space="0" w:color="auto"/>
            <w:right w:val="none" w:sz="0" w:space="0" w:color="auto"/>
          </w:divBdr>
        </w:div>
        <w:div w:id="1231694518">
          <w:marLeft w:val="480"/>
          <w:marRight w:val="0"/>
          <w:marTop w:val="0"/>
          <w:marBottom w:val="0"/>
          <w:divBdr>
            <w:top w:val="none" w:sz="0" w:space="0" w:color="auto"/>
            <w:left w:val="none" w:sz="0" w:space="0" w:color="auto"/>
            <w:bottom w:val="none" w:sz="0" w:space="0" w:color="auto"/>
            <w:right w:val="none" w:sz="0" w:space="0" w:color="auto"/>
          </w:divBdr>
        </w:div>
        <w:div w:id="506866208">
          <w:marLeft w:val="480"/>
          <w:marRight w:val="0"/>
          <w:marTop w:val="0"/>
          <w:marBottom w:val="0"/>
          <w:divBdr>
            <w:top w:val="none" w:sz="0" w:space="0" w:color="auto"/>
            <w:left w:val="none" w:sz="0" w:space="0" w:color="auto"/>
            <w:bottom w:val="none" w:sz="0" w:space="0" w:color="auto"/>
            <w:right w:val="none" w:sz="0" w:space="0" w:color="auto"/>
          </w:divBdr>
        </w:div>
      </w:divsChild>
    </w:div>
    <w:div w:id="281035044">
      <w:bodyDiv w:val="1"/>
      <w:marLeft w:val="0"/>
      <w:marRight w:val="0"/>
      <w:marTop w:val="0"/>
      <w:marBottom w:val="0"/>
      <w:divBdr>
        <w:top w:val="none" w:sz="0" w:space="0" w:color="auto"/>
        <w:left w:val="none" w:sz="0" w:space="0" w:color="auto"/>
        <w:bottom w:val="none" w:sz="0" w:space="0" w:color="auto"/>
        <w:right w:val="none" w:sz="0" w:space="0" w:color="auto"/>
      </w:divBdr>
    </w:div>
    <w:div w:id="281958408">
      <w:bodyDiv w:val="1"/>
      <w:marLeft w:val="0"/>
      <w:marRight w:val="0"/>
      <w:marTop w:val="0"/>
      <w:marBottom w:val="0"/>
      <w:divBdr>
        <w:top w:val="none" w:sz="0" w:space="0" w:color="auto"/>
        <w:left w:val="none" w:sz="0" w:space="0" w:color="auto"/>
        <w:bottom w:val="none" w:sz="0" w:space="0" w:color="auto"/>
        <w:right w:val="none" w:sz="0" w:space="0" w:color="auto"/>
      </w:divBdr>
      <w:divsChild>
        <w:div w:id="1897858964">
          <w:marLeft w:val="480"/>
          <w:marRight w:val="0"/>
          <w:marTop w:val="0"/>
          <w:marBottom w:val="0"/>
          <w:divBdr>
            <w:top w:val="none" w:sz="0" w:space="0" w:color="auto"/>
            <w:left w:val="none" w:sz="0" w:space="0" w:color="auto"/>
            <w:bottom w:val="none" w:sz="0" w:space="0" w:color="auto"/>
            <w:right w:val="none" w:sz="0" w:space="0" w:color="auto"/>
          </w:divBdr>
        </w:div>
        <w:div w:id="1386176013">
          <w:marLeft w:val="480"/>
          <w:marRight w:val="0"/>
          <w:marTop w:val="0"/>
          <w:marBottom w:val="0"/>
          <w:divBdr>
            <w:top w:val="none" w:sz="0" w:space="0" w:color="auto"/>
            <w:left w:val="none" w:sz="0" w:space="0" w:color="auto"/>
            <w:bottom w:val="none" w:sz="0" w:space="0" w:color="auto"/>
            <w:right w:val="none" w:sz="0" w:space="0" w:color="auto"/>
          </w:divBdr>
        </w:div>
        <w:div w:id="766930392">
          <w:marLeft w:val="480"/>
          <w:marRight w:val="0"/>
          <w:marTop w:val="0"/>
          <w:marBottom w:val="0"/>
          <w:divBdr>
            <w:top w:val="none" w:sz="0" w:space="0" w:color="auto"/>
            <w:left w:val="none" w:sz="0" w:space="0" w:color="auto"/>
            <w:bottom w:val="none" w:sz="0" w:space="0" w:color="auto"/>
            <w:right w:val="none" w:sz="0" w:space="0" w:color="auto"/>
          </w:divBdr>
        </w:div>
        <w:div w:id="653486941">
          <w:marLeft w:val="480"/>
          <w:marRight w:val="0"/>
          <w:marTop w:val="0"/>
          <w:marBottom w:val="0"/>
          <w:divBdr>
            <w:top w:val="none" w:sz="0" w:space="0" w:color="auto"/>
            <w:left w:val="none" w:sz="0" w:space="0" w:color="auto"/>
            <w:bottom w:val="none" w:sz="0" w:space="0" w:color="auto"/>
            <w:right w:val="none" w:sz="0" w:space="0" w:color="auto"/>
          </w:divBdr>
        </w:div>
        <w:div w:id="159857958">
          <w:marLeft w:val="480"/>
          <w:marRight w:val="0"/>
          <w:marTop w:val="0"/>
          <w:marBottom w:val="0"/>
          <w:divBdr>
            <w:top w:val="none" w:sz="0" w:space="0" w:color="auto"/>
            <w:left w:val="none" w:sz="0" w:space="0" w:color="auto"/>
            <w:bottom w:val="none" w:sz="0" w:space="0" w:color="auto"/>
            <w:right w:val="none" w:sz="0" w:space="0" w:color="auto"/>
          </w:divBdr>
        </w:div>
        <w:div w:id="123079962">
          <w:marLeft w:val="480"/>
          <w:marRight w:val="0"/>
          <w:marTop w:val="0"/>
          <w:marBottom w:val="0"/>
          <w:divBdr>
            <w:top w:val="none" w:sz="0" w:space="0" w:color="auto"/>
            <w:left w:val="none" w:sz="0" w:space="0" w:color="auto"/>
            <w:bottom w:val="none" w:sz="0" w:space="0" w:color="auto"/>
            <w:right w:val="none" w:sz="0" w:space="0" w:color="auto"/>
          </w:divBdr>
        </w:div>
        <w:div w:id="795678131">
          <w:marLeft w:val="480"/>
          <w:marRight w:val="0"/>
          <w:marTop w:val="0"/>
          <w:marBottom w:val="0"/>
          <w:divBdr>
            <w:top w:val="none" w:sz="0" w:space="0" w:color="auto"/>
            <w:left w:val="none" w:sz="0" w:space="0" w:color="auto"/>
            <w:bottom w:val="none" w:sz="0" w:space="0" w:color="auto"/>
            <w:right w:val="none" w:sz="0" w:space="0" w:color="auto"/>
          </w:divBdr>
        </w:div>
        <w:div w:id="1944603932">
          <w:marLeft w:val="480"/>
          <w:marRight w:val="0"/>
          <w:marTop w:val="0"/>
          <w:marBottom w:val="0"/>
          <w:divBdr>
            <w:top w:val="none" w:sz="0" w:space="0" w:color="auto"/>
            <w:left w:val="none" w:sz="0" w:space="0" w:color="auto"/>
            <w:bottom w:val="none" w:sz="0" w:space="0" w:color="auto"/>
            <w:right w:val="none" w:sz="0" w:space="0" w:color="auto"/>
          </w:divBdr>
        </w:div>
        <w:div w:id="1510563963">
          <w:marLeft w:val="480"/>
          <w:marRight w:val="0"/>
          <w:marTop w:val="0"/>
          <w:marBottom w:val="0"/>
          <w:divBdr>
            <w:top w:val="none" w:sz="0" w:space="0" w:color="auto"/>
            <w:left w:val="none" w:sz="0" w:space="0" w:color="auto"/>
            <w:bottom w:val="none" w:sz="0" w:space="0" w:color="auto"/>
            <w:right w:val="none" w:sz="0" w:space="0" w:color="auto"/>
          </w:divBdr>
        </w:div>
        <w:div w:id="1772581561">
          <w:marLeft w:val="480"/>
          <w:marRight w:val="0"/>
          <w:marTop w:val="0"/>
          <w:marBottom w:val="0"/>
          <w:divBdr>
            <w:top w:val="none" w:sz="0" w:space="0" w:color="auto"/>
            <w:left w:val="none" w:sz="0" w:space="0" w:color="auto"/>
            <w:bottom w:val="none" w:sz="0" w:space="0" w:color="auto"/>
            <w:right w:val="none" w:sz="0" w:space="0" w:color="auto"/>
          </w:divBdr>
        </w:div>
        <w:div w:id="1610120506">
          <w:marLeft w:val="480"/>
          <w:marRight w:val="0"/>
          <w:marTop w:val="0"/>
          <w:marBottom w:val="0"/>
          <w:divBdr>
            <w:top w:val="none" w:sz="0" w:space="0" w:color="auto"/>
            <w:left w:val="none" w:sz="0" w:space="0" w:color="auto"/>
            <w:bottom w:val="none" w:sz="0" w:space="0" w:color="auto"/>
            <w:right w:val="none" w:sz="0" w:space="0" w:color="auto"/>
          </w:divBdr>
        </w:div>
        <w:div w:id="1300069916">
          <w:marLeft w:val="480"/>
          <w:marRight w:val="0"/>
          <w:marTop w:val="0"/>
          <w:marBottom w:val="0"/>
          <w:divBdr>
            <w:top w:val="none" w:sz="0" w:space="0" w:color="auto"/>
            <w:left w:val="none" w:sz="0" w:space="0" w:color="auto"/>
            <w:bottom w:val="none" w:sz="0" w:space="0" w:color="auto"/>
            <w:right w:val="none" w:sz="0" w:space="0" w:color="auto"/>
          </w:divBdr>
        </w:div>
        <w:div w:id="728112522">
          <w:marLeft w:val="480"/>
          <w:marRight w:val="0"/>
          <w:marTop w:val="0"/>
          <w:marBottom w:val="0"/>
          <w:divBdr>
            <w:top w:val="none" w:sz="0" w:space="0" w:color="auto"/>
            <w:left w:val="none" w:sz="0" w:space="0" w:color="auto"/>
            <w:bottom w:val="none" w:sz="0" w:space="0" w:color="auto"/>
            <w:right w:val="none" w:sz="0" w:space="0" w:color="auto"/>
          </w:divBdr>
        </w:div>
        <w:div w:id="1291009934">
          <w:marLeft w:val="480"/>
          <w:marRight w:val="0"/>
          <w:marTop w:val="0"/>
          <w:marBottom w:val="0"/>
          <w:divBdr>
            <w:top w:val="none" w:sz="0" w:space="0" w:color="auto"/>
            <w:left w:val="none" w:sz="0" w:space="0" w:color="auto"/>
            <w:bottom w:val="none" w:sz="0" w:space="0" w:color="auto"/>
            <w:right w:val="none" w:sz="0" w:space="0" w:color="auto"/>
          </w:divBdr>
        </w:div>
        <w:div w:id="1465351083">
          <w:marLeft w:val="480"/>
          <w:marRight w:val="0"/>
          <w:marTop w:val="0"/>
          <w:marBottom w:val="0"/>
          <w:divBdr>
            <w:top w:val="none" w:sz="0" w:space="0" w:color="auto"/>
            <w:left w:val="none" w:sz="0" w:space="0" w:color="auto"/>
            <w:bottom w:val="none" w:sz="0" w:space="0" w:color="auto"/>
            <w:right w:val="none" w:sz="0" w:space="0" w:color="auto"/>
          </w:divBdr>
        </w:div>
        <w:div w:id="166024815">
          <w:marLeft w:val="480"/>
          <w:marRight w:val="0"/>
          <w:marTop w:val="0"/>
          <w:marBottom w:val="0"/>
          <w:divBdr>
            <w:top w:val="none" w:sz="0" w:space="0" w:color="auto"/>
            <w:left w:val="none" w:sz="0" w:space="0" w:color="auto"/>
            <w:bottom w:val="none" w:sz="0" w:space="0" w:color="auto"/>
            <w:right w:val="none" w:sz="0" w:space="0" w:color="auto"/>
          </w:divBdr>
        </w:div>
        <w:div w:id="2074114530">
          <w:marLeft w:val="480"/>
          <w:marRight w:val="0"/>
          <w:marTop w:val="0"/>
          <w:marBottom w:val="0"/>
          <w:divBdr>
            <w:top w:val="none" w:sz="0" w:space="0" w:color="auto"/>
            <w:left w:val="none" w:sz="0" w:space="0" w:color="auto"/>
            <w:bottom w:val="none" w:sz="0" w:space="0" w:color="auto"/>
            <w:right w:val="none" w:sz="0" w:space="0" w:color="auto"/>
          </w:divBdr>
        </w:div>
        <w:div w:id="2078278444">
          <w:marLeft w:val="480"/>
          <w:marRight w:val="0"/>
          <w:marTop w:val="0"/>
          <w:marBottom w:val="0"/>
          <w:divBdr>
            <w:top w:val="none" w:sz="0" w:space="0" w:color="auto"/>
            <w:left w:val="none" w:sz="0" w:space="0" w:color="auto"/>
            <w:bottom w:val="none" w:sz="0" w:space="0" w:color="auto"/>
            <w:right w:val="none" w:sz="0" w:space="0" w:color="auto"/>
          </w:divBdr>
        </w:div>
        <w:div w:id="1019043455">
          <w:marLeft w:val="480"/>
          <w:marRight w:val="0"/>
          <w:marTop w:val="0"/>
          <w:marBottom w:val="0"/>
          <w:divBdr>
            <w:top w:val="none" w:sz="0" w:space="0" w:color="auto"/>
            <w:left w:val="none" w:sz="0" w:space="0" w:color="auto"/>
            <w:bottom w:val="none" w:sz="0" w:space="0" w:color="auto"/>
            <w:right w:val="none" w:sz="0" w:space="0" w:color="auto"/>
          </w:divBdr>
        </w:div>
        <w:div w:id="1546985367">
          <w:marLeft w:val="480"/>
          <w:marRight w:val="0"/>
          <w:marTop w:val="0"/>
          <w:marBottom w:val="0"/>
          <w:divBdr>
            <w:top w:val="none" w:sz="0" w:space="0" w:color="auto"/>
            <w:left w:val="none" w:sz="0" w:space="0" w:color="auto"/>
            <w:bottom w:val="none" w:sz="0" w:space="0" w:color="auto"/>
            <w:right w:val="none" w:sz="0" w:space="0" w:color="auto"/>
          </w:divBdr>
        </w:div>
        <w:div w:id="1871145744">
          <w:marLeft w:val="480"/>
          <w:marRight w:val="0"/>
          <w:marTop w:val="0"/>
          <w:marBottom w:val="0"/>
          <w:divBdr>
            <w:top w:val="none" w:sz="0" w:space="0" w:color="auto"/>
            <w:left w:val="none" w:sz="0" w:space="0" w:color="auto"/>
            <w:bottom w:val="none" w:sz="0" w:space="0" w:color="auto"/>
            <w:right w:val="none" w:sz="0" w:space="0" w:color="auto"/>
          </w:divBdr>
        </w:div>
        <w:div w:id="1777822732">
          <w:marLeft w:val="480"/>
          <w:marRight w:val="0"/>
          <w:marTop w:val="0"/>
          <w:marBottom w:val="0"/>
          <w:divBdr>
            <w:top w:val="none" w:sz="0" w:space="0" w:color="auto"/>
            <w:left w:val="none" w:sz="0" w:space="0" w:color="auto"/>
            <w:bottom w:val="none" w:sz="0" w:space="0" w:color="auto"/>
            <w:right w:val="none" w:sz="0" w:space="0" w:color="auto"/>
          </w:divBdr>
        </w:div>
        <w:div w:id="837114834">
          <w:marLeft w:val="480"/>
          <w:marRight w:val="0"/>
          <w:marTop w:val="0"/>
          <w:marBottom w:val="0"/>
          <w:divBdr>
            <w:top w:val="none" w:sz="0" w:space="0" w:color="auto"/>
            <w:left w:val="none" w:sz="0" w:space="0" w:color="auto"/>
            <w:bottom w:val="none" w:sz="0" w:space="0" w:color="auto"/>
            <w:right w:val="none" w:sz="0" w:space="0" w:color="auto"/>
          </w:divBdr>
        </w:div>
        <w:div w:id="699359443">
          <w:marLeft w:val="480"/>
          <w:marRight w:val="0"/>
          <w:marTop w:val="0"/>
          <w:marBottom w:val="0"/>
          <w:divBdr>
            <w:top w:val="none" w:sz="0" w:space="0" w:color="auto"/>
            <w:left w:val="none" w:sz="0" w:space="0" w:color="auto"/>
            <w:bottom w:val="none" w:sz="0" w:space="0" w:color="auto"/>
            <w:right w:val="none" w:sz="0" w:space="0" w:color="auto"/>
          </w:divBdr>
        </w:div>
        <w:div w:id="336690825">
          <w:marLeft w:val="480"/>
          <w:marRight w:val="0"/>
          <w:marTop w:val="0"/>
          <w:marBottom w:val="0"/>
          <w:divBdr>
            <w:top w:val="none" w:sz="0" w:space="0" w:color="auto"/>
            <w:left w:val="none" w:sz="0" w:space="0" w:color="auto"/>
            <w:bottom w:val="none" w:sz="0" w:space="0" w:color="auto"/>
            <w:right w:val="none" w:sz="0" w:space="0" w:color="auto"/>
          </w:divBdr>
        </w:div>
        <w:div w:id="241961362">
          <w:marLeft w:val="480"/>
          <w:marRight w:val="0"/>
          <w:marTop w:val="0"/>
          <w:marBottom w:val="0"/>
          <w:divBdr>
            <w:top w:val="none" w:sz="0" w:space="0" w:color="auto"/>
            <w:left w:val="none" w:sz="0" w:space="0" w:color="auto"/>
            <w:bottom w:val="none" w:sz="0" w:space="0" w:color="auto"/>
            <w:right w:val="none" w:sz="0" w:space="0" w:color="auto"/>
          </w:divBdr>
        </w:div>
        <w:div w:id="898631394">
          <w:marLeft w:val="480"/>
          <w:marRight w:val="0"/>
          <w:marTop w:val="0"/>
          <w:marBottom w:val="0"/>
          <w:divBdr>
            <w:top w:val="none" w:sz="0" w:space="0" w:color="auto"/>
            <w:left w:val="none" w:sz="0" w:space="0" w:color="auto"/>
            <w:bottom w:val="none" w:sz="0" w:space="0" w:color="auto"/>
            <w:right w:val="none" w:sz="0" w:space="0" w:color="auto"/>
          </w:divBdr>
        </w:div>
        <w:div w:id="101389569">
          <w:marLeft w:val="480"/>
          <w:marRight w:val="0"/>
          <w:marTop w:val="0"/>
          <w:marBottom w:val="0"/>
          <w:divBdr>
            <w:top w:val="none" w:sz="0" w:space="0" w:color="auto"/>
            <w:left w:val="none" w:sz="0" w:space="0" w:color="auto"/>
            <w:bottom w:val="none" w:sz="0" w:space="0" w:color="auto"/>
            <w:right w:val="none" w:sz="0" w:space="0" w:color="auto"/>
          </w:divBdr>
        </w:div>
        <w:div w:id="1211190418">
          <w:marLeft w:val="480"/>
          <w:marRight w:val="0"/>
          <w:marTop w:val="0"/>
          <w:marBottom w:val="0"/>
          <w:divBdr>
            <w:top w:val="none" w:sz="0" w:space="0" w:color="auto"/>
            <w:left w:val="none" w:sz="0" w:space="0" w:color="auto"/>
            <w:bottom w:val="none" w:sz="0" w:space="0" w:color="auto"/>
            <w:right w:val="none" w:sz="0" w:space="0" w:color="auto"/>
          </w:divBdr>
        </w:div>
        <w:div w:id="151605057">
          <w:marLeft w:val="480"/>
          <w:marRight w:val="0"/>
          <w:marTop w:val="0"/>
          <w:marBottom w:val="0"/>
          <w:divBdr>
            <w:top w:val="none" w:sz="0" w:space="0" w:color="auto"/>
            <w:left w:val="none" w:sz="0" w:space="0" w:color="auto"/>
            <w:bottom w:val="none" w:sz="0" w:space="0" w:color="auto"/>
            <w:right w:val="none" w:sz="0" w:space="0" w:color="auto"/>
          </w:divBdr>
        </w:div>
        <w:div w:id="187334418">
          <w:marLeft w:val="480"/>
          <w:marRight w:val="0"/>
          <w:marTop w:val="0"/>
          <w:marBottom w:val="0"/>
          <w:divBdr>
            <w:top w:val="none" w:sz="0" w:space="0" w:color="auto"/>
            <w:left w:val="none" w:sz="0" w:space="0" w:color="auto"/>
            <w:bottom w:val="none" w:sz="0" w:space="0" w:color="auto"/>
            <w:right w:val="none" w:sz="0" w:space="0" w:color="auto"/>
          </w:divBdr>
        </w:div>
        <w:div w:id="67263923">
          <w:marLeft w:val="480"/>
          <w:marRight w:val="0"/>
          <w:marTop w:val="0"/>
          <w:marBottom w:val="0"/>
          <w:divBdr>
            <w:top w:val="none" w:sz="0" w:space="0" w:color="auto"/>
            <w:left w:val="none" w:sz="0" w:space="0" w:color="auto"/>
            <w:bottom w:val="none" w:sz="0" w:space="0" w:color="auto"/>
            <w:right w:val="none" w:sz="0" w:space="0" w:color="auto"/>
          </w:divBdr>
        </w:div>
        <w:div w:id="1232109477">
          <w:marLeft w:val="480"/>
          <w:marRight w:val="0"/>
          <w:marTop w:val="0"/>
          <w:marBottom w:val="0"/>
          <w:divBdr>
            <w:top w:val="none" w:sz="0" w:space="0" w:color="auto"/>
            <w:left w:val="none" w:sz="0" w:space="0" w:color="auto"/>
            <w:bottom w:val="none" w:sz="0" w:space="0" w:color="auto"/>
            <w:right w:val="none" w:sz="0" w:space="0" w:color="auto"/>
          </w:divBdr>
        </w:div>
        <w:div w:id="2031948251">
          <w:marLeft w:val="480"/>
          <w:marRight w:val="0"/>
          <w:marTop w:val="0"/>
          <w:marBottom w:val="0"/>
          <w:divBdr>
            <w:top w:val="none" w:sz="0" w:space="0" w:color="auto"/>
            <w:left w:val="none" w:sz="0" w:space="0" w:color="auto"/>
            <w:bottom w:val="none" w:sz="0" w:space="0" w:color="auto"/>
            <w:right w:val="none" w:sz="0" w:space="0" w:color="auto"/>
          </w:divBdr>
        </w:div>
      </w:divsChild>
    </w:div>
    <w:div w:id="305857672">
      <w:bodyDiv w:val="1"/>
      <w:marLeft w:val="0"/>
      <w:marRight w:val="0"/>
      <w:marTop w:val="0"/>
      <w:marBottom w:val="0"/>
      <w:divBdr>
        <w:top w:val="none" w:sz="0" w:space="0" w:color="auto"/>
        <w:left w:val="none" w:sz="0" w:space="0" w:color="auto"/>
        <w:bottom w:val="none" w:sz="0" w:space="0" w:color="auto"/>
        <w:right w:val="none" w:sz="0" w:space="0" w:color="auto"/>
      </w:divBdr>
    </w:div>
    <w:div w:id="309796647">
      <w:bodyDiv w:val="1"/>
      <w:marLeft w:val="0"/>
      <w:marRight w:val="0"/>
      <w:marTop w:val="0"/>
      <w:marBottom w:val="0"/>
      <w:divBdr>
        <w:top w:val="none" w:sz="0" w:space="0" w:color="auto"/>
        <w:left w:val="none" w:sz="0" w:space="0" w:color="auto"/>
        <w:bottom w:val="none" w:sz="0" w:space="0" w:color="auto"/>
        <w:right w:val="none" w:sz="0" w:space="0" w:color="auto"/>
      </w:divBdr>
      <w:divsChild>
        <w:div w:id="881795292">
          <w:marLeft w:val="480"/>
          <w:marRight w:val="0"/>
          <w:marTop w:val="0"/>
          <w:marBottom w:val="0"/>
          <w:divBdr>
            <w:top w:val="none" w:sz="0" w:space="0" w:color="auto"/>
            <w:left w:val="none" w:sz="0" w:space="0" w:color="auto"/>
            <w:bottom w:val="none" w:sz="0" w:space="0" w:color="auto"/>
            <w:right w:val="none" w:sz="0" w:space="0" w:color="auto"/>
          </w:divBdr>
        </w:div>
        <w:div w:id="395397614">
          <w:marLeft w:val="480"/>
          <w:marRight w:val="0"/>
          <w:marTop w:val="0"/>
          <w:marBottom w:val="0"/>
          <w:divBdr>
            <w:top w:val="none" w:sz="0" w:space="0" w:color="auto"/>
            <w:left w:val="none" w:sz="0" w:space="0" w:color="auto"/>
            <w:bottom w:val="none" w:sz="0" w:space="0" w:color="auto"/>
            <w:right w:val="none" w:sz="0" w:space="0" w:color="auto"/>
          </w:divBdr>
        </w:div>
        <w:div w:id="1450927994">
          <w:marLeft w:val="480"/>
          <w:marRight w:val="0"/>
          <w:marTop w:val="0"/>
          <w:marBottom w:val="0"/>
          <w:divBdr>
            <w:top w:val="none" w:sz="0" w:space="0" w:color="auto"/>
            <w:left w:val="none" w:sz="0" w:space="0" w:color="auto"/>
            <w:bottom w:val="none" w:sz="0" w:space="0" w:color="auto"/>
            <w:right w:val="none" w:sz="0" w:space="0" w:color="auto"/>
          </w:divBdr>
        </w:div>
        <w:div w:id="1787849756">
          <w:marLeft w:val="480"/>
          <w:marRight w:val="0"/>
          <w:marTop w:val="0"/>
          <w:marBottom w:val="0"/>
          <w:divBdr>
            <w:top w:val="none" w:sz="0" w:space="0" w:color="auto"/>
            <w:left w:val="none" w:sz="0" w:space="0" w:color="auto"/>
            <w:bottom w:val="none" w:sz="0" w:space="0" w:color="auto"/>
            <w:right w:val="none" w:sz="0" w:space="0" w:color="auto"/>
          </w:divBdr>
        </w:div>
        <w:div w:id="290938931">
          <w:marLeft w:val="480"/>
          <w:marRight w:val="0"/>
          <w:marTop w:val="0"/>
          <w:marBottom w:val="0"/>
          <w:divBdr>
            <w:top w:val="none" w:sz="0" w:space="0" w:color="auto"/>
            <w:left w:val="none" w:sz="0" w:space="0" w:color="auto"/>
            <w:bottom w:val="none" w:sz="0" w:space="0" w:color="auto"/>
            <w:right w:val="none" w:sz="0" w:space="0" w:color="auto"/>
          </w:divBdr>
        </w:div>
        <w:div w:id="427165073">
          <w:marLeft w:val="480"/>
          <w:marRight w:val="0"/>
          <w:marTop w:val="0"/>
          <w:marBottom w:val="0"/>
          <w:divBdr>
            <w:top w:val="none" w:sz="0" w:space="0" w:color="auto"/>
            <w:left w:val="none" w:sz="0" w:space="0" w:color="auto"/>
            <w:bottom w:val="none" w:sz="0" w:space="0" w:color="auto"/>
            <w:right w:val="none" w:sz="0" w:space="0" w:color="auto"/>
          </w:divBdr>
        </w:div>
        <w:div w:id="268584611">
          <w:marLeft w:val="480"/>
          <w:marRight w:val="0"/>
          <w:marTop w:val="0"/>
          <w:marBottom w:val="0"/>
          <w:divBdr>
            <w:top w:val="none" w:sz="0" w:space="0" w:color="auto"/>
            <w:left w:val="none" w:sz="0" w:space="0" w:color="auto"/>
            <w:bottom w:val="none" w:sz="0" w:space="0" w:color="auto"/>
            <w:right w:val="none" w:sz="0" w:space="0" w:color="auto"/>
          </w:divBdr>
        </w:div>
        <w:div w:id="1796286956">
          <w:marLeft w:val="480"/>
          <w:marRight w:val="0"/>
          <w:marTop w:val="0"/>
          <w:marBottom w:val="0"/>
          <w:divBdr>
            <w:top w:val="none" w:sz="0" w:space="0" w:color="auto"/>
            <w:left w:val="none" w:sz="0" w:space="0" w:color="auto"/>
            <w:bottom w:val="none" w:sz="0" w:space="0" w:color="auto"/>
            <w:right w:val="none" w:sz="0" w:space="0" w:color="auto"/>
          </w:divBdr>
        </w:div>
        <w:div w:id="1290554733">
          <w:marLeft w:val="480"/>
          <w:marRight w:val="0"/>
          <w:marTop w:val="0"/>
          <w:marBottom w:val="0"/>
          <w:divBdr>
            <w:top w:val="none" w:sz="0" w:space="0" w:color="auto"/>
            <w:left w:val="none" w:sz="0" w:space="0" w:color="auto"/>
            <w:bottom w:val="none" w:sz="0" w:space="0" w:color="auto"/>
            <w:right w:val="none" w:sz="0" w:space="0" w:color="auto"/>
          </w:divBdr>
        </w:div>
        <w:div w:id="1731493288">
          <w:marLeft w:val="480"/>
          <w:marRight w:val="0"/>
          <w:marTop w:val="0"/>
          <w:marBottom w:val="0"/>
          <w:divBdr>
            <w:top w:val="none" w:sz="0" w:space="0" w:color="auto"/>
            <w:left w:val="none" w:sz="0" w:space="0" w:color="auto"/>
            <w:bottom w:val="none" w:sz="0" w:space="0" w:color="auto"/>
            <w:right w:val="none" w:sz="0" w:space="0" w:color="auto"/>
          </w:divBdr>
        </w:div>
        <w:div w:id="1192918156">
          <w:marLeft w:val="480"/>
          <w:marRight w:val="0"/>
          <w:marTop w:val="0"/>
          <w:marBottom w:val="0"/>
          <w:divBdr>
            <w:top w:val="none" w:sz="0" w:space="0" w:color="auto"/>
            <w:left w:val="none" w:sz="0" w:space="0" w:color="auto"/>
            <w:bottom w:val="none" w:sz="0" w:space="0" w:color="auto"/>
            <w:right w:val="none" w:sz="0" w:space="0" w:color="auto"/>
          </w:divBdr>
        </w:div>
        <w:div w:id="710957362">
          <w:marLeft w:val="480"/>
          <w:marRight w:val="0"/>
          <w:marTop w:val="0"/>
          <w:marBottom w:val="0"/>
          <w:divBdr>
            <w:top w:val="none" w:sz="0" w:space="0" w:color="auto"/>
            <w:left w:val="none" w:sz="0" w:space="0" w:color="auto"/>
            <w:bottom w:val="none" w:sz="0" w:space="0" w:color="auto"/>
            <w:right w:val="none" w:sz="0" w:space="0" w:color="auto"/>
          </w:divBdr>
        </w:div>
        <w:div w:id="100032434">
          <w:marLeft w:val="480"/>
          <w:marRight w:val="0"/>
          <w:marTop w:val="0"/>
          <w:marBottom w:val="0"/>
          <w:divBdr>
            <w:top w:val="none" w:sz="0" w:space="0" w:color="auto"/>
            <w:left w:val="none" w:sz="0" w:space="0" w:color="auto"/>
            <w:bottom w:val="none" w:sz="0" w:space="0" w:color="auto"/>
            <w:right w:val="none" w:sz="0" w:space="0" w:color="auto"/>
          </w:divBdr>
        </w:div>
        <w:div w:id="1517378289">
          <w:marLeft w:val="480"/>
          <w:marRight w:val="0"/>
          <w:marTop w:val="0"/>
          <w:marBottom w:val="0"/>
          <w:divBdr>
            <w:top w:val="none" w:sz="0" w:space="0" w:color="auto"/>
            <w:left w:val="none" w:sz="0" w:space="0" w:color="auto"/>
            <w:bottom w:val="none" w:sz="0" w:space="0" w:color="auto"/>
            <w:right w:val="none" w:sz="0" w:space="0" w:color="auto"/>
          </w:divBdr>
        </w:div>
        <w:div w:id="1944919594">
          <w:marLeft w:val="480"/>
          <w:marRight w:val="0"/>
          <w:marTop w:val="0"/>
          <w:marBottom w:val="0"/>
          <w:divBdr>
            <w:top w:val="none" w:sz="0" w:space="0" w:color="auto"/>
            <w:left w:val="none" w:sz="0" w:space="0" w:color="auto"/>
            <w:bottom w:val="none" w:sz="0" w:space="0" w:color="auto"/>
            <w:right w:val="none" w:sz="0" w:space="0" w:color="auto"/>
          </w:divBdr>
        </w:div>
        <w:div w:id="1130170347">
          <w:marLeft w:val="480"/>
          <w:marRight w:val="0"/>
          <w:marTop w:val="0"/>
          <w:marBottom w:val="0"/>
          <w:divBdr>
            <w:top w:val="none" w:sz="0" w:space="0" w:color="auto"/>
            <w:left w:val="none" w:sz="0" w:space="0" w:color="auto"/>
            <w:bottom w:val="none" w:sz="0" w:space="0" w:color="auto"/>
            <w:right w:val="none" w:sz="0" w:space="0" w:color="auto"/>
          </w:divBdr>
        </w:div>
        <w:div w:id="1360624008">
          <w:marLeft w:val="480"/>
          <w:marRight w:val="0"/>
          <w:marTop w:val="0"/>
          <w:marBottom w:val="0"/>
          <w:divBdr>
            <w:top w:val="none" w:sz="0" w:space="0" w:color="auto"/>
            <w:left w:val="none" w:sz="0" w:space="0" w:color="auto"/>
            <w:bottom w:val="none" w:sz="0" w:space="0" w:color="auto"/>
            <w:right w:val="none" w:sz="0" w:space="0" w:color="auto"/>
          </w:divBdr>
        </w:div>
      </w:divsChild>
    </w:div>
    <w:div w:id="310526088">
      <w:bodyDiv w:val="1"/>
      <w:marLeft w:val="0"/>
      <w:marRight w:val="0"/>
      <w:marTop w:val="0"/>
      <w:marBottom w:val="0"/>
      <w:divBdr>
        <w:top w:val="none" w:sz="0" w:space="0" w:color="auto"/>
        <w:left w:val="none" w:sz="0" w:space="0" w:color="auto"/>
        <w:bottom w:val="none" w:sz="0" w:space="0" w:color="auto"/>
        <w:right w:val="none" w:sz="0" w:space="0" w:color="auto"/>
      </w:divBdr>
    </w:div>
    <w:div w:id="311495426">
      <w:bodyDiv w:val="1"/>
      <w:marLeft w:val="0"/>
      <w:marRight w:val="0"/>
      <w:marTop w:val="0"/>
      <w:marBottom w:val="0"/>
      <w:divBdr>
        <w:top w:val="none" w:sz="0" w:space="0" w:color="auto"/>
        <w:left w:val="none" w:sz="0" w:space="0" w:color="auto"/>
        <w:bottom w:val="none" w:sz="0" w:space="0" w:color="auto"/>
        <w:right w:val="none" w:sz="0" w:space="0" w:color="auto"/>
      </w:divBdr>
    </w:div>
    <w:div w:id="322707343">
      <w:bodyDiv w:val="1"/>
      <w:marLeft w:val="0"/>
      <w:marRight w:val="0"/>
      <w:marTop w:val="0"/>
      <w:marBottom w:val="0"/>
      <w:divBdr>
        <w:top w:val="none" w:sz="0" w:space="0" w:color="auto"/>
        <w:left w:val="none" w:sz="0" w:space="0" w:color="auto"/>
        <w:bottom w:val="none" w:sz="0" w:space="0" w:color="auto"/>
        <w:right w:val="none" w:sz="0" w:space="0" w:color="auto"/>
      </w:divBdr>
    </w:div>
    <w:div w:id="328681670">
      <w:bodyDiv w:val="1"/>
      <w:marLeft w:val="0"/>
      <w:marRight w:val="0"/>
      <w:marTop w:val="0"/>
      <w:marBottom w:val="0"/>
      <w:divBdr>
        <w:top w:val="none" w:sz="0" w:space="0" w:color="auto"/>
        <w:left w:val="none" w:sz="0" w:space="0" w:color="auto"/>
        <w:bottom w:val="none" w:sz="0" w:space="0" w:color="auto"/>
        <w:right w:val="none" w:sz="0" w:space="0" w:color="auto"/>
      </w:divBdr>
    </w:div>
    <w:div w:id="337343308">
      <w:bodyDiv w:val="1"/>
      <w:marLeft w:val="0"/>
      <w:marRight w:val="0"/>
      <w:marTop w:val="0"/>
      <w:marBottom w:val="0"/>
      <w:divBdr>
        <w:top w:val="none" w:sz="0" w:space="0" w:color="auto"/>
        <w:left w:val="none" w:sz="0" w:space="0" w:color="auto"/>
        <w:bottom w:val="none" w:sz="0" w:space="0" w:color="auto"/>
        <w:right w:val="none" w:sz="0" w:space="0" w:color="auto"/>
      </w:divBdr>
    </w:div>
    <w:div w:id="338392849">
      <w:bodyDiv w:val="1"/>
      <w:marLeft w:val="0"/>
      <w:marRight w:val="0"/>
      <w:marTop w:val="0"/>
      <w:marBottom w:val="0"/>
      <w:divBdr>
        <w:top w:val="none" w:sz="0" w:space="0" w:color="auto"/>
        <w:left w:val="none" w:sz="0" w:space="0" w:color="auto"/>
        <w:bottom w:val="none" w:sz="0" w:space="0" w:color="auto"/>
        <w:right w:val="none" w:sz="0" w:space="0" w:color="auto"/>
      </w:divBdr>
    </w:div>
    <w:div w:id="338968389">
      <w:bodyDiv w:val="1"/>
      <w:marLeft w:val="0"/>
      <w:marRight w:val="0"/>
      <w:marTop w:val="0"/>
      <w:marBottom w:val="0"/>
      <w:divBdr>
        <w:top w:val="none" w:sz="0" w:space="0" w:color="auto"/>
        <w:left w:val="none" w:sz="0" w:space="0" w:color="auto"/>
        <w:bottom w:val="none" w:sz="0" w:space="0" w:color="auto"/>
        <w:right w:val="none" w:sz="0" w:space="0" w:color="auto"/>
      </w:divBdr>
    </w:div>
    <w:div w:id="345982178">
      <w:bodyDiv w:val="1"/>
      <w:marLeft w:val="0"/>
      <w:marRight w:val="0"/>
      <w:marTop w:val="0"/>
      <w:marBottom w:val="0"/>
      <w:divBdr>
        <w:top w:val="none" w:sz="0" w:space="0" w:color="auto"/>
        <w:left w:val="none" w:sz="0" w:space="0" w:color="auto"/>
        <w:bottom w:val="none" w:sz="0" w:space="0" w:color="auto"/>
        <w:right w:val="none" w:sz="0" w:space="0" w:color="auto"/>
      </w:divBdr>
      <w:divsChild>
        <w:div w:id="1749838095">
          <w:marLeft w:val="480"/>
          <w:marRight w:val="0"/>
          <w:marTop w:val="0"/>
          <w:marBottom w:val="0"/>
          <w:divBdr>
            <w:top w:val="none" w:sz="0" w:space="0" w:color="auto"/>
            <w:left w:val="none" w:sz="0" w:space="0" w:color="auto"/>
            <w:bottom w:val="none" w:sz="0" w:space="0" w:color="auto"/>
            <w:right w:val="none" w:sz="0" w:space="0" w:color="auto"/>
          </w:divBdr>
        </w:div>
        <w:div w:id="34963389">
          <w:marLeft w:val="480"/>
          <w:marRight w:val="0"/>
          <w:marTop w:val="0"/>
          <w:marBottom w:val="0"/>
          <w:divBdr>
            <w:top w:val="none" w:sz="0" w:space="0" w:color="auto"/>
            <w:left w:val="none" w:sz="0" w:space="0" w:color="auto"/>
            <w:bottom w:val="none" w:sz="0" w:space="0" w:color="auto"/>
            <w:right w:val="none" w:sz="0" w:space="0" w:color="auto"/>
          </w:divBdr>
        </w:div>
        <w:div w:id="844973445">
          <w:marLeft w:val="480"/>
          <w:marRight w:val="0"/>
          <w:marTop w:val="0"/>
          <w:marBottom w:val="0"/>
          <w:divBdr>
            <w:top w:val="none" w:sz="0" w:space="0" w:color="auto"/>
            <w:left w:val="none" w:sz="0" w:space="0" w:color="auto"/>
            <w:bottom w:val="none" w:sz="0" w:space="0" w:color="auto"/>
            <w:right w:val="none" w:sz="0" w:space="0" w:color="auto"/>
          </w:divBdr>
        </w:div>
        <w:div w:id="202446738">
          <w:marLeft w:val="480"/>
          <w:marRight w:val="0"/>
          <w:marTop w:val="0"/>
          <w:marBottom w:val="0"/>
          <w:divBdr>
            <w:top w:val="none" w:sz="0" w:space="0" w:color="auto"/>
            <w:left w:val="none" w:sz="0" w:space="0" w:color="auto"/>
            <w:bottom w:val="none" w:sz="0" w:space="0" w:color="auto"/>
            <w:right w:val="none" w:sz="0" w:space="0" w:color="auto"/>
          </w:divBdr>
        </w:div>
        <w:div w:id="940796331">
          <w:marLeft w:val="480"/>
          <w:marRight w:val="0"/>
          <w:marTop w:val="0"/>
          <w:marBottom w:val="0"/>
          <w:divBdr>
            <w:top w:val="none" w:sz="0" w:space="0" w:color="auto"/>
            <w:left w:val="none" w:sz="0" w:space="0" w:color="auto"/>
            <w:bottom w:val="none" w:sz="0" w:space="0" w:color="auto"/>
            <w:right w:val="none" w:sz="0" w:space="0" w:color="auto"/>
          </w:divBdr>
        </w:div>
        <w:div w:id="1648050479">
          <w:marLeft w:val="480"/>
          <w:marRight w:val="0"/>
          <w:marTop w:val="0"/>
          <w:marBottom w:val="0"/>
          <w:divBdr>
            <w:top w:val="none" w:sz="0" w:space="0" w:color="auto"/>
            <w:left w:val="none" w:sz="0" w:space="0" w:color="auto"/>
            <w:bottom w:val="none" w:sz="0" w:space="0" w:color="auto"/>
            <w:right w:val="none" w:sz="0" w:space="0" w:color="auto"/>
          </w:divBdr>
        </w:div>
        <w:div w:id="976450209">
          <w:marLeft w:val="480"/>
          <w:marRight w:val="0"/>
          <w:marTop w:val="0"/>
          <w:marBottom w:val="0"/>
          <w:divBdr>
            <w:top w:val="none" w:sz="0" w:space="0" w:color="auto"/>
            <w:left w:val="none" w:sz="0" w:space="0" w:color="auto"/>
            <w:bottom w:val="none" w:sz="0" w:space="0" w:color="auto"/>
            <w:right w:val="none" w:sz="0" w:space="0" w:color="auto"/>
          </w:divBdr>
        </w:div>
        <w:div w:id="565535613">
          <w:marLeft w:val="480"/>
          <w:marRight w:val="0"/>
          <w:marTop w:val="0"/>
          <w:marBottom w:val="0"/>
          <w:divBdr>
            <w:top w:val="none" w:sz="0" w:space="0" w:color="auto"/>
            <w:left w:val="none" w:sz="0" w:space="0" w:color="auto"/>
            <w:bottom w:val="none" w:sz="0" w:space="0" w:color="auto"/>
            <w:right w:val="none" w:sz="0" w:space="0" w:color="auto"/>
          </w:divBdr>
        </w:div>
        <w:div w:id="1604462498">
          <w:marLeft w:val="480"/>
          <w:marRight w:val="0"/>
          <w:marTop w:val="0"/>
          <w:marBottom w:val="0"/>
          <w:divBdr>
            <w:top w:val="none" w:sz="0" w:space="0" w:color="auto"/>
            <w:left w:val="none" w:sz="0" w:space="0" w:color="auto"/>
            <w:bottom w:val="none" w:sz="0" w:space="0" w:color="auto"/>
            <w:right w:val="none" w:sz="0" w:space="0" w:color="auto"/>
          </w:divBdr>
        </w:div>
        <w:div w:id="2142112753">
          <w:marLeft w:val="480"/>
          <w:marRight w:val="0"/>
          <w:marTop w:val="0"/>
          <w:marBottom w:val="0"/>
          <w:divBdr>
            <w:top w:val="none" w:sz="0" w:space="0" w:color="auto"/>
            <w:left w:val="none" w:sz="0" w:space="0" w:color="auto"/>
            <w:bottom w:val="none" w:sz="0" w:space="0" w:color="auto"/>
            <w:right w:val="none" w:sz="0" w:space="0" w:color="auto"/>
          </w:divBdr>
        </w:div>
        <w:div w:id="670255581">
          <w:marLeft w:val="480"/>
          <w:marRight w:val="0"/>
          <w:marTop w:val="0"/>
          <w:marBottom w:val="0"/>
          <w:divBdr>
            <w:top w:val="none" w:sz="0" w:space="0" w:color="auto"/>
            <w:left w:val="none" w:sz="0" w:space="0" w:color="auto"/>
            <w:bottom w:val="none" w:sz="0" w:space="0" w:color="auto"/>
            <w:right w:val="none" w:sz="0" w:space="0" w:color="auto"/>
          </w:divBdr>
        </w:div>
        <w:div w:id="1224214312">
          <w:marLeft w:val="480"/>
          <w:marRight w:val="0"/>
          <w:marTop w:val="0"/>
          <w:marBottom w:val="0"/>
          <w:divBdr>
            <w:top w:val="none" w:sz="0" w:space="0" w:color="auto"/>
            <w:left w:val="none" w:sz="0" w:space="0" w:color="auto"/>
            <w:bottom w:val="none" w:sz="0" w:space="0" w:color="auto"/>
            <w:right w:val="none" w:sz="0" w:space="0" w:color="auto"/>
          </w:divBdr>
        </w:div>
        <w:div w:id="474298705">
          <w:marLeft w:val="480"/>
          <w:marRight w:val="0"/>
          <w:marTop w:val="0"/>
          <w:marBottom w:val="0"/>
          <w:divBdr>
            <w:top w:val="none" w:sz="0" w:space="0" w:color="auto"/>
            <w:left w:val="none" w:sz="0" w:space="0" w:color="auto"/>
            <w:bottom w:val="none" w:sz="0" w:space="0" w:color="auto"/>
            <w:right w:val="none" w:sz="0" w:space="0" w:color="auto"/>
          </w:divBdr>
        </w:div>
        <w:div w:id="1652366451">
          <w:marLeft w:val="480"/>
          <w:marRight w:val="0"/>
          <w:marTop w:val="0"/>
          <w:marBottom w:val="0"/>
          <w:divBdr>
            <w:top w:val="none" w:sz="0" w:space="0" w:color="auto"/>
            <w:left w:val="none" w:sz="0" w:space="0" w:color="auto"/>
            <w:bottom w:val="none" w:sz="0" w:space="0" w:color="auto"/>
            <w:right w:val="none" w:sz="0" w:space="0" w:color="auto"/>
          </w:divBdr>
        </w:div>
        <w:div w:id="39331000">
          <w:marLeft w:val="480"/>
          <w:marRight w:val="0"/>
          <w:marTop w:val="0"/>
          <w:marBottom w:val="0"/>
          <w:divBdr>
            <w:top w:val="none" w:sz="0" w:space="0" w:color="auto"/>
            <w:left w:val="none" w:sz="0" w:space="0" w:color="auto"/>
            <w:bottom w:val="none" w:sz="0" w:space="0" w:color="auto"/>
            <w:right w:val="none" w:sz="0" w:space="0" w:color="auto"/>
          </w:divBdr>
        </w:div>
        <w:div w:id="1079861768">
          <w:marLeft w:val="480"/>
          <w:marRight w:val="0"/>
          <w:marTop w:val="0"/>
          <w:marBottom w:val="0"/>
          <w:divBdr>
            <w:top w:val="none" w:sz="0" w:space="0" w:color="auto"/>
            <w:left w:val="none" w:sz="0" w:space="0" w:color="auto"/>
            <w:bottom w:val="none" w:sz="0" w:space="0" w:color="auto"/>
            <w:right w:val="none" w:sz="0" w:space="0" w:color="auto"/>
          </w:divBdr>
        </w:div>
        <w:div w:id="78865992">
          <w:marLeft w:val="480"/>
          <w:marRight w:val="0"/>
          <w:marTop w:val="0"/>
          <w:marBottom w:val="0"/>
          <w:divBdr>
            <w:top w:val="none" w:sz="0" w:space="0" w:color="auto"/>
            <w:left w:val="none" w:sz="0" w:space="0" w:color="auto"/>
            <w:bottom w:val="none" w:sz="0" w:space="0" w:color="auto"/>
            <w:right w:val="none" w:sz="0" w:space="0" w:color="auto"/>
          </w:divBdr>
        </w:div>
        <w:div w:id="1884706656">
          <w:marLeft w:val="480"/>
          <w:marRight w:val="0"/>
          <w:marTop w:val="0"/>
          <w:marBottom w:val="0"/>
          <w:divBdr>
            <w:top w:val="none" w:sz="0" w:space="0" w:color="auto"/>
            <w:left w:val="none" w:sz="0" w:space="0" w:color="auto"/>
            <w:bottom w:val="none" w:sz="0" w:space="0" w:color="auto"/>
            <w:right w:val="none" w:sz="0" w:space="0" w:color="auto"/>
          </w:divBdr>
        </w:div>
        <w:div w:id="737437208">
          <w:marLeft w:val="480"/>
          <w:marRight w:val="0"/>
          <w:marTop w:val="0"/>
          <w:marBottom w:val="0"/>
          <w:divBdr>
            <w:top w:val="none" w:sz="0" w:space="0" w:color="auto"/>
            <w:left w:val="none" w:sz="0" w:space="0" w:color="auto"/>
            <w:bottom w:val="none" w:sz="0" w:space="0" w:color="auto"/>
            <w:right w:val="none" w:sz="0" w:space="0" w:color="auto"/>
          </w:divBdr>
        </w:div>
        <w:div w:id="979109959">
          <w:marLeft w:val="480"/>
          <w:marRight w:val="0"/>
          <w:marTop w:val="0"/>
          <w:marBottom w:val="0"/>
          <w:divBdr>
            <w:top w:val="none" w:sz="0" w:space="0" w:color="auto"/>
            <w:left w:val="none" w:sz="0" w:space="0" w:color="auto"/>
            <w:bottom w:val="none" w:sz="0" w:space="0" w:color="auto"/>
            <w:right w:val="none" w:sz="0" w:space="0" w:color="auto"/>
          </w:divBdr>
        </w:div>
      </w:divsChild>
    </w:div>
    <w:div w:id="346057328">
      <w:bodyDiv w:val="1"/>
      <w:marLeft w:val="0"/>
      <w:marRight w:val="0"/>
      <w:marTop w:val="0"/>
      <w:marBottom w:val="0"/>
      <w:divBdr>
        <w:top w:val="none" w:sz="0" w:space="0" w:color="auto"/>
        <w:left w:val="none" w:sz="0" w:space="0" w:color="auto"/>
        <w:bottom w:val="none" w:sz="0" w:space="0" w:color="auto"/>
        <w:right w:val="none" w:sz="0" w:space="0" w:color="auto"/>
      </w:divBdr>
    </w:div>
    <w:div w:id="346372016">
      <w:bodyDiv w:val="1"/>
      <w:marLeft w:val="0"/>
      <w:marRight w:val="0"/>
      <w:marTop w:val="0"/>
      <w:marBottom w:val="0"/>
      <w:divBdr>
        <w:top w:val="none" w:sz="0" w:space="0" w:color="auto"/>
        <w:left w:val="none" w:sz="0" w:space="0" w:color="auto"/>
        <w:bottom w:val="none" w:sz="0" w:space="0" w:color="auto"/>
        <w:right w:val="none" w:sz="0" w:space="0" w:color="auto"/>
      </w:divBdr>
    </w:div>
    <w:div w:id="353070669">
      <w:bodyDiv w:val="1"/>
      <w:marLeft w:val="0"/>
      <w:marRight w:val="0"/>
      <w:marTop w:val="0"/>
      <w:marBottom w:val="0"/>
      <w:divBdr>
        <w:top w:val="none" w:sz="0" w:space="0" w:color="auto"/>
        <w:left w:val="none" w:sz="0" w:space="0" w:color="auto"/>
        <w:bottom w:val="none" w:sz="0" w:space="0" w:color="auto"/>
        <w:right w:val="none" w:sz="0" w:space="0" w:color="auto"/>
      </w:divBdr>
    </w:div>
    <w:div w:id="358892993">
      <w:bodyDiv w:val="1"/>
      <w:marLeft w:val="0"/>
      <w:marRight w:val="0"/>
      <w:marTop w:val="0"/>
      <w:marBottom w:val="0"/>
      <w:divBdr>
        <w:top w:val="none" w:sz="0" w:space="0" w:color="auto"/>
        <w:left w:val="none" w:sz="0" w:space="0" w:color="auto"/>
        <w:bottom w:val="none" w:sz="0" w:space="0" w:color="auto"/>
        <w:right w:val="none" w:sz="0" w:space="0" w:color="auto"/>
      </w:divBdr>
    </w:div>
    <w:div w:id="358941056">
      <w:bodyDiv w:val="1"/>
      <w:marLeft w:val="0"/>
      <w:marRight w:val="0"/>
      <w:marTop w:val="0"/>
      <w:marBottom w:val="0"/>
      <w:divBdr>
        <w:top w:val="none" w:sz="0" w:space="0" w:color="auto"/>
        <w:left w:val="none" w:sz="0" w:space="0" w:color="auto"/>
        <w:bottom w:val="none" w:sz="0" w:space="0" w:color="auto"/>
        <w:right w:val="none" w:sz="0" w:space="0" w:color="auto"/>
      </w:divBdr>
    </w:div>
    <w:div w:id="362293859">
      <w:bodyDiv w:val="1"/>
      <w:marLeft w:val="0"/>
      <w:marRight w:val="0"/>
      <w:marTop w:val="0"/>
      <w:marBottom w:val="0"/>
      <w:divBdr>
        <w:top w:val="none" w:sz="0" w:space="0" w:color="auto"/>
        <w:left w:val="none" w:sz="0" w:space="0" w:color="auto"/>
        <w:bottom w:val="none" w:sz="0" w:space="0" w:color="auto"/>
        <w:right w:val="none" w:sz="0" w:space="0" w:color="auto"/>
      </w:divBdr>
    </w:div>
    <w:div w:id="363215706">
      <w:bodyDiv w:val="1"/>
      <w:marLeft w:val="0"/>
      <w:marRight w:val="0"/>
      <w:marTop w:val="0"/>
      <w:marBottom w:val="0"/>
      <w:divBdr>
        <w:top w:val="none" w:sz="0" w:space="0" w:color="auto"/>
        <w:left w:val="none" w:sz="0" w:space="0" w:color="auto"/>
        <w:bottom w:val="none" w:sz="0" w:space="0" w:color="auto"/>
        <w:right w:val="none" w:sz="0" w:space="0" w:color="auto"/>
      </w:divBdr>
    </w:div>
    <w:div w:id="367486790">
      <w:bodyDiv w:val="1"/>
      <w:marLeft w:val="0"/>
      <w:marRight w:val="0"/>
      <w:marTop w:val="0"/>
      <w:marBottom w:val="0"/>
      <w:divBdr>
        <w:top w:val="none" w:sz="0" w:space="0" w:color="auto"/>
        <w:left w:val="none" w:sz="0" w:space="0" w:color="auto"/>
        <w:bottom w:val="none" w:sz="0" w:space="0" w:color="auto"/>
        <w:right w:val="none" w:sz="0" w:space="0" w:color="auto"/>
      </w:divBdr>
    </w:div>
    <w:div w:id="372773565">
      <w:bodyDiv w:val="1"/>
      <w:marLeft w:val="0"/>
      <w:marRight w:val="0"/>
      <w:marTop w:val="0"/>
      <w:marBottom w:val="0"/>
      <w:divBdr>
        <w:top w:val="none" w:sz="0" w:space="0" w:color="auto"/>
        <w:left w:val="none" w:sz="0" w:space="0" w:color="auto"/>
        <w:bottom w:val="none" w:sz="0" w:space="0" w:color="auto"/>
        <w:right w:val="none" w:sz="0" w:space="0" w:color="auto"/>
      </w:divBdr>
    </w:div>
    <w:div w:id="390202684">
      <w:bodyDiv w:val="1"/>
      <w:marLeft w:val="0"/>
      <w:marRight w:val="0"/>
      <w:marTop w:val="0"/>
      <w:marBottom w:val="0"/>
      <w:divBdr>
        <w:top w:val="none" w:sz="0" w:space="0" w:color="auto"/>
        <w:left w:val="none" w:sz="0" w:space="0" w:color="auto"/>
        <w:bottom w:val="none" w:sz="0" w:space="0" w:color="auto"/>
        <w:right w:val="none" w:sz="0" w:space="0" w:color="auto"/>
      </w:divBdr>
    </w:div>
    <w:div w:id="400710526">
      <w:bodyDiv w:val="1"/>
      <w:marLeft w:val="0"/>
      <w:marRight w:val="0"/>
      <w:marTop w:val="0"/>
      <w:marBottom w:val="0"/>
      <w:divBdr>
        <w:top w:val="none" w:sz="0" w:space="0" w:color="auto"/>
        <w:left w:val="none" w:sz="0" w:space="0" w:color="auto"/>
        <w:bottom w:val="none" w:sz="0" w:space="0" w:color="auto"/>
        <w:right w:val="none" w:sz="0" w:space="0" w:color="auto"/>
      </w:divBdr>
    </w:div>
    <w:div w:id="411202285">
      <w:bodyDiv w:val="1"/>
      <w:marLeft w:val="0"/>
      <w:marRight w:val="0"/>
      <w:marTop w:val="0"/>
      <w:marBottom w:val="0"/>
      <w:divBdr>
        <w:top w:val="none" w:sz="0" w:space="0" w:color="auto"/>
        <w:left w:val="none" w:sz="0" w:space="0" w:color="auto"/>
        <w:bottom w:val="none" w:sz="0" w:space="0" w:color="auto"/>
        <w:right w:val="none" w:sz="0" w:space="0" w:color="auto"/>
      </w:divBdr>
    </w:div>
    <w:div w:id="413208950">
      <w:bodyDiv w:val="1"/>
      <w:marLeft w:val="0"/>
      <w:marRight w:val="0"/>
      <w:marTop w:val="0"/>
      <w:marBottom w:val="0"/>
      <w:divBdr>
        <w:top w:val="none" w:sz="0" w:space="0" w:color="auto"/>
        <w:left w:val="none" w:sz="0" w:space="0" w:color="auto"/>
        <w:bottom w:val="none" w:sz="0" w:space="0" w:color="auto"/>
        <w:right w:val="none" w:sz="0" w:space="0" w:color="auto"/>
      </w:divBdr>
    </w:div>
    <w:div w:id="416290141">
      <w:bodyDiv w:val="1"/>
      <w:marLeft w:val="0"/>
      <w:marRight w:val="0"/>
      <w:marTop w:val="0"/>
      <w:marBottom w:val="0"/>
      <w:divBdr>
        <w:top w:val="none" w:sz="0" w:space="0" w:color="auto"/>
        <w:left w:val="none" w:sz="0" w:space="0" w:color="auto"/>
        <w:bottom w:val="none" w:sz="0" w:space="0" w:color="auto"/>
        <w:right w:val="none" w:sz="0" w:space="0" w:color="auto"/>
      </w:divBdr>
    </w:div>
    <w:div w:id="425884839">
      <w:bodyDiv w:val="1"/>
      <w:marLeft w:val="0"/>
      <w:marRight w:val="0"/>
      <w:marTop w:val="0"/>
      <w:marBottom w:val="0"/>
      <w:divBdr>
        <w:top w:val="none" w:sz="0" w:space="0" w:color="auto"/>
        <w:left w:val="none" w:sz="0" w:space="0" w:color="auto"/>
        <w:bottom w:val="none" w:sz="0" w:space="0" w:color="auto"/>
        <w:right w:val="none" w:sz="0" w:space="0" w:color="auto"/>
      </w:divBdr>
    </w:div>
    <w:div w:id="434981127">
      <w:bodyDiv w:val="1"/>
      <w:marLeft w:val="0"/>
      <w:marRight w:val="0"/>
      <w:marTop w:val="0"/>
      <w:marBottom w:val="0"/>
      <w:divBdr>
        <w:top w:val="none" w:sz="0" w:space="0" w:color="auto"/>
        <w:left w:val="none" w:sz="0" w:space="0" w:color="auto"/>
        <w:bottom w:val="none" w:sz="0" w:space="0" w:color="auto"/>
        <w:right w:val="none" w:sz="0" w:space="0" w:color="auto"/>
      </w:divBdr>
    </w:div>
    <w:div w:id="460535713">
      <w:bodyDiv w:val="1"/>
      <w:marLeft w:val="0"/>
      <w:marRight w:val="0"/>
      <w:marTop w:val="0"/>
      <w:marBottom w:val="0"/>
      <w:divBdr>
        <w:top w:val="none" w:sz="0" w:space="0" w:color="auto"/>
        <w:left w:val="none" w:sz="0" w:space="0" w:color="auto"/>
        <w:bottom w:val="none" w:sz="0" w:space="0" w:color="auto"/>
        <w:right w:val="none" w:sz="0" w:space="0" w:color="auto"/>
      </w:divBdr>
    </w:div>
    <w:div w:id="463355524">
      <w:bodyDiv w:val="1"/>
      <w:marLeft w:val="0"/>
      <w:marRight w:val="0"/>
      <w:marTop w:val="0"/>
      <w:marBottom w:val="0"/>
      <w:divBdr>
        <w:top w:val="none" w:sz="0" w:space="0" w:color="auto"/>
        <w:left w:val="none" w:sz="0" w:space="0" w:color="auto"/>
        <w:bottom w:val="none" w:sz="0" w:space="0" w:color="auto"/>
        <w:right w:val="none" w:sz="0" w:space="0" w:color="auto"/>
      </w:divBdr>
    </w:div>
    <w:div w:id="482241211">
      <w:bodyDiv w:val="1"/>
      <w:marLeft w:val="0"/>
      <w:marRight w:val="0"/>
      <w:marTop w:val="0"/>
      <w:marBottom w:val="0"/>
      <w:divBdr>
        <w:top w:val="none" w:sz="0" w:space="0" w:color="auto"/>
        <w:left w:val="none" w:sz="0" w:space="0" w:color="auto"/>
        <w:bottom w:val="none" w:sz="0" w:space="0" w:color="auto"/>
        <w:right w:val="none" w:sz="0" w:space="0" w:color="auto"/>
      </w:divBdr>
    </w:div>
    <w:div w:id="489445220">
      <w:bodyDiv w:val="1"/>
      <w:marLeft w:val="0"/>
      <w:marRight w:val="0"/>
      <w:marTop w:val="0"/>
      <w:marBottom w:val="0"/>
      <w:divBdr>
        <w:top w:val="none" w:sz="0" w:space="0" w:color="auto"/>
        <w:left w:val="none" w:sz="0" w:space="0" w:color="auto"/>
        <w:bottom w:val="none" w:sz="0" w:space="0" w:color="auto"/>
        <w:right w:val="none" w:sz="0" w:space="0" w:color="auto"/>
      </w:divBdr>
      <w:divsChild>
        <w:div w:id="2013488531">
          <w:marLeft w:val="480"/>
          <w:marRight w:val="0"/>
          <w:marTop w:val="0"/>
          <w:marBottom w:val="0"/>
          <w:divBdr>
            <w:top w:val="none" w:sz="0" w:space="0" w:color="auto"/>
            <w:left w:val="none" w:sz="0" w:space="0" w:color="auto"/>
            <w:bottom w:val="none" w:sz="0" w:space="0" w:color="auto"/>
            <w:right w:val="none" w:sz="0" w:space="0" w:color="auto"/>
          </w:divBdr>
        </w:div>
        <w:div w:id="1517696221">
          <w:marLeft w:val="480"/>
          <w:marRight w:val="0"/>
          <w:marTop w:val="0"/>
          <w:marBottom w:val="0"/>
          <w:divBdr>
            <w:top w:val="none" w:sz="0" w:space="0" w:color="auto"/>
            <w:left w:val="none" w:sz="0" w:space="0" w:color="auto"/>
            <w:bottom w:val="none" w:sz="0" w:space="0" w:color="auto"/>
            <w:right w:val="none" w:sz="0" w:space="0" w:color="auto"/>
          </w:divBdr>
        </w:div>
        <w:div w:id="727189665">
          <w:marLeft w:val="480"/>
          <w:marRight w:val="0"/>
          <w:marTop w:val="0"/>
          <w:marBottom w:val="0"/>
          <w:divBdr>
            <w:top w:val="none" w:sz="0" w:space="0" w:color="auto"/>
            <w:left w:val="none" w:sz="0" w:space="0" w:color="auto"/>
            <w:bottom w:val="none" w:sz="0" w:space="0" w:color="auto"/>
            <w:right w:val="none" w:sz="0" w:space="0" w:color="auto"/>
          </w:divBdr>
        </w:div>
        <w:div w:id="156389605">
          <w:marLeft w:val="480"/>
          <w:marRight w:val="0"/>
          <w:marTop w:val="0"/>
          <w:marBottom w:val="0"/>
          <w:divBdr>
            <w:top w:val="none" w:sz="0" w:space="0" w:color="auto"/>
            <w:left w:val="none" w:sz="0" w:space="0" w:color="auto"/>
            <w:bottom w:val="none" w:sz="0" w:space="0" w:color="auto"/>
            <w:right w:val="none" w:sz="0" w:space="0" w:color="auto"/>
          </w:divBdr>
        </w:div>
        <w:div w:id="2075614538">
          <w:marLeft w:val="480"/>
          <w:marRight w:val="0"/>
          <w:marTop w:val="0"/>
          <w:marBottom w:val="0"/>
          <w:divBdr>
            <w:top w:val="none" w:sz="0" w:space="0" w:color="auto"/>
            <w:left w:val="none" w:sz="0" w:space="0" w:color="auto"/>
            <w:bottom w:val="none" w:sz="0" w:space="0" w:color="auto"/>
            <w:right w:val="none" w:sz="0" w:space="0" w:color="auto"/>
          </w:divBdr>
        </w:div>
        <w:div w:id="1984265001">
          <w:marLeft w:val="480"/>
          <w:marRight w:val="0"/>
          <w:marTop w:val="0"/>
          <w:marBottom w:val="0"/>
          <w:divBdr>
            <w:top w:val="none" w:sz="0" w:space="0" w:color="auto"/>
            <w:left w:val="none" w:sz="0" w:space="0" w:color="auto"/>
            <w:bottom w:val="none" w:sz="0" w:space="0" w:color="auto"/>
            <w:right w:val="none" w:sz="0" w:space="0" w:color="auto"/>
          </w:divBdr>
        </w:div>
        <w:div w:id="2031644003">
          <w:marLeft w:val="480"/>
          <w:marRight w:val="0"/>
          <w:marTop w:val="0"/>
          <w:marBottom w:val="0"/>
          <w:divBdr>
            <w:top w:val="none" w:sz="0" w:space="0" w:color="auto"/>
            <w:left w:val="none" w:sz="0" w:space="0" w:color="auto"/>
            <w:bottom w:val="none" w:sz="0" w:space="0" w:color="auto"/>
            <w:right w:val="none" w:sz="0" w:space="0" w:color="auto"/>
          </w:divBdr>
        </w:div>
        <w:div w:id="97339826">
          <w:marLeft w:val="480"/>
          <w:marRight w:val="0"/>
          <w:marTop w:val="0"/>
          <w:marBottom w:val="0"/>
          <w:divBdr>
            <w:top w:val="none" w:sz="0" w:space="0" w:color="auto"/>
            <w:left w:val="none" w:sz="0" w:space="0" w:color="auto"/>
            <w:bottom w:val="none" w:sz="0" w:space="0" w:color="auto"/>
            <w:right w:val="none" w:sz="0" w:space="0" w:color="auto"/>
          </w:divBdr>
        </w:div>
        <w:div w:id="1151680222">
          <w:marLeft w:val="480"/>
          <w:marRight w:val="0"/>
          <w:marTop w:val="0"/>
          <w:marBottom w:val="0"/>
          <w:divBdr>
            <w:top w:val="none" w:sz="0" w:space="0" w:color="auto"/>
            <w:left w:val="none" w:sz="0" w:space="0" w:color="auto"/>
            <w:bottom w:val="none" w:sz="0" w:space="0" w:color="auto"/>
            <w:right w:val="none" w:sz="0" w:space="0" w:color="auto"/>
          </w:divBdr>
        </w:div>
        <w:div w:id="1526209118">
          <w:marLeft w:val="480"/>
          <w:marRight w:val="0"/>
          <w:marTop w:val="0"/>
          <w:marBottom w:val="0"/>
          <w:divBdr>
            <w:top w:val="none" w:sz="0" w:space="0" w:color="auto"/>
            <w:left w:val="none" w:sz="0" w:space="0" w:color="auto"/>
            <w:bottom w:val="none" w:sz="0" w:space="0" w:color="auto"/>
            <w:right w:val="none" w:sz="0" w:space="0" w:color="auto"/>
          </w:divBdr>
        </w:div>
        <w:div w:id="405416495">
          <w:marLeft w:val="480"/>
          <w:marRight w:val="0"/>
          <w:marTop w:val="0"/>
          <w:marBottom w:val="0"/>
          <w:divBdr>
            <w:top w:val="none" w:sz="0" w:space="0" w:color="auto"/>
            <w:left w:val="none" w:sz="0" w:space="0" w:color="auto"/>
            <w:bottom w:val="none" w:sz="0" w:space="0" w:color="auto"/>
            <w:right w:val="none" w:sz="0" w:space="0" w:color="auto"/>
          </w:divBdr>
        </w:div>
        <w:div w:id="1837188633">
          <w:marLeft w:val="480"/>
          <w:marRight w:val="0"/>
          <w:marTop w:val="0"/>
          <w:marBottom w:val="0"/>
          <w:divBdr>
            <w:top w:val="none" w:sz="0" w:space="0" w:color="auto"/>
            <w:left w:val="none" w:sz="0" w:space="0" w:color="auto"/>
            <w:bottom w:val="none" w:sz="0" w:space="0" w:color="auto"/>
            <w:right w:val="none" w:sz="0" w:space="0" w:color="auto"/>
          </w:divBdr>
        </w:div>
        <w:div w:id="1235628407">
          <w:marLeft w:val="480"/>
          <w:marRight w:val="0"/>
          <w:marTop w:val="0"/>
          <w:marBottom w:val="0"/>
          <w:divBdr>
            <w:top w:val="none" w:sz="0" w:space="0" w:color="auto"/>
            <w:left w:val="none" w:sz="0" w:space="0" w:color="auto"/>
            <w:bottom w:val="none" w:sz="0" w:space="0" w:color="auto"/>
            <w:right w:val="none" w:sz="0" w:space="0" w:color="auto"/>
          </w:divBdr>
        </w:div>
        <w:div w:id="1167866070">
          <w:marLeft w:val="480"/>
          <w:marRight w:val="0"/>
          <w:marTop w:val="0"/>
          <w:marBottom w:val="0"/>
          <w:divBdr>
            <w:top w:val="none" w:sz="0" w:space="0" w:color="auto"/>
            <w:left w:val="none" w:sz="0" w:space="0" w:color="auto"/>
            <w:bottom w:val="none" w:sz="0" w:space="0" w:color="auto"/>
            <w:right w:val="none" w:sz="0" w:space="0" w:color="auto"/>
          </w:divBdr>
        </w:div>
        <w:div w:id="116533456">
          <w:marLeft w:val="480"/>
          <w:marRight w:val="0"/>
          <w:marTop w:val="0"/>
          <w:marBottom w:val="0"/>
          <w:divBdr>
            <w:top w:val="none" w:sz="0" w:space="0" w:color="auto"/>
            <w:left w:val="none" w:sz="0" w:space="0" w:color="auto"/>
            <w:bottom w:val="none" w:sz="0" w:space="0" w:color="auto"/>
            <w:right w:val="none" w:sz="0" w:space="0" w:color="auto"/>
          </w:divBdr>
        </w:div>
        <w:div w:id="891962508">
          <w:marLeft w:val="480"/>
          <w:marRight w:val="0"/>
          <w:marTop w:val="0"/>
          <w:marBottom w:val="0"/>
          <w:divBdr>
            <w:top w:val="none" w:sz="0" w:space="0" w:color="auto"/>
            <w:left w:val="none" w:sz="0" w:space="0" w:color="auto"/>
            <w:bottom w:val="none" w:sz="0" w:space="0" w:color="auto"/>
            <w:right w:val="none" w:sz="0" w:space="0" w:color="auto"/>
          </w:divBdr>
        </w:div>
        <w:div w:id="1180046715">
          <w:marLeft w:val="480"/>
          <w:marRight w:val="0"/>
          <w:marTop w:val="0"/>
          <w:marBottom w:val="0"/>
          <w:divBdr>
            <w:top w:val="none" w:sz="0" w:space="0" w:color="auto"/>
            <w:left w:val="none" w:sz="0" w:space="0" w:color="auto"/>
            <w:bottom w:val="none" w:sz="0" w:space="0" w:color="auto"/>
            <w:right w:val="none" w:sz="0" w:space="0" w:color="auto"/>
          </w:divBdr>
        </w:div>
        <w:div w:id="424497689">
          <w:marLeft w:val="480"/>
          <w:marRight w:val="0"/>
          <w:marTop w:val="0"/>
          <w:marBottom w:val="0"/>
          <w:divBdr>
            <w:top w:val="none" w:sz="0" w:space="0" w:color="auto"/>
            <w:left w:val="none" w:sz="0" w:space="0" w:color="auto"/>
            <w:bottom w:val="none" w:sz="0" w:space="0" w:color="auto"/>
            <w:right w:val="none" w:sz="0" w:space="0" w:color="auto"/>
          </w:divBdr>
        </w:div>
        <w:div w:id="539821846">
          <w:marLeft w:val="480"/>
          <w:marRight w:val="0"/>
          <w:marTop w:val="0"/>
          <w:marBottom w:val="0"/>
          <w:divBdr>
            <w:top w:val="none" w:sz="0" w:space="0" w:color="auto"/>
            <w:left w:val="none" w:sz="0" w:space="0" w:color="auto"/>
            <w:bottom w:val="none" w:sz="0" w:space="0" w:color="auto"/>
            <w:right w:val="none" w:sz="0" w:space="0" w:color="auto"/>
          </w:divBdr>
        </w:div>
        <w:div w:id="1546677156">
          <w:marLeft w:val="480"/>
          <w:marRight w:val="0"/>
          <w:marTop w:val="0"/>
          <w:marBottom w:val="0"/>
          <w:divBdr>
            <w:top w:val="none" w:sz="0" w:space="0" w:color="auto"/>
            <w:left w:val="none" w:sz="0" w:space="0" w:color="auto"/>
            <w:bottom w:val="none" w:sz="0" w:space="0" w:color="auto"/>
            <w:right w:val="none" w:sz="0" w:space="0" w:color="auto"/>
          </w:divBdr>
        </w:div>
        <w:div w:id="232014366">
          <w:marLeft w:val="480"/>
          <w:marRight w:val="0"/>
          <w:marTop w:val="0"/>
          <w:marBottom w:val="0"/>
          <w:divBdr>
            <w:top w:val="none" w:sz="0" w:space="0" w:color="auto"/>
            <w:left w:val="none" w:sz="0" w:space="0" w:color="auto"/>
            <w:bottom w:val="none" w:sz="0" w:space="0" w:color="auto"/>
            <w:right w:val="none" w:sz="0" w:space="0" w:color="auto"/>
          </w:divBdr>
        </w:div>
      </w:divsChild>
    </w:div>
    <w:div w:id="511842129">
      <w:bodyDiv w:val="1"/>
      <w:marLeft w:val="0"/>
      <w:marRight w:val="0"/>
      <w:marTop w:val="0"/>
      <w:marBottom w:val="0"/>
      <w:divBdr>
        <w:top w:val="none" w:sz="0" w:space="0" w:color="auto"/>
        <w:left w:val="none" w:sz="0" w:space="0" w:color="auto"/>
        <w:bottom w:val="none" w:sz="0" w:space="0" w:color="auto"/>
        <w:right w:val="none" w:sz="0" w:space="0" w:color="auto"/>
      </w:divBdr>
    </w:div>
    <w:div w:id="512693536">
      <w:bodyDiv w:val="1"/>
      <w:marLeft w:val="0"/>
      <w:marRight w:val="0"/>
      <w:marTop w:val="0"/>
      <w:marBottom w:val="0"/>
      <w:divBdr>
        <w:top w:val="none" w:sz="0" w:space="0" w:color="auto"/>
        <w:left w:val="none" w:sz="0" w:space="0" w:color="auto"/>
        <w:bottom w:val="none" w:sz="0" w:space="0" w:color="auto"/>
        <w:right w:val="none" w:sz="0" w:space="0" w:color="auto"/>
      </w:divBdr>
    </w:div>
    <w:div w:id="515266548">
      <w:bodyDiv w:val="1"/>
      <w:marLeft w:val="0"/>
      <w:marRight w:val="0"/>
      <w:marTop w:val="0"/>
      <w:marBottom w:val="0"/>
      <w:divBdr>
        <w:top w:val="none" w:sz="0" w:space="0" w:color="auto"/>
        <w:left w:val="none" w:sz="0" w:space="0" w:color="auto"/>
        <w:bottom w:val="none" w:sz="0" w:space="0" w:color="auto"/>
        <w:right w:val="none" w:sz="0" w:space="0" w:color="auto"/>
      </w:divBdr>
      <w:divsChild>
        <w:div w:id="692654041">
          <w:marLeft w:val="480"/>
          <w:marRight w:val="0"/>
          <w:marTop w:val="0"/>
          <w:marBottom w:val="0"/>
          <w:divBdr>
            <w:top w:val="none" w:sz="0" w:space="0" w:color="auto"/>
            <w:left w:val="none" w:sz="0" w:space="0" w:color="auto"/>
            <w:bottom w:val="none" w:sz="0" w:space="0" w:color="auto"/>
            <w:right w:val="none" w:sz="0" w:space="0" w:color="auto"/>
          </w:divBdr>
        </w:div>
        <w:div w:id="81610791">
          <w:marLeft w:val="480"/>
          <w:marRight w:val="0"/>
          <w:marTop w:val="0"/>
          <w:marBottom w:val="0"/>
          <w:divBdr>
            <w:top w:val="none" w:sz="0" w:space="0" w:color="auto"/>
            <w:left w:val="none" w:sz="0" w:space="0" w:color="auto"/>
            <w:bottom w:val="none" w:sz="0" w:space="0" w:color="auto"/>
            <w:right w:val="none" w:sz="0" w:space="0" w:color="auto"/>
          </w:divBdr>
        </w:div>
        <w:div w:id="539363089">
          <w:marLeft w:val="480"/>
          <w:marRight w:val="0"/>
          <w:marTop w:val="0"/>
          <w:marBottom w:val="0"/>
          <w:divBdr>
            <w:top w:val="none" w:sz="0" w:space="0" w:color="auto"/>
            <w:left w:val="none" w:sz="0" w:space="0" w:color="auto"/>
            <w:bottom w:val="none" w:sz="0" w:space="0" w:color="auto"/>
            <w:right w:val="none" w:sz="0" w:space="0" w:color="auto"/>
          </w:divBdr>
        </w:div>
        <w:div w:id="265118373">
          <w:marLeft w:val="480"/>
          <w:marRight w:val="0"/>
          <w:marTop w:val="0"/>
          <w:marBottom w:val="0"/>
          <w:divBdr>
            <w:top w:val="none" w:sz="0" w:space="0" w:color="auto"/>
            <w:left w:val="none" w:sz="0" w:space="0" w:color="auto"/>
            <w:bottom w:val="none" w:sz="0" w:space="0" w:color="auto"/>
            <w:right w:val="none" w:sz="0" w:space="0" w:color="auto"/>
          </w:divBdr>
        </w:div>
        <w:div w:id="1971089315">
          <w:marLeft w:val="480"/>
          <w:marRight w:val="0"/>
          <w:marTop w:val="0"/>
          <w:marBottom w:val="0"/>
          <w:divBdr>
            <w:top w:val="none" w:sz="0" w:space="0" w:color="auto"/>
            <w:left w:val="none" w:sz="0" w:space="0" w:color="auto"/>
            <w:bottom w:val="none" w:sz="0" w:space="0" w:color="auto"/>
            <w:right w:val="none" w:sz="0" w:space="0" w:color="auto"/>
          </w:divBdr>
        </w:div>
        <w:div w:id="1897928682">
          <w:marLeft w:val="480"/>
          <w:marRight w:val="0"/>
          <w:marTop w:val="0"/>
          <w:marBottom w:val="0"/>
          <w:divBdr>
            <w:top w:val="none" w:sz="0" w:space="0" w:color="auto"/>
            <w:left w:val="none" w:sz="0" w:space="0" w:color="auto"/>
            <w:bottom w:val="none" w:sz="0" w:space="0" w:color="auto"/>
            <w:right w:val="none" w:sz="0" w:space="0" w:color="auto"/>
          </w:divBdr>
        </w:div>
        <w:div w:id="1823735813">
          <w:marLeft w:val="480"/>
          <w:marRight w:val="0"/>
          <w:marTop w:val="0"/>
          <w:marBottom w:val="0"/>
          <w:divBdr>
            <w:top w:val="none" w:sz="0" w:space="0" w:color="auto"/>
            <w:left w:val="none" w:sz="0" w:space="0" w:color="auto"/>
            <w:bottom w:val="none" w:sz="0" w:space="0" w:color="auto"/>
            <w:right w:val="none" w:sz="0" w:space="0" w:color="auto"/>
          </w:divBdr>
        </w:div>
        <w:div w:id="1371760689">
          <w:marLeft w:val="480"/>
          <w:marRight w:val="0"/>
          <w:marTop w:val="0"/>
          <w:marBottom w:val="0"/>
          <w:divBdr>
            <w:top w:val="none" w:sz="0" w:space="0" w:color="auto"/>
            <w:left w:val="none" w:sz="0" w:space="0" w:color="auto"/>
            <w:bottom w:val="none" w:sz="0" w:space="0" w:color="auto"/>
            <w:right w:val="none" w:sz="0" w:space="0" w:color="auto"/>
          </w:divBdr>
        </w:div>
        <w:div w:id="916402924">
          <w:marLeft w:val="480"/>
          <w:marRight w:val="0"/>
          <w:marTop w:val="0"/>
          <w:marBottom w:val="0"/>
          <w:divBdr>
            <w:top w:val="none" w:sz="0" w:space="0" w:color="auto"/>
            <w:left w:val="none" w:sz="0" w:space="0" w:color="auto"/>
            <w:bottom w:val="none" w:sz="0" w:space="0" w:color="auto"/>
            <w:right w:val="none" w:sz="0" w:space="0" w:color="auto"/>
          </w:divBdr>
        </w:div>
        <w:div w:id="278689457">
          <w:marLeft w:val="480"/>
          <w:marRight w:val="0"/>
          <w:marTop w:val="0"/>
          <w:marBottom w:val="0"/>
          <w:divBdr>
            <w:top w:val="none" w:sz="0" w:space="0" w:color="auto"/>
            <w:left w:val="none" w:sz="0" w:space="0" w:color="auto"/>
            <w:bottom w:val="none" w:sz="0" w:space="0" w:color="auto"/>
            <w:right w:val="none" w:sz="0" w:space="0" w:color="auto"/>
          </w:divBdr>
        </w:div>
        <w:div w:id="543098883">
          <w:marLeft w:val="480"/>
          <w:marRight w:val="0"/>
          <w:marTop w:val="0"/>
          <w:marBottom w:val="0"/>
          <w:divBdr>
            <w:top w:val="none" w:sz="0" w:space="0" w:color="auto"/>
            <w:left w:val="none" w:sz="0" w:space="0" w:color="auto"/>
            <w:bottom w:val="none" w:sz="0" w:space="0" w:color="auto"/>
            <w:right w:val="none" w:sz="0" w:space="0" w:color="auto"/>
          </w:divBdr>
        </w:div>
        <w:div w:id="1923683825">
          <w:marLeft w:val="480"/>
          <w:marRight w:val="0"/>
          <w:marTop w:val="0"/>
          <w:marBottom w:val="0"/>
          <w:divBdr>
            <w:top w:val="none" w:sz="0" w:space="0" w:color="auto"/>
            <w:left w:val="none" w:sz="0" w:space="0" w:color="auto"/>
            <w:bottom w:val="none" w:sz="0" w:space="0" w:color="auto"/>
            <w:right w:val="none" w:sz="0" w:space="0" w:color="auto"/>
          </w:divBdr>
        </w:div>
        <w:div w:id="1073969926">
          <w:marLeft w:val="480"/>
          <w:marRight w:val="0"/>
          <w:marTop w:val="0"/>
          <w:marBottom w:val="0"/>
          <w:divBdr>
            <w:top w:val="none" w:sz="0" w:space="0" w:color="auto"/>
            <w:left w:val="none" w:sz="0" w:space="0" w:color="auto"/>
            <w:bottom w:val="none" w:sz="0" w:space="0" w:color="auto"/>
            <w:right w:val="none" w:sz="0" w:space="0" w:color="auto"/>
          </w:divBdr>
        </w:div>
        <w:div w:id="1348947562">
          <w:marLeft w:val="480"/>
          <w:marRight w:val="0"/>
          <w:marTop w:val="0"/>
          <w:marBottom w:val="0"/>
          <w:divBdr>
            <w:top w:val="none" w:sz="0" w:space="0" w:color="auto"/>
            <w:left w:val="none" w:sz="0" w:space="0" w:color="auto"/>
            <w:bottom w:val="none" w:sz="0" w:space="0" w:color="auto"/>
            <w:right w:val="none" w:sz="0" w:space="0" w:color="auto"/>
          </w:divBdr>
        </w:div>
        <w:div w:id="1388140763">
          <w:marLeft w:val="480"/>
          <w:marRight w:val="0"/>
          <w:marTop w:val="0"/>
          <w:marBottom w:val="0"/>
          <w:divBdr>
            <w:top w:val="none" w:sz="0" w:space="0" w:color="auto"/>
            <w:left w:val="none" w:sz="0" w:space="0" w:color="auto"/>
            <w:bottom w:val="none" w:sz="0" w:space="0" w:color="auto"/>
            <w:right w:val="none" w:sz="0" w:space="0" w:color="auto"/>
          </w:divBdr>
        </w:div>
        <w:div w:id="1498498398">
          <w:marLeft w:val="480"/>
          <w:marRight w:val="0"/>
          <w:marTop w:val="0"/>
          <w:marBottom w:val="0"/>
          <w:divBdr>
            <w:top w:val="none" w:sz="0" w:space="0" w:color="auto"/>
            <w:left w:val="none" w:sz="0" w:space="0" w:color="auto"/>
            <w:bottom w:val="none" w:sz="0" w:space="0" w:color="auto"/>
            <w:right w:val="none" w:sz="0" w:space="0" w:color="auto"/>
          </w:divBdr>
        </w:div>
        <w:div w:id="1172183149">
          <w:marLeft w:val="480"/>
          <w:marRight w:val="0"/>
          <w:marTop w:val="0"/>
          <w:marBottom w:val="0"/>
          <w:divBdr>
            <w:top w:val="none" w:sz="0" w:space="0" w:color="auto"/>
            <w:left w:val="none" w:sz="0" w:space="0" w:color="auto"/>
            <w:bottom w:val="none" w:sz="0" w:space="0" w:color="auto"/>
            <w:right w:val="none" w:sz="0" w:space="0" w:color="auto"/>
          </w:divBdr>
        </w:div>
      </w:divsChild>
    </w:div>
    <w:div w:id="519200930">
      <w:bodyDiv w:val="1"/>
      <w:marLeft w:val="0"/>
      <w:marRight w:val="0"/>
      <w:marTop w:val="0"/>
      <w:marBottom w:val="0"/>
      <w:divBdr>
        <w:top w:val="none" w:sz="0" w:space="0" w:color="auto"/>
        <w:left w:val="none" w:sz="0" w:space="0" w:color="auto"/>
        <w:bottom w:val="none" w:sz="0" w:space="0" w:color="auto"/>
        <w:right w:val="none" w:sz="0" w:space="0" w:color="auto"/>
      </w:divBdr>
    </w:div>
    <w:div w:id="521671241">
      <w:bodyDiv w:val="1"/>
      <w:marLeft w:val="0"/>
      <w:marRight w:val="0"/>
      <w:marTop w:val="0"/>
      <w:marBottom w:val="0"/>
      <w:divBdr>
        <w:top w:val="none" w:sz="0" w:space="0" w:color="auto"/>
        <w:left w:val="none" w:sz="0" w:space="0" w:color="auto"/>
        <w:bottom w:val="none" w:sz="0" w:space="0" w:color="auto"/>
        <w:right w:val="none" w:sz="0" w:space="0" w:color="auto"/>
      </w:divBdr>
    </w:div>
    <w:div w:id="532309294">
      <w:bodyDiv w:val="1"/>
      <w:marLeft w:val="0"/>
      <w:marRight w:val="0"/>
      <w:marTop w:val="0"/>
      <w:marBottom w:val="0"/>
      <w:divBdr>
        <w:top w:val="none" w:sz="0" w:space="0" w:color="auto"/>
        <w:left w:val="none" w:sz="0" w:space="0" w:color="auto"/>
        <w:bottom w:val="none" w:sz="0" w:space="0" w:color="auto"/>
        <w:right w:val="none" w:sz="0" w:space="0" w:color="auto"/>
      </w:divBdr>
    </w:div>
    <w:div w:id="533424075">
      <w:bodyDiv w:val="1"/>
      <w:marLeft w:val="0"/>
      <w:marRight w:val="0"/>
      <w:marTop w:val="0"/>
      <w:marBottom w:val="0"/>
      <w:divBdr>
        <w:top w:val="none" w:sz="0" w:space="0" w:color="auto"/>
        <w:left w:val="none" w:sz="0" w:space="0" w:color="auto"/>
        <w:bottom w:val="none" w:sz="0" w:space="0" w:color="auto"/>
        <w:right w:val="none" w:sz="0" w:space="0" w:color="auto"/>
      </w:divBdr>
    </w:div>
    <w:div w:id="540244248">
      <w:bodyDiv w:val="1"/>
      <w:marLeft w:val="0"/>
      <w:marRight w:val="0"/>
      <w:marTop w:val="0"/>
      <w:marBottom w:val="0"/>
      <w:divBdr>
        <w:top w:val="none" w:sz="0" w:space="0" w:color="auto"/>
        <w:left w:val="none" w:sz="0" w:space="0" w:color="auto"/>
        <w:bottom w:val="none" w:sz="0" w:space="0" w:color="auto"/>
        <w:right w:val="none" w:sz="0" w:space="0" w:color="auto"/>
      </w:divBdr>
    </w:div>
    <w:div w:id="545487930">
      <w:bodyDiv w:val="1"/>
      <w:marLeft w:val="0"/>
      <w:marRight w:val="0"/>
      <w:marTop w:val="0"/>
      <w:marBottom w:val="0"/>
      <w:divBdr>
        <w:top w:val="none" w:sz="0" w:space="0" w:color="auto"/>
        <w:left w:val="none" w:sz="0" w:space="0" w:color="auto"/>
        <w:bottom w:val="none" w:sz="0" w:space="0" w:color="auto"/>
        <w:right w:val="none" w:sz="0" w:space="0" w:color="auto"/>
      </w:divBdr>
    </w:div>
    <w:div w:id="557786522">
      <w:bodyDiv w:val="1"/>
      <w:marLeft w:val="0"/>
      <w:marRight w:val="0"/>
      <w:marTop w:val="0"/>
      <w:marBottom w:val="0"/>
      <w:divBdr>
        <w:top w:val="none" w:sz="0" w:space="0" w:color="auto"/>
        <w:left w:val="none" w:sz="0" w:space="0" w:color="auto"/>
        <w:bottom w:val="none" w:sz="0" w:space="0" w:color="auto"/>
        <w:right w:val="none" w:sz="0" w:space="0" w:color="auto"/>
      </w:divBdr>
    </w:div>
    <w:div w:id="565457089">
      <w:bodyDiv w:val="1"/>
      <w:marLeft w:val="0"/>
      <w:marRight w:val="0"/>
      <w:marTop w:val="0"/>
      <w:marBottom w:val="0"/>
      <w:divBdr>
        <w:top w:val="none" w:sz="0" w:space="0" w:color="auto"/>
        <w:left w:val="none" w:sz="0" w:space="0" w:color="auto"/>
        <w:bottom w:val="none" w:sz="0" w:space="0" w:color="auto"/>
        <w:right w:val="none" w:sz="0" w:space="0" w:color="auto"/>
      </w:divBdr>
    </w:div>
    <w:div w:id="569777242">
      <w:bodyDiv w:val="1"/>
      <w:marLeft w:val="0"/>
      <w:marRight w:val="0"/>
      <w:marTop w:val="0"/>
      <w:marBottom w:val="0"/>
      <w:divBdr>
        <w:top w:val="none" w:sz="0" w:space="0" w:color="auto"/>
        <w:left w:val="none" w:sz="0" w:space="0" w:color="auto"/>
        <w:bottom w:val="none" w:sz="0" w:space="0" w:color="auto"/>
        <w:right w:val="none" w:sz="0" w:space="0" w:color="auto"/>
      </w:divBdr>
    </w:div>
    <w:div w:id="576520792">
      <w:bodyDiv w:val="1"/>
      <w:marLeft w:val="0"/>
      <w:marRight w:val="0"/>
      <w:marTop w:val="0"/>
      <w:marBottom w:val="0"/>
      <w:divBdr>
        <w:top w:val="none" w:sz="0" w:space="0" w:color="auto"/>
        <w:left w:val="none" w:sz="0" w:space="0" w:color="auto"/>
        <w:bottom w:val="none" w:sz="0" w:space="0" w:color="auto"/>
        <w:right w:val="none" w:sz="0" w:space="0" w:color="auto"/>
      </w:divBdr>
    </w:div>
    <w:div w:id="578908727">
      <w:bodyDiv w:val="1"/>
      <w:marLeft w:val="0"/>
      <w:marRight w:val="0"/>
      <w:marTop w:val="0"/>
      <w:marBottom w:val="0"/>
      <w:divBdr>
        <w:top w:val="none" w:sz="0" w:space="0" w:color="auto"/>
        <w:left w:val="none" w:sz="0" w:space="0" w:color="auto"/>
        <w:bottom w:val="none" w:sz="0" w:space="0" w:color="auto"/>
        <w:right w:val="none" w:sz="0" w:space="0" w:color="auto"/>
      </w:divBdr>
    </w:div>
    <w:div w:id="587346427">
      <w:bodyDiv w:val="1"/>
      <w:marLeft w:val="0"/>
      <w:marRight w:val="0"/>
      <w:marTop w:val="0"/>
      <w:marBottom w:val="0"/>
      <w:divBdr>
        <w:top w:val="none" w:sz="0" w:space="0" w:color="auto"/>
        <w:left w:val="none" w:sz="0" w:space="0" w:color="auto"/>
        <w:bottom w:val="none" w:sz="0" w:space="0" w:color="auto"/>
        <w:right w:val="none" w:sz="0" w:space="0" w:color="auto"/>
      </w:divBdr>
    </w:div>
    <w:div w:id="592856340">
      <w:bodyDiv w:val="1"/>
      <w:marLeft w:val="0"/>
      <w:marRight w:val="0"/>
      <w:marTop w:val="0"/>
      <w:marBottom w:val="0"/>
      <w:divBdr>
        <w:top w:val="none" w:sz="0" w:space="0" w:color="auto"/>
        <w:left w:val="none" w:sz="0" w:space="0" w:color="auto"/>
        <w:bottom w:val="none" w:sz="0" w:space="0" w:color="auto"/>
        <w:right w:val="none" w:sz="0" w:space="0" w:color="auto"/>
      </w:divBdr>
    </w:div>
    <w:div w:id="598375274">
      <w:bodyDiv w:val="1"/>
      <w:marLeft w:val="0"/>
      <w:marRight w:val="0"/>
      <w:marTop w:val="0"/>
      <w:marBottom w:val="0"/>
      <w:divBdr>
        <w:top w:val="none" w:sz="0" w:space="0" w:color="auto"/>
        <w:left w:val="none" w:sz="0" w:space="0" w:color="auto"/>
        <w:bottom w:val="none" w:sz="0" w:space="0" w:color="auto"/>
        <w:right w:val="none" w:sz="0" w:space="0" w:color="auto"/>
      </w:divBdr>
    </w:div>
    <w:div w:id="599875636">
      <w:bodyDiv w:val="1"/>
      <w:marLeft w:val="0"/>
      <w:marRight w:val="0"/>
      <w:marTop w:val="0"/>
      <w:marBottom w:val="0"/>
      <w:divBdr>
        <w:top w:val="none" w:sz="0" w:space="0" w:color="auto"/>
        <w:left w:val="none" w:sz="0" w:space="0" w:color="auto"/>
        <w:bottom w:val="none" w:sz="0" w:space="0" w:color="auto"/>
        <w:right w:val="none" w:sz="0" w:space="0" w:color="auto"/>
      </w:divBdr>
    </w:div>
    <w:div w:id="605121083">
      <w:bodyDiv w:val="1"/>
      <w:marLeft w:val="0"/>
      <w:marRight w:val="0"/>
      <w:marTop w:val="0"/>
      <w:marBottom w:val="0"/>
      <w:divBdr>
        <w:top w:val="none" w:sz="0" w:space="0" w:color="auto"/>
        <w:left w:val="none" w:sz="0" w:space="0" w:color="auto"/>
        <w:bottom w:val="none" w:sz="0" w:space="0" w:color="auto"/>
        <w:right w:val="none" w:sz="0" w:space="0" w:color="auto"/>
      </w:divBdr>
    </w:div>
    <w:div w:id="608852851">
      <w:bodyDiv w:val="1"/>
      <w:marLeft w:val="0"/>
      <w:marRight w:val="0"/>
      <w:marTop w:val="0"/>
      <w:marBottom w:val="0"/>
      <w:divBdr>
        <w:top w:val="none" w:sz="0" w:space="0" w:color="auto"/>
        <w:left w:val="none" w:sz="0" w:space="0" w:color="auto"/>
        <w:bottom w:val="none" w:sz="0" w:space="0" w:color="auto"/>
        <w:right w:val="none" w:sz="0" w:space="0" w:color="auto"/>
      </w:divBdr>
    </w:div>
    <w:div w:id="617839406">
      <w:bodyDiv w:val="1"/>
      <w:marLeft w:val="0"/>
      <w:marRight w:val="0"/>
      <w:marTop w:val="0"/>
      <w:marBottom w:val="0"/>
      <w:divBdr>
        <w:top w:val="none" w:sz="0" w:space="0" w:color="auto"/>
        <w:left w:val="none" w:sz="0" w:space="0" w:color="auto"/>
        <w:bottom w:val="none" w:sz="0" w:space="0" w:color="auto"/>
        <w:right w:val="none" w:sz="0" w:space="0" w:color="auto"/>
      </w:divBdr>
    </w:div>
    <w:div w:id="625087342">
      <w:bodyDiv w:val="1"/>
      <w:marLeft w:val="0"/>
      <w:marRight w:val="0"/>
      <w:marTop w:val="0"/>
      <w:marBottom w:val="0"/>
      <w:divBdr>
        <w:top w:val="none" w:sz="0" w:space="0" w:color="auto"/>
        <w:left w:val="none" w:sz="0" w:space="0" w:color="auto"/>
        <w:bottom w:val="none" w:sz="0" w:space="0" w:color="auto"/>
        <w:right w:val="none" w:sz="0" w:space="0" w:color="auto"/>
      </w:divBdr>
    </w:div>
    <w:div w:id="630132720">
      <w:bodyDiv w:val="1"/>
      <w:marLeft w:val="0"/>
      <w:marRight w:val="0"/>
      <w:marTop w:val="0"/>
      <w:marBottom w:val="0"/>
      <w:divBdr>
        <w:top w:val="none" w:sz="0" w:space="0" w:color="auto"/>
        <w:left w:val="none" w:sz="0" w:space="0" w:color="auto"/>
        <w:bottom w:val="none" w:sz="0" w:space="0" w:color="auto"/>
        <w:right w:val="none" w:sz="0" w:space="0" w:color="auto"/>
      </w:divBdr>
    </w:div>
    <w:div w:id="632756079">
      <w:bodyDiv w:val="1"/>
      <w:marLeft w:val="0"/>
      <w:marRight w:val="0"/>
      <w:marTop w:val="0"/>
      <w:marBottom w:val="0"/>
      <w:divBdr>
        <w:top w:val="none" w:sz="0" w:space="0" w:color="auto"/>
        <w:left w:val="none" w:sz="0" w:space="0" w:color="auto"/>
        <w:bottom w:val="none" w:sz="0" w:space="0" w:color="auto"/>
        <w:right w:val="none" w:sz="0" w:space="0" w:color="auto"/>
      </w:divBdr>
    </w:div>
    <w:div w:id="636035221">
      <w:bodyDiv w:val="1"/>
      <w:marLeft w:val="0"/>
      <w:marRight w:val="0"/>
      <w:marTop w:val="0"/>
      <w:marBottom w:val="0"/>
      <w:divBdr>
        <w:top w:val="none" w:sz="0" w:space="0" w:color="auto"/>
        <w:left w:val="none" w:sz="0" w:space="0" w:color="auto"/>
        <w:bottom w:val="none" w:sz="0" w:space="0" w:color="auto"/>
        <w:right w:val="none" w:sz="0" w:space="0" w:color="auto"/>
      </w:divBdr>
    </w:div>
    <w:div w:id="637611860">
      <w:bodyDiv w:val="1"/>
      <w:marLeft w:val="0"/>
      <w:marRight w:val="0"/>
      <w:marTop w:val="0"/>
      <w:marBottom w:val="0"/>
      <w:divBdr>
        <w:top w:val="none" w:sz="0" w:space="0" w:color="auto"/>
        <w:left w:val="none" w:sz="0" w:space="0" w:color="auto"/>
        <w:bottom w:val="none" w:sz="0" w:space="0" w:color="auto"/>
        <w:right w:val="none" w:sz="0" w:space="0" w:color="auto"/>
      </w:divBdr>
    </w:div>
    <w:div w:id="640042141">
      <w:bodyDiv w:val="1"/>
      <w:marLeft w:val="0"/>
      <w:marRight w:val="0"/>
      <w:marTop w:val="0"/>
      <w:marBottom w:val="0"/>
      <w:divBdr>
        <w:top w:val="none" w:sz="0" w:space="0" w:color="auto"/>
        <w:left w:val="none" w:sz="0" w:space="0" w:color="auto"/>
        <w:bottom w:val="none" w:sz="0" w:space="0" w:color="auto"/>
        <w:right w:val="none" w:sz="0" w:space="0" w:color="auto"/>
      </w:divBdr>
    </w:div>
    <w:div w:id="642930961">
      <w:bodyDiv w:val="1"/>
      <w:marLeft w:val="0"/>
      <w:marRight w:val="0"/>
      <w:marTop w:val="0"/>
      <w:marBottom w:val="0"/>
      <w:divBdr>
        <w:top w:val="none" w:sz="0" w:space="0" w:color="auto"/>
        <w:left w:val="none" w:sz="0" w:space="0" w:color="auto"/>
        <w:bottom w:val="none" w:sz="0" w:space="0" w:color="auto"/>
        <w:right w:val="none" w:sz="0" w:space="0" w:color="auto"/>
      </w:divBdr>
    </w:div>
    <w:div w:id="644432696">
      <w:bodyDiv w:val="1"/>
      <w:marLeft w:val="0"/>
      <w:marRight w:val="0"/>
      <w:marTop w:val="0"/>
      <w:marBottom w:val="0"/>
      <w:divBdr>
        <w:top w:val="none" w:sz="0" w:space="0" w:color="auto"/>
        <w:left w:val="none" w:sz="0" w:space="0" w:color="auto"/>
        <w:bottom w:val="none" w:sz="0" w:space="0" w:color="auto"/>
        <w:right w:val="none" w:sz="0" w:space="0" w:color="auto"/>
      </w:divBdr>
    </w:div>
    <w:div w:id="649093732">
      <w:bodyDiv w:val="1"/>
      <w:marLeft w:val="0"/>
      <w:marRight w:val="0"/>
      <w:marTop w:val="0"/>
      <w:marBottom w:val="0"/>
      <w:divBdr>
        <w:top w:val="none" w:sz="0" w:space="0" w:color="auto"/>
        <w:left w:val="none" w:sz="0" w:space="0" w:color="auto"/>
        <w:bottom w:val="none" w:sz="0" w:space="0" w:color="auto"/>
        <w:right w:val="none" w:sz="0" w:space="0" w:color="auto"/>
      </w:divBdr>
    </w:div>
    <w:div w:id="653146732">
      <w:bodyDiv w:val="1"/>
      <w:marLeft w:val="0"/>
      <w:marRight w:val="0"/>
      <w:marTop w:val="0"/>
      <w:marBottom w:val="0"/>
      <w:divBdr>
        <w:top w:val="none" w:sz="0" w:space="0" w:color="auto"/>
        <w:left w:val="none" w:sz="0" w:space="0" w:color="auto"/>
        <w:bottom w:val="none" w:sz="0" w:space="0" w:color="auto"/>
        <w:right w:val="none" w:sz="0" w:space="0" w:color="auto"/>
      </w:divBdr>
    </w:div>
    <w:div w:id="658462822">
      <w:bodyDiv w:val="1"/>
      <w:marLeft w:val="0"/>
      <w:marRight w:val="0"/>
      <w:marTop w:val="0"/>
      <w:marBottom w:val="0"/>
      <w:divBdr>
        <w:top w:val="none" w:sz="0" w:space="0" w:color="auto"/>
        <w:left w:val="none" w:sz="0" w:space="0" w:color="auto"/>
        <w:bottom w:val="none" w:sz="0" w:space="0" w:color="auto"/>
        <w:right w:val="none" w:sz="0" w:space="0" w:color="auto"/>
      </w:divBdr>
    </w:div>
    <w:div w:id="662665376">
      <w:bodyDiv w:val="1"/>
      <w:marLeft w:val="0"/>
      <w:marRight w:val="0"/>
      <w:marTop w:val="0"/>
      <w:marBottom w:val="0"/>
      <w:divBdr>
        <w:top w:val="none" w:sz="0" w:space="0" w:color="auto"/>
        <w:left w:val="none" w:sz="0" w:space="0" w:color="auto"/>
        <w:bottom w:val="none" w:sz="0" w:space="0" w:color="auto"/>
        <w:right w:val="none" w:sz="0" w:space="0" w:color="auto"/>
      </w:divBdr>
    </w:div>
    <w:div w:id="663506858">
      <w:bodyDiv w:val="1"/>
      <w:marLeft w:val="0"/>
      <w:marRight w:val="0"/>
      <w:marTop w:val="0"/>
      <w:marBottom w:val="0"/>
      <w:divBdr>
        <w:top w:val="none" w:sz="0" w:space="0" w:color="auto"/>
        <w:left w:val="none" w:sz="0" w:space="0" w:color="auto"/>
        <w:bottom w:val="none" w:sz="0" w:space="0" w:color="auto"/>
        <w:right w:val="none" w:sz="0" w:space="0" w:color="auto"/>
      </w:divBdr>
    </w:div>
    <w:div w:id="678317388">
      <w:bodyDiv w:val="1"/>
      <w:marLeft w:val="0"/>
      <w:marRight w:val="0"/>
      <w:marTop w:val="0"/>
      <w:marBottom w:val="0"/>
      <w:divBdr>
        <w:top w:val="none" w:sz="0" w:space="0" w:color="auto"/>
        <w:left w:val="none" w:sz="0" w:space="0" w:color="auto"/>
        <w:bottom w:val="none" w:sz="0" w:space="0" w:color="auto"/>
        <w:right w:val="none" w:sz="0" w:space="0" w:color="auto"/>
      </w:divBdr>
    </w:div>
    <w:div w:id="679116535">
      <w:bodyDiv w:val="1"/>
      <w:marLeft w:val="0"/>
      <w:marRight w:val="0"/>
      <w:marTop w:val="0"/>
      <w:marBottom w:val="0"/>
      <w:divBdr>
        <w:top w:val="none" w:sz="0" w:space="0" w:color="auto"/>
        <w:left w:val="none" w:sz="0" w:space="0" w:color="auto"/>
        <w:bottom w:val="none" w:sz="0" w:space="0" w:color="auto"/>
        <w:right w:val="none" w:sz="0" w:space="0" w:color="auto"/>
      </w:divBdr>
    </w:div>
    <w:div w:id="680009058">
      <w:bodyDiv w:val="1"/>
      <w:marLeft w:val="0"/>
      <w:marRight w:val="0"/>
      <w:marTop w:val="0"/>
      <w:marBottom w:val="0"/>
      <w:divBdr>
        <w:top w:val="none" w:sz="0" w:space="0" w:color="auto"/>
        <w:left w:val="none" w:sz="0" w:space="0" w:color="auto"/>
        <w:bottom w:val="none" w:sz="0" w:space="0" w:color="auto"/>
        <w:right w:val="none" w:sz="0" w:space="0" w:color="auto"/>
      </w:divBdr>
    </w:div>
    <w:div w:id="682245332">
      <w:bodyDiv w:val="1"/>
      <w:marLeft w:val="0"/>
      <w:marRight w:val="0"/>
      <w:marTop w:val="0"/>
      <w:marBottom w:val="0"/>
      <w:divBdr>
        <w:top w:val="none" w:sz="0" w:space="0" w:color="auto"/>
        <w:left w:val="none" w:sz="0" w:space="0" w:color="auto"/>
        <w:bottom w:val="none" w:sz="0" w:space="0" w:color="auto"/>
        <w:right w:val="none" w:sz="0" w:space="0" w:color="auto"/>
      </w:divBdr>
    </w:div>
    <w:div w:id="710150952">
      <w:bodyDiv w:val="1"/>
      <w:marLeft w:val="0"/>
      <w:marRight w:val="0"/>
      <w:marTop w:val="0"/>
      <w:marBottom w:val="0"/>
      <w:divBdr>
        <w:top w:val="none" w:sz="0" w:space="0" w:color="auto"/>
        <w:left w:val="none" w:sz="0" w:space="0" w:color="auto"/>
        <w:bottom w:val="none" w:sz="0" w:space="0" w:color="auto"/>
        <w:right w:val="none" w:sz="0" w:space="0" w:color="auto"/>
      </w:divBdr>
    </w:div>
    <w:div w:id="712583847">
      <w:bodyDiv w:val="1"/>
      <w:marLeft w:val="0"/>
      <w:marRight w:val="0"/>
      <w:marTop w:val="0"/>
      <w:marBottom w:val="0"/>
      <w:divBdr>
        <w:top w:val="none" w:sz="0" w:space="0" w:color="auto"/>
        <w:left w:val="none" w:sz="0" w:space="0" w:color="auto"/>
        <w:bottom w:val="none" w:sz="0" w:space="0" w:color="auto"/>
        <w:right w:val="none" w:sz="0" w:space="0" w:color="auto"/>
      </w:divBdr>
    </w:div>
    <w:div w:id="714888026">
      <w:bodyDiv w:val="1"/>
      <w:marLeft w:val="0"/>
      <w:marRight w:val="0"/>
      <w:marTop w:val="0"/>
      <w:marBottom w:val="0"/>
      <w:divBdr>
        <w:top w:val="none" w:sz="0" w:space="0" w:color="auto"/>
        <w:left w:val="none" w:sz="0" w:space="0" w:color="auto"/>
        <w:bottom w:val="none" w:sz="0" w:space="0" w:color="auto"/>
        <w:right w:val="none" w:sz="0" w:space="0" w:color="auto"/>
      </w:divBdr>
    </w:div>
    <w:div w:id="721058504">
      <w:bodyDiv w:val="1"/>
      <w:marLeft w:val="0"/>
      <w:marRight w:val="0"/>
      <w:marTop w:val="0"/>
      <w:marBottom w:val="0"/>
      <w:divBdr>
        <w:top w:val="none" w:sz="0" w:space="0" w:color="auto"/>
        <w:left w:val="none" w:sz="0" w:space="0" w:color="auto"/>
        <w:bottom w:val="none" w:sz="0" w:space="0" w:color="auto"/>
        <w:right w:val="none" w:sz="0" w:space="0" w:color="auto"/>
      </w:divBdr>
    </w:div>
    <w:div w:id="722406547">
      <w:bodyDiv w:val="1"/>
      <w:marLeft w:val="0"/>
      <w:marRight w:val="0"/>
      <w:marTop w:val="0"/>
      <w:marBottom w:val="0"/>
      <w:divBdr>
        <w:top w:val="none" w:sz="0" w:space="0" w:color="auto"/>
        <w:left w:val="none" w:sz="0" w:space="0" w:color="auto"/>
        <w:bottom w:val="none" w:sz="0" w:space="0" w:color="auto"/>
        <w:right w:val="none" w:sz="0" w:space="0" w:color="auto"/>
      </w:divBdr>
    </w:div>
    <w:div w:id="726877766">
      <w:bodyDiv w:val="1"/>
      <w:marLeft w:val="0"/>
      <w:marRight w:val="0"/>
      <w:marTop w:val="0"/>
      <w:marBottom w:val="0"/>
      <w:divBdr>
        <w:top w:val="none" w:sz="0" w:space="0" w:color="auto"/>
        <w:left w:val="none" w:sz="0" w:space="0" w:color="auto"/>
        <w:bottom w:val="none" w:sz="0" w:space="0" w:color="auto"/>
        <w:right w:val="none" w:sz="0" w:space="0" w:color="auto"/>
      </w:divBdr>
    </w:div>
    <w:div w:id="726997988">
      <w:bodyDiv w:val="1"/>
      <w:marLeft w:val="0"/>
      <w:marRight w:val="0"/>
      <w:marTop w:val="0"/>
      <w:marBottom w:val="0"/>
      <w:divBdr>
        <w:top w:val="none" w:sz="0" w:space="0" w:color="auto"/>
        <w:left w:val="none" w:sz="0" w:space="0" w:color="auto"/>
        <w:bottom w:val="none" w:sz="0" w:space="0" w:color="auto"/>
        <w:right w:val="none" w:sz="0" w:space="0" w:color="auto"/>
      </w:divBdr>
    </w:div>
    <w:div w:id="730857562">
      <w:bodyDiv w:val="1"/>
      <w:marLeft w:val="0"/>
      <w:marRight w:val="0"/>
      <w:marTop w:val="0"/>
      <w:marBottom w:val="0"/>
      <w:divBdr>
        <w:top w:val="none" w:sz="0" w:space="0" w:color="auto"/>
        <w:left w:val="none" w:sz="0" w:space="0" w:color="auto"/>
        <w:bottom w:val="none" w:sz="0" w:space="0" w:color="auto"/>
        <w:right w:val="none" w:sz="0" w:space="0" w:color="auto"/>
      </w:divBdr>
    </w:div>
    <w:div w:id="732434587">
      <w:bodyDiv w:val="1"/>
      <w:marLeft w:val="0"/>
      <w:marRight w:val="0"/>
      <w:marTop w:val="0"/>
      <w:marBottom w:val="0"/>
      <w:divBdr>
        <w:top w:val="none" w:sz="0" w:space="0" w:color="auto"/>
        <w:left w:val="none" w:sz="0" w:space="0" w:color="auto"/>
        <w:bottom w:val="none" w:sz="0" w:space="0" w:color="auto"/>
        <w:right w:val="none" w:sz="0" w:space="0" w:color="auto"/>
      </w:divBdr>
    </w:div>
    <w:div w:id="755906027">
      <w:bodyDiv w:val="1"/>
      <w:marLeft w:val="0"/>
      <w:marRight w:val="0"/>
      <w:marTop w:val="0"/>
      <w:marBottom w:val="0"/>
      <w:divBdr>
        <w:top w:val="none" w:sz="0" w:space="0" w:color="auto"/>
        <w:left w:val="none" w:sz="0" w:space="0" w:color="auto"/>
        <w:bottom w:val="none" w:sz="0" w:space="0" w:color="auto"/>
        <w:right w:val="none" w:sz="0" w:space="0" w:color="auto"/>
      </w:divBdr>
    </w:div>
    <w:div w:id="756562124">
      <w:bodyDiv w:val="1"/>
      <w:marLeft w:val="0"/>
      <w:marRight w:val="0"/>
      <w:marTop w:val="0"/>
      <w:marBottom w:val="0"/>
      <w:divBdr>
        <w:top w:val="none" w:sz="0" w:space="0" w:color="auto"/>
        <w:left w:val="none" w:sz="0" w:space="0" w:color="auto"/>
        <w:bottom w:val="none" w:sz="0" w:space="0" w:color="auto"/>
        <w:right w:val="none" w:sz="0" w:space="0" w:color="auto"/>
      </w:divBdr>
    </w:div>
    <w:div w:id="762412618">
      <w:bodyDiv w:val="1"/>
      <w:marLeft w:val="0"/>
      <w:marRight w:val="0"/>
      <w:marTop w:val="0"/>
      <w:marBottom w:val="0"/>
      <w:divBdr>
        <w:top w:val="none" w:sz="0" w:space="0" w:color="auto"/>
        <w:left w:val="none" w:sz="0" w:space="0" w:color="auto"/>
        <w:bottom w:val="none" w:sz="0" w:space="0" w:color="auto"/>
        <w:right w:val="none" w:sz="0" w:space="0" w:color="auto"/>
      </w:divBdr>
    </w:div>
    <w:div w:id="766195403">
      <w:bodyDiv w:val="1"/>
      <w:marLeft w:val="0"/>
      <w:marRight w:val="0"/>
      <w:marTop w:val="0"/>
      <w:marBottom w:val="0"/>
      <w:divBdr>
        <w:top w:val="none" w:sz="0" w:space="0" w:color="auto"/>
        <w:left w:val="none" w:sz="0" w:space="0" w:color="auto"/>
        <w:bottom w:val="none" w:sz="0" w:space="0" w:color="auto"/>
        <w:right w:val="none" w:sz="0" w:space="0" w:color="auto"/>
      </w:divBdr>
    </w:div>
    <w:div w:id="766776373">
      <w:bodyDiv w:val="1"/>
      <w:marLeft w:val="0"/>
      <w:marRight w:val="0"/>
      <w:marTop w:val="0"/>
      <w:marBottom w:val="0"/>
      <w:divBdr>
        <w:top w:val="none" w:sz="0" w:space="0" w:color="auto"/>
        <w:left w:val="none" w:sz="0" w:space="0" w:color="auto"/>
        <w:bottom w:val="none" w:sz="0" w:space="0" w:color="auto"/>
        <w:right w:val="none" w:sz="0" w:space="0" w:color="auto"/>
      </w:divBdr>
    </w:div>
    <w:div w:id="769354238">
      <w:bodyDiv w:val="1"/>
      <w:marLeft w:val="0"/>
      <w:marRight w:val="0"/>
      <w:marTop w:val="0"/>
      <w:marBottom w:val="0"/>
      <w:divBdr>
        <w:top w:val="none" w:sz="0" w:space="0" w:color="auto"/>
        <w:left w:val="none" w:sz="0" w:space="0" w:color="auto"/>
        <w:bottom w:val="none" w:sz="0" w:space="0" w:color="auto"/>
        <w:right w:val="none" w:sz="0" w:space="0" w:color="auto"/>
      </w:divBdr>
    </w:div>
    <w:div w:id="776875210">
      <w:bodyDiv w:val="1"/>
      <w:marLeft w:val="0"/>
      <w:marRight w:val="0"/>
      <w:marTop w:val="0"/>
      <w:marBottom w:val="0"/>
      <w:divBdr>
        <w:top w:val="none" w:sz="0" w:space="0" w:color="auto"/>
        <w:left w:val="none" w:sz="0" w:space="0" w:color="auto"/>
        <w:bottom w:val="none" w:sz="0" w:space="0" w:color="auto"/>
        <w:right w:val="none" w:sz="0" w:space="0" w:color="auto"/>
      </w:divBdr>
    </w:div>
    <w:div w:id="777532062">
      <w:bodyDiv w:val="1"/>
      <w:marLeft w:val="0"/>
      <w:marRight w:val="0"/>
      <w:marTop w:val="0"/>
      <w:marBottom w:val="0"/>
      <w:divBdr>
        <w:top w:val="none" w:sz="0" w:space="0" w:color="auto"/>
        <w:left w:val="none" w:sz="0" w:space="0" w:color="auto"/>
        <w:bottom w:val="none" w:sz="0" w:space="0" w:color="auto"/>
        <w:right w:val="none" w:sz="0" w:space="0" w:color="auto"/>
      </w:divBdr>
    </w:div>
    <w:div w:id="778447616">
      <w:bodyDiv w:val="1"/>
      <w:marLeft w:val="0"/>
      <w:marRight w:val="0"/>
      <w:marTop w:val="0"/>
      <w:marBottom w:val="0"/>
      <w:divBdr>
        <w:top w:val="none" w:sz="0" w:space="0" w:color="auto"/>
        <w:left w:val="none" w:sz="0" w:space="0" w:color="auto"/>
        <w:bottom w:val="none" w:sz="0" w:space="0" w:color="auto"/>
        <w:right w:val="none" w:sz="0" w:space="0" w:color="auto"/>
      </w:divBdr>
    </w:div>
    <w:div w:id="790244681">
      <w:bodyDiv w:val="1"/>
      <w:marLeft w:val="0"/>
      <w:marRight w:val="0"/>
      <w:marTop w:val="0"/>
      <w:marBottom w:val="0"/>
      <w:divBdr>
        <w:top w:val="none" w:sz="0" w:space="0" w:color="auto"/>
        <w:left w:val="none" w:sz="0" w:space="0" w:color="auto"/>
        <w:bottom w:val="none" w:sz="0" w:space="0" w:color="auto"/>
        <w:right w:val="none" w:sz="0" w:space="0" w:color="auto"/>
      </w:divBdr>
    </w:div>
    <w:div w:id="802043063">
      <w:bodyDiv w:val="1"/>
      <w:marLeft w:val="0"/>
      <w:marRight w:val="0"/>
      <w:marTop w:val="0"/>
      <w:marBottom w:val="0"/>
      <w:divBdr>
        <w:top w:val="none" w:sz="0" w:space="0" w:color="auto"/>
        <w:left w:val="none" w:sz="0" w:space="0" w:color="auto"/>
        <w:bottom w:val="none" w:sz="0" w:space="0" w:color="auto"/>
        <w:right w:val="none" w:sz="0" w:space="0" w:color="auto"/>
      </w:divBdr>
      <w:divsChild>
        <w:div w:id="1850369328">
          <w:marLeft w:val="480"/>
          <w:marRight w:val="0"/>
          <w:marTop w:val="0"/>
          <w:marBottom w:val="0"/>
          <w:divBdr>
            <w:top w:val="none" w:sz="0" w:space="0" w:color="auto"/>
            <w:left w:val="none" w:sz="0" w:space="0" w:color="auto"/>
            <w:bottom w:val="none" w:sz="0" w:space="0" w:color="auto"/>
            <w:right w:val="none" w:sz="0" w:space="0" w:color="auto"/>
          </w:divBdr>
        </w:div>
        <w:div w:id="209458418">
          <w:marLeft w:val="480"/>
          <w:marRight w:val="0"/>
          <w:marTop w:val="0"/>
          <w:marBottom w:val="0"/>
          <w:divBdr>
            <w:top w:val="none" w:sz="0" w:space="0" w:color="auto"/>
            <w:left w:val="none" w:sz="0" w:space="0" w:color="auto"/>
            <w:bottom w:val="none" w:sz="0" w:space="0" w:color="auto"/>
            <w:right w:val="none" w:sz="0" w:space="0" w:color="auto"/>
          </w:divBdr>
        </w:div>
        <w:div w:id="502165130">
          <w:marLeft w:val="480"/>
          <w:marRight w:val="0"/>
          <w:marTop w:val="0"/>
          <w:marBottom w:val="0"/>
          <w:divBdr>
            <w:top w:val="none" w:sz="0" w:space="0" w:color="auto"/>
            <w:left w:val="none" w:sz="0" w:space="0" w:color="auto"/>
            <w:bottom w:val="none" w:sz="0" w:space="0" w:color="auto"/>
            <w:right w:val="none" w:sz="0" w:space="0" w:color="auto"/>
          </w:divBdr>
        </w:div>
        <w:div w:id="1368800024">
          <w:marLeft w:val="480"/>
          <w:marRight w:val="0"/>
          <w:marTop w:val="0"/>
          <w:marBottom w:val="0"/>
          <w:divBdr>
            <w:top w:val="none" w:sz="0" w:space="0" w:color="auto"/>
            <w:left w:val="none" w:sz="0" w:space="0" w:color="auto"/>
            <w:bottom w:val="none" w:sz="0" w:space="0" w:color="auto"/>
            <w:right w:val="none" w:sz="0" w:space="0" w:color="auto"/>
          </w:divBdr>
        </w:div>
        <w:div w:id="683018806">
          <w:marLeft w:val="480"/>
          <w:marRight w:val="0"/>
          <w:marTop w:val="0"/>
          <w:marBottom w:val="0"/>
          <w:divBdr>
            <w:top w:val="none" w:sz="0" w:space="0" w:color="auto"/>
            <w:left w:val="none" w:sz="0" w:space="0" w:color="auto"/>
            <w:bottom w:val="none" w:sz="0" w:space="0" w:color="auto"/>
            <w:right w:val="none" w:sz="0" w:space="0" w:color="auto"/>
          </w:divBdr>
        </w:div>
        <w:div w:id="945773893">
          <w:marLeft w:val="480"/>
          <w:marRight w:val="0"/>
          <w:marTop w:val="0"/>
          <w:marBottom w:val="0"/>
          <w:divBdr>
            <w:top w:val="none" w:sz="0" w:space="0" w:color="auto"/>
            <w:left w:val="none" w:sz="0" w:space="0" w:color="auto"/>
            <w:bottom w:val="none" w:sz="0" w:space="0" w:color="auto"/>
            <w:right w:val="none" w:sz="0" w:space="0" w:color="auto"/>
          </w:divBdr>
        </w:div>
        <w:div w:id="857625803">
          <w:marLeft w:val="480"/>
          <w:marRight w:val="0"/>
          <w:marTop w:val="0"/>
          <w:marBottom w:val="0"/>
          <w:divBdr>
            <w:top w:val="none" w:sz="0" w:space="0" w:color="auto"/>
            <w:left w:val="none" w:sz="0" w:space="0" w:color="auto"/>
            <w:bottom w:val="none" w:sz="0" w:space="0" w:color="auto"/>
            <w:right w:val="none" w:sz="0" w:space="0" w:color="auto"/>
          </w:divBdr>
        </w:div>
        <w:div w:id="177156915">
          <w:marLeft w:val="480"/>
          <w:marRight w:val="0"/>
          <w:marTop w:val="0"/>
          <w:marBottom w:val="0"/>
          <w:divBdr>
            <w:top w:val="none" w:sz="0" w:space="0" w:color="auto"/>
            <w:left w:val="none" w:sz="0" w:space="0" w:color="auto"/>
            <w:bottom w:val="none" w:sz="0" w:space="0" w:color="auto"/>
            <w:right w:val="none" w:sz="0" w:space="0" w:color="auto"/>
          </w:divBdr>
        </w:div>
        <w:div w:id="1283613064">
          <w:marLeft w:val="480"/>
          <w:marRight w:val="0"/>
          <w:marTop w:val="0"/>
          <w:marBottom w:val="0"/>
          <w:divBdr>
            <w:top w:val="none" w:sz="0" w:space="0" w:color="auto"/>
            <w:left w:val="none" w:sz="0" w:space="0" w:color="auto"/>
            <w:bottom w:val="none" w:sz="0" w:space="0" w:color="auto"/>
            <w:right w:val="none" w:sz="0" w:space="0" w:color="auto"/>
          </w:divBdr>
        </w:div>
        <w:div w:id="835848754">
          <w:marLeft w:val="480"/>
          <w:marRight w:val="0"/>
          <w:marTop w:val="0"/>
          <w:marBottom w:val="0"/>
          <w:divBdr>
            <w:top w:val="none" w:sz="0" w:space="0" w:color="auto"/>
            <w:left w:val="none" w:sz="0" w:space="0" w:color="auto"/>
            <w:bottom w:val="none" w:sz="0" w:space="0" w:color="auto"/>
            <w:right w:val="none" w:sz="0" w:space="0" w:color="auto"/>
          </w:divBdr>
        </w:div>
        <w:div w:id="462961330">
          <w:marLeft w:val="480"/>
          <w:marRight w:val="0"/>
          <w:marTop w:val="0"/>
          <w:marBottom w:val="0"/>
          <w:divBdr>
            <w:top w:val="none" w:sz="0" w:space="0" w:color="auto"/>
            <w:left w:val="none" w:sz="0" w:space="0" w:color="auto"/>
            <w:bottom w:val="none" w:sz="0" w:space="0" w:color="auto"/>
            <w:right w:val="none" w:sz="0" w:space="0" w:color="auto"/>
          </w:divBdr>
        </w:div>
        <w:div w:id="1502500369">
          <w:marLeft w:val="480"/>
          <w:marRight w:val="0"/>
          <w:marTop w:val="0"/>
          <w:marBottom w:val="0"/>
          <w:divBdr>
            <w:top w:val="none" w:sz="0" w:space="0" w:color="auto"/>
            <w:left w:val="none" w:sz="0" w:space="0" w:color="auto"/>
            <w:bottom w:val="none" w:sz="0" w:space="0" w:color="auto"/>
            <w:right w:val="none" w:sz="0" w:space="0" w:color="auto"/>
          </w:divBdr>
        </w:div>
        <w:div w:id="2106612747">
          <w:marLeft w:val="480"/>
          <w:marRight w:val="0"/>
          <w:marTop w:val="0"/>
          <w:marBottom w:val="0"/>
          <w:divBdr>
            <w:top w:val="none" w:sz="0" w:space="0" w:color="auto"/>
            <w:left w:val="none" w:sz="0" w:space="0" w:color="auto"/>
            <w:bottom w:val="none" w:sz="0" w:space="0" w:color="auto"/>
            <w:right w:val="none" w:sz="0" w:space="0" w:color="auto"/>
          </w:divBdr>
        </w:div>
        <w:div w:id="750658684">
          <w:marLeft w:val="480"/>
          <w:marRight w:val="0"/>
          <w:marTop w:val="0"/>
          <w:marBottom w:val="0"/>
          <w:divBdr>
            <w:top w:val="none" w:sz="0" w:space="0" w:color="auto"/>
            <w:left w:val="none" w:sz="0" w:space="0" w:color="auto"/>
            <w:bottom w:val="none" w:sz="0" w:space="0" w:color="auto"/>
            <w:right w:val="none" w:sz="0" w:space="0" w:color="auto"/>
          </w:divBdr>
        </w:div>
        <w:div w:id="706299300">
          <w:marLeft w:val="480"/>
          <w:marRight w:val="0"/>
          <w:marTop w:val="0"/>
          <w:marBottom w:val="0"/>
          <w:divBdr>
            <w:top w:val="none" w:sz="0" w:space="0" w:color="auto"/>
            <w:left w:val="none" w:sz="0" w:space="0" w:color="auto"/>
            <w:bottom w:val="none" w:sz="0" w:space="0" w:color="auto"/>
            <w:right w:val="none" w:sz="0" w:space="0" w:color="auto"/>
          </w:divBdr>
        </w:div>
        <w:div w:id="887453775">
          <w:marLeft w:val="480"/>
          <w:marRight w:val="0"/>
          <w:marTop w:val="0"/>
          <w:marBottom w:val="0"/>
          <w:divBdr>
            <w:top w:val="none" w:sz="0" w:space="0" w:color="auto"/>
            <w:left w:val="none" w:sz="0" w:space="0" w:color="auto"/>
            <w:bottom w:val="none" w:sz="0" w:space="0" w:color="auto"/>
            <w:right w:val="none" w:sz="0" w:space="0" w:color="auto"/>
          </w:divBdr>
        </w:div>
        <w:div w:id="385836802">
          <w:marLeft w:val="480"/>
          <w:marRight w:val="0"/>
          <w:marTop w:val="0"/>
          <w:marBottom w:val="0"/>
          <w:divBdr>
            <w:top w:val="none" w:sz="0" w:space="0" w:color="auto"/>
            <w:left w:val="none" w:sz="0" w:space="0" w:color="auto"/>
            <w:bottom w:val="none" w:sz="0" w:space="0" w:color="auto"/>
            <w:right w:val="none" w:sz="0" w:space="0" w:color="auto"/>
          </w:divBdr>
        </w:div>
        <w:div w:id="1365445972">
          <w:marLeft w:val="480"/>
          <w:marRight w:val="0"/>
          <w:marTop w:val="0"/>
          <w:marBottom w:val="0"/>
          <w:divBdr>
            <w:top w:val="none" w:sz="0" w:space="0" w:color="auto"/>
            <w:left w:val="none" w:sz="0" w:space="0" w:color="auto"/>
            <w:bottom w:val="none" w:sz="0" w:space="0" w:color="auto"/>
            <w:right w:val="none" w:sz="0" w:space="0" w:color="auto"/>
          </w:divBdr>
        </w:div>
        <w:div w:id="1346130132">
          <w:marLeft w:val="480"/>
          <w:marRight w:val="0"/>
          <w:marTop w:val="0"/>
          <w:marBottom w:val="0"/>
          <w:divBdr>
            <w:top w:val="none" w:sz="0" w:space="0" w:color="auto"/>
            <w:left w:val="none" w:sz="0" w:space="0" w:color="auto"/>
            <w:bottom w:val="none" w:sz="0" w:space="0" w:color="auto"/>
            <w:right w:val="none" w:sz="0" w:space="0" w:color="auto"/>
          </w:divBdr>
        </w:div>
        <w:div w:id="1798720497">
          <w:marLeft w:val="480"/>
          <w:marRight w:val="0"/>
          <w:marTop w:val="0"/>
          <w:marBottom w:val="0"/>
          <w:divBdr>
            <w:top w:val="none" w:sz="0" w:space="0" w:color="auto"/>
            <w:left w:val="none" w:sz="0" w:space="0" w:color="auto"/>
            <w:bottom w:val="none" w:sz="0" w:space="0" w:color="auto"/>
            <w:right w:val="none" w:sz="0" w:space="0" w:color="auto"/>
          </w:divBdr>
        </w:div>
        <w:div w:id="38170283">
          <w:marLeft w:val="480"/>
          <w:marRight w:val="0"/>
          <w:marTop w:val="0"/>
          <w:marBottom w:val="0"/>
          <w:divBdr>
            <w:top w:val="none" w:sz="0" w:space="0" w:color="auto"/>
            <w:left w:val="none" w:sz="0" w:space="0" w:color="auto"/>
            <w:bottom w:val="none" w:sz="0" w:space="0" w:color="auto"/>
            <w:right w:val="none" w:sz="0" w:space="0" w:color="auto"/>
          </w:divBdr>
        </w:div>
        <w:div w:id="1098719826">
          <w:marLeft w:val="480"/>
          <w:marRight w:val="0"/>
          <w:marTop w:val="0"/>
          <w:marBottom w:val="0"/>
          <w:divBdr>
            <w:top w:val="none" w:sz="0" w:space="0" w:color="auto"/>
            <w:left w:val="none" w:sz="0" w:space="0" w:color="auto"/>
            <w:bottom w:val="none" w:sz="0" w:space="0" w:color="auto"/>
            <w:right w:val="none" w:sz="0" w:space="0" w:color="auto"/>
          </w:divBdr>
        </w:div>
        <w:div w:id="643705916">
          <w:marLeft w:val="480"/>
          <w:marRight w:val="0"/>
          <w:marTop w:val="0"/>
          <w:marBottom w:val="0"/>
          <w:divBdr>
            <w:top w:val="none" w:sz="0" w:space="0" w:color="auto"/>
            <w:left w:val="none" w:sz="0" w:space="0" w:color="auto"/>
            <w:bottom w:val="none" w:sz="0" w:space="0" w:color="auto"/>
            <w:right w:val="none" w:sz="0" w:space="0" w:color="auto"/>
          </w:divBdr>
        </w:div>
        <w:div w:id="396322335">
          <w:marLeft w:val="480"/>
          <w:marRight w:val="0"/>
          <w:marTop w:val="0"/>
          <w:marBottom w:val="0"/>
          <w:divBdr>
            <w:top w:val="none" w:sz="0" w:space="0" w:color="auto"/>
            <w:left w:val="none" w:sz="0" w:space="0" w:color="auto"/>
            <w:bottom w:val="none" w:sz="0" w:space="0" w:color="auto"/>
            <w:right w:val="none" w:sz="0" w:space="0" w:color="auto"/>
          </w:divBdr>
        </w:div>
        <w:div w:id="1801336636">
          <w:marLeft w:val="480"/>
          <w:marRight w:val="0"/>
          <w:marTop w:val="0"/>
          <w:marBottom w:val="0"/>
          <w:divBdr>
            <w:top w:val="none" w:sz="0" w:space="0" w:color="auto"/>
            <w:left w:val="none" w:sz="0" w:space="0" w:color="auto"/>
            <w:bottom w:val="none" w:sz="0" w:space="0" w:color="auto"/>
            <w:right w:val="none" w:sz="0" w:space="0" w:color="auto"/>
          </w:divBdr>
        </w:div>
        <w:div w:id="29572254">
          <w:marLeft w:val="480"/>
          <w:marRight w:val="0"/>
          <w:marTop w:val="0"/>
          <w:marBottom w:val="0"/>
          <w:divBdr>
            <w:top w:val="none" w:sz="0" w:space="0" w:color="auto"/>
            <w:left w:val="none" w:sz="0" w:space="0" w:color="auto"/>
            <w:bottom w:val="none" w:sz="0" w:space="0" w:color="auto"/>
            <w:right w:val="none" w:sz="0" w:space="0" w:color="auto"/>
          </w:divBdr>
        </w:div>
        <w:div w:id="145901034">
          <w:marLeft w:val="480"/>
          <w:marRight w:val="0"/>
          <w:marTop w:val="0"/>
          <w:marBottom w:val="0"/>
          <w:divBdr>
            <w:top w:val="none" w:sz="0" w:space="0" w:color="auto"/>
            <w:left w:val="none" w:sz="0" w:space="0" w:color="auto"/>
            <w:bottom w:val="none" w:sz="0" w:space="0" w:color="auto"/>
            <w:right w:val="none" w:sz="0" w:space="0" w:color="auto"/>
          </w:divBdr>
        </w:div>
        <w:div w:id="1168473789">
          <w:marLeft w:val="480"/>
          <w:marRight w:val="0"/>
          <w:marTop w:val="0"/>
          <w:marBottom w:val="0"/>
          <w:divBdr>
            <w:top w:val="none" w:sz="0" w:space="0" w:color="auto"/>
            <w:left w:val="none" w:sz="0" w:space="0" w:color="auto"/>
            <w:bottom w:val="none" w:sz="0" w:space="0" w:color="auto"/>
            <w:right w:val="none" w:sz="0" w:space="0" w:color="auto"/>
          </w:divBdr>
        </w:div>
        <w:div w:id="1277297296">
          <w:marLeft w:val="480"/>
          <w:marRight w:val="0"/>
          <w:marTop w:val="0"/>
          <w:marBottom w:val="0"/>
          <w:divBdr>
            <w:top w:val="none" w:sz="0" w:space="0" w:color="auto"/>
            <w:left w:val="none" w:sz="0" w:space="0" w:color="auto"/>
            <w:bottom w:val="none" w:sz="0" w:space="0" w:color="auto"/>
            <w:right w:val="none" w:sz="0" w:space="0" w:color="auto"/>
          </w:divBdr>
        </w:div>
        <w:div w:id="1776318204">
          <w:marLeft w:val="480"/>
          <w:marRight w:val="0"/>
          <w:marTop w:val="0"/>
          <w:marBottom w:val="0"/>
          <w:divBdr>
            <w:top w:val="none" w:sz="0" w:space="0" w:color="auto"/>
            <w:left w:val="none" w:sz="0" w:space="0" w:color="auto"/>
            <w:bottom w:val="none" w:sz="0" w:space="0" w:color="auto"/>
            <w:right w:val="none" w:sz="0" w:space="0" w:color="auto"/>
          </w:divBdr>
        </w:div>
        <w:div w:id="1140616262">
          <w:marLeft w:val="480"/>
          <w:marRight w:val="0"/>
          <w:marTop w:val="0"/>
          <w:marBottom w:val="0"/>
          <w:divBdr>
            <w:top w:val="none" w:sz="0" w:space="0" w:color="auto"/>
            <w:left w:val="none" w:sz="0" w:space="0" w:color="auto"/>
            <w:bottom w:val="none" w:sz="0" w:space="0" w:color="auto"/>
            <w:right w:val="none" w:sz="0" w:space="0" w:color="auto"/>
          </w:divBdr>
        </w:div>
        <w:div w:id="1446998356">
          <w:marLeft w:val="480"/>
          <w:marRight w:val="0"/>
          <w:marTop w:val="0"/>
          <w:marBottom w:val="0"/>
          <w:divBdr>
            <w:top w:val="none" w:sz="0" w:space="0" w:color="auto"/>
            <w:left w:val="none" w:sz="0" w:space="0" w:color="auto"/>
            <w:bottom w:val="none" w:sz="0" w:space="0" w:color="auto"/>
            <w:right w:val="none" w:sz="0" w:space="0" w:color="auto"/>
          </w:divBdr>
        </w:div>
        <w:div w:id="1413769881">
          <w:marLeft w:val="480"/>
          <w:marRight w:val="0"/>
          <w:marTop w:val="0"/>
          <w:marBottom w:val="0"/>
          <w:divBdr>
            <w:top w:val="none" w:sz="0" w:space="0" w:color="auto"/>
            <w:left w:val="none" w:sz="0" w:space="0" w:color="auto"/>
            <w:bottom w:val="none" w:sz="0" w:space="0" w:color="auto"/>
            <w:right w:val="none" w:sz="0" w:space="0" w:color="auto"/>
          </w:divBdr>
        </w:div>
        <w:div w:id="259535884">
          <w:marLeft w:val="480"/>
          <w:marRight w:val="0"/>
          <w:marTop w:val="0"/>
          <w:marBottom w:val="0"/>
          <w:divBdr>
            <w:top w:val="none" w:sz="0" w:space="0" w:color="auto"/>
            <w:left w:val="none" w:sz="0" w:space="0" w:color="auto"/>
            <w:bottom w:val="none" w:sz="0" w:space="0" w:color="auto"/>
            <w:right w:val="none" w:sz="0" w:space="0" w:color="auto"/>
          </w:divBdr>
        </w:div>
        <w:div w:id="1456868882">
          <w:marLeft w:val="480"/>
          <w:marRight w:val="0"/>
          <w:marTop w:val="0"/>
          <w:marBottom w:val="0"/>
          <w:divBdr>
            <w:top w:val="none" w:sz="0" w:space="0" w:color="auto"/>
            <w:left w:val="none" w:sz="0" w:space="0" w:color="auto"/>
            <w:bottom w:val="none" w:sz="0" w:space="0" w:color="auto"/>
            <w:right w:val="none" w:sz="0" w:space="0" w:color="auto"/>
          </w:divBdr>
        </w:div>
        <w:div w:id="1422678528">
          <w:marLeft w:val="480"/>
          <w:marRight w:val="0"/>
          <w:marTop w:val="0"/>
          <w:marBottom w:val="0"/>
          <w:divBdr>
            <w:top w:val="none" w:sz="0" w:space="0" w:color="auto"/>
            <w:left w:val="none" w:sz="0" w:space="0" w:color="auto"/>
            <w:bottom w:val="none" w:sz="0" w:space="0" w:color="auto"/>
            <w:right w:val="none" w:sz="0" w:space="0" w:color="auto"/>
          </w:divBdr>
        </w:div>
        <w:div w:id="1289242870">
          <w:marLeft w:val="480"/>
          <w:marRight w:val="0"/>
          <w:marTop w:val="0"/>
          <w:marBottom w:val="0"/>
          <w:divBdr>
            <w:top w:val="none" w:sz="0" w:space="0" w:color="auto"/>
            <w:left w:val="none" w:sz="0" w:space="0" w:color="auto"/>
            <w:bottom w:val="none" w:sz="0" w:space="0" w:color="auto"/>
            <w:right w:val="none" w:sz="0" w:space="0" w:color="auto"/>
          </w:divBdr>
        </w:div>
      </w:divsChild>
    </w:div>
    <w:div w:id="817460075">
      <w:bodyDiv w:val="1"/>
      <w:marLeft w:val="0"/>
      <w:marRight w:val="0"/>
      <w:marTop w:val="0"/>
      <w:marBottom w:val="0"/>
      <w:divBdr>
        <w:top w:val="none" w:sz="0" w:space="0" w:color="auto"/>
        <w:left w:val="none" w:sz="0" w:space="0" w:color="auto"/>
        <w:bottom w:val="none" w:sz="0" w:space="0" w:color="auto"/>
        <w:right w:val="none" w:sz="0" w:space="0" w:color="auto"/>
      </w:divBdr>
    </w:div>
    <w:div w:id="821191413">
      <w:bodyDiv w:val="1"/>
      <w:marLeft w:val="0"/>
      <w:marRight w:val="0"/>
      <w:marTop w:val="0"/>
      <w:marBottom w:val="0"/>
      <w:divBdr>
        <w:top w:val="none" w:sz="0" w:space="0" w:color="auto"/>
        <w:left w:val="none" w:sz="0" w:space="0" w:color="auto"/>
        <w:bottom w:val="none" w:sz="0" w:space="0" w:color="auto"/>
        <w:right w:val="none" w:sz="0" w:space="0" w:color="auto"/>
      </w:divBdr>
    </w:div>
    <w:div w:id="821241868">
      <w:bodyDiv w:val="1"/>
      <w:marLeft w:val="0"/>
      <w:marRight w:val="0"/>
      <w:marTop w:val="0"/>
      <w:marBottom w:val="0"/>
      <w:divBdr>
        <w:top w:val="none" w:sz="0" w:space="0" w:color="auto"/>
        <w:left w:val="none" w:sz="0" w:space="0" w:color="auto"/>
        <w:bottom w:val="none" w:sz="0" w:space="0" w:color="auto"/>
        <w:right w:val="none" w:sz="0" w:space="0" w:color="auto"/>
      </w:divBdr>
    </w:div>
    <w:div w:id="830176265">
      <w:bodyDiv w:val="1"/>
      <w:marLeft w:val="0"/>
      <w:marRight w:val="0"/>
      <w:marTop w:val="0"/>
      <w:marBottom w:val="0"/>
      <w:divBdr>
        <w:top w:val="none" w:sz="0" w:space="0" w:color="auto"/>
        <w:left w:val="none" w:sz="0" w:space="0" w:color="auto"/>
        <w:bottom w:val="none" w:sz="0" w:space="0" w:color="auto"/>
        <w:right w:val="none" w:sz="0" w:space="0" w:color="auto"/>
      </w:divBdr>
    </w:div>
    <w:div w:id="835874944">
      <w:bodyDiv w:val="1"/>
      <w:marLeft w:val="0"/>
      <w:marRight w:val="0"/>
      <w:marTop w:val="0"/>
      <w:marBottom w:val="0"/>
      <w:divBdr>
        <w:top w:val="none" w:sz="0" w:space="0" w:color="auto"/>
        <w:left w:val="none" w:sz="0" w:space="0" w:color="auto"/>
        <w:bottom w:val="none" w:sz="0" w:space="0" w:color="auto"/>
        <w:right w:val="none" w:sz="0" w:space="0" w:color="auto"/>
      </w:divBdr>
    </w:div>
    <w:div w:id="835998471">
      <w:bodyDiv w:val="1"/>
      <w:marLeft w:val="0"/>
      <w:marRight w:val="0"/>
      <w:marTop w:val="0"/>
      <w:marBottom w:val="0"/>
      <w:divBdr>
        <w:top w:val="none" w:sz="0" w:space="0" w:color="auto"/>
        <w:left w:val="none" w:sz="0" w:space="0" w:color="auto"/>
        <w:bottom w:val="none" w:sz="0" w:space="0" w:color="auto"/>
        <w:right w:val="none" w:sz="0" w:space="0" w:color="auto"/>
      </w:divBdr>
    </w:div>
    <w:div w:id="837042260">
      <w:bodyDiv w:val="1"/>
      <w:marLeft w:val="0"/>
      <w:marRight w:val="0"/>
      <w:marTop w:val="0"/>
      <w:marBottom w:val="0"/>
      <w:divBdr>
        <w:top w:val="none" w:sz="0" w:space="0" w:color="auto"/>
        <w:left w:val="none" w:sz="0" w:space="0" w:color="auto"/>
        <w:bottom w:val="none" w:sz="0" w:space="0" w:color="auto"/>
        <w:right w:val="none" w:sz="0" w:space="0" w:color="auto"/>
      </w:divBdr>
    </w:div>
    <w:div w:id="847478348">
      <w:bodyDiv w:val="1"/>
      <w:marLeft w:val="0"/>
      <w:marRight w:val="0"/>
      <w:marTop w:val="0"/>
      <w:marBottom w:val="0"/>
      <w:divBdr>
        <w:top w:val="none" w:sz="0" w:space="0" w:color="auto"/>
        <w:left w:val="none" w:sz="0" w:space="0" w:color="auto"/>
        <w:bottom w:val="none" w:sz="0" w:space="0" w:color="auto"/>
        <w:right w:val="none" w:sz="0" w:space="0" w:color="auto"/>
      </w:divBdr>
    </w:div>
    <w:div w:id="854031496">
      <w:bodyDiv w:val="1"/>
      <w:marLeft w:val="0"/>
      <w:marRight w:val="0"/>
      <w:marTop w:val="0"/>
      <w:marBottom w:val="0"/>
      <w:divBdr>
        <w:top w:val="none" w:sz="0" w:space="0" w:color="auto"/>
        <w:left w:val="none" w:sz="0" w:space="0" w:color="auto"/>
        <w:bottom w:val="none" w:sz="0" w:space="0" w:color="auto"/>
        <w:right w:val="none" w:sz="0" w:space="0" w:color="auto"/>
      </w:divBdr>
    </w:div>
    <w:div w:id="858815196">
      <w:bodyDiv w:val="1"/>
      <w:marLeft w:val="0"/>
      <w:marRight w:val="0"/>
      <w:marTop w:val="0"/>
      <w:marBottom w:val="0"/>
      <w:divBdr>
        <w:top w:val="none" w:sz="0" w:space="0" w:color="auto"/>
        <w:left w:val="none" w:sz="0" w:space="0" w:color="auto"/>
        <w:bottom w:val="none" w:sz="0" w:space="0" w:color="auto"/>
        <w:right w:val="none" w:sz="0" w:space="0" w:color="auto"/>
      </w:divBdr>
    </w:div>
    <w:div w:id="872111564">
      <w:bodyDiv w:val="1"/>
      <w:marLeft w:val="0"/>
      <w:marRight w:val="0"/>
      <w:marTop w:val="0"/>
      <w:marBottom w:val="0"/>
      <w:divBdr>
        <w:top w:val="none" w:sz="0" w:space="0" w:color="auto"/>
        <w:left w:val="none" w:sz="0" w:space="0" w:color="auto"/>
        <w:bottom w:val="none" w:sz="0" w:space="0" w:color="auto"/>
        <w:right w:val="none" w:sz="0" w:space="0" w:color="auto"/>
      </w:divBdr>
    </w:div>
    <w:div w:id="872112194">
      <w:bodyDiv w:val="1"/>
      <w:marLeft w:val="0"/>
      <w:marRight w:val="0"/>
      <w:marTop w:val="0"/>
      <w:marBottom w:val="0"/>
      <w:divBdr>
        <w:top w:val="none" w:sz="0" w:space="0" w:color="auto"/>
        <w:left w:val="none" w:sz="0" w:space="0" w:color="auto"/>
        <w:bottom w:val="none" w:sz="0" w:space="0" w:color="auto"/>
        <w:right w:val="none" w:sz="0" w:space="0" w:color="auto"/>
      </w:divBdr>
    </w:div>
    <w:div w:id="882055668">
      <w:bodyDiv w:val="1"/>
      <w:marLeft w:val="0"/>
      <w:marRight w:val="0"/>
      <w:marTop w:val="0"/>
      <w:marBottom w:val="0"/>
      <w:divBdr>
        <w:top w:val="none" w:sz="0" w:space="0" w:color="auto"/>
        <w:left w:val="none" w:sz="0" w:space="0" w:color="auto"/>
        <w:bottom w:val="none" w:sz="0" w:space="0" w:color="auto"/>
        <w:right w:val="none" w:sz="0" w:space="0" w:color="auto"/>
      </w:divBdr>
    </w:div>
    <w:div w:id="889223516">
      <w:bodyDiv w:val="1"/>
      <w:marLeft w:val="0"/>
      <w:marRight w:val="0"/>
      <w:marTop w:val="0"/>
      <w:marBottom w:val="0"/>
      <w:divBdr>
        <w:top w:val="none" w:sz="0" w:space="0" w:color="auto"/>
        <w:left w:val="none" w:sz="0" w:space="0" w:color="auto"/>
        <w:bottom w:val="none" w:sz="0" w:space="0" w:color="auto"/>
        <w:right w:val="none" w:sz="0" w:space="0" w:color="auto"/>
      </w:divBdr>
    </w:div>
    <w:div w:id="889927576">
      <w:bodyDiv w:val="1"/>
      <w:marLeft w:val="0"/>
      <w:marRight w:val="0"/>
      <w:marTop w:val="0"/>
      <w:marBottom w:val="0"/>
      <w:divBdr>
        <w:top w:val="none" w:sz="0" w:space="0" w:color="auto"/>
        <w:left w:val="none" w:sz="0" w:space="0" w:color="auto"/>
        <w:bottom w:val="none" w:sz="0" w:space="0" w:color="auto"/>
        <w:right w:val="none" w:sz="0" w:space="0" w:color="auto"/>
      </w:divBdr>
    </w:div>
    <w:div w:id="895700696">
      <w:bodyDiv w:val="1"/>
      <w:marLeft w:val="0"/>
      <w:marRight w:val="0"/>
      <w:marTop w:val="0"/>
      <w:marBottom w:val="0"/>
      <w:divBdr>
        <w:top w:val="none" w:sz="0" w:space="0" w:color="auto"/>
        <w:left w:val="none" w:sz="0" w:space="0" w:color="auto"/>
        <w:bottom w:val="none" w:sz="0" w:space="0" w:color="auto"/>
        <w:right w:val="none" w:sz="0" w:space="0" w:color="auto"/>
      </w:divBdr>
    </w:div>
    <w:div w:id="898789721">
      <w:bodyDiv w:val="1"/>
      <w:marLeft w:val="0"/>
      <w:marRight w:val="0"/>
      <w:marTop w:val="0"/>
      <w:marBottom w:val="0"/>
      <w:divBdr>
        <w:top w:val="none" w:sz="0" w:space="0" w:color="auto"/>
        <w:left w:val="none" w:sz="0" w:space="0" w:color="auto"/>
        <w:bottom w:val="none" w:sz="0" w:space="0" w:color="auto"/>
        <w:right w:val="none" w:sz="0" w:space="0" w:color="auto"/>
      </w:divBdr>
    </w:div>
    <w:div w:id="900137558">
      <w:bodyDiv w:val="1"/>
      <w:marLeft w:val="0"/>
      <w:marRight w:val="0"/>
      <w:marTop w:val="0"/>
      <w:marBottom w:val="0"/>
      <w:divBdr>
        <w:top w:val="none" w:sz="0" w:space="0" w:color="auto"/>
        <w:left w:val="none" w:sz="0" w:space="0" w:color="auto"/>
        <w:bottom w:val="none" w:sz="0" w:space="0" w:color="auto"/>
        <w:right w:val="none" w:sz="0" w:space="0" w:color="auto"/>
      </w:divBdr>
    </w:div>
    <w:div w:id="902640824">
      <w:bodyDiv w:val="1"/>
      <w:marLeft w:val="0"/>
      <w:marRight w:val="0"/>
      <w:marTop w:val="0"/>
      <w:marBottom w:val="0"/>
      <w:divBdr>
        <w:top w:val="none" w:sz="0" w:space="0" w:color="auto"/>
        <w:left w:val="none" w:sz="0" w:space="0" w:color="auto"/>
        <w:bottom w:val="none" w:sz="0" w:space="0" w:color="auto"/>
        <w:right w:val="none" w:sz="0" w:space="0" w:color="auto"/>
      </w:divBdr>
    </w:div>
    <w:div w:id="912202384">
      <w:bodyDiv w:val="1"/>
      <w:marLeft w:val="0"/>
      <w:marRight w:val="0"/>
      <w:marTop w:val="0"/>
      <w:marBottom w:val="0"/>
      <w:divBdr>
        <w:top w:val="none" w:sz="0" w:space="0" w:color="auto"/>
        <w:left w:val="none" w:sz="0" w:space="0" w:color="auto"/>
        <w:bottom w:val="none" w:sz="0" w:space="0" w:color="auto"/>
        <w:right w:val="none" w:sz="0" w:space="0" w:color="auto"/>
      </w:divBdr>
    </w:div>
    <w:div w:id="920020574">
      <w:bodyDiv w:val="1"/>
      <w:marLeft w:val="0"/>
      <w:marRight w:val="0"/>
      <w:marTop w:val="0"/>
      <w:marBottom w:val="0"/>
      <w:divBdr>
        <w:top w:val="none" w:sz="0" w:space="0" w:color="auto"/>
        <w:left w:val="none" w:sz="0" w:space="0" w:color="auto"/>
        <w:bottom w:val="none" w:sz="0" w:space="0" w:color="auto"/>
        <w:right w:val="none" w:sz="0" w:space="0" w:color="auto"/>
      </w:divBdr>
    </w:div>
    <w:div w:id="929236180">
      <w:bodyDiv w:val="1"/>
      <w:marLeft w:val="0"/>
      <w:marRight w:val="0"/>
      <w:marTop w:val="0"/>
      <w:marBottom w:val="0"/>
      <w:divBdr>
        <w:top w:val="none" w:sz="0" w:space="0" w:color="auto"/>
        <w:left w:val="none" w:sz="0" w:space="0" w:color="auto"/>
        <w:bottom w:val="none" w:sz="0" w:space="0" w:color="auto"/>
        <w:right w:val="none" w:sz="0" w:space="0" w:color="auto"/>
      </w:divBdr>
      <w:divsChild>
        <w:div w:id="2106882583">
          <w:marLeft w:val="480"/>
          <w:marRight w:val="0"/>
          <w:marTop w:val="0"/>
          <w:marBottom w:val="0"/>
          <w:divBdr>
            <w:top w:val="none" w:sz="0" w:space="0" w:color="auto"/>
            <w:left w:val="none" w:sz="0" w:space="0" w:color="auto"/>
            <w:bottom w:val="none" w:sz="0" w:space="0" w:color="auto"/>
            <w:right w:val="none" w:sz="0" w:space="0" w:color="auto"/>
          </w:divBdr>
        </w:div>
        <w:div w:id="1717198029">
          <w:marLeft w:val="480"/>
          <w:marRight w:val="0"/>
          <w:marTop w:val="0"/>
          <w:marBottom w:val="0"/>
          <w:divBdr>
            <w:top w:val="none" w:sz="0" w:space="0" w:color="auto"/>
            <w:left w:val="none" w:sz="0" w:space="0" w:color="auto"/>
            <w:bottom w:val="none" w:sz="0" w:space="0" w:color="auto"/>
            <w:right w:val="none" w:sz="0" w:space="0" w:color="auto"/>
          </w:divBdr>
        </w:div>
        <w:div w:id="1269392055">
          <w:marLeft w:val="480"/>
          <w:marRight w:val="0"/>
          <w:marTop w:val="0"/>
          <w:marBottom w:val="0"/>
          <w:divBdr>
            <w:top w:val="none" w:sz="0" w:space="0" w:color="auto"/>
            <w:left w:val="none" w:sz="0" w:space="0" w:color="auto"/>
            <w:bottom w:val="none" w:sz="0" w:space="0" w:color="auto"/>
            <w:right w:val="none" w:sz="0" w:space="0" w:color="auto"/>
          </w:divBdr>
        </w:div>
        <w:div w:id="996112514">
          <w:marLeft w:val="480"/>
          <w:marRight w:val="0"/>
          <w:marTop w:val="0"/>
          <w:marBottom w:val="0"/>
          <w:divBdr>
            <w:top w:val="none" w:sz="0" w:space="0" w:color="auto"/>
            <w:left w:val="none" w:sz="0" w:space="0" w:color="auto"/>
            <w:bottom w:val="none" w:sz="0" w:space="0" w:color="auto"/>
            <w:right w:val="none" w:sz="0" w:space="0" w:color="auto"/>
          </w:divBdr>
        </w:div>
        <w:div w:id="1279482821">
          <w:marLeft w:val="480"/>
          <w:marRight w:val="0"/>
          <w:marTop w:val="0"/>
          <w:marBottom w:val="0"/>
          <w:divBdr>
            <w:top w:val="none" w:sz="0" w:space="0" w:color="auto"/>
            <w:left w:val="none" w:sz="0" w:space="0" w:color="auto"/>
            <w:bottom w:val="none" w:sz="0" w:space="0" w:color="auto"/>
            <w:right w:val="none" w:sz="0" w:space="0" w:color="auto"/>
          </w:divBdr>
        </w:div>
        <w:div w:id="998968271">
          <w:marLeft w:val="480"/>
          <w:marRight w:val="0"/>
          <w:marTop w:val="0"/>
          <w:marBottom w:val="0"/>
          <w:divBdr>
            <w:top w:val="none" w:sz="0" w:space="0" w:color="auto"/>
            <w:left w:val="none" w:sz="0" w:space="0" w:color="auto"/>
            <w:bottom w:val="none" w:sz="0" w:space="0" w:color="auto"/>
            <w:right w:val="none" w:sz="0" w:space="0" w:color="auto"/>
          </w:divBdr>
        </w:div>
        <w:div w:id="194662426">
          <w:marLeft w:val="480"/>
          <w:marRight w:val="0"/>
          <w:marTop w:val="0"/>
          <w:marBottom w:val="0"/>
          <w:divBdr>
            <w:top w:val="none" w:sz="0" w:space="0" w:color="auto"/>
            <w:left w:val="none" w:sz="0" w:space="0" w:color="auto"/>
            <w:bottom w:val="none" w:sz="0" w:space="0" w:color="auto"/>
            <w:right w:val="none" w:sz="0" w:space="0" w:color="auto"/>
          </w:divBdr>
        </w:div>
        <w:div w:id="250966604">
          <w:marLeft w:val="480"/>
          <w:marRight w:val="0"/>
          <w:marTop w:val="0"/>
          <w:marBottom w:val="0"/>
          <w:divBdr>
            <w:top w:val="none" w:sz="0" w:space="0" w:color="auto"/>
            <w:left w:val="none" w:sz="0" w:space="0" w:color="auto"/>
            <w:bottom w:val="none" w:sz="0" w:space="0" w:color="auto"/>
            <w:right w:val="none" w:sz="0" w:space="0" w:color="auto"/>
          </w:divBdr>
        </w:div>
        <w:div w:id="1800411887">
          <w:marLeft w:val="480"/>
          <w:marRight w:val="0"/>
          <w:marTop w:val="0"/>
          <w:marBottom w:val="0"/>
          <w:divBdr>
            <w:top w:val="none" w:sz="0" w:space="0" w:color="auto"/>
            <w:left w:val="none" w:sz="0" w:space="0" w:color="auto"/>
            <w:bottom w:val="none" w:sz="0" w:space="0" w:color="auto"/>
            <w:right w:val="none" w:sz="0" w:space="0" w:color="auto"/>
          </w:divBdr>
        </w:div>
        <w:div w:id="1366061721">
          <w:marLeft w:val="480"/>
          <w:marRight w:val="0"/>
          <w:marTop w:val="0"/>
          <w:marBottom w:val="0"/>
          <w:divBdr>
            <w:top w:val="none" w:sz="0" w:space="0" w:color="auto"/>
            <w:left w:val="none" w:sz="0" w:space="0" w:color="auto"/>
            <w:bottom w:val="none" w:sz="0" w:space="0" w:color="auto"/>
            <w:right w:val="none" w:sz="0" w:space="0" w:color="auto"/>
          </w:divBdr>
        </w:div>
        <w:div w:id="205221392">
          <w:marLeft w:val="480"/>
          <w:marRight w:val="0"/>
          <w:marTop w:val="0"/>
          <w:marBottom w:val="0"/>
          <w:divBdr>
            <w:top w:val="none" w:sz="0" w:space="0" w:color="auto"/>
            <w:left w:val="none" w:sz="0" w:space="0" w:color="auto"/>
            <w:bottom w:val="none" w:sz="0" w:space="0" w:color="auto"/>
            <w:right w:val="none" w:sz="0" w:space="0" w:color="auto"/>
          </w:divBdr>
        </w:div>
        <w:div w:id="326177509">
          <w:marLeft w:val="480"/>
          <w:marRight w:val="0"/>
          <w:marTop w:val="0"/>
          <w:marBottom w:val="0"/>
          <w:divBdr>
            <w:top w:val="none" w:sz="0" w:space="0" w:color="auto"/>
            <w:left w:val="none" w:sz="0" w:space="0" w:color="auto"/>
            <w:bottom w:val="none" w:sz="0" w:space="0" w:color="auto"/>
            <w:right w:val="none" w:sz="0" w:space="0" w:color="auto"/>
          </w:divBdr>
        </w:div>
        <w:div w:id="1878008094">
          <w:marLeft w:val="480"/>
          <w:marRight w:val="0"/>
          <w:marTop w:val="0"/>
          <w:marBottom w:val="0"/>
          <w:divBdr>
            <w:top w:val="none" w:sz="0" w:space="0" w:color="auto"/>
            <w:left w:val="none" w:sz="0" w:space="0" w:color="auto"/>
            <w:bottom w:val="none" w:sz="0" w:space="0" w:color="auto"/>
            <w:right w:val="none" w:sz="0" w:space="0" w:color="auto"/>
          </w:divBdr>
        </w:div>
        <w:div w:id="95639133">
          <w:marLeft w:val="480"/>
          <w:marRight w:val="0"/>
          <w:marTop w:val="0"/>
          <w:marBottom w:val="0"/>
          <w:divBdr>
            <w:top w:val="none" w:sz="0" w:space="0" w:color="auto"/>
            <w:left w:val="none" w:sz="0" w:space="0" w:color="auto"/>
            <w:bottom w:val="none" w:sz="0" w:space="0" w:color="auto"/>
            <w:right w:val="none" w:sz="0" w:space="0" w:color="auto"/>
          </w:divBdr>
        </w:div>
        <w:div w:id="1260944894">
          <w:marLeft w:val="480"/>
          <w:marRight w:val="0"/>
          <w:marTop w:val="0"/>
          <w:marBottom w:val="0"/>
          <w:divBdr>
            <w:top w:val="none" w:sz="0" w:space="0" w:color="auto"/>
            <w:left w:val="none" w:sz="0" w:space="0" w:color="auto"/>
            <w:bottom w:val="none" w:sz="0" w:space="0" w:color="auto"/>
            <w:right w:val="none" w:sz="0" w:space="0" w:color="auto"/>
          </w:divBdr>
        </w:div>
        <w:div w:id="944923553">
          <w:marLeft w:val="480"/>
          <w:marRight w:val="0"/>
          <w:marTop w:val="0"/>
          <w:marBottom w:val="0"/>
          <w:divBdr>
            <w:top w:val="none" w:sz="0" w:space="0" w:color="auto"/>
            <w:left w:val="none" w:sz="0" w:space="0" w:color="auto"/>
            <w:bottom w:val="none" w:sz="0" w:space="0" w:color="auto"/>
            <w:right w:val="none" w:sz="0" w:space="0" w:color="auto"/>
          </w:divBdr>
        </w:div>
        <w:div w:id="732780623">
          <w:marLeft w:val="480"/>
          <w:marRight w:val="0"/>
          <w:marTop w:val="0"/>
          <w:marBottom w:val="0"/>
          <w:divBdr>
            <w:top w:val="none" w:sz="0" w:space="0" w:color="auto"/>
            <w:left w:val="none" w:sz="0" w:space="0" w:color="auto"/>
            <w:bottom w:val="none" w:sz="0" w:space="0" w:color="auto"/>
            <w:right w:val="none" w:sz="0" w:space="0" w:color="auto"/>
          </w:divBdr>
        </w:div>
        <w:div w:id="1831173295">
          <w:marLeft w:val="480"/>
          <w:marRight w:val="0"/>
          <w:marTop w:val="0"/>
          <w:marBottom w:val="0"/>
          <w:divBdr>
            <w:top w:val="none" w:sz="0" w:space="0" w:color="auto"/>
            <w:left w:val="none" w:sz="0" w:space="0" w:color="auto"/>
            <w:bottom w:val="none" w:sz="0" w:space="0" w:color="auto"/>
            <w:right w:val="none" w:sz="0" w:space="0" w:color="auto"/>
          </w:divBdr>
        </w:div>
        <w:div w:id="17316808">
          <w:marLeft w:val="480"/>
          <w:marRight w:val="0"/>
          <w:marTop w:val="0"/>
          <w:marBottom w:val="0"/>
          <w:divBdr>
            <w:top w:val="none" w:sz="0" w:space="0" w:color="auto"/>
            <w:left w:val="none" w:sz="0" w:space="0" w:color="auto"/>
            <w:bottom w:val="none" w:sz="0" w:space="0" w:color="auto"/>
            <w:right w:val="none" w:sz="0" w:space="0" w:color="auto"/>
          </w:divBdr>
        </w:div>
        <w:div w:id="1870489455">
          <w:marLeft w:val="480"/>
          <w:marRight w:val="0"/>
          <w:marTop w:val="0"/>
          <w:marBottom w:val="0"/>
          <w:divBdr>
            <w:top w:val="none" w:sz="0" w:space="0" w:color="auto"/>
            <w:left w:val="none" w:sz="0" w:space="0" w:color="auto"/>
            <w:bottom w:val="none" w:sz="0" w:space="0" w:color="auto"/>
            <w:right w:val="none" w:sz="0" w:space="0" w:color="auto"/>
          </w:divBdr>
        </w:div>
      </w:divsChild>
    </w:div>
    <w:div w:id="934484762">
      <w:bodyDiv w:val="1"/>
      <w:marLeft w:val="0"/>
      <w:marRight w:val="0"/>
      <w:marTop w:val="0"/>
      <w:marBottom w:val="0"/>
      <w:divBdr>
        <w:top w:val="none" w:sz="0" w:space="0" w:color="auto"/>
        <w:left w:val="none" w:sz="0" w:space="0" w:color="auto"/>
        <w:bottom w:val="none" w:sz="0" w:space="0" w:color="auto"/>
        <w:right w:val="none" w:sz="0" w:space="0" w:color="auto"/>
      </w:divBdr>
    </w:div>
    <w:div w:id="947392123">
      <w:bodyDiv w:val="1"/>
      <w:marLeft w:val="0"/>
      <w:marRight w:val="0"/>
      <w:marTop w:val="0"/>
      <w:marBottom w:val="0"/>
      <w:divBdr>
        <w:top w:val="none" w:sz="0" w:space="0" w:color="auto"/>
        <w:left w:val="none" w:sz="0" w:space="0" w:color="auto"/>
        <w:bottom w:val="none" w:sz="0" w:space="0" w:color="auto"/>
        <w:right w:val="none" w:sz="0" w:space="0" w:color="auto"/>
      </w:divBdr>
      <w:divsChild>
        <w:div w:id="1459034359">
          <w:marLeft w:val="480"/>
          <w:marRight w:val="0"/>
          <w:marTop w:val="0"/>
          <w:marBottom w:val="0"/>
          <w:divBdr>
            <w:top w:val="none" w:sz="0" w:space="0" w:color="auto"/>
            <w:left w:val="none" w:sz="0" w:space="0" w:color="auto"/>
            <w:bottom w:val="none" w:sz="0" w:space="0" w:color="auto"/>
            <w:right w:val="none" w:sz="0" w:space="0" w:color="auto"/>
          </w:divBdr>
        </w:div>
        <w:div w:id="990986101">
          <w:marLeft w:val="480"/>
          <w:marRight w:val="0"/>
          <w:marTop w:val="0"/>
          <w:marBottom w:val="0"/>
          <w:divBdr>
            <w:top w:val="none" w:sz="0" w:space="0" w:color="auto"/>
            <w:left w:val="none" w:sz="0" w:space="0" w:color="auto"/>
            <w:bottom w:val="none" w:sz="0" w:space="0" w:color="auto"/>
            <w:right w:val="none" w:sz="0" w:space="0" w:color="auto"/>
          </w:divBdr>
        </w:div>
        <w:div w:id="396125124">
          <w:marLeft w:val="480"/>
          <w:marRight w:val="0"/>
          <w:marTop w:val="0"/>
          <w:marBottom w:val="0"/>
          <w:divBdr>
            <w:top w:val="none" w:sz="0" w:space="0" w:color="auto"/>
            <w:left w:val="none" w:sz="0" w:space="0" w:color="auto"/>
            <w:bottom w:val="none" w:sz="0" w:space="0" w:color="auto"/>
            <w:right w:val="none" w:sz="0" w:space="0" w:color="auto"/>
          </w:divBdr>
        </w:div>
        <w:div w:id="1790969486">
          <w:marLeft w:val="480"/>
          <w:marRight w:val="0"/>
          <w:marTop w:val="0"/>
          <w:marBottom w:val="0"/>
          <w:divBdr>
            <w:top w:val="none" w:sz="0" w:space="0" w:color="auto"/>
            <w:left w:val="none" w:sz="0" w:space="0" w:color="auto"/>
            <w:bottom w:val="none" w:sz="0" w:space="0" w:color="auto"/>
            <w:right w:val="none" w:sz="0" w:space="0" w:color="auto"/>
          </w:divBdr>
        </w:div>
        <w:div w:id="302583110">
          <w:marLeft w:val="480"/>
          <w:marRight w:val="0"/>
          <w:marTop w:val="0"/>
          <w:marBottom w:val="0"/>
          <w:divBdr>
            <w:top w:val="none" w:sz="0" w:space="0" w:color="auto"/>
            <w:left w:val="none" w:sz="0" w:space="0" w:color="auto"/>
            <w:bottom w:val="none" w:sz="0" w:space="0" w:color="auto"/>
            <w:right w:val="none" w:sz="0" w:space="0" w:color="auto"/>
          </w:divBdr>
        </w:div>
        <w:div w:id="1388722690">
          <w:marLeft w:val="480"/>
          <w:marRight w:val="0"/>
          <w:marTop w:val="0"/>
          <w:marBottom w:val="0"/>
          <w:divBdr>
            <w:top w:val="none" w:sz="0" w:space="0" w:color="auto"/>
            <w:left w:val="none" w:sz="0" w:space="0" w:color="auto"/>
            <w:bottom w:val="none" w:sz="0" w:space="0" w:color="auto"/>
            <w:right w:val="none" w:sz="0" w:space="0" w:color="auto"/>
          </w:divBdr>
        </w:div>
        <w:div w:id="32388453">
          <w:marLeft w:val="480"/>
          <w:marRight w:val="0"/>
          <w:marTop w:val="0"/>
          <w:marBottom w:val="0"/>
          <w:divBdr>
            <w:top w:val="none" w:sz="0" w:space="0" w:color="auto"/>
            <w:left w:val="none" w:sz="0" w:space="0" w:color="auto"/>
            <w:bottom w:val="none" w:sz="0" w:space="0" w:color="auto"/>
            <w:right w:val="none" w:sz="0" w:space="0" w:color="auto"/>
          </w:divBdr>
        </w:div>
        <w:div w:id="50420651">
          <w:marLeft w:val="480"/>
          <w:marRight w:val="0"/>
          <w:marTop w:val="0"/>
          <w:marBottom w:val="0"/>
          <w:divBdr>
            <w:top w:val="none" w:sz="0" w:space="0" w:color="auto"/>
            <w:left w:val="none" w:sz="0" w:space="0" w:color="auto"/>
            <w:bottom w:val="none" w:sz="0" w:space="0" w:color="auto"/>
            <w:right w:val="none" w:sz="0" w:space="0" w:color="auto"/>
          </w:divBdr>
        </w:div>
        <w:div w:id="1080561523">
          <w:marLeft w:val="480"/>
          <w:marRight w:val="0"/>
          <w:marTop w:val="0"/>
          <w:marBottom w:val="0"/>
          <w:divBdr>
            <w:top w:val="none" w:sz="0" w:space="0" w:color="auto"/>
            <w:left w:val="none" w:sz="0" w:space="0" w:color="auto"/>
            <w:bottom w:val="none" w:sz="0" w:space="0" w:color="auto"/>
            <w:right w:val="none" w:sz="0" w:space="0" w:color="auto"/>
          </w:divBdr>
        </w:div>
        <w:div w:id="877281368">
          <w:marLeft w:val="480"/>
          <w:marRight w:val="0"/>
          <w:marTop w:val="0"/>
          <w:marBottom w:val="0"/>
          <w:divBdr>
            <w:top w:val="none" w:sz="0" w:space="0" w:color="auto"/>
            <w:left w:val="none" w:sz="0" w:space="0" w:color="auto"/>
            <w:bottom w:val="none" w:sz="0" w:space="0" w:color="auto"/>
            <w:right w:val="none" w:sz="0" w:space="0" w:color="auto"/>
          </w:divBdr>
        </w:div>
        <w:div w:id="83842093">
          <w:marLeft w:val="480"/>
          <w:marRight w:val="0"/>
          <w:marTop w:val="0"/>
          <w:marBottom w:val="0"/>
          <w:divBdr>
            <w:top w:val="none" w:sz="0" w:space="0" w:color="auto"/>
            <w:left w:val="none" w:sz="0" w:space="0" w:color="auto"/>
            <w:bottom w:val="none" w:sz="0" w:space="0" w:color="auto"/>
            <w:right w:val="none" w:sz="0" w:space="0" w:color="auto"/>
          </w:divBdr>
        </w:div>
        <w:div w:id="1692948259">
          <w:marLeft w:val="480"/>
          <w:marRight w:val="0"/>
          <w:marTop w:val="0"/>
          <w:marBottom w:val="0"/>
          <w:divBdr>
            <w:top w:val="none" w:sz="0" w:space="0" w:color="auto"/>
            <w:left w:val="none" w:sz="0" w:space="0" w:color="auto"/>
            <w:bottom w:val="none" w:sz="0" w:space="0" w:color="auto"/>
            <w:right w:val="none" w:sz="0" w:space="0" w:color="auto"/>
          </w:divBdr>
        </w:div>
        <w:div w:id="2048404759">
          <w:marLeft w:val="480"/>
          <w:marRight w:val="0"/>
          <w:marTop w:val="0"/>
          <w:marBottom w:val="0"/>
          <w:divBdr>
            <w:top w:val="none" w:sz="0" w:space="0" w:color="auto"/>
            <w:left w:val="none" w:sz="0" w:space="0" w:color="auto"/>
            <w:bottom w:val="none" w:sz="0" w:space="0" w:color="auto"/>
            <w:right w:val="none" w:sz="0" w:space="0" w:color="auto"/>
          </w:divBdr>
        </w:div>
        <w:div w:id="1612661479">
          <w:marLeft w:val="480"/>
          <w:marRight w:val="0"/>
          <w:marTop w:val="0"/>
          <w:marBottom w:val="0"/>
          <w:divBdr>
            <w:top w:val="none" w:sz="0" w:space="0" w:color="auto"/>
            <w:left w:val="none" w:sz="0" w:space="0" w:color="auto"/>
            <w:bottom w:val="none" w:sz="0" w:space="0" w:color="auto"/>
            <w:right w:val="none" w:sz="0" w:space="0" w:color="auto"/>
          </w:divBdr>
        </w:div>
        <w:div w:id="972908870">
          <w:marLeft w:val="480"/>
          <w:marRight w:val="0"/>
          <w:marTop w:val="0"/>
          <w:marBottom w:val="0"/>
          <w:divBdr>
            <w:top w:val="none" w:sz="0" w:space="0" w:color="auto"/>
            <w:left w:val="none" w:sz="0" w:space="0" w:color="auto"/>
            <w:bottom w:val="none" w:sz="0" w:space="0" w:color="auto"/>
            <w:right w:val="none" w:sz="0" w:space="0" w:color="auto"/>
          </w:divBdr>
        </w:div>
        <w:div w:id="1430783475">
          <w:marLeft w:val="480"/>
          <w:marRight w:val="0"/>
          <w:marTop w:val="0"/>
          <w:marBottom w:val="0"/>
          <w:divBdr>
            <w:top w:val="none" w:sz="0" w:space="0" w:color="auto"/>
            <w:left w:val="none" w:sz="0" w:space="0" w:color="auto"/>
            <w:bottom w:val="none" w:sz="0" w:space="0" w:color="auto"/>
            <w:right w:val="none" w:sz="0" w:space="0" w:color="auto"/>
          </w:divBdr>
        </w:div>
        <w:div w:id="1291015631">
          <w:marLeft w:val="480"/>
          <w:marRight w:val="0"/>
          <w:marTop w:val="0"/>
          <w:marBottom w:val="0"/>
          <w:divBdr>
            <w:top w:val="none" w:sz="0" w:space="0" w:color="auto"/>
            <w:left w:val="none" w:sz="0" w:space="0" w:color="auto"/>
            <w:bottom w:val="none" w:sz="0" w:space="0" w:color="auto"/>
            <w:right w:val="none" w:sz="0" w:space="0" w:color="auto"/>
          </w:divBdr>
        </w:div>
        <w:div w:id="417676854">
          <w:marLeft w:val="480"/>
          <w:marRight w:val="0"/>
          <w:marTop w:val="0"/>
          <w:marBottom w:val="0"/>
          <w:divBdr>
            <w:top w:val="none" w:sz="0" w:space="0" w:color="auto"/>
            <w:left w:val="none" w:sz="0" w:space="0" w:color="auto"/>
            <w:bottom w:val="none" w:sz="0" w:space="0" w:color="auto"/>
            <w:right w:val="none" w:sz="0" w:space="0" w:color="auto"/>
          </w:divBdr>
        </w:div>
      </w:divsChild>
    </w:div>
    <w:div w:id="950091511">
      <w:bodyDiv w:val="1"/>
      <w:marLeft w:val="0"/>
      <w:marRight w:val="0"/>
      <w:marTop w:val="0"/>
      <w:marBottom w:val="0"/>
      <w:divBdr>
        <w:top w:val="none" w:sz="0" w:space="0" w:color="auto"/>
        <w:left w:val="none" w:sz="0" w:space="0" w:color="auto"/>
        <w:bottom w:val="none" w:sz="0" w:space="0" w:color="auto"/>
        <w:right w:val="none" w:sz="0" w:space="0" w:color="auto"/>
      </w:divBdr>
    </w:div>
    <w:div w:id="950353998">
      <w:bodyDiv w:val="1"/>
      <w:marLeft w:val="0"/>
      <w:marRight w:val="0"/>
      <w:marTop w:val="0"/>
      <w:marBottom w:val="0"/>
      <w:divBdr>
        <w:top w:val="none" w:sz="0" w:space="0" w:color="auto"/>
        <w:left w:val="none" w:sz="0" w:space="0" w:color="auto"/>
        <w:bottom w:val="none" w:sz="0" w:space="0" w:color="auto"/>
        <w:right w:val="none" w:sz="0" w:space="0" w:color="auto"/>
      </w:divBdr>
    </w:div>
    <w:div w:id="972061657">
      <w:bodyDiv w:val="1"/>
      <w:marLeft w:val="0"/>
      <w:marRight w:val="0"/>
      <w:marTop w:val="0"/>
      <w:marBottom w:val="0"/>
      <w:divBdr>
        <w:top w:val="none" w:sz="0" w:space="0" w:color="auto"/>
        <w:left w:val="none" w:sz="0" w:space="0" w:color="auto"/>
        <w:bottom w:val="none" w:sz="0" w:space="0" w:color="auto"/>
        <w:right w:val="none" w:sz="0" w:space="0" w:color="auto"/>
      </w:divBdr>
    </w:div>
    <w:div w:id="973412767">
      <w:bodyDiv w:val="1"/>
      <w:marLeft w:val="0"/>
      <w:marRight w:val="0"/>
      <w:marTop w:val="0"/>
      <w:marBottom w:val="0"/>
      <w:divBdr>
        <w:top w:val="none" w:sz="0" w:space="0" w:color="auto"/>
        <w:left w:val="none" w:sz="0" w:space="0" w:color="auto"/>
        <w:bottom w:val="none" w:sz="0" w:space="0" w:color="auto"/>
        <w:right w:val="none" w:sz="0" w:space="0" w:color="auto"/>
      </w:divBdr>
    </w:div>
    <w:div w:id="976300362">
      <w:bodyDiv w:val="1"/>
      <w:marLeft w:val="0"/>
      <w:marRight w:val="0"/>
      <w:marTop w:val="0"/>
      <w:marBottom w:val="0"/>
      <w:divBdr>
        <w:top w:val="none" w:sz="0" w:space="0" w:color="auto"/>
        <w:left w:val="none" w:sz="0" w:space="0" w:color="auto"/>
        <w:bottom w:val="none" w:sz="0" w:space="0" w:color="auto"/>
        <w:right w:val="none" w:sz="0" w:space="0" w:color="auto"/>
      </w:divBdr>
    </w:div>
    <w:div w:id="977144736">
      <w:bodyDiv w:val="1"/>
      <w:marLeft w:val="0"/>
      <w:marRight w:val="0"/>
      <w:marTop w:val="0"/>
      <w:marBottom w:val="0"/>
      <w:divBdr>
        <w:top w:val="none" w:sz="0" w:space="0" w:color="auto"/>
        <w:left w:val="none" w:sz="0" w:space="0" w:color="auto"/>
        <w:bottom w:val="none" w:sz="0" w:space="0" w:color="auto"/>
        <w:right w:val="none" w:sz="0" w:space="0" w:color="auto"/>
      </w:divBdr>
    </w:div>
    <w:div w:id="977606308">
      <w:bodyDiv w:val="1"/>
      <w:marLeft w:val="0"/>
      <w:marRight w:val="0"/>
      <w:marTop w:val="0"/>
      <w:marBottom w:val="0"/>
      <w:divBdr>
        <w:top w:val="none" w:sz="0" w:space="0" w:color="auto"/>
        <w:left w:val="none" w:sz="0" w:space="0" w:color="auto"/>
        <w:bottom w:val="none" w:sz="0" w:space="0" w:color="auto"/>
        <w:right w:val="none" w:sz="0" w:space="0" w:color="auto"/>
      </w:divBdr>
    </w:div>
    <w:div w:id="983965719">
      <w:bodyDiv w:val="1"/>
      <w:marLeft w:val="0"/>
      <w:marRight w:val="0"/>
      <w:marTop w:val="0"/>
      <w:marBottom w:val="0"/>
      <w:divBdr>
        <w:top w:val="none" w:sz="0" w:space="0" w:color="auto"/>
        <w:left w:val="none" w:sz="0" w:space="0" w:color="auto"/>
        <w:bottom w:val="none" w:sz="0" w:space="0" w:color="auto"/>
        <w:right w:val="none" w:sz="0" w:space="0" w:color="auto"/>
      </w:divBdr>
    </w:div>
    <w:div w:id="993919860">
      <w:bodyDiv w:val="1"/>
      <w:marLeft w:val="0"/>
      <w:marRight w:val="0"/>
      <w:marTop w:val="0"/>
      <w:marBottom w:val="0"/>
      <w:divBdr>
        <w:top w:val="none" w:sz="0" w:space="0" w:color="auto"/>
        <w:left w:val="none" w:sz="0" w:space="0" w:color="auto"/>
        <w:bottom w:val="none" w:sz="0" w:space="0" w:color="auto"/>
        <w:right w:val="none" w:sz="0" w:space="0" w:color="auto"/>
      </w:divBdr>
    </w:div>
    <w:div w:id="994646277">
      <w:bodyDiv w:val="1"/>
      <w:marLeft w:val="0"/>
      <w:marRight w:val="0"/>
      <w:marTop w:val="0"/>
      <w:marBottom w:val="0"/>
      <w:divBdr>
        <w:top w:val="none" w:sz="0" w:space="0" w:color="auto"/>
        <w:left w:val="none" w:sz="0" w:space="0" w:color="auto"/>
        <w:bottom w:val="none" w:sz="0" w:space="0" w:color="auto"/>
        <w:right w:val="none" w:sz="0" w:space="0" w:color="auto"/>
      </w:divBdr>
    </w:div>
    <w:div w:id="1004165705">
      <w:bodyDiv w:val="1"/>
      <w:marLeft w:val="0"/>
      <w:marRight w:val="0"/>
      <w:marTop w:val="0"/>
      <w:marBottom w:val="0"/>
      <w:divBdr>
        <w:top w:val="none" w:sz="0" w:space="0" w:color="auto"/>
        <w:left w:val="none" w:sz="0" w:space="0" w:color="auto"/>
        <w:bottom w:val="none" w:sz="0" w:space="0" w:color="auto"/>
        <w:right w:val="none" w:sz="0" w:space="0" w:color="auto"/>
      </w:divBdr>
    </w:div>
    <w:div w:id="1006784055">
      <w:bodyDiv w:val="1"/>
      <w:marLeft w:val="0"/>
      <w:marRight w:val="0"/>
      <w:marTop w:val="0"/>
      <w:marBottom w:val="0"/>
      <w:divBdr>
        <w:top w:val="none" w:sz="0" w:space="0" w:color="auto"/>
        <w:left w:val="none" w:sz="0" w:space="0" w:color="auto"/>
        <w:bottom w:val="none" w:sz="0" w:space="0" w:color="auto"/>
        <w:right w:val="none" w:sz="0" w:space="0" w:color="auto"/>
      </w:divBdr>
    </w:div>
    <w:div w:id="1008219268">
      <w:bodyDiv w:val="1"/>
      <w:marLeft w:val="0"/>
      <w:marRight w:val="0"/>
      <w:marTop w:val="0"/>
      <w:marBottom w:val="0"/>
      <w:divBdr>
        <w:top w:val="none" w:sz="0" w:space="0" w:color="auto"/>
        <w:left w:val="none" w:sz="0" w:space="0" w:color="auto"/>
        <w:bottom w:val="none" w:sz="0" w:space="0" w:color="auto"/>
        <w:right w:val="none" w:sz="0" w:space="0" w:color="auto"/>
      </w:divBdr>
    </w:div>
    <w:div w:id="1018654969">
      <w:bodyDiv w:val="1"/>
      <w:marLeft w:val="0"/>
      <w:marRight w:val="0"/>
      <w:marTop w:val="0"/>
      <w:marBottom w:val="0"/>
      <w:divBdr>
        <w:top w:val="none" w:sz="0" w:space="0" w:color="auto"/>
        <w:left w:val="none" w:sz="0" w:space="0" w:color="auto"/>
        <w:bottom w:val="none" w:sz="0" w:space="0" w:color="auto"/>
        <w:right w:val="none" w:sz="0" w:space="0" w:color="auto"/>
      </w:divBdr>
    </w:div>
    <w:div w:id="1038042653">
      <w:bodyDiv w:val="1"/>
      <w:marLeft w:val="0"/>
      <w:marRight w:val="0"/>
      <w:marTop w:val="0"/>
      <w:marBottom w:val="0"/>
      <w:divBdr>
        <w:top w:val="none" w:sz="0" w:space="0" w:color="auto"/>
        <w:left w:val="none" w:sz="0" w:space="0" w:color="auto"/>
        <w:bottom w:val="none" w:sz="0" w:space="0" w:color="auto"/>
        <w:right w:val="none" w:sz="0" w:space="0" w:color="auto"/>
      </w:divBdr>
      <w:divsChild>
        <w:div w:id="1344093860">
          <w:marLeft w:val="480"/>
          <w:marRight w:val="0"/>
          <w:marTop w:val="0"/>
          <w:marBottom w:val="0"/>
          <w:divBdr>
            <w:top w:val="none" w:sz="0" w:space="0" w:color="auto"/>
            <w:left w:val="none" w:sz="0" w:space="0" w:color="auto"/>
            <w:bottom w:val="none" w:sz="0" w:space="0" w:color="auto"/>
            <w:right w:val="none" w:sz="0" w:space="0" w:color="auto"/>
          </w:divBdr>
        </w:div>
        <w:div w:id="820661817">
          <w:marLeft w:val="480"/>
          <w:marRight w:val="0"/>
          <w:marTop w:val="0"/>
          <w:marBottom w:val="0"/>
          <w:divBdr>
            <w:top w:val="none" w:sz="0" w:space="0" w:color="auto"/>
            <w:left w:val="none" w:sz="0" w:space="0" w:color="auto"/>
            <w:bottom w:val="none" w:sz="0" w:space="0" w:color="auto"/>
            <w:right w:val="none" w:sz="0" w:space="0" w:color="auto"/>
          </w:divBdr>
        </w:div>
        <w:div w:id="2093963933">
          <w:marLeft w:val="480"/>
          <w:marRight w:val="0"/>
          <w:marTop w:val="0"/>
          <w:marBottom w:val="0"/>
          <w:divBdr>
            <w:top w:val="none" w:sz="0" w:space="0" w:color="auto"/>
            <w:left w:val="none" w:sz="0" w:space="0" w:color="auto"/>
            <w:bottom w:val="none" w:sz="0" w:space="0" w:color="auto"/>
            <w:right w:val="none" w:sz="0" w:space="0" w:color="auto"/>
          </w:divBdr>
        </w:div>
        <w:div w:id="1561400937">
          <w:marLeft w:val="480"/>
          <w:marRight w:val="0"/>
          <w:marTop w:val="0"/>
          <w:marBottom w:val="0"/>
          <w:divBdr>
            <w:top w:val="none" w:sz="0" w:space="0" w:color="auto"/>
            <w:left w:val="none" w:sz="0" w:space="0" w:color="auto"/>
            <w:bottom w:val="none" w:sz="0" w:space="0" w:color="auto"/>
            <w:right w:val="none" w:sz="0" w:space="0" w:color="auto"/>
          </w:divBdr>
        </w:div>
        <w:div w:id="1160120388">
          <w:marLeft w:val="480"/>
          <w:marRight w:val="0"/>
          <w:marTop w:val="0"/>
          <w:marBottom w:val="0"/>
          <w:divBdr>
            <w:top w:val="none" w:sz="0" w:space="0" w:color="auto"/>
            <w:left w:val="none" w:sz="0" w:space="0" w:color="auto"/>
            <w:bottom w:val="none" w:sz="0" w:space="0" w:color="auto"/>
            <w:right w:val="none" w:sz="0" w:space="0" w:color="auto"/>
          </w:divBdr>
        </w:div>
        <w:div w:id="606733857">
          <w:marLeft w:val="480"/>
          <w:marRight w:val="0"/>
          <w:marTop w:val="0"/>
          <w:marBottom w:val="0"/>
          <w:divBdr>
            <w:top w:val="none" w:sz="0" w:space="0" w:color="auto"/>
            <w:left w:val="none" w:sz="0" w:space="0" w:color="auto"/>
            <w:bottom w:val="none" w:sz="0" w:space="0" w:color="auto"/>
            <w:right w:val="none" w:sz="0" w:space="0" w:color="auto"/>
          </w:divBdr>
        </w:div>
        <w:div w:id="847868802">
          <w:marLeft w:val="480"/>
          <w:marRight w:val="0"/>
          <w:marTop w:val="0"/>
          <w:marBottom w:val="0"/>
          <w:divBdr>
            <w:top w:val="none" w:sz="0" w:space="0" w:color="auto"/>
            <w:left w:val="none" w:sz="0" w:space="0" w:color="auto"/>
            <w:bottom w:val="none" w:sz="0" w:space="0" w:color="auto"/>
            <w:right w:val="none" w:sz="0" w:space="0" w:color="auto"/>
          </w:divBdr>
        </w:div>
        <w:div w:id="1799180819">
          <w:marLeft w:val="480"/>
          <w:marRight w:val="0"/>
          <w:marTop w:val="0"/>
          <w:marBottom w:val="0"/>
          <w:divBdr>
            <w:top w:val="none" w:sz="0" w:space="0" w:color="auto"/>
            <w:left w:val="none" w:sz="0" w:space="0" w:color="auto"/>
            <w:bottom w:val="none" w:sz="0" w:space="0" w:color="auto"/>
            <w:right w:val="none" w:sz="0" w:space="0" w:color="auto"/>
          </w:divBdr>
        </w:div>
        <w:div w:id="1246918511">
          <w:marLeft w:val="480"/>
          <w:marRight w:val="0"/>
          <w:marTop w:val="0"/>
          <w:marBottom w:val="0"/>
          <w:divBdr>
            <w:top w:val="none" w:sz="0" w:space="0" w:color="auto"/>
            <w:left w:val="none" w:sz="0" w:space="0" w:color="auto"/>
            <w:bottom w:val="none" w:sz="0" w:space="0" w:color="auto"/>
            <w:right w:val="none" w:sz="0" w:space="0" w:color="auto"/>
          </w:divBdr>
        </w:div>
        <w:div w:id="306708508">
          <w:marLeft w:val="480"/>
          <w:marRight w:val="0"/>
          <w:marTop w:val="0"/>
          <w:marBottom w:val="0"/>
          <w:divBdr>
            <w:top w:val="none" w:sz="0" w:space="0" w:color="auto"/>
            <w:left w:val="none" w:sz="0" w:space="0" w:color="auto"/>
            <w:bottom w:val="none" w:sz="0" w:space="0" w:color="auto"/>
            <w:right w:val="none" w:sz="0" w:space="0" w:color="auto"/>
          </w:divBdr>
        </w:div>
        <w:div w:id="1007098403">
          <w:marLeft w:val="480"/>
          <w:marRight w:val="0"/>
          <w:marTop w:val="0"/>
          <w:marBottom w:val="0"/>
          <w:divBdr>
            <w:top w:val="none" w:sz="0" w:space="0" w:color="auto"/>
            <w:left w:val="none" w:sz="0" w:space="0" w:color="auto"/>
            <w:bottom w:val="none" w:sz="0" w:space="0" w:color="auto"/>
            <w:right w:val="none" w:sz="0" w:space="0" w:color="auto"/>
          </w:divBdr>
        </w:div>
        <w:div w:id="843283532">
          <w:marLeft w:val="480"/>
          <w:marRight w:val="0"/>
          <w:marTop w:val="0"/>
          <w:marBottom w:val="0"/>
          <w:divBdr>
            <w:top w:val="none" w:sz="0" w:space="0" w:color="auto"/>
            <w:left w:val="none" w:sz="0" w:space="0" w:color="auto"/>
            <w:bottom w:val="none" w:sz="0" w:space="0" w:color="auto"/>
            <w:right w:val="none" w:sz="0" w:space="0" w:color="auto"/>
          </w:divBdr>
        </w:div>
        <w:div w:id="173030765">
          <w:marLeft w:val="480"/>
          <w:marRight w:val="0"/>
          <w:marTop w:val="0"/>
          <w:marBottom w:val="0"/>
          <w:divBdr>
            <w:top w:val="none" w:sz="0" w:space="0" w:color="auto"/>
            <w:left w:val="none" w:sz="0" w:space="0" w:color="auto"/>
            <w:bottom w:val="none" w:sz="0" w:space="0" w:color="auto"/>
            <w:right w:val="none" w:sz="0" w:space="0" w:color="auto"/>
          </w:divBdr>
        </w:div>
        <w:div w:id="560559501">
          <w:marLeft w:val="480"/>
          <w:marRight w:val="0"/>
          <w:marTop w:val="0"/>
          <w:marBottom w:val="0"/>
          <w:divBdr>
            <w:top w:val="none" w:sz="0" w:space="0" w:color="auto"/>
            <w:left w:val="none" w:sz="0" w:space="0" w:color="auto"/>
            <w:bottom w:val="none" w:sz="0" w:space="0" w:color="auto"/>
            <w:right w:val="none" w:sz="0" w:space="0" w:color="auto"/>
          </w:divBdr>
        </w:div>
        <w:div w:id="1307517398">
          <w:marLeft w:val="480"/>
          <w:marRight w:val="0"/>
          <w:marTop w:val="0"/>
          <w:marBottom w:val="0"/>
          <w:divBdr>
            <w:top w:val="none" w:sz="0" w:space="0" w:color="auto"/>
            <w:left w:val="none" w:sz="0" w:space="0" w:color="auto"/>
            <w:bottom w:val="none" w:sz="0" w:space="0" w:color="auto"/>
            <w:right w:val="none" w:sz="0" w:space="0" w:color="auto"/>
          </w:divBdr>
        </w:div>
        <w:div w:id="781656678">
          <w:marLeft w:val="480"/>
          <w:marRight w:val="0"/>
          <w:marTop w:val="0"/>
          <w:marBottom w:val="0"/>
          <w:divBdr>
            <w:top w:val="none" w:sz="0" w:space="0" w:color="auto"/>
            <w:left w:val="none" w:sz="0" w:space="0" w:color="auto"/>
            <w:bottom w:val="none" w:sz="0" w:space="0" w:color="auto"/>
            <w:right w:val="none" w:sz="0" w:space="0" w:color="auto"/>
          </w:divBdr>
        </w:div>
        <w:div w:id="581108377">
          <w:marLeft w:val="480"/>
          <w:marRight w:val="0"/>
          <w:marTop w:val="0"/>
          <w:marBottom w:val="0"/>
          <w:divBdr>
            <w:top w:val="none" w:sz="0" w:space="0" w:color="auto"/>
            <w:left w:val="none" w:sz="0" w:space="0" w:color="auto"/>
            <w:bottom w:val="none" w:sz="0" w:space="0" w:color="auto"/>
            <w:right w:val="none" w:sz="0" w:space="0" w:color="auto"/>
          </w:divBdr>
        </w:div>
        <w:div w:id="784734098">
          <w:marLeft w:val="480"/>
          <w:marRight w:val="0"/>
          <w:marTop w:val="0"/>
          <w:marBottom w:val="0"/>
          <w:divBdr>
            <w:top w:val="none" w:sz="0" w:space="0" w:color="auto"/>
            <w:left w:val="none" w:sz="0" w:space="0" w:color="auto"/>
            <w:bottom w:val="none" w:sz="0" w:space="0" w:color="auto"/>
            <w:right w:val="none" w:sz="0" w:space="0" w:color="auto"/>
          </w:divBdr>
        </w:div>
        <w:div w:id="979578598">
          <w:marLeft w:val="480"/>
          <w:marRight w:val="0"/>
          <w:marTop w:val="0"/>
          <w:marBottom w:val="0"/>
          <w:divBdr>
            <w:top w:val="none" w:sz="0" w:space="0" w:color="auto"/>
            <w:left w:val="none" w:sz="0" w:space="0" w:color="auto"/>
            <w:bottom w:val="none" w:sz="0" w:space="0" w:color="auto"/>
            <w:right w:val="none" w:sz="0" w:space="0" w:color="auto"/>
          </w:divBdr>
        </w:div>
        <w:div w:id="897739535">
          <w:marLeft w:val="480"/>
          <w:marRight w:val="0"/>
          <w:marTop w:val="0"/>
          <w:marBottom w:val="0"/>
          <w:divBdr>
            <w:top w:val="none" w:sz="0" w:space="0" w:color="auto"/>
            <w:left w:val="none" w:sz="0" w:space="0" w:color="auto"/>
            <w:bottom w:val="none" w:sz="0" w:space="0" w:color="auto"/>
            <w:right w:val="none" w:sz="0" w:space="0" w:color="auto"/>
          </w:divBdr>
        </w:div>
      </w:divsChild>
    </w:div>
    <w:div w:id="1038120178">
      <w:bodyDiv w:val="1"/>
      <w:marLeft w:val="0"/>
      <w:marRight w:val="0"/>
      <w:marTop w:val="0"/>
      <w:marBottom w:val="0"/>
      <w:divBdr>
        <w:top w:val="none" w:sz="0" w:space="0" w:color="auto"/>
        <w:left w:val="none" w:sz="0" w:space="0" w:color="auto"/>
        <w:bottom w:val="none" w:sz="0" w:space="0" w:color="auto"/>
        <w:right w:val="none" w:sz="0" w:space="0" w:color="auto"/>
      </w:divBdr>
    </w:div>
    <w:div w:id="1061296700">
      <w:bodyDiv w:val="1"/>
      <w:marLeft w:val="0"/>
      <w:marRight w:val="0"/>
      <w:marTop w:val="0"/>
      <w:marBottom w:val="0"/>
      <w:divBdr>
        <w:top w:val="none" w:sz="0" w:space="0" w:color="auto"/>
        <w:left w:val="none" w:sz="0" w:space="0" w:color="auto"/>
        <w:bottom w:val="none" w:sz="0" w:space="0" w:color="auto"/>
        <w:right w:val="none" w:sz="0" w:space="0" w:color="auto"/>
      </w:divBdr>
    </w:div>
    <w:div w:id="1077098413">
      <w:bodyDiv w:val="1"/>
      <w:marLeft w:val="0"/>
      <w:marRight w:val="0"/>
      <w:marTop w:val="0"/>
      <w:marBottom w:val="0"/>
      <w:divBdr>
        <w:top w:val="none" w:sz="0" w:space="0" w:color="auto"/>
        <w:left w:val="none" w:sz="0" w:space="0" w:color="auto"/>
        <w:bottom w:val="none" w:sz="0" w:space="0" w:color="auto"/>
        <w:right w:val="none" w:sz="0" w:space="0" w:color="auto"/>
      </w:divBdr>
    </w:div>
    <w:div w:id="1096636064">
      <w:bodyDiv w:val="1"/>
      <w:marLeft w:val="0"/>
      <w:marRight w:val="0"/>
      <w:marTop w:val="0"/>
      <w:marBottom w:val="0"/>
      <w:divBdr>
        <w:top w:val="none" w:sz="0" w:space="0" w:color="auto"/>
        <w:left w:val="none" w:sz="0" w:space="0" w:color="auto"/>
        <w:bottom w:val="none" w:sz="0" w:space="0" w:color="auto"/>
        <w:right w:val="none" w:sz="0" w:space="0" w:color="auto"/>
      </w:divBdr>
    </w:div>
    <w:div w:id="1101073423">
      <w:bodyDiv w:val="1"/>
      <w:marLeft w:val="0"/>
      <w:marRight w:val="0"/>
      <w:marTop w:val="0"/>
      <w:marBottom w:val="0"/>
      <w:divBdr>
        <w:top w:val="none" w:sz="0" w:space="0" w:color="auto"/>
        <w:left w:val="none" w:sz="0" w:space="0" w:color="auto"/>
        <w:bottom w:val="none" w:sz="0" w:space="0" w:color="auto"/>
        <w:right w:val="none" w:sz="0" w:space="0" w:color="auto"/>
      </w:divBdr>
    </w:div>
    <w:div w:id="1106577751">
      <w:bodyDiv w:val="1"/>
      <w:marLeft w:val="0"/>
      <w:marRight w:val="0"/>
      <w:marTop w:val="0"/>
      <w:marBottom w:val="0"/>
      <w:divBdr>
        <w:top w:val="none" w:sz="0" w:space="0" w:color="auto"/>
        <w:left w:val="none" w:sz="0" w:space="0" w:color="auto"/>
        <w:bottom w:val="none" w:sz="0" w:space="0" w:color="auto"/>
        <w:right w:val="none" w:sz="0" w:space="0" w:color="auto"/>
      </w:divBdr>
    </w:div>
    <w:div w:id="1108084622">
      <w:bodyDiv w:val="1"/>
      <w:marLeft w:val="0"/>
      <w:marRight w:val="0"/>
      <w:marTop w:val="0"/>
      <w:marBottom w:val="0"/>
      <w:divBdr>
        <w:top w:val="none" w:sz="0" w:space="0" w:color="auto"/>
        <w:left w:val="none" w:sz="0" w:space="0" w:color="auto"/>
        <w:bottom w:val="none" w:sz="0" w:space="0" w:color="auto"/>
        <w:right w:val="none" w:sz="0" w:space="0" w:color="auto"/>
      </w:divBdr>
      <w:divsChild>
        <w:div w:id="1656185351">
          <w:marLeft w:val="480"/>
          <w:marRight w:val="0"/>
          <w:marTop w:val="0"/>
          <w:marBottom w:val="0"/>
          <w:divBdr>
            <w:top w:val="none" w:sz="0" w:space="0" w:color="auto"/>
            <w:left w:val="none" w:sz="0" w:space="0" w:color="auto"/>
            <w:bottom w:val="none" w:sz="0" w:space="0" w:color="auto"/>
            <w:right w:val="none" w:sz="0" w:space="0" w:color="auto"/>
          </w:divBdr>
        </w:div>
        <w:div w:id="996962236">
          <w:marLeft w:val="480"/>
          <w:marRight w:val="0"/>
          <w:marTop w:val="0"/>
          <w:marBottom w:val="0"/>
          <w:divBdr>
            <w:top w:val="none" w:sz="0" w:space="0" w:color="auto"/>
            <w:left w:val="none" w:sz="0" w:space="0" w:color="auto"/>
            <w:bottom w:val="none" w:sz="0" w:space="0" w:color="auto"/>
            <w:right w:val="none" w:sz="0" w:space="0" w:color="auto"/>
          </w:divBdr>
        </w:div>
        <w:div w:id="432895610">
          <w:marLeft w:val="480"/>
          <w:marRight w:val="0"/>
          <w:marTop w:val="0"/>
          <w:marBottom w:val="0"/>
          <w:divBdr>
            <w:top w:val="none" w:sz="0" w:space="0" w:color="auto"/>
            <w:left w:val="none" w:sz="0" w:space="0" w:color="auto"/>
            <w:bottom w:val="none" w:sz="0" w:space="0" w:color="auto"/>
            <w:right w:val="none" w:sz="0" w:space="0" w:color="auto"/>
          </w:divBdr>
        </w:div>
        <w:div w:id="1176964363">
          <w:marLeft w:val="480"/>
          <w:marRight w:val="0"/>
          <w:marTop w:val="0"/>
          <w:marBottom w:val="0"/>
          <w:divBdr>
            <w:top w:val="none" w:sz="0" w:space="0" w:color="auto"/>
            <w:left w:val="none" w:sz="0" w:space="0" w:color="auto"/>
            <w:bottom w:val="none" w:sz="0" w:space="0" w:color="auto"/>
            <w:right w:val="none" w:sz="0" w:space="0" w:color="auto"/>
          </w:divBdr>
        </w:div>
        <w:div w:id="1820994729">
          <w:marLeft w:val="480"/>
          <w:marRight w:val="0"/>
          <w:marTop w:val="0"/>
          <w:marBottom w:val="0"/>
          <w:divBdr>
            <w:top w:val="none" w:sz="0" w:space="0" w:color="auto"/>
            <w:left w:val="none" w:sz="0" w:space="0" w:color="auto"/>
            <w:bottom w:val="none" w:sz="0" w:space="0" w:color="auto"/>
            <w:right w:val="none" w:sz="0" w:space="0" w:color="auto"/>
          </w:divBdr>
        </w:div>
        <w:div w:id="1595019884">
          <w:marLeft w:val="480"/>
          <w:marRight w:val="0"/>
          <w:marTop w:val="0"/>
          <w:marBottom w:val="0"/>
          <w:divBdr>
            <w:top w:val="none" w:sz="0" w:space="0" w:color="auto"/>
            <w:left w:val="none" w:sz="0" w:space="0" w:color="auto"/>
            <w:bottom w:val="none" w:sz="0" w:space="0" w:color="auto"/>
            <w:right w:val="none" w:sz="0" w:space="0" w:color="auto"/>
          </w:divBdr>
        </w:div>
        <w:div w:id="1252742557">
          <w:marLeft w:val="480"/>
          <w:marRight w:val="0"/>
          <w:marTop w:val="0"/>
          <w:marBottom w:val="0"/>
          <w:divBdr>
            <w:top w:val="none" w:sz="0" w:space="0" w:color="auto"/>
            <w:left w:val="none" w:sz="0" w:space="0" w:color="auto"/>
            <w:bottom w:val="none" w:sz="0" w:space="0" w:color="auto"/>
            <w:right w:val="none" w:sz="0" w:space="0" w:color="auto"/>
          </w:divBdr>
        </w:div>
        <w:div w:id="195895696">
          <w:marLeft w:val="480"/>
          <w:marRight w:val="0"/>
          <w:marTop w:val="0"/>
          <w:marBottom w:val="0"/>
          <w:divBdr>
            <w:top w:val="none" w:sz="0" w:space="0" w:color="auto"/>
            <w:left w:val="none" w:sz="0" w:space="0" w:color="auto"/>
            <w:bottom w:val="none" w:sz="0" w:space="0" w:color="auto"/>
            <w:right w:val="none" w:sz="0" w:space="0" w:color="auto"/>
          </w:divBdr>
        </w:div>
        <w:div w:id="390008571">
          <w:marLeft w:val="480"/>
          <w:marRight w:val="0"/>
          <w:marTop w:val="0"/>
          <w:marBottom w:val="0"/>
          <w:divBdr>
            <w:top w:val="none" w:sz="0" w:space="0" w:color="auto"/>
            <w:left w:val="none" w:sz="0" w:space="0" w:color="auto"/>
            <w:bottom w:val="none" w:sz="0" w:space="0" w:color="auto"/>
            <w:right w:val="none" w:sz="0" w:space="0" w:color="auto"/>
          </w:divBdr>
        </w:div>
        <w:div w:id="1178689618">
          <w:marLeft w:val="480"/>
          <w:marRight w:val="0"/>
          <w:marTop w:val="0"/>
          <w:marBottom w:val="0"/>
          <w:divBdr>
            <w:top w:val="none" w:sz="0" w:space="0" w:color="auto"/>
            <w:left w:val="none" w:sz="0" w:space="0" w:color="auto"/>
            <w:bottom w:val="none" w:sz="0" w:space="0" w:color="auto"/>
            <w:right w:val="none" w:sz="0" w:space="0" w:color="auto"/>
          </w:divBdr>
        </w:div>
        <w:div w:id="1584139531">
          <w:marLeft w:val="480"/>
          <w:marRight w:val="0"/>
          <w:marTop w:val="0"/>
          <w:marBottom w:val="0"/>
          <w:divBdr>
            <w:top w:val="none" w:sz="0" w:space="0" w:color="auto"/>
            <w:left w:val="none" w:sz="0" w:space="0" w:color="auto"/>
            <w:bottom w:val="none" w:sz="0" w:space="0" w:color="auto"/>
            <w:right w:val="none" w:sz="0" w:space="0" w:color="auto"/>
          </w:divBdr>
        </w:div>
        <w:div w:id="1742362807">
          <w:marLeft w:val="480"/>
          <w:marRight w:val="0"/>
          <w:marTop w:val="0"/>
          <w:marBottom w:val="0"/>
          <w:divBdr>
            <w:top w:val="none" w:sz="0" w:space="0" w:color="auto"/>
            <w:left w:val="none" w:sz="0" w:space="0" w:color="auto"/>
            <w:bottom w:val="none" w:sz="0" w:space="0" w:color="auto"/>
            <w:right w:val="none" w:sz="0" w:space="0" w:color="auto"/>
          </w:divBdr>
        </w:div>
        <w:div w:id="7174628">
          <w:marLeft w:val="480"/>
          <w:marRight w:val="0"/>
          <w:marTop w:val="0"/>
          <w:marBottom w:val="0"/>
          <w:divBdr>
            <w:top w:val="none" w:sz="0" w:space="0" w:color="auto"/>
            <w:left w:val="none" w:sz="0" w:space="0" w:color="auto"/>
            <w:bottom w:val="none" w:sz="0" w:space="0" w:color="auto"/>
            <w:right w:val="none" w:sz="0" w:space="0" w:color="auto"/>
          </w:divBdr>
        </w:div>
        <w:div w:id="1112675939">
          <w:marLeft w:val="480"/>
          <w:marRight w:val="0"/>
          <w:marTop w:val="0"/>
          <w:marBottom w:val="0"/>
          <w:divBdr>
            <w:top w:val="none" w:sz="0" w:space="0" w:color="auto"/>
            <w:left w:val="none" w:sz="0" w:space="0" w:color="auto"/>
            <w:bottom w:val="none" w:sz="0" w:space="0" w:color="auto"/>
            <w:right w:val="none" w:sz="0" w:space="0" w:color="auto"/>
          </w:divBdr>
        </w:div>
        <w:div w:id="1950965365">
          <w:marLeft w:val="480"/>
          <w:marRight w:val="0"/>
          <w:marTop w:val="0"/>
          <w:marBottom w:val="0"/>
          <w:divBdr>
            <w:top w:val="none" w:sz="0" w:space="0" w:color="auto"/>
            <w:left w:val="none" w:sz="0" w:space="0" w:color="auto"/>
            <w:bottom w:val="none" w:sz="0" w:space="0" w:color="auto"/>
            <w:right w:val="none" w:sz="0" w:space="0" w:color="auto"/>
          </w:divBdr>
        </w:div>
        <w:div w:id="1401754834">
          <w:marLeft w:val="480"/>
          <w:marRight w:val="0"/>
          <w:marTop w:val="0"/>
          <w:marBottom w:val="0"/>
          <w:divBdr>
            <w:top w:val="none" w:sz="0" w:space="0" w:color="auto"/>
            <w:left w:val="none" w:sz="0" w:space="0" w:color="auto"/>
            <w:bottom w:val="none" w:sz="0" w:space="0" w:color="auto"/>
            <w:right w:val="none" w:sz="0" w:space="0" w:color="auto"/>
          </w:divBdr>
        </w:div>
        <w:div w:id="1022392119">
          <w:marLeft w:val="480"/>
          <w:marRight w:val="0"/>
          <w:marTop w:val="0"/>
          <w:marBottom w:val="0"/>
          <w:divBdr>
            <w:top w:val="none" w:sz="0" w:space="0" w:color="auto"/>
            <w:left w:val="none" w:sz="0" w:space="0" w:color="auto"/>
            <w:bottom w:val="none" w:sz="0" w:space="0" w:color="auto"/>
            <w:right w:val="none" w:sz="0" w:space="0" w:color="auto"/>
          </w:divBdr>
        </w:div>
        <w:div w:id="330569670">
          <w:marLeft w:val="480"/>
          <w:marRight w:val="0"/>
          <w:marTop w:val="0"/>
          <w:marBottom w:val="0"/>
          <w:divBdr>
            <w:top w:val="none" w:sz="0" w:space="0" w:color="auto"/>
            <w:left w:val="none" w:sz="0" w:space="0" w:color="auto"/>
            <w:bottom w:val="none" w:sz="0" w:space="0" w:color="auto"/>
            <w:right w:val="none" w:sz="0" w:space="0" w:color="auto"/>
          </w:divBdr>
        </w:div>
        <w:div w:id="294720581">
          <w:marLeft w:val="480"/>
          <w:marRight w:val="0"/>
          <w:marTop w:val="0"/>
          <w:marBottom w:val="0"/>
          <w:divBdr>
            <w:top w:val="none" w:sz="0" w:space="0" w:color="auto"/>
            <w:left w:val="none" w:sz="0" w:space="0" w:color="auto"/>
            <w:bottom w:val="none" w:sz="0" w:space="0" w:color="auto"/>
            <w:right w:val="none" w:sz="0" w:space="0" w:color="auto"/>
          </w:divBdr>
        </w:div>
        <w:div w:id="799109979">
          <w:marLeft w:val="480"/>
          <w:marRight w:val="0"/>
          <w:marTop w:val="0"/>
          <w:marBottom w:val="0"/>
          <w:divBdr>
            <w:top w:val="none" w:sz="0" w:space="0" w:color="auto"/>
            <w:left w:val="none" w:sz="0" w:space="0" w:color="auto"/>
            <w:bottom w:val="none" w:sz="0" w:space="0" w:color="auto"/>
            <w:right w:val="none" w:sz="0" w:space="0" w:color="auto"/>
          </w:divBdr>
        </w:div>
        <w:div w:id="59791034">
          <w:marLeft w:val="480"/>
          <w:marRight w:val="0"/>
          <w:marTop w:val="0"/>
          <w:marBottom w:val="0"/>
          <w:divBdr>
            <w:top w:val="none" w:sz="0" w:space="0" w:color="auto"/>
            <w:left w:val="none" w:sz="0" w:space="0" w:color="auto"/>
            <w:bottom w:val="none" w:sz="0" w:space="0" w:color="auto"/>
            <w:right w:val="none" w:sz="0" w:space="0" w:color="auto"/>
          </w:divBdr>
        </w:div>
      </w:divsChild>
    </w:div>
    <w:div w:id="1117064646">
      <w:bodyDiv w:val="1"/>
      <w:marLeft w:val="0"/>
      <w:marRight w:val="0"/>
      <w:marTop w:val="0"/>
      <w:marBottom w:val="0"/>
      <w:divBdr>
        <w:top w:val="none" w:sz="0" w:space="0" w:color="auto"/>
        <w:left w:val="none" w:sz="0" w:space="0" w:color="auto"/>
        <w:bottom w:val="none" w:sz="0" w:space="0" w:color="auto"/>
        <w:right w:val="none" w:sz="0" w:space="0" w:color="auto"/>
      </w:divBdr>
    </w:div>
    <w:div w:id="1126587274">
      <w:bodyDiv w:val="1"/>
      <w:marLeft w:val="0"/>
      <w:marRight w:val="0"/>
      <w:marTop w:val="0"/>
      <w:marBottom w:val="0"/>
      <w:divBdr>
        <w:top w:val="none" w:sz="0" w:space="0" w:color="auto"/>
        <w:left w:val="none" w:sz="0" w:space="0" w:color="auto"/>
        <w:bottom w:val="none" w:sz="0" w:space="0" w:color="auto"/>
        <w:right w:val="none" w:sz="0" w:space="0" w:color="auto"/>
      </w:divBdr>
    </w:div>
    <w:div w:id="1141118455">
      <w:bodyDiv w:val="1"/>
      <w:marLeft w:val="0"/>
      <w:marRight w:val="0"/>
      <w:marTop w:val="0"/>
      <w:marBottom w:val="0"/>
      <w:divBdr>
        <w:top w:val="none" w:sz="0" w:space="0" w:color="auto"/>
        <w:left w:val="none" w:sz="0" w:space="0" w:color="auto"/>
        <w:bottom w:val="none" w:sz="0" w:space="0" w:color="auto"/>
        <w:right w:val="none" w:sz="0" w:space="0" w:color="auto"/>
      </w:divBdr>
    </w:div>
    <w:div w:id="1141387689">
      <w:bodyDiv w:val="1"/>
      <w:marLeft w:val="0"/>
      <w:marRight w:val="0"/>
      <w:marTop w:val="0"/>
      <w:marBottom w:val="0"/>
      <w:divBdr>
        <w:top w:val="none" w:sz="0" w:space="0" w:color="auto"/>
        <w:left w:val="none" w:sz="0" w:space="0" w:color="auto"/>
        <w:bottom w:val="none" w:sz="0" w:space="0" w:color="auto"/>
        <w:right w:val="none" w:sz="0" w:space="0" w:color="auto"/>
      </w:divBdr>
    </w:div>
    <w:div w:id="1143809754">
      <w:bodyDiv w:val="1"/>
      <w:marLeft w:val="0"/>
      <w:marRight w:val="0"/>
      <w:marTop w:val="0"/>
      <w:marBottom w:val="0"/>
      <w:divBdr>
        <w:top w:val="none" w:sz="0" w:space="0" w:color="auto"/>
        <w:left w:val="none" w:sz="0" w:space="0" w:color="auto"/>
        <w:bottom w:val="none" w:sz="0" w:space="0" w:color="auto"/>
        <w:right w:val="none" w:sz="0" w:space="0" w:color="auto"/>
      </w:divBdr>
    </w:div>
    <w:div w:id="1145662732">
      <w:bodyDiv w:val="1"/>
      <w:marLeft w:val="0"/>
      <w:marRight w:val="0"/>
      <w:marTop w:val="0"/>
      <w:marBottom w:val="0"/>
      <w:divBdr>
        <w:top w:val="none" w:sz="0" w:space="0" w:color="auto"/>
        <w:left w:val="none" w:sz="0" w:space="0" w:color="auto"/>
        <w:bottom w:val="none" w:sz="0" w:space="0" w:color="auto"/>
        <w:right w:val="none" w:sz="0" w:space="0" w:color="auto"/>
      </w:divBdr>
    </w:div>
    <w:div w:id="1145858487">
      <w:bodyDiv w:val="1"/>
      <w:marLeft w:val="0"/>
      <w:marRight w:val="0"/>
      <w:marTop w:val="0"/>
      <w:marBottom w:val="0"/>
      <w:divBdr>
        <w:top w:val="none" w:sz="0" w:space="0" w:color="auto"/>
        <w:left w:val="none" w:sz="0" w:space="0" w:color="auto"/>
        <w:bottom w:val="none" w:sz="0" w:space="0" w:color="auto"/>
        <w:right w:val="none" w:sz="0" w:space="0" w:color="auto"/>
      </w:divBdr>
    </w:div>
    <w:div w:id="1153066598">
      <w:bodyDiv w:val="1"/>
      <w:marLeft w:val="0"/>
      <w:marRight w:val="0"/>
      <w:marTop w:val="0"/>
      <w:marBottom w:val="0"/>
      <w:divBdr>
        <w:top w:val="none" w:sz="0" w:space="0" w:color="auto"/>
        <w:left w:val="none" w:sz="0" w:space="0" w:color="auto"/>
        <w:bottom w:val="none" w:sz="0" w:space="0" w:color="auto"/>
        <w:right w:val="none" w:sz="0" w:space="0" w:color="auto"/>
      </w:divBdr>
    </w:div>
    <w:div w:id="1157649279">
      <w:bodyDiv w:val="1"/>
      <w:marLeft w:val="0"/>
      <w:marRight w:val="0"/>
      <w:marTop w:val="0"/>
      <w:marBottom w:val="0"/>
      <w:divBdr>
        <w:top w:val="none" w:sz="0" w:space="0" w:color="auto"/>
        <w:left w:val="none" w:sz="0" w:space="0" w:color="auto"/>
        <w:bottom w:val="none" w:sz="0" w:space="0" w:color="auto"/>
        <w:right w:val="none" w:sz="0" w:space="0" w:color="auto"/>
      </w:divBdr>
    </w:div>
    <w:div w:id="1163157805">
      <w:bodyDiv w:val="1"/>
      <w:marLeft w:val="0"/>
      <w:marRight w:val="0"/>
      <w:marTop w:val="0"/>
      <w:marBottom w:val="0"/>
      <w:divBdr>
        <w:top w:val="none" w:sz="0" w:space="0" w:color="auto"/>
        <w:left w:val="none" w:sz="0" w:space="0" w:color="auto"/>
        <w:bottom w:val="none" w:sz="0" w:space="0" w:color="auto"/>
        <w:right w:val="none" w:sz="0" w:space="0" w:color="auto"/>
      </w:divBdr>
    </w:div>
    <w:div w:id="1164131609">
      <w:bodyDiv w:val="1"/>
      <w:marLeft w:val="0"/>
      <w:marRight w:val="0"/>
      <w:marTop w:val="0"/>
      <w:marBottom w:val="0"/>
      <w:divBdr>
        <w:top w:val="none" w:sz="0" w:space="0" w:color="auto"/>
        <w:left w:val="none" w:sz="0" w:space="0" w:color="auto"/>
        <w:bottom w:val="none" w:sz="0" w:space="0" w:color="auto"/>
        <w:right w:val="none" w:sz="0" w:space="0" w:color="auto"/>
      </w:divBdr>
    </w:div>
    <w:div w:id="1166172776">
      <w:bodyDiv w:val="1"/>
      <w:marLeft w:val="0"/>
      <w:marRight w:val="0"/>
      <w:marTop w:val="0"/>
      <w:marBottom w:val="0"/>
      <w:divBdr>
        <w:top w:val="none" w:sz="0" w:space="0" w:color="auto"/>
        <w:left w:val="none" w:sz="0" w:space="0" w:color="auto"/>
        <w:bottom w:val="none" w:sz="0" w:space="0" w:color="auto"/>
        <w:right w:val="none" w:sz="0" w:space="0" w:color="auto"/>
      </w:divBdr>
    </w:div>
    <w:div w:id="1174224214">
      <w:bodyDiv w:val="1"/>
      <w:marLeft w:val="0"/>
      <w:marRight w:val="0"/>
      <w:marTop w:val="0"/>
      <w:marBottom w:val="0"/>
      <w:divBdr>
        <w:top w:val="none" w:sz="0" w:space="0" w:color="auto"/>
        <w:left w:val="none" w:sz="0" w:space="0" w:color="auto"/>
        <w:bottom w:val="none" w:sz="0" w:space="0" w:color="auto"/>
        <w:right w:val="none" w:sz="0" w:space="0" w:color="auto"/>
      </w:divBdr>
    </w:div>
    <w:div w:id="1177617724">
      <w:bodyDiv w:val="1"/>
      <w:marLeft w:val="0"/>
      <w:marRight w:val="0"/>
      <w:marTop w:val="0"/>
      <w:marBottom w:val="0"/>
      <w:divBdr>
        <w:top w:val="none" w:sz="0" w:space="0" w:color="auto"/>
        <w:left w:val="none" w:sz="0" w:space="0" w:color="auto"/>
        <w:bottom w:val="none" w:sz="0" w:space="0" w:color="auto"/>
        <w:right w:val="none" w:sz="0" w:space="0" w:color="auto"/>
      </w:divBdr>
      <w:divsChild>
        <w:div w:id="2092195908">
          <w:marLeft w:val="480"/>
          <w:marRight w:val="0"/>
          <w:marTop w:val="0"/>
          <w:marBottom w:val="0"/>
          <w:divBdr>
            <w:top w:val="none" w:sz="0" w:space="0" w:color="auto"/>
            <w:left w:val="none" w:sz="0" w:space="0" w:color="auto"/>
            <w:bottom w:val="none" w:sz="0" w:space="0" w:color="auto"/>
            <w:right w:val="none" w:sz="0" w:space="0" w:color="auto"/>
          </w:divBdr>
        </w:div>
        <w:div w:id="1134830192">
          <w:marLeft w:val="480"/>
          <w:marRight w:val="0"/>
          <w:marTop w:val="0"/>
          <w:marBottom w:val="0"/>
          <w:divBdr>
            <w:top w:val="none" w:sz="0" w:space="0" w:color="auto"/>
            <w:left w:val="none" w:sz="0" w:space="0" w:color="auto"/>
            <w:bottom w:val="none" w:sz="0" w:space="0" w:color="auto"/>
            <w:right w:val="none" w:sz="0" w:space="0" w:color="auto"/>
          </w:divBdr>
        </w:div>
        <w:div w:id="781874787">
          <w:marLeft w:val="480"/>
          <w:marRight w:val="0"/>
          <w:marTop w:val="0"/>
          <w:marBottom w:val="0"/>
          <w:divBdr>
            <w:top w:val="none" w:sz="0" w:space="0" w:color="auto"/>
            <w:left w:val="none" w:sz="0" w:space="0" w:color="auto"/>
            <w:bottom w:val="none" w:sz="0" w:space="0" w:color="auto"/>
            <w:right w:val="none" w:sz="0" w:space="0" w:color="auto"/>
          </w:divBdr>
        </w:div>
        <w:div w:id="1687444375">
          <w:marLeft w:val="480"/>
          <w:marRight w:val="0"/>
          <w:marTop w:val="0"/>
          <w:marBottom w:val="0"/>
          <w:divBdr>
            <w:top w:val="none" w:sz="0" w:space="0" w:color="auto"/>
            <w:left w:val="none" w:sz="0" w:space="0" w:color="auto"/>
            <w:bottom w:val="none" w:sz="0" w:space="0" w:color="auto"/>
            <w:right w:val="none" w:sz="0" w:space="0" w:color="auto"/>
          </w:divBdr>
        </w:div>
        <w:div w:id="1607233672">
          <w:marLeft w:val="480"/>
          <w:marRight w:val="0"/>
          <w:marTop w:val="0"/>
          <w:marBottom w:val="0"/>
          <w:divBdr>
            <w:top w:val="none" w:sz="0" w:space="0" w:color="auto"/>
            <w:left w:val="none" w:sz="0" w:space="0" w:color="auto"/>
            <w:bottom w:val="none" w:sz="0" w:space="0" w:color="auto"/>
            <w:right w:val="none" w:sz="0" w:space="0" w:color="auto"/>
          </w:divBdr>
        </w:div>
        <w:div w:id="1047527883">
          <w:marLeft w:val="480"/>
          <w:marRight w:val="0"/>
          <w:marTop w:val="0"/>
          <w:marBottom w:val="0"/>
          <w:divBdr>
            <w:top w:val="none" w:sz="0" w:space="0" w:color="auto"/>
            <w:left w:val="none" w:sz="0" w:space="0" w:color="auto"/>
            <w:bottom w:val="none" w:sz="0" w:space="0" w:color="auto"/>
            <w:right w:val="none" w:sz="0" w:space="0" w:color="auto"/>
          </w:divBdr>
        </w:div>
        <w:div w:id="1609389627">
          <w:marLeft w:val="480"/>
          <w:marRight w:val="0"/>
          <w:marTop w:val="0"/>
          <w:marBottom w:val="0"/>
          <w:divBdr>
            <w:top w:val="none" w:sz="0" w:space="0" w:color="auto"/>
            <w:left w:val="none" w:sz="0" w:space="0" w:color="auto"/>
            <w:bottom w:val="none" w:sz="0" w:space="0" w:color="auto"/>
            <w:right w:val="none" w:sz="0" w:space="0" w:color="auto"/>
          </w:divBdr>
        </w:div>
        <w:div w:id="1203399296">
          <w:marLeft w:val="480"/>
          <w:marRight w:val="0"/>
          <w:marTop w:val="0"/>
          <w:marBottom w:val="0"/>
          <w:divBdr>
            <w:top w:val="none" w:sz="0" w:space="0" w:color="auto"/>
            <w:left w:val="none" w:sz="0" w:space="0" w:color="auto"/>
            <w:bottom w:val="none" w:sz="0" w:space="0" w:color="auto"/>
            <w:right w:val="none" w:sz="0" w:space="0" w:color="auto"/>
          </w:divBdr>
        </w:div>
        <w:div w:id="1609508469">
          <w:marLeft w:val="480"/>
          <w:marRight w:val="0"/>
          <w:marTop w:val="0"/>
          <w:marBottom w:val="0"/>
          <w:divBdr>
            <w:top w:val="none" w:sz="0" w:space="0" w:color="auto"/>
            <w:left w:val="none" w:sz="0" w:space="0" w:color="auto"/>
            <w:bottom w:val="none" w:sz="0" w:space="0" w:color="auto"/>
            <w:right w:val="none" w:sz="0" w:space="0" w:color="auto"/>
          </w:divBdr>
        </w:div>
        <w:div w:id="1820535204">
          <w:marLeft w:val="480"/>
          <w:marRight w:val="0"/>
          <w:marTop w:val="0"/>
          <w:marBottom w:val="0"/>
          <w:divBdr>
            <w:top w:val="none" w:sz="0" w:space="0" w:color="auto"/>
            <w:left w:val="none" w:sz="0" w:space="0" w:color="auto"/>
            <w:bottom w:val="none" w:sz="0" w:space="0" w:color="auto"/>
            <w:right w:val="none" w:sz="0" w:space="0" w:color="auto"/>
          </w:divBdr>
        </w:div>
        <w:div w:id="2102406032">
          <w:marLeft w:val="480"/>
          <w:marRight w:val="0"/>
          <w:marTop w:val="0"/>
          <w:marBottom w:val="0"/>
          <w:divBdr>
            <w:top w:val="none" w:sz="0" w:space="0" w:color="auto"/>
            <w:left w:val="none" w:sz="0" w:space="0" w:color="auto"/>
            <w:bottom w:val="none" w:sz="0" w:space="0" w:color="auto"/>
            <w:right w:val="none" w:sz="0" w:space="0" w:color="auto"/>
          </w:divBdr>
        </w:div>
        <w:div w:id="1195189199">
          <w:marLeft w:val="480"/>
          <w:marRight w:val="0"/>
          <w:marTop w:val="0"/>
          <w:marBottom w:val="0"/>
          <w:divBdr>
            <w:top w:val="none" w:sz="0" w:space="0" w:color="auto"/>
            <w:left w:val="none" w:sz="0" w:space="0" w:color="auto"/>
            <w:bottom w:val="none" w:sz="0" w:space="0" w:color="auto"/>
            <w:right w:val="none" w:sz="0" w:space="0" w:color="auto"/>
          </w:divBdr>
        </w:div>
        <w:div w:id="1416588838">
          <w:marLeft w:val="480"/>
          <w:marRight w:val="0"/>
          <w:marTop w:val="0"/>
          <w:marBottom w:val="0"/>
          <w:divBdr>
            <w:top w:val="none" w:sz="0" w:space="0" w:color="auto"/>
            <w:left w:val="none" w:sz="0" w:space="0" w:color="auto"/>
            <w:bottom w:val="none" w:sz="0" w:space="0" w:color="auto"/>
            <w:right w:val="none" w:sz="0" w:space="0" w:color="auto"/>
          </w:divBdr>
        </w:div>
        <w:div w:id="1148086792">
          <w:marLeft w:val="480"/>
          <w:marRight w:val="0"/>
          <w:marTop w:val="0"/>
          <w:marBottom w:val="0"/>
          <w:divBdr>
            <w:top w:val="none" w:sz="0" w:space="0" w:color="auto"/>
            <w:left w:val="none" w:sz="0" w:space="0" w:color="auto"/>
            <w:bottom w:val="none" w:sz="0" w:space="0" w:color="auto"/>
            <w:right w:val="none" w:sz="0" w:space="0" w:color="auto"/>
          </w:divBdr>
        </w:div>
        <w:div w:id="1593316289">
          <w:marLeft w:val="480"/>
          <w:marRight w:val="0"/>
          <w:marTop w:val="0"/>
          <w:marBottom w:val="0"/>
          <w:divBdr>
            <w:top w:val="none" w:sz="0" w:space="0" w:color="auto"/>
            <w:left w:val="none" w:sz="0" w:space="0" w:color="auto"/>
            <w:bottom w:val="none" w:sz="0" w:space="0" w:color="auto"/>
            <w:right w:val="none" w:sz="0" w:space="0" w:color="auto"/>
          </w:divBdr>
        </w:div>
        <w:div w:id="1629900038">
          <w:marLeft w:val="480"/>
          <w:marRight w:val="0"/>
          <w:marTop w:val="0"/>
          <w:marBottom w:val="0"/>
          <w:divBdr>
            <w:top w:val="none" w:sz="0" w:space="0" w:color="auto"/>
            <w:left w:val="none" w:sz="0" w:space="0" w:color="auto"/>
            <w:bottom w:val="none" w:sz="0" w:space="0" w:color="auto"/>
            <w:right w:val="none" w:sz="0" w:space="0" w:color="auto"/>
          </w:divBdr>
        </w:div>
        <w:div w:id="52701505">
          <w:marLeft w:val="480"/>
          <w:marRight w:val="0"/>
          <w:marTop w:val="0"/>
          <w:marBottom w:val="0"/>
          <w:divBdr>
            <w:top w:val="none" w:sz="0" w:space="0" w:color="auto"/>
            <w:left w:val="none" w:sz="0" w:space="0" w:color="auto"/>
            <w:bottom w:val="none" w:sz="0" w:space="0" w:color="auto"/>
            <w:right w:val="none" w:sz="0" w:space="0" w:color="auto"/>
          </w:divBdr>
        </w:div>
        <w:div w:id="1148477134">
          <w:marLeft w:val="480"/>
          <w:marRight w:val="0"/>
          <w:marTop w:val="0"/>
          <w:marBottom w:val="0"/>
          <w:divBdr>
            <w:top w:val="none" w:sz="0" w:space="0" w:color="auto"/>
            <w:left w:val="none" w:sz="0" w:space="0" w:color="auto"/>
            <w:bottom w:val="none" w:sz="0" w:space="0" w:color="auto"/>
            <w:right w:val="none" w:sz="0" w:space="0" w:color="auto"/>
          </w:divBdr>
        </w:div>
        <w:div w:id="532158745">
          <w:marLeft w:val="480"/>
          <w:marRight w:val="0"/>
          <w:marTop w:val="0"/>
          <w:marBottom w:val="0"/>
          <w:divBdr>
            <w:top w:val="none" w:sz="0" w:space="0" w:color="auto"/>
            <w:left w:val="none" w:sz="0" w:space="0" w:color="auto"/>
            <w:bottom w:val="none" w:sz="0" w:space="0" w:color="auto"/>
            <w:right w:val="none" w:sz="0" w:space="0" w:color="auto"/>
          </w:divBdr>
        </w:div>
        <w:div w:id="1878542423">
          <w:marLeft w:val="480"/>
          <w:marRight w:val="0"/>
          <w:marTop w:val="0"/>
          <w:marBottom w:val="0"/>
          <w:divBdr>
            <w:top w:val="none" w:sz="0" w:space="0" w:color="auto"/>
            <w:left w:val="none" w:sz="0" w:space="0" w:color="auto"/>
            <w:bottom w:val="none" w:sz="0" w:space="0" w:color="auto"/>
            <w:right w:val="none" w:sz="0" w:space="0" w:color="auto"/>
          </w:divBdr>
        </w:div>
      </w:divsChild>
    </w:div>
    <w:div w:id="1177842023">
      <w:bodyDiv w:val="1"/>
      <w:marLeft w:val="0"/>
      <w:marRight w:val="0"/>
      <w:marTop w:val="0"/>
      <w:marBottom w:val="0"/>
      <w:divBdr>
        <w:top w:val="none" w:sz="0" w:space="0" w:color="auto"/>
        <w:left w:val="none" w:sz="0" w:space="0" w:color="auto"/>
        <w:bottom w:val="none" w:sz="0" w:space="0" w:color="auto"/>
        <w:right w:val="none" w:sz="0" w:space="0" w:color="auto"/>
      </w:divBdr>
    </w:div>
    <w:div w:id="1182664197">
      <w:bodyDiv w:val="1"/>
      <w:marLeft w:val="0"/>
      <w:marRight w:val="0"/>
      <w:marTop w:val="0"/>
      <w:marBottom w:val="0"/>
      <w:divBdr>
        <w:top w:val="none" w:sz="0" w:space="0" w:color="auto"/>
        <w:left w:val="none" w:sz="0" w:space="0" w:color="auto"/>
        <w:bottom w:val="none" w:sz="0" w:space="0" w:color="auto"/>
        <w:right w:val="none" w:sz="0" w:space="0" w:color="auto"/>
      </w:divBdr>
    </w:div>
    <w:div w:id="1185435860">
      <w:bodyDiv w:val="1"/>
      <w:marLeft w:val="0"/>
      <w:marRight w:val="0"/>
      <w:marTop w:val="0"/>
      <w:marBottom w:val="0"/>
      <w:divBdr>
        <w:top w:val="none" w:sz="0" w:space="0" w:color="auto"/>
        <w:left w:val="none" w:sz="0" w:space="0" w:color="auto"/>
        <w:bottom w:val="none" w:sz="0" w:space="0" w:color="auto"/>
        <w:right w:val="none" w:sz="0" w:space="0" w:color="auto"/>
      </w:divBdr>
    </w:div>
    <w:div w:id="1190219444">
      <w:bodyDiv w:val="1"/>
      <w:marLeft w:val="0"/>
      <w:marRight w:val="0"/>
      <w:marTop w:val="0"/>
      <w:marBottom w:val="0"/>
      <w:divBdr>
        <w:top w:val="none" w:sz="0" w:space="0" w:color="auto"/>
        <w:left w:val="none" w:sz="0" w:space="0" w:color="auto"/>
        <w:bottom w:val="none" w:sz="0" w:space="0" w:color="auto"/>
        <w:right w:val="none" w:sz="0" w:space="0" w:color="auto"/>
      </w:divBdr>
    </w:div>
    <w:div w:id="1203975636">
      <w:bodyDiv w:val="1"/>
      <w:marLeft w:val="0"/>
      <w:marRight w:val="0"/>
      <w:marTop w:val="0"/>
      <w:marBottom w:val="0"/>
      <w:divBdr>
        <w:top w:val="none" w:sz="0" w:space="0" w:color="auto"/>
        <w:left w:val="none" w:sz="0" w:space="0" w:color="auto"/>
        <w:bottom w:val="none" w:sz="0" w:space="0" w:color="auto"/>
        <w:right w:val="none" w:sz="0" w:space="0" w:color="auto"/>
      </w:divBdr>
    </w:div>
    <w:div w:id="1204101201">
      <w:bodyDiv w:val="1"/>
      <w:marLeft w:val="0"/>
      <w:marRight w:val="0"/>
      <w:marTop w:val="0"/>
      <w:marBottom w:val="0"/>
      <w:divBdr>
        <w:top w:val="none" w:sz="0" w:space="0" w:color="auto"/>
        <w:left w:val="none" w:sz="0" w:space="0" w:color="auto"/>
        <w:bottom w:val="none" w:sz="0" w:space="0" w:color="auto"/>
        <w:right w:val="none" w:sz="0" w:space="0" w:color="auto"/>
      </w:divBdr>
    </w:div>
    <w:div w:id="1212615496">
      <w:bodyDiv w:val="1"/>
      <w:marLeft w:val="0"/>
      <w:marRight w:val="0"/>
      <w:marTop w:val="0"/>
      <w:marBottom w:val="0"/>
      <w:divBdr>
        <w:top w:val="none" w:sz="0" w:space="0" w:color="auto"/>
        <w:left w:val="none" w:sz="0" w:space="0" w:color="auto"/>
        <w:bottom w:val="none" w:sz="0" w:space="0" w:color="auto"/>
        <w:right w:val="none" w:sz="0" w:space="0" w:color="auto"/>
      </w:divBdr>
      <w:divsChild>
        <w:div w:id="18557504">
          <w:marLeft w:val="480"/>
          <w:marRight w:val="0"/>
          <w:marTop w:val="0"/>
          <w:marBottom w:val="0"/>
          <w:divBdr>
            <w:top w:val="none" w:sz="0" w:space="0" w:color="auto"/>
            <w:left w:val="none" w:sz="0" w:space="0" w:color="auto"/>
            <w:bottom w:val="none" w:sz="0" w:space="0" w:color="auto"/>
            <w:right w:val="none" w:sz="0" w:space="0" w:color="auto"/>
          </w:divBdr>
        </w:div>
        <w:div w:id="2091190406">
          <w:marLeft w:val="480"/>
          <w:marRight w:val="0"/>
          <w:marTop w:val="0"/>
          <w:marBottom w:val="0"/>
          <w:divBdr>
            <w:top w:val="none" w:sz="0" w:space="0" w:color="auto"/>
            <w:left w:val="none" w:sz="0" w:space="0" w:color="auto"/>
            <w:bottom w:val="none" w:sz="0" w:space="0" w:color="auto"/>
            <w:right w:val="none" w:sz="0" w:space="0" w:color="auto"/>
          </w:divBdr>
        </w:div>
        <w:div w:id="2000687444">
          <w:marLeft w:val="480"/>
          <w:marRight w:val="0"/>
          <w:marTop w:val="0"/>
          <w:marBottom w:val="0"/>
          <w:divBdr>
            <w:top w:val="none" w:sz="0" w:space="0" w:color="auto"/>
            <w:left w:val="none" w:sz="0" w:space="0" w:color="auto"/>
            <w:bottom w:val="none" w:sz="0" w:space="0" w:color="auto"/>
            <w:right w:val="none" w:sz="0" w:space="0" w:color="auto"/>
          </w:divBdr>
        </w:div>
        <w:div w:id="1517689674">
          <w:marLeft w:val="480"/>
          <w:marRight w:val="0"/>
          <w:marTop w:val="0"/>
          <w:marBottom w:val="0"/>
          <w:divBdr>
            <w:top w:val="none" w:sz="0" w:space="0" w:color="auto"/>
            <w:left w:val="none" w:sz="0" w:space="0" w:color="auto"/>
            <w:bottom w:val="none" w:sz="0" w:space="0" w:color="auto"/>
            <w:right w:val="none" w:sz="0" w:space="0" w:color="auto"/>
          </w:divBdr>
        </w:div>
        <w:div w:id="1662807769">
          <w:marLeft w:val="480"/>
          <w:marRight w:val="0"/>
          <w:marTop w:val="0"/>
          <w:marBottom w:val="0"/>
          <w:divBdr>
            <w:top w:val="none" w:sz="0" w:space="0" w:color="auto"/>
            <w:left w:val="none" w:sz="0" w:space="0" w:color="auto"/>
            <w:bottom w:val="none" w:sz="0" w:space="0" w:color="auto"/>
            <w:right w:val="none" w:sz="0" w:space="0" w:color="auto"/>
          </w:divBdr>
        </w:div>
        <w:div w:id="636960241">
          <w:marLeft w:val="480"/>
          <w:marRight w:val="0"/>
          <w:marTop w:val="0"/>
          <w:marBottom w:val="0"/>
          <w:divBdr>
            <w:top w:val="none" w:sz="0" w:space="0" w:color="auto"/>
            <w:left w:val="none" w:sz="0" w:space="0" w:color="auto"/>
            <w:bottom w:val="none" w:sz="0" w:space="0" w:color="auto"/>
            <w:right w:val="none" w:sz="0" w:space="0" w:color="auto"/>
          </w:divBdr>
        </w:div>
        <w:div w:id="1710568981">
          <w:marLeft w:val="480"/>
          <w:marRight w:val="0"/>
          <w:marTop w:val="0"/>
          <w:marBottom w:val="0"/>
          <w:divBdr>
            <w:top w:val="none" w:sz="0" w:space="0" w:color="auto"/>
            <w:left w:val="none" w:sz="0" w:space="0" w:color="auto"/>
            <w:bottom w:val="none" w:sz="0" w:space="0" w:color="auto"/>
            <w:right w:val="none" w:sz="0" w:space="0" w:color="auto"/>
          </w:divBdr>
        </w:div>
        <w:div w:id="1239242296">
          <w:marLeft w:val="480"/>
          <w:marRight w:val="0"/>
          <w:marTop w:val="0"/>
          <w:marBottom w:val="0"/>
          <w:divBdr>
            <w:top w:val="none" w:sz="0" w:space="0" w:color="auto"/>
            <w:left w:val="none" w:sz="0" w:space="0" w:color="auto"/>
            <w:bottom w:val="none" w:sz="0" w:space="0" w:color="auto"/>
            <w:right w:val="none" w:sz="0" w:space="0" w:color="auto"/>
          </w:divBdr>
        </w:div>
        <w:div w:id="864248621">
          <w:marLeft w:val="480"/>
          <w:marRight w:val="0"/>
          <w:marTop w:val="0"/>
          <w:marBottom w:val="0"/>
          <w:divBdr>
            <w:top w:val="none" w:sz="0" w:space="0" w:color="auto"/>
            <w:left w:val="none" w:sz="0" w:space="0" w:color="auto"/>
            <w:bottom w:val="none" w:sz="0" w:space="0" w:color="auto"/>
            <w:right w:val="none" w:sz="0" w:space="0" w:color="auto"/>
          </w:divBdr>
        </w:div>
        <w:div w:id="1404983278">
          <w:marLeft w:val="480"/>
          <w:marRight w:val="0"/>
          <w:marTop w:val="0"/>
          <w:marBottom w:val="0"/>
          <w:divBdr>
            <w:top w:val="none" w:sz="0" w:space="0" w:color="auto"/>
            <w:left w:val="none" w:sz="0" w:space="0" w:color="auto"/>
            <w:bottom w:val="none" w:sz="0" w:space="0" w:color="auto"/>
            <w:right w:val="none" w:sz="0" w:space="0" w:color="auto"/>
          </w:divBdr>
        </w:div>
        <w:div w:id="1450318369">
          <w:marLeft w:val="480"/>
          <w:marRight w:val="0"/>
          <w:marTop w:val="0"/>
          <w:marBottom w:val="0"/>
          <w:divBdr>
            <w:top w:val="none" w:sz="0" w:space="0" w:color="auto"/>
            <w:left w:val="none" w:sz="0" w:space="0" w:color="auto"/>
            <w:bottom w:val="none" w:sz="0" w:space="0" w:color="auto"/>
            <w:right w:val="none" w:sz="0" w:space="0" w:color="auto"/>
          </w:divBdr>
        </w:div>
        <w:div w:id="88938690">
          <w:marLeft w:val="480"/>
          <w:marRight w:val="0"/>
          <w:marTop w:val="0"/>
          <w:marBottom w:val="0"/>
          <w:divBdr>
            <w:top w:val="none" w:sz="0" w:space="0" w:color="auto"/>
            <w:left w:val="none" w:sz="0" w:space="0" w:color="auto"/>
            <w:bottom w:val="none" w:sz="0" w:space="0" w:color="auto"/>
            <w:right w:val="none" w:sz="0" w:space="0" w:color="auto"/>
          </w:divBdr>
        </w:div>
        <w:div w:id="1481073481">
          <w:marLeft w:val="480"/>
          <w:marRight w:val="0"/>
          <w:marTop w:val="0"/>
          <w:marBottom w:val="0"/>
          <w:divBdr>
            <w:top w:val="none" w:sz="0" w:space="0" w:color="auto"/>
            <w:left w:val="none" w:sz="0" w:space="0" w:color="auto"/>
            <w:bottom w:val="none" w:sz="0" w:space="0" w:color="auto"/>
            <w:right w:val="none" w:sz="0" w:space="0" w:color="auto"/>
          </w:divBdr>
        </w:div>
        <w:div w:id="245502377">
          <w:marLeft w:val="480"/>
          <w:marRight w:val="0"/>
          <w:marTop w:val="0"/>
          <w:marBottom w:val="0"/>
          <w:divBdr>
            <w:top w:val="none" w:sz="0" w:space="0" w:color="auto"/>
            <w:left w:val="none" w:sz="0" w:space="0" w:color="auto"/>
            <w:bottom w:val="none" w:sz="0" w:space="0" w:color="auto"/>
            <w:right w:val="none" w:sz="0" w:space="0" w:color="auto"/>
          </w:divBdr>
        </w:div>
        <w:div w:id="110052358">
          <w:marLeft w:val="480"/>
          <w:marRight w:val="0"/>
          <w:marTop w:val="0"/>
          <w:marBottom w:val="0"/>
          <w:divBdr>
            <w:top w:val="none" w:sz="0" w:space="0" w:color="auto"/>
            <w:left w:val="none" w:sz="0" w:space="0" w:color="auto"/>
            <w:bottom w:val="none" w:sz="0" w:space="0" w:color="auto"/>
            <w:right w:val="none" w:sz="0" w:space="0" w:color="auto"/>
          </w:divBdr>
        </w:div>
        <w:div w:id="602763255">
          <w:marLeft w:val="480"/>
          <w:marRight w:val="0"/>
          <w:marTop w:val="0"/>
          <w:marBottom w:val="0"/>
          <w:divBdr>
            <w:top w:val="none" w:sz="0" w:space="0" w:color="auto"/>
            <w:left w:val="none" w:sz="0" w:space="0" w:color="auto"/>
            <w:bottom w:val="none" w:sz="0" w:space="0" w:color="auto"/>
            <w:right w:val="none" w:sz="0" w:space="0" w:color="auto"/>
          </w:divBdr>
        </w:div>
        <w:div w:id="1899626705">
          <w:marLeft w:val="480"/>
          <w:marRight w:val="0"/>
          <w:marTop w:val="0"/>
          <w:marBottom w:val="0"/>
          <w:divBdr>
            <w:top w:val="none" w:sz="0" w:space="0" w:color="auto"/>
            <w:left w:val="none" w:sz="0" w:space="0" w:color="auto"/>
            <w:bottom w:val="none" w:sz="0" w:space="0" w:color="auto"/>
            <w:right w:val="none" w:sz="0" w:space="0" w:color="auto"/>
          </w:divBdr>
        </w:div>
      </w:divsChild>
    </w:div>
    <w:div w:id="1225140684">
      <w:bodyDiv w:val="1"/>
      <w:marLeft w:val="0"/>
      <w:marRight w:val="0"/>
      <w:marTop w:val="0"/>
      <w:marBottom w:val="0"/>
      <w:divBdr>
        <w:top w:val="none" w:sz="0" w:space="0" w:color="auto"/>
        <w:left w:val="none" w:sz="0" w:space="0" w:color="auto"/>
        <w:bottom w:val="none" w:sz="0" w:space="0" w:color="auto"/>
        <w:right w:val="none" w:sz="0" w:space="0" w:color="auto"/>
      </w:divBdr>
    </w:div>
    <w:div w:id="1229802442">
      <w:bodyDiv w:val="1"/>
      <w:marLeft w:val="0"/>
      <w:marRight w:val="0"/>
      <w:marTop w:val="0"/>
      <w:marBottom w:val="0"/>
      <w:divBdr>
        <w:top w:val="none" w:sz="0" w:space="0" w:color="auto"/>
        <w:left w:val="none" w:sz="0" w:space="0" w:color="auto"/>
        <w:bottom w:val="none" w:sz="0" w:space="0" w:color="auto"/>
        <w:right w:val="none" w:sz="0" w:space="0" w:color="auto"/>
      </w:divBdr>
    </w:div>
    <w:div w:id="1231574313">
      <w:bodyDiv w:val="1"/>
      <w:marLeft w:val="0"/>
      <w:marRight w:val="0"/>
      <w:marTop w:val="0"/>
      <w:marBottom w:val="0"/>
      <w:divBdr>
        <w:top w:val="none" w:sz="0" w:space="0" w:color="auto"/>
        <w:left w:val="none" w:sz="0" w:space="0" w:color="auto"/>
        <w:bottom w:val="none" w:sz="0" w:space="0" w:color="auto"/>
        <w:right w:val="none" w:sz="0" w:space="0" w:color="auto"/>
      </w:divBdr>
    </w:div>
    <w:div w:id="1238827925">
      <w:bodyDiv w:val="1"/>
      <w:marLeft w:val="0"/>
      <w:marRight w:val="0"/>
      <w:marTop w:val="0"/>
      <w:marBottom w:val="0"/>
      <w:divBdr>
        <w:top w:val="none" w:sz="0" w:space="0" w:color="auto"/>
        <w:left w:val="none" w:sz="0" w:space="0" w:color="auto"/>
        <w:bottom w:val="none" w:sz="0" w:space="0" w:color="auto"/>
        <w:right w:val="none" w:sz="0" w:space="0" w:color="auto"/>
      </w:divBdr>
    </w:div>
    <w:div w:id="1250388478">
      <w:bodyDiv w:val="1"/>
      <w:marLeft w:val="0"/>
      <w:marRight w:val="0"/>
      <w:marTop w:val="0"/>
      <w:marBottom w:val="0"/>
      <w:divBdr>
        <w:top w:val="none" w:sz="0" w:space="0" w:color="auto"/>
        <w:left w:val="none" w:sz="0" w:space="0" w:color="auto"/>
        <w:bottom w:val="none" w:sz="0" w:space="0" w:color="auto"/>
        <w:right w:val="none" w:sz="0" w:space="0" w:color="auto"/>
      </w:divBdr>
    </w:div>
    <w:div w:id="1252006261">
      <w:bodyDiv w:val="1"/>
      <w:marLeft w:val="0"/>
      <w:marRight w:val="0"/>
      <w:marTop w:val="0"/>
      <w:marBottom w:val="0"/>
      <w:divBdr>
        <w:top w:val="none" w:sz="0" w:space="0" w:color="auto"/>
        <w:left w:val="none" w:sz="0" w:space="0" w:color="auto"/>
        <w:bottom w:val="none" w:sz="0" w:space="0" w:color="auto"/>
        <w:right w:val="none" w:sz="0" w:space="0" w:color="auto"/>
      </w:divBdr>
    </w:div>
    <w:div w:id="1259413070">
      <w:bodyDiv w:val="1"/>
      <w:marLeft w:val="0"/>
      <w:marRight w:val="0"/>
      <w:marTop w:val="0"/>
      <w:marBottom w:val="0"/>
      <w:divBdr>
        <w:top w:val="none" w:sz="0" w:space="0" w:color="auto"/>
        <w:left w:val="none" w:sz="0" w:space="0" w:color="auto"/>
        <w:bottom w:val="none" w:sz="0" w:space="0" w:color="auto"/>
        <w:right w:val="none" w:sz="0" w:space="0" w:color="auto"/>
      </w:divBdr>
      <w:divsChild>
        <w:div w:id="1142699579">
          <w:marLeft w:val="480"/>
          <w:marRight w:val="0"/>
          <w:marTop w:val="0"/>
          <w:marBottom w:val="0"/>
          <w:divBdr>
            <w:top w:val="none" w:sz="0" w:space="0" w:color="auto"/>
            <w:left w:val="none" w:sz="0" w:space="0" w:color="auto"/>
            <w:bottom w:val="none" w:sz="0" w:space="0" w:color="auto"/>
            <w:right w:val="none" w:sz="0" w:space="0" w:color="auto"/>
          </w:divBdr>
        </w:div>
        <w:div w:id="112094328">
          <w:marLeft w:val="480"/>
          <w:marRight w:val="0"/>
          <w:marTop w:val="0"/>
          <w:marBottom w:val="0"/>
          <w:divBdr>
            <w:top w:val="none" w:sz="0" w:space="0" w:color="auto"/>
            <w:left w:val="none" w:sz="0" w:space="0" w:color="auto"/>
            <w:bottom w:val="none" w:sz="0" w:space="0" w:color="auto"/>
            <w:right w:val="none" w:sz="0" w:space="0" w:color="auto"/>
          </w:divBdr>
        </w:div>
        <w:div w:id="1632251689">
          <w:marLeft w:val="480"/>
          <w:marRight w:val="0"/>
          <w:marTop w:val="0"/>
          <w:marBottom w:val="0"/>
          <w:divBdr>
            <w:top w:val="none" w:sz="0" w:space="0" w:color="auto"/>
            <w:left w:val="none" w:sz="0" w:space="0" w:color="auto"/>
            <w:bottom w:val="none" w:sz="0" w:space="0" w:color="auto"/>
            <w:right w:val="none" w:sz="0" w:space="0" w:color="auto"/>
          </w:divBdr>
        </w:div>
        <w:div w:id="1370378043">
          <w:marLeft w:val="480"/>
          <w:marRight w:val="0"/>
          <w:marTop w:val="0"/>
          <w:marBottom w:val="0"/>
          <w:divBdr>
            <w:top w:val="none" w:sz="0" w:space="0" w:color="auto"/>
            <w:left w:val="none" w:sz="0" w:space="0" w:color="auto"/>
            <w:bottom w:val="none" w:sz="0" w:space="0" w:color="auto"/>
            <w:right w:val="none" w:sz="0" w:space="0" w:color="auto"/>
          </w:divBdr>
        </w:div>
        <w:div w:id="385764049">
          <w:marLeft w:val="480"/>
          <w:marRight w:val="0"/>
          <w:marTop w:val="0"/>
          <w:marBottom w:val="0"/>
          <w:divBdr>
            <w:top w:val="none" w:sz="0" w:space="0" w:color="auto"/>
            <w:left w:val="none" w:sz="0" w:space="0" w:color="auto"/>
            <w:bottom w:val="none" w:sz="0" w:space="0" w:color="auto"/>
            <w:right w:val="none" w:sz="0" w:space="0" w:color="auto"/>
          </w:divBdr>
        </w:div>
        <w:div w:id="1597593271">
          <w:marLeft w:val="480"/>
          <w:marRight w:val="0"/>
          <w:marTop w:val="0"/>
          <w:marBottom w:val="0"/>
          <w:divBdr>
            <w:top w:val="none" w:sz="0" w:space="0" w:color="auto"/>
            <w:left w:val="none" w:sz="0" w:space="0" w:color="auto"/>
            <w:bottom w:val="none" w:sz="0" w:space="0" w:color="auto"/>
            <w:right w:val="none" w:sz="0" w:space="0" w:color="auto"/>
          </w:divBdr>
        </w:div>
        <w:div w:id="1009261873">
          <w:marLeft w:val="480"/>
          <w:marRight w:val="0"/>
          <w:marTop w:val="0"/>
          <w:marBottom w:val="0"/>
          <w:divBdr>
            <w:top w:val="none" w:sz="0" w:space="0" w:color="auto"/>
            <w:left w:val="none" w:sz="0" w:space="0" w:color="auto"/>
            <w:bottom w:val="none" w:sz="0" w:space="0" w:color="auto"/>
            <w:right w:val="none" w:sz="0" w:space="0" w:color="auto"/>
          </w:divBdr>
        </w:div>
        <w:div w:id="1997218996">
          <w:marLeft w:val="480"/>
          <w:marRight w:val="0"/>
          <w:marTop w:val="0"/>
          <w:marBottom w:val="0"/>
          <w:divBdr>
            <w:top w:val="none" w:sz="0" w:space="0" w:color="auto"/>
            <w:left w:val="none" w:sz="0" w:space="0" w:color="auto"/>
            <w:bottom w:val="none" w:sz="0" w:space="0" w:color="auto"/>
            <w:right w:val="none" w:sz="0" w:space="0" w:color="auto"/>
          </w:divBdr>
        </w:div>
        <w:div w:id="426847650">
          <w:marLeft w:val="480"/>
          <w:marRight w:val="0"/>
          <w:marTop w:val="0"/>
          <w:marBottom w:val="0"/>
          <w:divBdr>
            <w:top w:val="none" w:sz="0" w:space="0" w:color="auto"/>
            <w:left w:val="none" w:sz="0" w:space="0" w:color="auto"/>
            <w:bottom w:val="none" w:sz="0" w:space="0" w:color="auto"/>
            <w:right w:val="none" w:sz="0" w:space="0" w:color="auto"/>
          </w:divBdr>
        </w:div>
        <w:div w:id="686448139">
          <w:marLeft w:val="480"/>
          <w:marRight w:val="0"/>
          <w:marTop w:val="0"/>
          <w:marBottom w:val="0"/>
          <w:divBdr>
            <w:top w:val="none" w:sz="0" w:space="0" w:color="auto"/>
            <w:left w:val="none" w:sz="0" w:space="0" w:color="auto"/>
            <w:bottom w:val="none" w:sz="0" w:space="0" w:color="auto"/>
            <w:right w:val="none" w:sz="0" w:space="0" w:color="auto"/>
          </w:divBdr>
        </w:div>
        <w:div w:id="2007047341">
          <w:marLeft w:val="480"/>
          <w:marRight w:val="0"/>
          <w:marTop w:val="0"/>
          <w:marBottom w:val="0"/>
          <w:divBdr>
            <w:top w:val="none" w:sz="0" w:space="0" w:color="auto"/>
            <w:left w:val="none" w:sz="0" w:space="0" w:color="auto"/>
            <w:bottom w:val="none" w:sz="0" w:space="0" w:color="auto"/>
            <w:right w:val="none" w:sz="0" w:space="0" w:color="auto"/>
          </w:divBdr>
        </w:div>
        <w:div w:id="418258059">
          <w:marLeft w:val="480"/>
          <w:marRight w:val="0"/>
          <w:marTop w:val="0"/>
          <w:marBottom w:val="0"/>
          <w:divBdr>
            <w:top w:val="none" w:sz="0" w:space="0" w:color="auto"/>
            <w:left w:val="none" w:sz="0" w:space="0" w:color="auto"/>
            <w:bottom w:val="none" w:sz="0" w:space="0" w:color="auto"/>
            <w:right w:val="none" w:sz="0" w:space="0" w:color="auto"/>
          </w:divBdr>
        </w:div>
        <w:div w:id="132915971">
          <w:marLeft w:val="480"/>
          <w:marRight w:val="0"/>
          <w:marTop w:val="0"/>
          <w:marBottom w:val="0"/>
          <w:divBdr>
            <w:top w:val="none" w:sz="0" w:space="0" w:color="auto"/>
            <w:left w:val="none" w:sz="0" w:space="0" w:color="auto"/>
            <w:bottom w:val="none" w:sz="0" w:space="0" w:color="auto"/>
            <w:right w:val="none" w:sz="0" w:space="0" w:color="auto"/>
          </w:divBdr>
        </w:div>
        <w:div w:id="747113266">
          <w:marLeft w:val="480"/>
          <w:marRight w:val="0"/>
          <w:marTop w:val="0"/>
          <w:marBottom w:val="0"/>
          <w:divBdr>
            <w:top w:val="none" w:sz="0" w:space="0" w:color="auto"/>
            <w:left w:val="none" w:sz="0" w:space="0" w:color="auto"/>
            <w:bottom w:val="none" w:sz="0" w:space="0" w:color="auto"/>
            <w:right w:val="none" w:sz="0" w:space="0" w:color="auto"/>
          </w:divBdr>
        </w:div>
        <w:div w:id="432171911">
          <w:marLeft w:val="480"/>
          <w:marRight w:val="0"/>
          <w:marTop w:val="0"/>
          <w:marBottom w:val="0"/>
          <w:divBdr>
            <w:top w:val="none" w:sz="0" w:space="0" w:color="auto"/>
            <w:left w:val="none" w:sz="0" w:space="0" w:color="auto"/>
            <w:bottom w:val="none" w:sz="0" w:space="0" w:color="auto"/>
            <w:right w:val="none" w:sz="0" w:space="0" w:color="auto"/>
          </w:divBdr>
        </w:div>
        <w:div w:id="1051656538">
          <w:marLeft w:val="480"/>
          <w:marRight w:val="0"/>
          <w:marTop w:val="0"/>
          <w:marBottom w:val="0"/>
          <w:divBdr>
            <w:top w:val="none" w:sz="0" w:space="0" w:color="auto"/>
            <w:left w:val="none" w:sz="0" w:space="0" w:color="auto"/>
            <w:bottom w:val="none" w:sz="0" w:space="0" w:color="auto"/>
            <w:right w:val="none" w:sz="0" w:space="0" w:color="auto"/>
          </w:divBdr>
        </w:div>
        <w:div w:id="1670522769">
          <w:marLeft w:val="480"/>
          <w:marRight w:val="0"/>
          <w:marTop w:val="0"/>
          <w:marBottom w:val="0"/>
          <w:divBdr>
            <w:top w:val="none" w:sz="0" w:space="0" w:color="auto"/>
            <w:left w:val="none" w:sz="0" w:space="0" w:color="auto"/>
            <w:bottom w:val="none" w:sz="0" w:space="0" w:color="auto"/>
            <w:right w:val="none" w:sz="0" w:space="0" w:color="auto"/>
          </w:divBdr>
        </w:div>
        <w:div w:id="1888224215">
          <w:marLeft w:val="480"/>
          <w:marRight w:val="0"/>
          <w:marTop w:val="0"/>
          <w:marBottom w:val="0"/>
          <w:divBdr>
            <w:top w:val="none" w:sz="0" w:space="0" w:color="auto"/>
            <w:left w:val="none" w:sz="0" w:space="0" w:color="auto"/>
            <w:bottom w:val="none" w:sz="0" w:space="0" w:color="auto"/>
            <w:right w:val="none" w:sz="0" w:space="0" w:color="auto"/>
          </w:divBdr>
        </w:div>
        <w:div w:id="1555198856">
          <w:marLeft w:val="480"/>
          <w:marRight w:val="0"/>
          <w:marTop w:val="0"/>
          <w:marBottom w:val="0"/>
          <w:divBdr>
            <w:top w:val="none" w:sz="0" w:space="0" w:color="auto"/>
            <w:left w:val="none" w:sz="0" w:space="0" w:color="auto"/>
            <w:bottom w:val="none" w:sz="0" w:space="0" w:color="auto"/>
            <w:right w:val="none" w:sz="0" w:space="0" w:color="auto"/>
          </w:divBdr>
        </w:div>
        <w:div w:id="1145586685">
          <w:marLeft w:val="480"/>
          <w:marRight w:val="0"/>
          <w:marTop w:val="0"/>
          <w:marBottom w:val="0"/>
          <w:divBdr>
            <w:top w:val="none" w:sz="0" w:space="0" w:color="auto"/>
            <w:left w:val="none" w:sz="0" w:space="0" w:color="auto"/>
            <w:bottom w:val="none" w:sz="0" w:space="0" w:color="auto"/>
            <w:right w:val="none" w:sz="0" w:space="0" w:color="auto"/>
          </w:divBdr>
        </w:div>
        <w:div w:id="1384132079">
          <w:marLeft w:val="480"/>
          <w:marRight w:val="0"/>
          <w:marTop w:val="0"/>
          <w:marBottom w:val="0"/>
          <w:divBdr>
            <w:top w:val="none" w:sz="0" w:space="0" w:color="auto"/>
            <w:left w:val="none" w:sz="0" w:space="0" w:color="auto"/>
            <w:bottom w:val="none" w:sz="0" w:space="0" w:color="auto"/>
            <w:right w:val="none" w:sz="0" w:space="0" w:color="auto"/>
          </w:divBdr>
        </w:div>
      </w:divsChild>
    </w:div>
    <w:div w:id="1281643753">
      <w:bodyDiv w:val="1"/>
      <w:marLeft w:val="0"/>
      <w:marRight w:val="0"/>
      <w:marTop w:val="0"/>
      <w:marBottom w:val="0"/>
      <w:divBdr>
        <w:top w:val="none" w:sz="0" w:space="0" w:color="auto"/>
        <w:left w:val="none" w:sz="0" w:space="0" w:color="auto"/>
        <w:bottom w:val="none" w:sz="0" w:space="0" w:color="auto"/>
        <w:right w:val="none" w:sz="0" w:space="0" w:color="auto"/>
      </w:divBdr>
      <w:divsChild>
        <w:div w:id="1507557176">
          <w:marLeft w:val="480"/>
          <w:marRight w:val="0"/>
          <w:marTop w:val="0"/>
          <w:marBottom w:val="0"/>
          <w:divBdr>
            <w:top w:val="none" w:sz="0" w:space="0" w:color="auto"/>
            <w:left w:val="none" w:sz="0" w:space="0" w:color="auto"/>
            <w:bottom w:val="none" w:sz="0" w:space="0" w:color="auto"/>
            <w:right w:val="none" w:sz="0" w:space="0" w:color="auto"/>
          </w:divBdr>
        </w:div>
        <w:div w:id="928539556">
          <w:marLeft w:val="480"/>
          <w:marRight w:val="0"/>
          <w:marTop w:val="0"/>
          <w:marBottom w:val="0"/>
          <w:divBdr>
            <w:top w:val="none" w:sz="0" w:space="0" w:color="auto"/>
            <w:left w:val="none" w:sz="0" w:space="0" w:color="auto"/>
            <w:bottom w:val="none" w:sz="0" w:space="0" w:color="auto"/>
            <w:right w:val="none" w:sz="0" w:space="0" w:color="auto"/>
          </w:divBdr>
        </w:div>
        <w:div w:id="561987554">
          <w:marLeft w:val="480"/>
          <w:marRight w:val="0"/>
          <w:marTop w:val="0"/>
          <w:marBottom w:val="0"/>
          <w:divBdr>
            <w:top w:val="none" w:sz="0" w:space="0" w:color="auto"/>
            <w:left w:val="none" w:sz="0" w:space="0" w:color="auto"/>
            <w:bottom w:val="none" w:sz="0" w:space="0" w:color="auto"/>
            <w:right w:val="none" w:sz="0" w:space="0" w:color="auto"/>
          </w:divBdr>
        </w:div>
        <w:div w:id="1652102266">
          <w:marLeft w:val="480"/>
          <w:marRight w:val="0"/>
          <w:marTop w:val="0"/>
          <w:marBottom w:val="0"/>
          <w:divBdr>
            <w:top w:val="none" w:sz="0" w:space="0" w:color="auto"/>
            <w:left w:val="none" w:sz="0" w:space="0" w:color="auto"/>
            <w:bottom w:val="none" w:sz="0" w:space="0" w:color="auto"/>
            <w:right w:val="none" w:sz="0" w:space="0" w:color="auto"/>
          </w:divBdr>
        </w:div>
        <w:div w:id="539511268">
          <w:marLeft w:val="480"/>
          <w:marRight w:val="0"/>
          <w:marTop w:val="0"/>
          <w:marBottom w:val="0"/>
          <w:divBdr>
            <w:top w:val="none" w:sz="0" w:space="0" w:color="auto"/>
            <w:left w:val="none" w:sz="0" w:space="0" w:color="auto"/>
            <w:bottom w:val="none" w:sz="0" w:space="0" w:color="auto"/>
            <w:right w:val="none" w:sz="0" w:space="0" w:color="auto"/>
          </w:divBdr>
        </w:div>
        <w:div w:id="1364013174">
          <w:marLeft w:val="480"/>
          <w:marRight w:val="0"/>
          <w:marTop w:val="0"/>
          <w:marBottom w:val="0"/>
          <w:divBdr>
            <w:top w:val="none" w:sz="0" w:space="0" w:color="auto"/>
            <w:left w:val="none" w:sz="0" w:space="0" w:color="auto"/>
            <w:bottom w:val="none" w:sz="0" w:space="0" w:color="auto"/>
            <w:right w:val="none" w:sz="0" w:space="0" w:color="auto"/>
          </w:divBdr>
        </w:div>
        <w:div w:id="863639627">
          <w:marLeft w:val="480"/>
          <w:marRight w:val="0"/>
          <w:marTop w:val="0"/>
          <w:marBottom w:val="0"/>
          <w:divBdr>
            <w:top w:val="none" w:sz="0" w:space="0" w:color="auto"/>
            <w:left w:val="none" w:sz="0" w:space="0" w:color="auto"/>
            <w:bottom w:val="none" w:sz="0" w:space="0" w:color="auto"/>
            <w:right w:val="none" w:sz="0" w:space="0" w:color="auto"/>
          </w:divBdr>
        </w:div>
        <w:div w:id="8337214">
          <w:marLeft w:val="480"/>
          <w:marRight w:val="0"/>
          <w:marTop w:val="0"/>
          <w:marBottom w:val="0"/>
          <w:divBdr>
            <w:top w:val="none" w:sz="0" w:space="0" w:color="auto"/>
            <w:left w:val="none" w:sz="0" w:space="0" w:color="auto"/>
            <w:bottom w:val="none" w:sz="0" w:space="0" w:color="auto"/>
            <w:right w:val="none" w:sz="0" w:space="0" w:color="auto"/>
          </w:divBdr>
        </w:div>
        <w:div w:id="1611621810">
          <w:marLeft w:val="480"/>
          <w:marRight w:val="0"/>
          <w:marTop w:val="0"/>
          <w:marBottom w:val="0"/>
          <w:divBdr>
            <w:top w:val="none" w:sz="0" w:space="0" w:color="auto"/>
            <w:left w:val="none" w:sz="0" w:space="0" w:color="auto"/>
            <w:bottom w:val="none" w:sz="0" w:space="0" w:color="auto"/>
            <w:right w:val="none" w:sz="0" w:space="0" w:color="auto"/>
          </w:divBdr>
        </w:div>
        <w:div w:id="1974166826">
          <w:marLeft w:val="480"/>
          <w:marRight w:val="0"/>
          <w:marTop w:val="0"/>
          <w:marBottom w:val="0"/>
          <w:divBdr>
            <w:top w:val="none" w:sz="0" w:space="0" w:color="auto"/>
            <w:left w:val="none" w:sz="0" w:space="0" w:color="auto"/>
            <w:bottom w:val="none" w:sz="0" w:space="0" w:color="auto"/>
            <w:right w:val="none" w:sz="0" w:space="0" w:color="auto"/>
          </w:divBdr>
        </w:div>
        <w:div w:id="741684849">
          <w:marLeft w:val="480"/>
          <w:marRight w:val="0"/>
          <w:marTop w:val="0"/>
          <w:marBottom w:val="0"/>
          <w:divBdr>
            <w:top w:val="none" w:sz="0" w:space="0" w:color="auto"/>
            <w:left w:val="none" w:sz="0" w:space="0" w:color="auto"/>
            <w:bottom w:val="none" w:sz="0" w:space="0" w:color="auto"/>
            <w:right w:val="none" w:sz="0" w:space="0" w:color="auto"/>
          </w:divBdr>
        </w:div>
        <w:div w:id="487592858">
          <w:marLeft w:val="480"/>
          <w:marRight w:val="0"/>
          <w:marTop w:val="0"/>
          <w:marBottom w:val="0"/>
          <w:divBdr>
            <w:top w:val="none" w:sz="0" w:space="0" w:color="auto"/>
            <w:left w:val="none" w:sz="0" w:space="0" w:color="auto"/>
            <w:bottom w:val="none" w:sz="0" w:space="0" w:color="auto"/>
            <w:right w:val="none" w:sz="0" w:space="0" w:color="auto"/>
          </w:divBdr>
        </w:div>
        <w:div w:id="264461918">
          <w:marLeft w:val="480"/>
          <w:marRight w:val="0"/>
          <w:marTop w:val="0"/>
          <w:marBottom w:val="0"/>
          <w:divBdr>
            <w:top w:val="none" w:sz="0" w:space="0" w:color="auto"/>
            <w:left w:val="none" w:sz="0" w:space="0" w:color="auto"/>
            <w:bottom w:val="none" w:sz="0" w:space="0" w:color="auto"/>
            <w:right w:val="none" w:sz="0" w:space="0" w:color="auto"/>
          </w:divBdr>
        </w:div>
        <w:div w:id="1459832439">
          <w:marLeft w:val="480"/>
          <w:marRight w:val="0"/>
          <w:marTop w:val="0"/>
          <w:marBottom w:val="0"/>
          <w:divBdr>
            <w:top w:val="none" w:sz="0" w:space="0" w:color="auto"/>
            <w:left w:val="none" w:sz="0" w:space="0" w:color="auto"/>
            <w:bottom w:val="none" w:sz="0" w:space="0" w:color="auto"/>
            <w:right w:val="none" w:sz="0" w:space="0" w:color="auto"/>
          </w:divBdr>
        </w:div>
        <w:div w:id="1350912927">
          <w:marLeft w:val="480"/>
          <w:marRight w:val="0"/>
          <w:marTop w:val="0"/>
          <w:marBottom w:val="0"/>
          <w:divBdr>
            <w:top w:val="none" w:sz="0" w:space="0" w:color="auto"/>
            <w:left w:val="none" w:sz="0" w:space="0" w:color="auto"/>
            <w:bottom w:val="none" w:sz="0" w:space="0" w:color="auto"/>
            <w:right w:val="none" w:sz="0" w:space="0" w:color="auto"/>
          </w:divBdr>
        </w:div>
        <w:div w:id="950939462">
          <w:marLeft w:val="480"/>
          <w:marRight w:val="0"/>
          <w:marTop w:val="0"/>
          <w:marBottom w:val="0"/>
          <w:divBdr>
            <w:top w:val="none" w:sz="0" w:space="0" w:color="auto"/>
            <w:left w:val="none" w:sz="0" w:space="0" w:color="auto"/>
            <w:bottom w:val="none" w:sz="0" w:space="0" w:color="auto"/>
            <w:right w:val="none" w:sz="0" w:space="0" w:color="auto"/>
          </w:divBdr>
        </w:div>
        <w:div w:id="760835588">
          <w:marLeft w:val="480"/>
          <w:marRight w:val="0"/>
          <w:marTop w:val="0"/>
          <w:marBottom w:val="0"/>
          <w:divBdr>
            <w:top w:val="none" w:sz="0" w:space="0" w:color="auto"/>
            <w:left w:val="none" w:sz="0" w:space="0" w:color="auto"/>
            <w:bottom w:val="none" w:sz="0" w:space="0" w:color="auto"/>
            <w:right w:val="none" w:sz="0" w:space="0" w:color="auto"/>
          </w:divBdr>
        </w:div>
        <w:div w:id="1185365363">
          <w:marLeft w:val="480"/>
          <w:marRight w:val="0"/>
          <w:marTop w:val="0"/>
          <w:marBottom w:val="0"/>
          <w:divBdr>
            <w:top w:val="none" w:sz="0" w:space="0" w:color="auto"/>
            <w:left w:val="none" w:sz="0" w:space="0" w:color="auto"/>
            <w:bottom w:val="none" w:sz="0" w:space="0" w:color="auto"/>
            <w:right w:val="none" w:sz="0" w:space="0" w:color="auto"/>
          </w:divBdr>
        </w:div>
        <w:div w:id="1844317234">
          <w:marLeft w:val="480"/>
          <w:marRight w:val="0"/>
          <w:marTop w:val="0"/>
          <w:marBottom w:val="0"/>
          <w:divBdr>
            <w:top w:val="none" w:sz="0" w:space="0" w:color="auto"/>
            <w:left w:val="none" w:sz="0" w:space="0" w:color="auto"/>
            <w:bottom w:val="none" w:sz="0" w:space="0" w:color="auto"/>
            <w:right w:val="none" w:sz="0" w:space="0" w:color="auto"/>
          </w:divBdr>
        </w:div>
        <w:div w:id="1768963478">
          <w:marLeft w:val="480"/>
          <w:marRight w:val="0"/>
          <w:marTop w:val="0"/>
          <w:marBottom w:val="0"/>
          <w:divBdr>
            <w:top w:val="none" w:sz="0" w:space="0" w:color="auto"/>
            <w:left w:val="none" w:sz="0" w:space="0" w:color="auto"/>
            <w:bottom w:val="none" w:sz="0" w:space="0" w:color="auto"/>
            <w:right w:val="none" w:sz="0" w:space="0" w:color="auto"/>
          </w:divBdr>
        </w:div>
      </w:divsChild>
    </w:div>
    <w:div w:id="1288506530">
      <w:bodyDiv w:val="1"/>
      <w:marLeft w:val="0"/>
      <w:marRight w:val="0"/>
      <w:marTop w:val="0"/>
      <w:marBottom w:val="0"/>
      <w:divBdr>
        <w:top w:val="none" w:sz="0" w:space="0" w:color="auto"/>
        <w:left w:val="none" w:sz="0" w:space="0" w:color="auto"/>
        <w:bottom w:val="none" w:sz="0" w:space="0" w:color="auto"/>
        <w:right w:val="none" w:sz="0" w:space="0" w:color="auto"/>
      </w:divBdr>
    </w:div>
    <w:div w:id="1295672329">
      <w:bodyDiv w:val="1"/>
      <w:marLeft w:val="0"/>
      <w:marRight w:val="0"/>
      <w:marTop w:val="0"/>
      <w:marBottom w:val="0"/>
      <w:divBdr>
        <w:top w:val="none" w:sz="0" w:space="0" w:color="auto"/>
        <w:left w:val="none" w:sz="0" w:space="0" w:color="auto"/>
        <w:bottom w:val="none" w:sz="0" w:space="0" w:color="auto"/>
        <w:right w:val="none" w:sz="0" w:space="0" w:color="auto"/>
      </w:divBdr>
    </w:div>
    <w:div w:id="1297250657">
      <w:bodyDiv w:val="1"/>
      <w:marLeft w:val="0"/>
      <w:marRight w:val="0"/>
      <w:marTop w:val="0"/>
      <w:marBottom w:val="0"/>
      <w:divBdr>
        <w:top w:val="none" w:sz="0" w:space="0" w:color="auto"/>
        <w:left w:val="none" w:sz="0" w:space="0" w:color="auto"/>
        <w:bottom w:val="none" w:sz="0" w:space="0" w:color="auto"/>
        <w:right w:val="none" w:sz="0" w:space="0" w:color="auto"/>
      </w:divBdr>
    </w:div>
    <w:div w:id="1299920449">
      <w:bodyDiv w:val="1"/>
      <w:marLeft w:val="0"/>
      <w:marRight w:val="0"/>
      <w:marTop w:val="0"/>
      <w:marBottom w:val="0"/>
      <w:divBdr>
        <w:top w:val="none" w:sz="0" w:space="0" w:color="auto"/>
        <w:left w:val="none" w:sz="0" w:space="0" w:color="auto"/>
        <w:bottom w:val="none" w:sz="0" w:space="0" w:color="auto"/>
        <w:right w:val="none" w:sz="0" w:space="0" w:color="auto"/>
      </w:divBdr>
    </w:div>
    <w:div w:id="1300258750">
      <w:bodyDiv w:val="1"/>
      <w:marLeft w:val="0"/>
      <w:marRight w:val="0"/>
      <w:marTop w:val="0"/>
      <w:marBottom w:val="0"/>
      <w:divBdr>
        <w:top w:val="none" w:sz="0" w:space="0" w:color="auto"/>
        <w:left w:val="none" w:sz="0" w:space="0" w:color="auto"/>
        <w:bottom w:val="none" w:sz="0" w:space="0" w:color="auto"/>
        <w:right w:val="none" w:sz="0" w:space="0" w:color="auto"/>
      </w:divBdr>
    </w:div>
    <w:div w:id="1304044496">
      <w:bodyDiv w:val="1"/>
      <w:marLeft w:val="0"/>
      <w:marRight w:val="0"/>
      <w:marTop w:val="0"/>
      <w:marBottom w:val="0"/>
      <w:divBdr>
        <w:top w:val="none" w:sz="0" w:space="0" w:color="auto"/>
        <w:left w:val="none" w:sz="0" w:space="0" w:color="auto"/>
        <w:bottom w:val="none" w:sz="0" w:space="0" w:color="auto"/>
        <w:right w:val="none" w:sz="0" w:space="0" w:color="auto"/>
      </w:divBdr>
    </w:div>
    <w:div w:id="1306082512">
      <w:bodyDiv w:val="1"/>
      <w:marLeft w:val="0"/>
      <w:marRight w:val="0"/>
      <w:marTop w:val="0"/>
      <w:marBottom w:val="0"/>
      <w:divBdr>
        <w:top w:val="none" w:sz="0" w:space="0" w:color="auto"/>
        <w:left w:val="none" w:sz="0" w:space="0" w:color="auto"/>
        <w:bottom w:val="none" w:sz="0" w:space="0" w:color="auto"/>
        <w:right w:val="none" w:sz="0" w:space="0" w:color="auto"/>
      </w:divBdr>
    </w:div>
    <w:div w:id="1310086831">
      <w:bodyDiv w:val="1"/>
      <w:marLeft w:val="0"/>
      <w:marRight w:val="0"/>
      <w:marTop w:val="0"/>
      <w:marBottom w:val="0"/>
      <w:divBdr>
        <w:top w:val="none" w:sz="0" w:space="0" w:color="auto"/>
        <w:left w:val="none" w:sz="0" w:space="0" w:color="auto"/>
        <w:bottom w:val="none" w:sz="0" w:space="0" w:color="auto"/>
        <w:right w:val="none" w:sz="0" w:space="0" w:color="auto"/>
      </w:divBdr>
    </w:div>
    <w:div w:id="1313288215">
      <w:bodyDiv w:val="1"/>
      <w:marLeft w:val="0"/>
      <w:marRight w:val="0"/>
      <w:marTop w:val="0"/>
      <w:marBottom w:val="0"/>
      <w:divBdr>
        <w:top w:val="none" w:sz="0" w:space="0" w:color="auto"/>
        <w:left w:val="none" w:sz="0" w:space="0" w:color="auto"/>
        <w:bottom w:val="none" w:sz="0" w:space="0" w:color="auto"/>
        <w:right w:val="none" w:sz="0" w:space="0" w:color="auto"/>
      </w:divBdr>
    </w:div>
    <w:div w:id="1315833072">
      <w:bodyDiv w:val="1"/>
      <w:marLeft w:val="0"/>
      <w:marRight w:val="0"/>
      <w:marTop w:val="0"/>
      <w:marBottom w:val="0"/>
      <w:divBdr>
        <w:top w:val="none" w:sz="0" w:space="0" w:color="auto"/>
        <w:left w:val="none" w:sz="0" w:space="0" w:color="auto"/>
        <w:bottom w:val="none" w:sz="0" w:space="0" w:color="auto"/>
        <w:right w:val="none" w:sz="0" w:space="0" w:color="auto"/>
      </w:divBdr>
    </w:div>
    <w:div w:id="1317295909">
      <w:bodyDiv w:val="1"/>
      <w:marLeft w:val="0"/>
      <w:marRight w:val="0"/>
      <w:marTop w:val="0"/>
      <w:marBottom w:val="0"/>
      <w:divBdr>
        <w:top w:val="none" w:sz="0" w:space="0" w:color="auto"/>
        <w:left w:val="none" w:sz="0" w:space="0" w:color="auto"/>
        <w:bottom w:val="none" w:sz="0" w:space="0" w:color="auto"/>
        <w:right w:val="none" w:sz="0" w:space="0" w:color="auto"/>
      </w:divBdr>
      <w:divsChild>
        <w:div w:id="555316067">
          <w:marLeft w:val="480"/>
          <w:marRight w:val="0"/>
          <w:marTop w:val="0"/>
          <w:marBottom w:val="0"/>
          <w:divBdr>
            <w:top w:val="none" w:sz="0" w:space="0" w:color="auto"/>
            <w:left w:val="none" w:sz="0" w:space="0" w:color="auto"/>
            <w:bottom w:val="none" w:sz="0" w:space="0" w:color="auto"/>
            <w:right w:val="none" w:sz="0" w:space="0" w:color="auto"/>
          </w:divBdr>
        </w:div>
        <w:div w:id="1396783542">
          <w:marLeft w:val="480"/>
          <w:marRight w:val="0"/>
          <w:marTop w:val="0"/>
          <w:marBottom w:val="0"/>
          <w:divBdr>
            <w:top w:val="none" w:sz="0" w:space="0" w:color="auto"/>
            <w:left w:val="none" w:sz="0" w:space="0" w:color="auto"/>
            <w:bottom w:val="none" w:sz="0" w:space="0" w:color="auto"/>
            <w:right w:val="none" w:sz="0" w:space="0" w:color="auto"/>
          </w:divBdr>
        </w:div>
        <w:div w:id="57242772">
          <w:marLeft w:val="480"/>
          <w:marRight w:val="0"/>
          <w:marTop w:val="0"/>
          <w:marBottom w:val="0"/>
          <w:divBdr>
            <w:top w:val="none" w:sz="0" w:space="0" w:color="auto"/>
            <w:left w:val="none" w:sz="0" w:space="0" w:color="auto"/>
            <w:bottom w:val="none" w:sz="0" w:space="0" w:color="auto"/>
            <w:right w:val="none" w:sz="0" w:space="0" w:color="auto"/>
          </w:divBdr>
        </w:div>
        <w:div w:id="1941528415">
          <w:marLeft w:val="480"/>
          <w:marRight w:val="0"/>
          <w:marTop w:val="0"/>
          <w:marBottom w:val="0"/>
          <w:divBdr>
            <w:top w:val="none" w:sz="0" w:space="0" w:color="auto"/>
            <w:left w:val="none" w:sz="0" w:space="0" w:color="auto"/>
            <w:bottom w:val="none" w:sz="0" w:space="0" w:color="auto"/>
            <w:right w:val="none" w:sz="0" w:space="0" w:color="auto"/>
          </w:divBdr>
        </w:div>
        <w:div w:id="1753354330">
          <w:marLeft w:val="480"/>
          <w:marRight w:val="0"/>
          <w:marTop w:val="0"/>
          <w:marBottom w:val="0"/>
          <w:divBdr>
            <w:top w:val="none" w:sz="0" w:space="0" w:color="auto"/>
            <w:left w:val="none" w:sz="0" w:space="0" w:color="auto"/>
            <w:bottom w:val="none" w:sz="0" w:space="0" w:color="auto"/>
            <w:right w:val="none" w:sz="0" w:space="0" w:color="auto"/>
          </w:divBdr>
        </w:div>
        <w:div w:id="1455252496">
          <w:marLeft w:val="480"/>
          <w:marRight w:val="0"/>
          <w:marTop w:val="0"/>
          <w:marBottom w:val="0"/>
          <w:divBdr>
            <w:top w:val="none" w:sz="0" w:space="0" w:color="auto"/>
            <w:left w:val="none" w:sz="0" w:space="0" w:color="auto"/>
            <w:bottom w:val="none" w:sz="0" w:space="0" w:color="auto"/>
            <w:right w:val="none" w:sz="0" w:space="0" w:color="auto"/>
          </w:divBdr>
        </w:div>
        <w:div w:id="1302227930">
          <w:marLeft w:val="480"/>
          <w:marRight w:val="0"/>
          <w:marTop w:val="0"/>
          <w:marBottom w:val="0"/>
          <w:divBdr>
            <w:top w:val="none" w:sz="0" w:space="0" w:color="auto"/>
            <w:left w:val="none" w:sz="0" w:space="0" w:color="auto"/>
            <w:bottom w:val="none" w:sz="0" w:space="0" w:color="auto"/>
            <w:right w:val="none" w:sz="0" w:space="0" w:color="auto"/>
          </w:divBdr>
        </w:div>
        <w:div w:id="577524165">
          <w:marLeft w:val="480"/>
          <w:marRight w:val="0"/>
          <w:marTop w:val="0"/>
          <w:marBottom w:val="0"/>
          <w:divBdr>
            <w:top w:val="none" w:sz="0" w:space="0" w:color="auto"/>
            <w:left w:val="none" w:sz="0" w:space="0" w:color="auto"/>
            <w:bottom w:val="none" w:sz="0" w:space="0" w:color="auto"/>
            <w:right w:val="none" w:sz="0" w:space="0" w:color="auto"/>
          </w:divBdr>
        </w:div>
        <w:div w:id="42753577">
          <w:marLeft w:val="480"/>
          <w:marRight w:val="0"/>
          <w:marTop w:val="0"/>
          <w:marBottom w:val="0"/>
          <w:divBdr>
            <w:top w:val="none" w:sz="0" w:space="0" w:color="auto"/>
            <w:left w:val="none" w:sz="0" w:space="0" w:color="auto"/>
            <w:bottom w:val="none" w:sz="0" w:space="0" w:color="auto"/>
            <w:right w:val="none" w:sz="0" w:space="0" w:color="auto"/>
          </w:divBdr>
        </w:div>
        <w:div w:id="1592853721">
          <w:marLeft w:val="480"/>
          <w:marRight w:val="0"/>
          <w:marTop w:val="0"/>
          <w:marBottom w:val="0"/>
          <w:divBdr>
            <w:top w:val="none" w:sz="0" w:space="0" w:color="auto"/>
            <w:left w:val="none" w:sz="0" w:space="0" w:color="auto"/>
            <w:bottom w:val="none" w:sz="0" w:space="0" w:color="auto"/>
            <w:right w:val="none" w:sz="0" w:space="0" w:color="auto"/>
          </w:divBdr>
        </w:div>
        <w:div w:id="215552587">
          <w:marLeft w:val="480"/>
          <w:marRight w:val="0"/>
          <w:marTop w:val="0"/>
          <w:marBottom w:val="0"/>
          <w:divBdr>
            <w:top w:val="none" w:sz="0" w:space="0" w:color="auto"/>
            <w:left w:val="none" w:sz="0" w:space="0" w:color="auto"/>
            <w:bottom w:val="none" w:sz="0" w:space="0" w:color="auto"/>
            <w:right w:val="none" w:sz="0" w:space="0" w:color="auto"/>
          </w:divBdr>
        </w:div>
        <w:div w:id="1727753289">
          <w:marLeft w:val="480"/>
          <w:marRight w:val="0"/>
          <w:marTop w:val="0"/>
          <w:marBottom w:val="0"/>
          <w:divBdr>
            <w:top w:val="none" w:sz="0" w:space="0" w:color="auto"/>
            <w:left w:val="none" w:sz="0" w:space="0" w:color="auto"/>
            <w:bottom w:val="none" w:sz="0" w:space="0" w:color="auto"/>
            <w:right w:val="none" w:sz="0" w:space="0" w:color="auto"/>
          </w:divBdr>
        </w:div>
        <w:div w:id="1318219508">
          <w:marLeft w:val="480"/>
          <w:marRight w:val="0"/>
          <w:marTop w:val="0"/>
          <w:marBottom w:val="0"/>
          <w:divBdr>
            <w:top w:val="none" w:sz="0" w:space="0" w:color="auto"/>
            <w:left w:val="none" w:sz="0" w:space="0" w:color="auto"/>
            <w:bottom w:val="none" w:sz="0" w:space="0" w:color="auto"/>
            <w:right w:val="none" w:sz="0" w:space="0" w:color="auto"/>
          </w:divBdr>
        </w:div>
        <w:div w:id="1099983624">
          <w:marLeft w:val="480"/>
          <w:marRight w:val="0"/>
          <w:marTop w:val="0"/>
          <w:marBottom w:val="0"/>
          <w:divBdr>
            <w:top w:val="none" w:sz="0" w:space="0" w:color="auto"/>
            <w:left w:val="none" w:sz="0" w:space="0" w:color="auto"/>
            <w:bottom w:val="none" w:sz="0" w:space="0" w:color="auto"/>
            <w:right w:val="none" w:sz="0" w:space="0" w:color="auto"/>
          </w:divBdr>
        </w:div>
        <w:div w:id="1051729601">
          <w:marLeft w:val="480"/>
          <w:marRight w:val="0"/>
          <w:marTop w:val="0"/>
          <w:marBottom w:val="0"/>
          <w:divBdr>
            <w:top w:val="none" w:sz="0" w:space="0" w:color="auto"/>
            <w:left w:val="none" w:sz="0" w:space="0" w:color="auto"/>
            <w:bottom w:val="none" w:sz="0" w:space="0" w:color="auto"/>
            <w:right w:val="none" w:sz="0" w:space="0" w:color="auto"/>
          </w:divBdr>
        </w:div>
        <w:div w:id="1416975178">
          <w:marLeft w:val="480"/>
          <w:marRight w:val="0"/>
          <w:marTop w:val="0"/>
          <w:marBottom w:val="0"/>
          <w:divBdr>
            <w:top w:val="none" w:sz="0" w:space="0" w:color="auto"/>
            <w:left w:val="none" w:sz="0" w:space="0" w:color="auto"/>
            <w:bottom w:val="none" w:sz="0" w:space="0" w:color="auto"/>
            <w:right w:val="none" w:sz="0" w:space="0" w:color="auto"/>
          </w:divBdr>
        </w:div>
        <w:div w:id="1292903963">
          <w:marLeft w:val="480"/>
          <w:marRight w:val="0"/>
          <w:marTop w:val="0"/>
          <w:marBottom w:val="0"/>
          <w:divBdr>
            <w:top w:val="none" w:sz="0" w:space="0" w:color="auto"/>
            <w:left w:val="none" w:sz="0" w:space="0" w:color="auto"/>
            <w:bottom w:val="none" w:sz="0" w:space="0" w:color="auto"/>
            <w:right w:val="none" w:sz="0" w:space="0" w:color="auto"/>
          </w:divBdr>
        </w:div>
        <w:div w:id="1829978204">
          <w:marLeft w:val="480"/>
          <w:marRight w:val="0"/>
          <w:marTop w:val="0"/>
          <w:marBottom w:val="0"/>
          <w:divBdr>
            <w:top w:val="none" w:sz="0" w:space="0" w:color="auto"/>
            <w:left w:val="none" w:sz="0" w:space="0" w:color="auto"/>
            <w:bottom w:val="none" w:sz="0" w:space="0" w:color="auto"/>
            <w:right w:val="none" w:sz="0" w:space="0" w:color="auto"/>
          </w:divBdr>
        </w:div>
        <w:div w:id="504901360">
          <w:marLeft w:val="480"/>
          <w:marRight w:val="0"/>
          <w:marTop w:val="0"/>
          <w:marBottom w:val="0"/>
          <w:divBdr>
            <w:top w:val="none" w:sz="0" w:space="0" w:color="auto"/>
            <w:left w:val="none" w:sz="0" w:space="0" w:color="auto"/>
            <w:bottom w:val="none" w:sz="0" w:space="0" w:color="auto"/>
            <w:right w:val="none" w:sz="0" w:space="0" w:color="auto"/>
          </w:divBdr>
        </w:div>
        <w:div w:id="864950676">
          <w:marLeft w:val="480"/>
          <w:marRight w:val="0"/>
          <w:marTop w:val="0"/>
          <w:marBottom w:val="0"/>
          <w:divBdr>
            <w:top w:val="none" w:sz="0" w:space="0" w:color="auto"/>
            <w:left w:val="none" w:sz="0" w:space="0" w:color="auto"/>
            <w:bottom w:val="none" w:sz="0" w:space="0" w:color="auto"/>
            <w:right w:val="none" w:sz="0" w:space="0" w:color="auto"/>
          </w:divBdr>
        </w:div>
      </w:divsChild>
    </w:div>
    <w:div w:id="1324352495">
      <w:bodyDiv w:val="1"/>
      <w:marLeft w:val="0"/>
      <w:marRight w:val="0"/>
      <w:marTop w:val="0"/>
      <w:marBottom w:val="0"/>
      <w:divBdr>
        <w:top w:val="none" w:sz="0" w:space="0" w:color="auto"/>
        <w:left w:val="none" w:sz="0" w:space="0" w:color="auto"/>
        <w:bottom w:val="none" w:sz="0" w:space="0" w:color="auto"/>
        <w:right w:val="none" w:sz="0" w:space="0" w:color="auto"/>
      </w:divBdr>
    </w:div>
    <w:div w:id="1333608449">
      <w:bodyDiv w:val="1"/>
      <w:marLeft w:val="0"/>
      <w:marRight w:val="0"/>
      <w:marTop w:val="0"/>
      <w:marBottom w:val="0"/>
      <w:divBdr>
        <w:top w:val="none" w:sz="0" w:space="0" w:color="auto"/>
        <w:left w:val="none" w:sz="0" w:space="0" w:color="auto"/>
        <w:bottom w:val="none" w:sz="0" w:space="0" w:color="auto"/>
        <w:right w:val="none" w:sz="0" w:space="0" w:color="auto"/>
      </w:divBdr>
    </w:div>
    <w:div w:id="1340815955">
      <w:bodyDiv w:val="1"/>
      <w:marLeft w:val="0"/>
      <w:marRight w:val="0"/>
      <w:marTop w:val="0"/>
      <w:marBottom w:val="0"/>
      <w:divBdr>
        <w:top w:val="none" w:sz="0" w:space="0" w:color="auto"/>
        <w:left w:val="none" w:sz="0" w:space="0" w:color="auto"/>
        <w:bottom w:val="none" w:sz="0" w:space="0" w:color="auto"/>
        <w:right w:val="none" w:sz="0" w:space="0" w:color="auto"/>
      </w:divBdr>
    </w:div>
    <w:div w:id="1342007527">
      <w:bodyDiv w:val="1"/>
      <w:marLeft w:val="0"/>
      <w:marRight w:val="0"/>
      <w:marTop w:val="0"/>
      <w:marBottom w:val="0"/>
      <w:divBdr>
        <w:top w:val="none" w:sz="0" w:space="0" w:color="auto"/>
        <w:left w:val="none" w:sz="0" w:space="0" w:color="auto"/>
        <w:bottom w:val="none" w:sz="0" w:space="0" w:color="auto"/>
        <w:right w:val="none" w:sz="0" w:space="0" w:color="auto"/>
      </w:divBdr>
    </w:div>
    <w:div w:id="1342782602">
      <w:bodyDiv w:val="1"/>
      <w:marLeft w:val="0"/>
      <w:marRight w:val="0"/>
      <w:marTop w:val="0"/>
      <w:marBottom w:val="0"/>
      <w:divBdr>
        <w:top w:val="none" w:sz="0" w:space="0" w:color="auto"/>
        <w:left w:val="none" w:sz="0" w:space="0" w:color="auto"/>
        <w:bottom w:val="none" w:sz="0" w:space="0" w:color="auto"/>
        <w:right w:val="none" w:sz="0" w:space="0" w:color="auto"/>
      </w:divBdr>
    </w:div>
    <w:div w:id="1345084710">
      <w:bodyDiv w:val="1"/>
      <w:marLeft w:val="0"/>
      <w:marRight w:val="0"/>
      <w:marTop w:val="0"/>
      <w:marBottom w:val="0"/>
      <w:divBdr>
        <w:top w:val="none" w:sz="0" w:space="0" w:color="auto"/>
        <w:left w:val="none" w:sz="0" w:space="0" w:color="auto"/>
        <w:bottom w:val="none" w:sz="0" w:space="0" w:color="auto"/>
        <w:right w:val="none" w:sz="0" w:space="0" w:color="auto"/>
      </w:divBdr>
    </w:div>
    <w:div w:id="1345086737">
      <w:bodyDiv w:val="1"/>
      <w:marLeft w:val="0"/>
      <w:marRight w:val="0"/>
      <w:marTop w:val="0"/>
      <w:marBottom w:val="0"/>
      <w:divBdr>
        <w:top w:val="none" w:sz="0" w:space="0" w:color="auto"/>
        <w:left w:val="none" w:sz="0" w:space="0" w:color="auto"/>
        <w:bottom w:val="none" w:sz="0" w:space="0" w:color="auto"/>
        <w:right w:val="none" w:sz="0" w:space="0" w:color="auto"/>
      </w:divBdr>
    </w:div>
    <w:div w:id="1346054700">
      <w:bodyDiv w:val="1"/>
      <w:marLeft w:val="0"/>
      <w:marRight w:val="0"/>
      <w:marTop w:val="0"/>
      <w:marBottom w:val="0"/>
      <w:divBdr>
        <w:top w:val="none" w:sz="0" w:space="0" w:color="auto"/>
        <w:left w:val="none" w:sz="0" w:space="0" w:color="auto"/>
        <w:bottom w:val="none" w:sz="0" w:space="0" w:color="auto"/>
        <w:right w:val="none" w:sz="0" w:space="0" w:color="auto"/>
      </w:divBdr>
    </w:div>
    <w:div w:id="1352606964">
      <w:bodyDiv w:val="1"/>
      <w:marLeft w:val="0"/>
      <w:marRight w:val="0"/>
      <w:marTop w:val="0"/>
      <w:marBottom w:val="0"/>
      <w:divBdr>
        <w:top w:val="none" w:sz="0" w:space="0" w:color="auto"/>
        <w:left w:val="none" w:sz="0" w:space="0" w:color="auto"/>
        <w:bottom w:val="none" w:sz="0" w:space="0" w:color="auto"/>
        <w:right w:val="none" w:sz="0" w:space="0" w:color="auto"/>
      </w:divBdr>
    </w:div>
    <w:div w:id="1365397614">
      <w:bodyDiv w:val="1"/>
      <w:marLeft w:val="0"/>
      <w:marRight w:val="0"/>
      <w:marTop w:val="0"/>
      <w:marBottom w:val="0"/>
      <w:divBdr>
        <w:top w:val="none" w:sz="0" w:space="0" w:color="auto"/>
        <w:left w:val="none" w:sz="0" w:space="0" w:color="auto"/>
        <w:bottom w:val="none" w:sz="0" w:space="0" w:color="auto"/>
        <w:right w:val="none" w:sz="0" w:space="0" w:color="auto"/>
      </w:divBdr>
    </w:div>
    <w:div w:id="1372801297">
      <w:bodyDiv w:val="1"/>
      <w:marLeft w:val="0"/>
      <w:marRight w:val="0"/>
      <w:marTop w:val="0"/>
      <w:marBottom w:val="0"/>
      <w:divBdr>
        <w:top w:val="none" w:sz="0" w:space="0" w:color="auto"/>
        <w:left w:val="none" w:sz="0" w:space="0" w:color="auto"/>
        <w:bottom w:val="none" w:sz="0" w:space="0" w:color="auto"/>
        <w:right w:val="none" w:sz="0" w:space="0" w:color="auto"/>
      </w:divBdr>
    </w:div>
    <w:div w:id="1381438797">
      <w:bodyDiv w:val="1"/>
      <w:marLeft w:val="0"/>
      <w:marRight w:val="0"/>
      <w:marTop w:val="0"/>
      <w:marBottom w:val="0"/>
      <w:divBdr>
        <w:top w:val="none" w:sz="0" w:space="0" w:color="auto"/>
        <w:left w:val="none" w:sz="0" w:space="0" w:color="auto"/>
        <w:bottom w:val="none" w:sz="0" w:space="0" w:color="auto"/>
        <w:right w:val="none" w:sz="0" w:space="0" w:color="auto"/>
      </w:divBdr>
      <w:divsChild>
        <w:div w:id="1057974202">
          <w:marLeft w:val="480"/>
          <w:marRight w:val="0"/>
          <w:marTop w:val="0"/>
          <w:marBottom w:val="0"/>
          <w:divBdr>
            <w:top w:val="none" w:sz="0" w:space="0" w:color="auto"/>
            <w:left w:val="none" w:sz="0" w:space="0" w:color="auto"/>
            <w:bottom w:val="none" w:sz="0" w:space="0" w:color="auto"/>
            <w:right w:val="none" w:sz="0" w:space="0" w:color="auto"/>
          </w:divBdr>
        </w:div>
        <w:div w:id="1691835500">
          <w:marLeft w:val="480"/>
          <w:marRight w:val="0"/>
          <w:marTop w:val="0"/>
          <w:marBottom w:val="0"/>
          <w:divBdr>
            <w:top w:val="none" w:sz="0" w:space="0" w:color="auto"/>
            <w:left w:val="none" w:sz="0" w:space="0" w:color="auto"/>
            <w:bottom w:val="none" w:sz="0" w:space="0" w:color="auto"/>
            <w:right w:val="none" w:sz="0" w:space="0" w:color="auto"/>
          </w:divBdr>
        </w:div>
        <w:div w:id="775905463">
          <w:marLeft w:val="480"/>
          <w:marRight w:val="0"/>
          <w:marTop w:val="0"/>
          <w:marBottom w:val="0"/>
          <w:divBdr>
            <w:top w:val="none" w:sz="0" w:space="0" w:color="auto"/>
            <w:left w:val="none" w:sz="0" w:space="0" w:color="auto"/>
            <w:bottom w:val="none" w:sz="0" w:space="0" w:color="auto"/>
            <w:right w:val="none" w:sz="0" w:space="0" w:color="auto"/>
          </w:divBdr>
        </w:div>
        <w:div w:id="2027511030">
          <w:marLeft w:val="480"/>
          <w:marRight w:val="0"/>
          <w:marTop w:val="0"/>
          <w:marBottom w:val="0"/>
          <w:divBdr>
            <w:top w:val="none" w:sz="0" w:space="0" w:color="auto"/>
            <w:left w:val="none" w:sz="0" w:space="0" w:color="auto"/>
            <w:bottom w:val="none" w:sz="0" w:space="0" w:color="auto"/>
            <w:right w:val="none" w:sz="0" w:space="0" w:color="auto"/>
          </w:divBdr>
        </w:div>
        <w:div w:id="1995140882">
          <w:marLeft w:val="480"/>
          <w:marRight w:val="0"/>
          <w:marTop w:val="0"/>
          <w:marBottom w:val="0"/>
          <w:divBdr>
            <w:top w:val="none" w:sz="0" w:space="0" w:color="auto"/>
            <w:left w:val="none" w:sz="0" w:space="0" w:color="auto"/>
            <w:bottom w:val="none" w:sz="0" w:space="0" w:color="auto"/>
            <w:right w:val="none" w:sz="0" w:space="0" w:color="auto"/>
          </w:divBdr>
        </w:div>
        <w:div w:id="534192149">
          <w:marLeft w:val="480"/>
          <w:marRight w:val="0"/>
          <w:marTop w:val="0"/>
          <w:marBottom w:val="0"/>
          <w:divBdr>
            <w:top w:val="none" w:sz="0" w:space="0" w:color="auto"/>
            <w:left w:val="none" w:sz="0" w:space="0" w:color="auto"/>
            <w:bottom w:val="none" w:sz="0" w:space="0" w:color="auto"/>
            <w:right w:val="none" w:sz="0" w:space="0" w:color="auto"/>
          </w:divBdr>
        </w:div>
        <w:div w:id="1498226204">
          <w:marLeft w:val="480"/>
          <w:marRight w:val="0"/>
          <w:marTop w:val="0"/>
          <w:marBottom w:val="0"/>
          <w:divBdr>
            <w:top w:val="none" w:sz="0" w:space="0" w:color="auto"/>
            <w:left w:val="none" w:sz="0" w:space="0" w:color="auto"/>
            <w:bottom w:val="none" w:sz="0" w:space="0" w:color="auto"/>
            <w:right w:val="none" w:sz="0" w:space="0" w:color="auto"/>
          </w:divBdr>
        </w:div>
        <w:div w:id="711001005">
          <w:marLeft w:val="480"/>
          <w:marRight w:val="0"/>
          <w:marTop w:val="0"/>
          <w:marBottom w:val="0"/>
          <w:divBdr>
            <w:top w:val="none" w:sz="0" w:space="0" w:color="auto"/>
            <w:left w:val="none" w:sz="0" w:space="0" w:color="auto"/>
            <w:bottom w:val="none" w:sz="0" w:space="0" w:color="auto"/>
            <w:right w:val="none" w:sz="0" w:space="0" w:color="auto"/>
          </w:divBdr>
        </w:div>
        <w:div w:id="2066759882">
          <w:marLeft w:val="480"/>
          <w:marRight w:val="0"/>
          <w:marTop w:val="0"/>
          <w:marBottom w:val="0"/>
          <w:divBdr>
            <w:top w:val="none" w:sz="0" w:space="0" w:color="auto"/>
            <w:left w:val="none" w:sz="0" w:space="0" w:color="auto"/>
            <w:bottom w:val="none" w:sz="0" w:space="0" w:color="auto"/>
            <w:right w:val="none" w:sz="0" w:space="0" w:color="auto"/>
          </w:divBdr>
        </w:div>
        <w:div w:id="813837544">
          <w:marLeft w:val="480"/>
          <w:marRight w:val="0"/>
          <w:marTop w:val="0"/>
          <w:marBottom w:val="0"/>
          <w:divBdr>
            <w:top w:val="none" w:sz="0" w:space="0" w:color="auto"/>
            <w:left w:val="none" w:sz="0" w:space="0" w:color="auto"/>
            <w:bottom w:val="none" w:sz="0" w:space="0" w:color="auto"/>
            <w:right w:val="none" w:sz="0" w:space="0" w:color="auto"/>
          </w:divBdr>
        </w:div>
        <w:div w:id="1470592928">
          <w:marLeft w:val="480"/>
          <w:marRight w:val="0"/>
          <w:marTop w:val="0"/>
          <w:marBottom w:val="0"/>
          <w:divBdr>
            <w:top w:val="none" w:sz="0" w:space="0" w:color="auto"/>
            <w:left w:val="none" w:sz="0" w:space="0" w:color="auto"/>
            <w:bottom w:val="none" w:sz="0" w:space="0" w:color="auto"/>
            <w:right w:val="none" w:sz="0" w:space="0" w:color="auto"/>
          </w:divBdr>
        </w:div>
        <w:div w:id="1409575574">
          <w:marLeft w:val="480"/>
          <w:marRight w:val="0"/>
          <w:marTop w:val="0"/>
          <w:marBottom w:val="0"/>
          <w:divBdr>
            <w:top w:val="none" w:sz="0" w:space="0" w:color="auto"/>
            <w:left w:val="none" w:sz="0" w:space="0" w:color="auto"/>
            <w:bottom w:val="none" w:sz="0" w:space="0" w:color="auto"/>
            <w:right w:val="none" w:sz="0" w:space="0" w:color="auto"/>
          </w:divBdr>
        </w:div>
        <w:div w:id="849640306">
          <w:marLeft w:val="480"/>
          <w:marRight w:val="0"/>
          <w:marTop w:val="0"/>
          <w:marBottom w:val="0"/>
          <w:divBdr>
            <w:top w:val="none" w:sz="0" w:space="0" w:color="auto"/>
            <w:left w:val="none" w:sz="0" w:space="0" w:color="auto"/>
            <w:bottom w:val="none" w:sz="0" w:space="0" w:color="auto"/>
            <w:right w:val="none" w:sz="0" w:space="0" w:color="auto"/>
          </w:divBdr>
        </w:div>
        <w:div w:id="60295729">
          <w:marLeft w:val="480"/>
          <w:marRight w:val="0"/>
          <w:marTop w:val="0"/>
          <w:marBottom w:val="0"/>
          <w:divBdr>
            <w:top w:val="none" w:sz="0" w:space="0" w:color="auto"/>
            <w:left w:val="none" w:sz="0" w:space="0" w:color="auto"/>
            <w:bottom w:val="none" w:sz="0" w:space="0" w:color="auto"/>
            <w:right w:val="none" w:sz="0" w:space="0" w:color="auto"/>
          </w:divBdr>
        </w:div>
        <w:div w:id="347176111">
          <w:marLeft w:val="480"/>
          <w:marRight w:val="0"/>
          <w:marTop w:val="0"/>
          <w:marBottom w:val="0"/>
          <w:divBdr>
            <w:top w:val="none" w:sz="0" w:space="0" w:color="auto"/>
            <w:left w:val="none" w:sz="0" w:space="0" w:color="auto"/>
            <w:bottom w:val="none" w:sz="0" w:space="0" w:color="auto"/>
            <w:right w:val="none" w:sz="0" w:space="0" w:color="auto"/>
          </w:divBdr>
        </w:div>
        <w:div w:id="87504724">
          <w:marLeft w:val="480"/>
          <w:marRight w:val="0"/>
          <w:marTop w:val="0"/>
          <w:marBottom w:val="0"/>
          <w:divBdr>
            <w:top w:val="none" w:sz="0" w:space="0" w:color="auto"/>
            <w:left w:val="none" w:sz="0" w:space="0" w:color="auto"/>
            <w:bottom w:val="none" w:sz="0" w:space="0" w:color="auto"/>
            <w:right w:val="none" w:sz="0" w:space="0" w:color="auto"/>
          </w:divBdr>
        </w:div>
        <w:div w:id="742218602">
          <w:marLeft w:val="480"/>
          <w:marRight w:val="0"/>
          <w:marTop w:val="0"/>
          <w:marBottom w:val="0"/>
          <w:divBdr>
            <w:top w:val="none" w:sz="0" w:space="0" w:color="auto"/>
            <w:left w:val="none" w:sz="0" w:space="0" w:color="auto"/>
            <w:bottom w:val="none" w:sz="0" w:space="0" w:color="auto"/>
            <w:right w:val="none" w:sz="0" w:space="0" w:color="auto"/>
          </w:divBdr>
        </w:div>
        <w:div w:id="386144900">
          <w:marLeft w:val="480"/>
          <w:marRight w:val="0"/>
          <w:marTop w:val="0"/>
          <w:marBottom w:val="0"/>
          <w:divBdr>
            <w:top w:val="none" w:sz="0" w:space="0" w:color="auto"/>
            <w:left w:val="none" w:sz="0" w:space="0" w:color="auto"/>
            <w:bottom w:val="none" w:sz="0" w:space="0" w:color="auto"/>
            <w:right w:val="none" w:sz="0" w:space="0" w:color="auto"/>
          </w:divBdr>
        </w:div>
        <w:div w:id="1106268511">
          <w:marLeft w:val="480"/>
          <w:marRight w:val="0"/>
          <w:marTop w:val="0"/>
          <w:marBottom w:val="0"/>
          <w:divBdr>
            <w:top w:val="none" w:sz="0" w:space="0" w:color="auto"/>
            <w:left w:val="none" w:sz="0" w:space="0" w:color="auto"/>
            <w:bottom w:val="none" w:sz="0" w:space="0" w:color="auto"/>
            <w:right w:val="none" w:sz="0" w:space="0" w:color="auto"/>
          </w:divBdr>
        </w:div>
        <w:div w:id="1333874178">
          <w:marLeft w:val="480"/>
          <w:marRight w:val="0"/>
          <w:marTop w:val="0"/>
          <w:marBottom w:val="0"/>
          <w:divBdr>
            <w:top w:val="none" w:sz="0" w:space="0" w:color="auto"/>
            <w:left w:val="none" w:sz="0" w:space="0" w:color="auto"/>
            <w:bottom w:val="none" w:sz="0" w:space="0" w:color="auto"/>
            <w:right w:val="none" w:sz="0" w:space="0" w:color="auto"/>
          </w:divBdr>
        </w:div>
      </w:divsChild>
    </w:div>
    <w:div w:id="1387802829">
      <w:bodyDiv w:val="1"/>
      <w:marLeft w:val="0"/>
      <w:marRight w:val="0"/>
      <w:marTop w:val="0"/>
      <w:marBottom w:val="0"/>
      <w:divBdr>
        <w:top w:val="none" w:sz="0" w:space="0" w:color="auto"/>
        <w:left w:val="none" w:sz="0" w:space="0" w:color="auto"/>
        <w:bottom w:val="none" w:sz="0" w:space="0" w:color="auto"/>
        <w:right w:val="none" w:sz="0" w:space="0" w:color="auto"/>
      </w:divBdr>
      <w:divsChild>
        <w:div w:id="2046900515">
          <w:marLeft w:val="480"/>
          <w:marRight w:val="0"/>
          <w:marTop w:val="0"/>
          <w:marBottom w:val="0"/>
          <w:divBdr>
            <w:top w:val="none" w:sz="0" w:space="0" w:color="auto"/>
            <w:left w:val="none" w:sz="0" w:space="0" w:color="auto"/>
            <w:bottom w:val="none" w:sz="0" w:space="0" w:color="auto"/>
            <w:right w:val="none" w:sz="0" w:space="0" w:color="auto"/>
          </w:divBdr>
        </w:div>
        <w:div w:id="82915621">
          <w:marLeft w:val="480"/>
          <w:marRight w:val="0"/>
          <w:marTop w:val="0"/>
          <w:marBottom w:val="0"/>
          <w:divBdr>
            <w:top w:val="none" w:sz="0" w:space="0" w:color="auto"/>
            <w:left w:val="none" w:sz="0" w:space="0" w:color="auto"/>
            <w:bottom w:val="none" w:sz="0" w:space="0" w:color="auto"/>
            <w:right w:val="none" w:sz="0" w:space="0" w:color="auto"/>
          </w:divBdr>
        </w:div>
        <w:div w:id="1800302187">
          <w:marLeft w:val="480"/>
          <w:marRight w:val="0"/>
          <w:marTop w:val="0"/>
          <w:marBottom w:val="0"/>
          <w:divBdr>
            <w:top w:val="none" w:sz="0" w:space="0" w:color="auto"/>
            <w:left w:val="none" w:sz="0" w:space="0" w:color="auto"/>
            <w:bottom w:val="none" w:sz="0" w:space="0" w:color="auto"/>
            <w:right w:val="none" w:sz="0" w:space="0" w:color="auto"/>
          </w:divBdr>
        </w:div>
        <w:div w:id="749081248">
          <w:marLeft w:val="480"/>
          <w:marRight w:val="0"/>
          <w:marTop w:val="0"/>
          <w:marBottom w:val="0"/>
          <w:divBdr>
            <w:top w:val="none" w:sz="0" w:space="0" w:color="auto"/>
            <w:left w:val="none" w:sz="0" w:space="0" w:color="auto"/>
            <w:bottom w:val="none" w:sz="0" w:space="0" w:color="auto"/>
            <w:right w:val="none" w:sz="0" w:space="0" w:color="auto"/>
          </w:divBdr>
        </w:div>
        <w:div w:id="500318904">
          <w:marLeft w:val="480"/>
          <w:marRight w:val="0"/>
          <w:marTop w:val="0"/>
          <w:marBottom w:val="0"/>
          <w:divBdr>
            <w:top w:val="none" w:sz="0" w:space="0" w:color="auto"/>
            <w:left w:val="none" w:sz="0" w:space="0" w:color="auto"/>
            <w:bottom w:val="none" w:sz="0" w:space="0" w:color="auto"/>
            <w:right w:val="none" w:sz="0" w:space="0" w:color="auto"/>
          </w:divBdr>
        </w:div>
        <w:div w:id="625239570">
          <w:marLeft w:val="480"/>
          <w:marRight w:val="0"/>
          <w:marTop w:val="0"/>
          <w:marBottom w:val="0"/>
          <w:divBdr>
            <w:top w:val="none" w:sz="0" w:space="0" w:color="auto"/>
            <w:left w:val="none" w:sz="0" w:space="0" w:color="auto"/>
            <w:bottom w:val="none" w:sz="0" w:space="0" w:color="auto"/>
            <w:right w:val="none" w:sz="0" w:space="0" w:color="auto"/>
          </w:divBdr>
        </w:div>
        <w:div w:id="1680620480">
          <w:marLeft w:val="480"/>
          <w:marRight w:val="0"/>
          <w:marTop w:val="0"/>
          <w:marBottom w:val="0"/>
          <w:divBdr>
            <w:top w:val="none" w:sz="0" w:space="0" w:color="auto"/>
            <w:left w:val="none" w:sz="0" w:space="0" w:color="auto"/>
            <w:bottom w:val="none" w:sz="0" w:space="0" w:color="auto"/>
            <w:right w:val="none" w:sz="0" w:space="0" w:color="auto"/>
          </w:divBdr>
        </w:div>
        <w:div w:id="1245146414">
          <w:marLeft w:val="480"/>
          <w:marRight w:val="0"/>
          <w:marTop w:val="0"/>
          <w:marBottom w:val="0"/>
          <w:divBdr>
            <w:top w:val="none" w:sz="0" w:space="0" w:color="auto"/>
            <w:left w:val="none" w:sz="0" w:space="0" w:color="auto"/>
            <w:bottom w:val="none" w:sz="0" w:space="0" w:color="auto"/>
            <w:right w:val="none" w:sz="0" w:space="0" w:color="auto"/>
          </w:divBdr>
        </w:div>
        <w:div w:id="354236670">
          <w:marLeft w:val="480"/>
          <w:marRight w:val="0"/>
          <w:marTop w:val="0"/>
          <w:marBottom w:val="0"/>
          <w:divBdr>
            <w:top w:val="none" w:sz="0" w:space="0" w:color="auto"/>
            <w:left w:val="none" w:sz="0" w:space="0" w:color="auto"/>
            <w:bottom w:val="none" w:sz="0" w:space="0" w:color="auto"/>
            <w:right w:val="none" w:sz="0" w:space="0" w:color="auto"/>
          </w:divBdr>
        </w:div>
        <w:div w:id="171335496">
          <w:marLeft w:val="480"/>
          <w:marRight w:val="0"/>
          <w:marTop w:val="0"/>
          <w:marBottom w:val="0"/>
          <w:divBdr>
            <w:top w:val="none" w:sz="0" w:space="0" w:color="auto"/>
            <w:left w:val="none" w:sz="0" w:space="0" w:color="auto"/>
            <w:bottom w:val="none" w:sz="0" w:space="0" w:color="auto"/>
            <w:right w:val="none" w:sz="0" w:space="0" w:color="auto"/>
          </w:divBdr>
        </w:div>
        <w:div w:id="1800143333">
          <w:marLeft w:val="480"/>
          <w:marRight w:val="0"/>
          <w:marTop w:val="0"/>
          <w:marBottom w:val="0"/>
          <w:divBdr>
            <w:top w:val="none" w:sz="0" w:space="0" w:color="auto"/>
            <w:left w:val="none" w:sz="0" w:space="0" w:color="auto"/>
            <w:bottom w:val="none" w:sz="0" w:space="0" w:color="auto"/>
            <w:right w:val="none" w:sz="0" w:space="0" w:color="auto"/>
          </w:divBdr>
        </w:div>
        <w:div w:id="807479693">
          <w:marLeft w:val="480"/>
          <w:marRight w:val="0"/>
          <w:marTop w:val="0"/>
          <w:marBottom w:val="0"/>
          <w:divBdr>
            <w:top w:val="none" w:sz="0" w:space="0" w:color="auto"/>
            <w:left w:val="none" w:sz="0" w:space="0" w:color="auto"/>
            <w:bottom w:val="none" w:sz="0" w:space="0" w:color="auto"/>
            <w:right w:val="none" w:sz="0" w:space="0" w:color="auto"/>
          </w:divBdr>
        </w:div>
        <w:div w:id="741096770">
          <w:marLeft w:val="480"/>
          <w:marRight w:val="0"/>
          <w:marTop w:val="0"/>
          <w:marBottom w:val="0"/>
          <w:divBdr>
            <w:top w:val="none" w:sz="0" w:space="0" w:color="auto"/>
            <w:left w:val="none" w:sz="0" w:space="0" w:color="auto"/>
            <w:bottom w:val="none" w:sz="0" w:space="0" w:color="auto"/>
            <w:right w:val="none" w:sz="0" w:space="0" w:color="auto"/>
          </w:divBdr>
        </w:div>
        <w:div w:id="717243646">
          <w:marLeft w:val="480"/>
          <w:marRight w:val="0"/>
          <w:marTop w:val="0"/>
          <w:marBottom w:val="0"/>
          <w:divBdr>
            <w:top w:val="none" w:sz="0" w:space="0" w:color="auto"/>
            <w:left w:val="none" w:sz="0" w:space="0" w:color="auto"/>
            <w:bottom w:val="none" w:sz="0" w:space="0" w:color="auto"/>
            <w:right w:val="none" w:sz="0" w:space="0" w:color="auto"/>
          </w:divBdr>
        </w:div>
        <w:div w:id="1876430587">
          <w:marLeft w:val="480"/>
          <w:marRight w:val="0"/>
          <w:marTop w:val="0"/>
          <w:marBottom w:val="0"/>
          <w:divBdr>
            <w:top w:val="none" w:sz="0" w:space="0" w:color="auto"/>
            <w:left w:val="none" w:sz="0" w:space="0" w:color="auto"/>
            <w:bottom w:val="none" w:sz="0" w:space="0" w:color="auto"/>
            <w:right w:val="none" w:sz="0" w:space="0" w:color="auto"/>
          </w:divBdr>
        </w:div>
        <w:div w:id="999500077">
          <w:marLeft w:val="480"/>
          <w:marRight w:val="0"/>
          <w:marTop w:val="0"/>
          <w:marBottom w:val="0"/>
          <w:divBdr>
            <w:top w:val="none" w:sz="0" w:space="0" w:color="auto"/>
            <w:left w:val="none" w:sz="0" w:space="0" w:color="auto"/>
            <w:bottom w:val="none" w:sz="0" w:space="0" w:color="auto"/>
            <w:right w:val="none" w:sz="0" w:space="0" w:color="auto"/>
          </w:divBdr>
        </w:div>
        <w:div w:id="644747028">
          <w:marLeft w:val="480"/>
          <w:marRight w:val="0"/>
          <w:marTop w:val="0"/>
          <w:marBottom w:val="0"/>
          <w:divBdr>
            <w:top w:val="none" w:sz="0" w:space="0" w:color="auto"/>
            <w:left w:val="none" w:sz="0" w:space="0" w:color="auto"/>
            <w:bottom w:val="none" w:sz="0" w:space="0" w:color="auto"/>
            <w:right w:val="none" w:sz="0" w:space="0" w:color="auto"/>
          </w:divBdr>
        </w:div>
        <w:div w:id="176774292">
          <w:marLeft w:val="480"/>
          <w:marRight w:val="0"/>
          <w:marTop w:val="0"/>
          <w:marBottom w:val="0"/>
          <w:divBdr>
            <w:top w:val="none" w:sz="0" w:space="0" w:color="auto"/>
            <w:left w:val="none" w:sz="0" w:space="0" w:color="auto"/>
            <w:bottom w:val="none" w:sz="0" w:space="0" w:color="auto"/>
            <w:right w:val="none" w:sz="0" w:space="0" w:color="auto"/>
          </w:divBdr>
        </w:div>
        <w:div w:id="1338264285">
          <w:marLeft w:val="480"/>
          <w:marRight w:val="0"/>
          <w:marTop w:val="0"/>
          <w:marBottom w:val="0"/>
          <w:divBdr>
            <w:top w:val="none" w:sz="0" w:space="0" w:color="auto"/>
            <w:left w:val="none" w:sz="0" w:space="0" w:color="auto"/>
            <w:bottom w:val="none" w:sz="0" w:space="0" w:color="auto"/>
            <w:right w:val="none" w:sz="0" w:space="0" w:color="auto"/>
          </w:divBdr>
        </w:div>
        <w:div w:id="226307783">
          <w:marLeft w:val="480"/>
          <w:marRight w:val="0"/>
          <w:marTop w:val="0"/>
          <w:marBottom w:val="0"/>
          <w:divBdr>
            <w:top w:val="none" w:sz="0" w:space="0" w:color="auto"/>
            <w:left w:val="none" w:sz="0" w:space="0" w:color="auto"/>
            <w:bottom w:val="none" w:sz="0" w:space="0" w:color="auto"/>
            <w:right w:val="none" w:sz="0" w:space="0" w:color="auto"/>
          </w:divBdr>
        </w:div>
        <w:div w:id="340277007">
          <w:marLeft w:val="480"/>
          <w:marRight w:val="0"/>
          <w:marTop w:val="0"/>
          <w:marBottom w:val="0"/>
          <w:divBdr>
            <w:top w:val="none" w:sz="0" w:space="0" w:color="auto"/>
            <w:left w:val="none" w:sz="0" w:space="0" w:color="auto"/>
            <w:bottom w:val="none" w:sz="0" w:space="0" w:color="auto"/>
            <w:right w:val="none" w:sz="0" w:space="0" w:color="auto"/>
          </w:divBdr>
        </w:div>
      </w:divsChild>
    </w:div>
    <w:div w:id="1388576860">
      <w:bodyDiv w:val="1"/>
      <w:marLeft w:val="0"/>
      <w:marRight w:val="0"/>
      <w:marTop w:val="0"/>
      <w:marBottom w:val="0"/>
      <w:divBdr>
        <w:top w:val="none" w:sz="0" w:space="0" w:color="auto"/>
        <w:left w:val="none" w:sz="0" w:space="0" w:color="auto"/>
        <w:bottom w:val="none" w:sz="0" w:space="0" w:color="auto"/>
        <w:right w:val="none" w:sz="0" w:space="0" w:color="auto"/>
      </w:divBdr>
    </w:div>
    <w:div w:id="1390499144">
      <w:bodyDiv w:val="1"/>
      <w:marLeft w:val="0"/>
      <w:marRight w:val="0"/>
      <w:marTop w:val="0"/>
      <w:marBottom w:val="0"/>
      <w:divBdr>
        <w:top w:val="none" w:sz="0" w:space="0" w:color="auto"/>
        <w:left w:val="none" w:sz="0" w:space="0" w:color="auto"/>
        <w:bottom w:val="none" w:sz="0" w:space="0" w:color="auto"/>
        <w:right w:val="none" w:sz="0" w:space="0" w:color="auto"/>
      </w:divBdr>
    </w:div>
    <w:div w:id="1396123748">
      <w:bodyDiv w:val="1"/>
      <w:marLeft w:val="0"/>
      <w:marRight w:val="0"/>
      <w:marTop w:val="0"/>
      <w:marBottom w:val="0"/>
      <w:divBdr>
        <w:top w:val="none" w:sz="0" w:space="0" w:color="auto"/>
        <w:left w:val="none" w:sz="0" w:space="0" w:color="auto"/>
        <w:bottom w:val="none" w:sz="0" w:space="0" w:color="auto"/>
        <w:right w:val="none" w:sz="0" w:space="0" w:color="auto"/>
      </w:divBdr>
    </w:div>
    <w:div w:id="1404791109">
      <w:bodyDiv w:val="1"/>
      <w:marLeft w:val="0"/>
      <w:marRight w:val="0"/>
      <w:marTop w:val="0"/>
      <w:marBottom w:val="0"/>
      <w:divBdr>
        <w:top w:val="none" w:sz="0" w:space="0" w:color="auto"/>
        <w:left w:val="none" w:sz="0" w:space="0" w:color="auto"/>
        <w:bottom w:val="none" w:sz="0" w:space="0" w:color="auto"/>
        <w:right w:val="none" w:sz="0" w:space="0" w:color="auto"/>
      </w:divBdr>
    </w:div>
    <w:div w:id="1408840109">
      <w:bodyDiv w:val="1"/>
      <w:marLeft w:val="0"/>
      <w:marRight w:val="0"/>
      <w:marTop w:val="0"/>
      <w:marBottom w:val="0"/>
      <w:divBdr>
        <w:top w:val="none" w:sz="0" w:space="0" w:color="auto"/>
        <w:left w:val="none" w:sz="0" w:space="0" w:color="auto"/>
        <w:bottom w:val="none" w:sz="0" w:space="0" w:color="auto"/>
        <w:right w:val="none" w:sz="0" w:space="0" w:color="auto"/>
      </w:divBdr>
    </w:div>
    <w:div w:id="1420176833">
      <w:bodyDiv w:val="1"/>
      <w:marLeft w:val="0"/>
      <w:marRight w:val="0"/>
      <w:marTop w:val="0"/>
      <w:marBottom w:val="0"/>
      <w:divBdr>
        <w:top w:val="none" w:sz="0" w:space="0" w:color="auto"/>
        <w:left w:val="none" w:sz="0" w:space="0" w:color="auto"/>
        <w:bottom w:val="none" w:sz="0" w:space="0" w:color="auto"/>
        <w:right w:val="none" w:sz="0" w:space="0" w:color="auto"/>
      </w:divBdr>
    </w:div>
    <w:div w:id="1420636875">
      <w:bodyDiv w:val="1"/>
      <w:marLeft w:val="0"/>
      <w:marRight w:val="0"/>
      <w:marTop w:val="0"/>
      <w:marBottom w:val="0"/>
      <w:divBdr>
        <w:top w:val="none" w:sz="0" w:space="0" w:color="auto"/>
        <w:left w:val="none" w:sz="0" w:space="0" w:color="auto"/>
        <w:bottom w:val="none" w:sz="0" w:space="0" w:color="auto"/>
        <w:right w:val="none" w:sz="0" w:space="0" w:color="auto"/>
      </w:divBdr>
    </w:div>
    <w:div w:id="1436901507">
      <w:bodyDiv w:val="1"/>
      <w:marLeft w:val="0"/>
      <w:marRight w:val="0"/>
      <w:marTop w:val="0"/>
      <w:marBottom w:val="0"/>
      <w:divBdr>
        <w:top w:val="none" w:sz="0" w:space="0" w:color="auto"/>
        <w:left w:val="none" w:sz="0" w:space="0" w:color="auto"/>
        <w:bottom w:val="none" w:sz="0" w:space="0" w:color="auto"/>
        <w:right w:val="none" w:sz="0" w:space="0" w:color="auto"/>
      </w:divBdr>
    </w:div>
    <w:div w:id="1443568891">
      <w:bodyDiv w:val="1"/>
      <w:marLeft w:val="0"/>
      <w:marRight w:val="0"/>
      <w:marTop w:val="0"/>
      <w:marBottom w:val="0"/>
      <w:divBdr>
        <w:top w:val="none" w:sz="0" w:space="0" w:color="auto"/>
        <w:left w:val="none" w:sz="0" w:space="0" w:color="auto"/>
        <w:bottom w:val="none" w:sz="0" w:space="0" w:color="auto"/>
        <w:right w:val="none" w:sz="0" w:space="0" w:color="auto"/>
      </w:divBdr>
    </w:div>
    <w:div w:id="1453594363">
      <w:bodyDiv w:val="1"/>
      <w:marLeft w:val="0"/>
      <w:marRight w:val="0"/>
      <w:marTop w:val="0"/>
      <w:marBottom w:val="0"/>
      <w:divBdr>
        <w:top w:val="none" w:sz="0" w:space="0" w:color="auto"/>
        <w:left w:val="none" w:sz="0" w:space="0" w:color="auto"/>
        <w:bottom w:val="none" w:sz="0" w:space="0" w:color="auto"/>
        <w:right w:val="none" w:sz="0" w:space="0" w:color="auto"/>
      </w:divBdr>
      <w:divsChild>
        <w:div w:id="661664770">
          <w:marLeft w:val="480"/>
          <w:marRight w:val="0"/>
          <w:marTop w:val="0"/>
          <w:marBottom w:val="0"/>
          <w:divBdr>
            <w:top w:val="none" w:sz="0" w:space="0" w:color="auto"/>
            <w:left w:val="none" w:sz="0" w:space="0" w:color="auto"/>
            <w:bottom w:val="none" w:sz="0" w:space="0" w:color="auto"/>
            <w:right w:val="none" w:sz="0" w:space="0" w:color="auto"/>
          </w:divBdr>
        </w:div>
        <w:div w:id="1477525349">
          <w:marLeft w:val="480"/>
          <w:marRight w:val="0"/>
          <w:marTop w:val="0"/>
          <w:marBottom w:val="0"/>
          <w:divBdr>
            <w:top w:val="none" w:sz="0" w:space="0" w:color="auto"/>
            <w:left w:val="none" w:sz="0" w:space="0" w:color="auto"/>
            <w:bottom w:val="none" w:sz="0" w:space="0" w:color="auto"/>
            <w:right w:val="none" w:sz="0" w:space="0" w:color="auto"/>
          </w:divBdr>
        </w:div>
        <w:div w:id="748383852">
          <w:marLeft w:val="480"/>
          <w:marRight w:val="0"/>
          <w:marTop w:val="0"/>
          <w:marBottom w:val="0"/>
          <w:divBdr>
            <w:top w:val="none" w:sz="0" w:space="0" w:color="auto"/>
            <w:left w:val="none" w:sz="0" w:space="0" w:color="auto"/>
            <w:bottom w:val="none" w:sz="0" w:space="0" w:color="auto"/>
            <w:right w:val="none" w:sz="0" w:space="0" w:color="auto"/>
          </w:divBdr>
        </w:div>
        <w:div w:id="1292512256">
          <w:marLeft w:val="480"/>
          <w:marRight w:val="0"/>
          <w:marTop w:val="0"/>
          <w:marBottom w:val="0"/>
          <w:divBdr>
            <w:top w:val="none" w:sz="0" w:space="0" w:color="auto"/>
            <w:left w:val="none" w:sz="0" w:space="0" w:color="auto"/>
            <w:bottom w:val="none" w:sz="0" w:space="0" w:color="auto"/>
            <w:right w:val="none" w:sz="0" w:space="0" w:color="auto"/>
          </w:divBdr>
        </w:div>
        <w:div w:id="238174236">
          <w:marLeft w:val="480"/>
          <w:marRight w:val="0"/>
          <w:marTop w:val="0"/>
          <w:marBottom w:val="0"/>
          <w:divBdr>
            <w:top w:val="none" w:sz="0" w:space="0" w:color="auto"/>
            <w:left w:val="none" w:sz="0" w:space="0" w:color="auto"/>
            <w:bottom w:val="none" w:sz="0" w:space="0" w:color="auto"/>
            <w:right w:val="none" w:sz="0" w:space="0" w:color="auto"/>
          </w:divBdr>
        </w:div>
        <w:div w:id="259879662">
          <w:marLeft w:val="480"/>
          <w:marRight w:val="0"/>
          <w:marTop w:val="0"/>
          <w:marBottom w:val="0"/>
          <w:divBdr>
            <w:top w:val="none" w:sz="0" w:space="0" w:color="auto"/>
            <w:left w:val="none" w:sz="0" w:space="0" w:color="auto"/>
            <w:bottom w:val="none" w:sz="0" w:space="0" w:color="auto"/>
            <w:right w:val="none" w:sz="0" w:space="0" w:color="auto"/>
          </w:divBdr>
        </w:div>
        <w:div w:id="1308589443">
          <w:marLeft w:val="480"/>
          <w:marRight w:val="0"/>
          <w:marTop w:val="0"/>
          <w:marBottom w:val="0"/>
          <w:divBdr>
            <w:top w:val="none" w:sz="0" w:space="0" w:color="auto"/>
            <w:left w:val="none" w:sz="0" w:space="0" w:color="auto"/>
            <w:bottom w:val="none" w:sz="0" w:space="0" w:color="auto"/>
            <w:right w:val="none" w:sz="0" w:space="0" w:color="auto"/>
          </w:divBdr>
        </w:div>
        <w:div w:id="974988031">
          <w:marLeft w:val="480"/>
          <w:marRight w:val="0"/>
          <w:marTop w:val="0"/>
          <w:marBottom w:val="0"/>
          <w:divBdr>
            <w:top w:val="none" w:sz="0" w:space="0" w:color="auto"/>
            <w:left w:val="none" w:sz="0" w:space="0" w:color="auto"/>
            <w:bottom w:val="none" w:sz="0" w:space="0" w:color="auto"/>
            <w:right w:val="none" w:sz="0" w:space="0" w:color="auto"/>
          </w:divBdr>
        </w:div>
        <w:div w:id="715734891">
          <w:marLeft w:val="480"/>
          <w:marRight w:val="0"/>
          <w:marTop w:val="0"/>
          <w:marBottom w:val="0"/>
          <w:divBdr>
            <w:top w:val="none" w:sz="0" w:space="0" w:color="auto"/>
            <w:left w:val="none" w:sz="0" w:space="0" w:color="auto"/>
            <w:bottom w:val="none" w:sz="0" w:space="0" w:color="auto"/>
            <w:right w:val="none" w:sz="0" w:space="0" w:color="auto"/>
          </w:divBdr>
        </w:div>
        <w:div w:id="277613046">
          <w:marLeft w:val="480"/>
          <w:marRight w:val="0"/>
          <w:marTop w:val="0"/>
          <w:marBottom w:val="0"/>
          <w:divBdr>
            <w:top w:val="none" w:sz="0" w:space="0" w:color="auto"/>
            <w:left w:val="none" w:sz="0" w:space="0" w:color="auto"/>
            <w:bottom w:val="none" w:sz="0" w:space="0" w:color="auto"/>
            <w:right w:val="none" w:sz="0" w:space="0" w:color="auto"/>
          </w:divBdr>
        </w:div>
        <w:div w:id="556402361">
          <w:marLeft w:val="480"/>
          <w:marRight w:val="0"/>
          <w:marTop w:val="0"/>
          <w:marBottom w:val="0"/>
          <w:divBdr>
            <w:top w:val="none" w:sz="0" w:space="0" w:color="auto"/>
            <w:left w:val="none" w:sz="0" w:space="0" w:color="auto"/>
            <w:bottom w:val="none" w:sz="0" w:space="0" w:color="auto"/>
            <w:right w:val="none" w:sz="0" w:space="0" w:color="auto"/>
          </w:divBdr>
        </w:div>
        <w:div w:id="49889442">
          <w:marLeft w:val="480"/>
          <w:marRight w:val="0"/>
          <w:marTop w:val="0"/>
          <w:marBottom w:val="0"/>
          <w:divBdr>
            <w:top w:val="none" w:sz="0" w:space="0" w:color="auto"/>
            <w:left w:val="none" w:sz="0" w:space="0" w:color="auto"/>
            <w:bottom w:val="none" w:sz="0" w:space="0" w:color="auto"/>
            <w:right w:val="none" w:sz="0" w:space="0" w:color="auto"/>
          </w:divBdr>
        </w:div>
        <w:div w:id="671953790">
          <w:marLeft w:val="480"/>
          <w:marRight w:val="0"/>
          <w:marTop w:val="0"/>
          <w:marBottom w:val="0"/>
          <w:divBdr>
            <w:top w:val="none" w:sz="0" w:space="0" w:color="auto"/>
            <w:left w:val="none" w:sz="0" w:space="0" w:color="auto"/>
            <w:bottom w:val="none" w:sz="0" w:space="0" w:color="auto"/>
            <w:right w:val="none" w:sz="0" w:space="0" w:color="auto"/>
          </w:divBdr>
        </w:div>
        <w:div w:id="79641310">
          <w:marLeft w:val="480"/>
          <w:marRight w:val="0"/>
          <w:marTop w:val="0"/>
          <w:marBottom w:val="0"/>
          <w:divBdr>
            <w:top w:val="none" w:sz="0" w:space="0" w:color="auto"/>
            <w:left w:val="none" w:sz="0" w:space="0" w:color="auto"/>
            <w:bottom w:val="none" w:sz="0" w:space="0" w:color="auto"/>
            <w:right w:val="none" w:sz="0" w:space="0" w:color="auto"/>
          </w:divBdr>
        </w:div>
        <w:div w:id="1887373784">
          <w:marLeft w:val="480"/>
          <w:marRight w:val="0"/>
          <w:marTop w:val="0"/>
          <w:marBottom w:val="0"/>
          <w:divBdr>
            <w:top w:val="none" w:sz="0" w:space="0" w:color="auto"/>
            <w:left w:val="none" w:sz="0" w:space="0" w:color="auto"/>
            <w:bottom w:val="none" w:sz="0" w:space="0" w:color="auto"/>
            <w:right w:val="none" w:sz="0" w:space="0" w:color="auto"/>
          </w:divBdr>
        </w:div>
        <w:div w:id="894699188">
          <w:marLeft w:val="480"/>
          <w:marRight w:val="0"/>
          <w:marTop w:val="0"/>
          <w:marBottom w:val="0"/>
          <w:divBdr>
            <w:top w:val="none" w:sz="0" w:space="0" w:color="auto"/>
            <w:left w:val="none" w:sz="0" w:space="0" w:color="auto"/>
            <w:bottom w:val="none" w:sz="0" w:space="0" w:color="auto"/>
            <w:right w:val="none" w:sz="0" w:space="0" w:color="auto"/>
          </w:divBdr>
        </w:div>
        <w:div w:id="936984487">
          <w:marLeft w:val="480"/>
          <w:marRight w:val="0"/>
          <w:marTop w:val="0"/>
          <w:marBottom w:val="0"/>
          <w:divBdr>
            <w:top w:val="none" w:sz="0" w:space="0" w:color="auto"/>
            <w:left w:val="none" w:sz="0" w:space="0" w:color="auto"/>
            <w:bottom w:val="none" w:sz="0" w:space="0" w:color="auto"/>
            <w:right w:val="none" w:sz="0" w:space="0" w:color="auto"/>
          </w:divBdr>
        </w:div>
        <w:div w:id="309479164">
          <w:marLeft w:val="480"/>
          <w:marRight w:val="0"/>
          <w:marTop w:val="0"/>
          <w:marBottom w:val="0"/>
          <w:divBdr>
            <w:top w:val="none" w:sz="0" w:space="0" w:color="auto"/>
            <w:left w:val="none" w:sz="0" w:space="0" w:color="auto"/>
            <w:bottom w:val="none" w:sz="0" w:space="0" w:color="auto"/>
            <w:right w:val="none" w:sz="0" w:space="0" w:color="auto"/>
          </w:divBdr>
        </w:div>
        <w:div w:id="1382904002">
          <w:marLeft w:val="480"/>
          <w:marRight w:val="0"/>
          <w:marTop w:val="0"/>
          <w:marBottom w:val="0"/>
          <w:divBdr>
            <w:top w:val="none" w:sz="0" w:space="0" w:color="auto"/>
            <w:left w:val="none" w:sz="0" w:space="0" w:color="auto"/>
            <w:bottom w:val="none" w:sz="0" w:space="0" w:color="auto"/>
            <w:right w:val="none" w:sz="0" w:space="0" w:color="auto"/>
          </w:divBdr>
        </w:div>
        <w:div w:id="1564901047">
          <w:marLeft w:val="480"/>
          <w:marRight w:val="0"/>
          <w:marTop w:val="0"/>
          <w:marBottom w:val="0"/>
          <w:divBdr>
            <w:top w:val="none" w:sz="0" w:space="0" w:color="auto"/>
            <w:left w:val="none" w:sz="0" w:space="0" w:color="auto"/>
            <w:bottom w:val="none" w:sz="0" w:space="0" w:color="auto"/>
            <w:right w:val="none" w:sz="0" w:space="0" w:color="auto"/>
          </w:divBdr>
        </w:div>
      </w:divsChild>
    </w:div>
    <w:div w:id="1454593443">
      <w:bodyDiv w:val="1"/>
      <w:marLeft w:val="0"/>
      <w:marRight w:val="0"/>
      <w:marTop w:val="0"/>
      <w:marBottom w:val="0"/>
      <w:divBdr>
        <w:top w:val="none" w:sz="0" w:space="0" w:color="auto"/>
        <w:left w:val="none" w:sz="0" w:space="0" w:color="auto"/>
        <w:bottom w:val="none" w:sz="0" w:space="0" w:color="auto"/>
        <w:right w:val="none" w:sz="0" w:space="0" w:color="auto"/>
      </w:divBdr>
    </w:div>
    <w:div w:id="1462267919">
      <w:bodyDiv w:val="1"/>
      <w:marLeft w:val="0"/>
      <w:marRight w:val="0"/>
      <w:marTop w:val="0"/>
      <w:marBottom w:val="0"/>
      <w:divBdr>
        <w:top w:val="none" w:sz="0" w:space="0" w:color="auto"/>
        <w:left w:val="none" w:sz="0" w:space="0" w:color="auto"/>
        <w:bottom w:val="none" w:sz="0" w:space="0" w:color="auto"/>
        <w:right w:val="none" w:sz="0" w:space="0" w:color="auto"/>
      </w:divBdr>
    </w:div>
    <w:div w:id="1480533979">
      <w:bodyDiv w:val="1"/>
      <w:marLeft w:val="0"/>
      <w:marRight w:val="0"/>
      <w:marTop w:val="0"/>
      <w:marBottom w:val="0"/>
      <w:divBdr>
        <w:top w:val="none" w:sz="0" w:space="0" w:color="auto"/>
        <w:left w:val="none" w:sz="0" w:space="0" w:color="auto"/>
        <w:bottom w:val="none" w:sz="0" w:space="0" w:color="auto"/>
        <w:right w:val="none" w:sz="0" w:space="0" w:color="auto"/>
      </w:divBdr>
    </w:div>
    <w:div w:id="1481313337">
      <w:bodyDiv w:val="1"/>
      <w:marLeft w:val="0"/>
      <w:marRight w:val="0"/>
      <w:marTop w:val="0"/>
      <w:marBottom w:val="0"/>
      <w:divBdr>
        <w:top w:val="none" w:sz="0" w:space="0" w:color="auto"/>
        <w:left w:val="none" w:sz="0" w:space="0" w:color="auto"/>
        <w:bottom w:val="none" w:sz="0" w:space="0" w:color="auto"/>
        <w:right w:val="none" w:sz="0" w:space="0" w:color="auto"/>
      </w:divBdr>
    </w:div>
    <w:div w:id="1481388797">
      <w:bodyDiv w:val="1"/>
      <w:marLeft w:val="0"/>
      <w:marRight w:val="0"/>
      <w:marTop w:val="0"/>
      <w:marBottom w:val="0"/>
      <w:divBdr>
        <w:top w:val="none" w:sz="0" w:space="0" w:color="auto"/>
        <w:left w:val="none" w:sz="0" w:space="0" w:color="auto"/>
        <w:bottom w:val="none" w:sz="0" w:space="0" w:color="auto"/>
        <w:right w:val="none" w:sz="0" w:space="0" w:color="auto"/>
      </w:divBdr>
    </w:div>
    <w:div w:id="1484009465">
      <w:bodyDiv w:val="1"/>
      <w:marLeft w:val="0"/>
      <w:marRight w:val="0"/>
      <w:marTop w:val="0"/>
      <w:marBottom w:val="0"/>
      <w:divBdr>
        <w:top w:val="none" w:sz="0" w:space="0" w:color="auto"/>
        <w:left w:val="none" w:sz="0" w:space="0" w:color="auto"/>
        <w:bottom w:val="none" w:sz="0" w:space="0" w:color="auto"/>
        <w:right w:val="none" w:sz="0" w:space="0" w:color="auto"/>
      </w:divBdr>
    </w:div>
    <w:div w:id="1485396360">
      <w:bodyDiv w:val="1"/>
      <w:marLeft w:val="0"/>
      <w:marRight w:val="0"/>
      <w:marTop w:val="0"/>
      <w:marBottom w:val="0"/>
      <w:divBdr>
        <w:top w:val="none" w:sz="0" w:space="0" w:color="auto"/>
        <w:left w:val="none" w:sz="0" w:space="0" w:color="auto"/>
        <w:bottom w:val="none" w:sz="0" w:space="0" w:color="auto"/>
        <w:right w:val="none" w:sz="0" w:space="0" w:color="auto"/>
      </w:divBdr>
    </w:div>
    <w:div w:id="1494948907">
      <w:bodyDiv w:val="1"/>
      <w:marLeft w:val="0"/>
      <w:marRight w:val="0"/>
      <w:marTop w:val="0"/>
      <w:marBottom w:val="0"/>
      <w:divBdr>
        <w:top w:val="none" w:sz="0" w:space="0" w:color="auto"/>
        <w:left w:val="none" w:sz="0" w:space="0" w:color="auto"/>
        <w:bottom w:val="none" w:sz="0" w:space="0" w:color="auto"/>
        <w:right w:val="none" w:sz="0" w:space="0" w:color="auto"/>
      </w:divBdr>
    </w:div>
    <w:div w:id="1508134458">
      <w:bodyDiv w:val="1"/>
      <w:marLeft w:val="0"/>
      <w:marRight w:val="0"/>
      <w:marTop w:val="0"/>
      <w:marBottom w:val="0"/>
      <w:divBdr>
        <w:top w:val="none" w:sz="0" w:space="0" w:color="auto"/>
        <w:left w:val="none" w:sz="0" w:space="0" w:color="auto"/>
        <w:bottom w:val="none" w:sz="0" w:space="0" w:color="auto"/>
        <w:right w:val="none" w:sz="0" w:space="0" w:color="auto"/>
      </w:divBdr>
    </w:div>
    <w:div w:id="1512990188">
      <w:bodyDiv w:val="1"/>
      <w:marLeft w:val="0"/>
      <w:marRight w:val="0"/>
      <w:marTop w:val="0"/>
      <w:marBottom w:val="0"/>
      <w:divBdr>
        <w:top w:val="none" w:sz="0" w:space="0" w:color="auto"/>
        <w:left w:val="none" w:sz="0" w:space="0" w:color="auto"/>
        <w:bottom w:val="none" w:sz="0" w:space="0" w:color="auto"/>
        <w:right w:val="none" w:sz="0" w:space="0" w:color="auto"/>
      </w:divBdr>
    </w:div>
    <w:div w:id="1522933657">
      <w:bodyDiv w:val="1"/>
      <w:marLeft w:val="0"/>
      <w:marRight w:val="0"/>
      <w:marTop w:val="0"/>
      <w:marBottom w:val="0"/>
      <w:divBdr>
        <w:top w:val="none" w:sz="0" w:space="0" w:color="auto"/>
        <w:left w:val="none" w:sz="0" w:space="0" w:color="auto"/>
        <w:bottom w:val="none" w:sz="0" w:space="0" w:color="auto"/>
        <w:right w:val="none" w:sz="0" w:space="0" w:color="auto"/>
      </w:divBdr>
    </w:div>
    <w:div w:id="1526794205">
      <w:bodyDiv w:val="1"/>
      <w:marLeft w:val="0"/>
      <w:marRight w:val="0"/>
      <w:marTop w:val="0"/>
      <w:marBottom w:val="0"/>
      <w:divBdr>
        <w:top w:val="none" w:sz="0" w:space="0" w:color="auto"/>
        <w:left w:val="none" w:sz="0" w:space="0" w:color="auto"/>
        <w:bottom w:val="none" w:sz="0" w:space="0" w:color="auto"/>
        <w:right w:val="none" w:sz="0" w:space="0" w:color="auto"/>
      </w:divBdr>
    </w:div>
    <w:div w:id="1538739966">
      <w:bodyDiv w:val="1"/>
      <w:marLeft w:val="0"/>
      <w:marRight w:val="0"/>
      <w:marTop w:val="0"/>
      <w:marBottom w:val="0"/>
      <w:divBdr>
        <w:top w:val="none" w:sz="0" w:space="0" w:color="auto"/>
        <w:left w:val="none" w:sz="0" w:space="0" w:color="auto"/>
        <w:bottom w:val="none" w:sz="0" w:space="0" w:color="auto"/>
        <w:right w:val="none" w:sz="0" w:space="0" w:color="auto"/>
      </w:divBdr>
    </w:div>
    <w:div w:id="1540124792">
      <w:bodyDiv w:val="1"/>
      <w:marLeft w:val="0"/>
      <w:marRight w:val="0"/>
      <w:marTop w:val="0"/>
      <w:marBottom w:val="0"/>
      <w:divBdr>
        <w:top w:val="none" w:sz="0" w:space="0" w:color="auto"/>
        <w:left w:val="none" w:sz="0" w:space="0" w:color="auto"/>
        <w:bottom w:val="none" w:sz="0" w:space="0" w:color="auto"/>
        <w:right w:val="none" w:sz="0" w:space="0" w:color="auto"/>
      </w:divBdr>
    </w:div>
    <w:div w:id="1546942282">
      <w:bodyDiv w:val="1"/>
      <w:marLeft w:val="0"/>
      <w:marRight w:val="0"/>
      <w:marTop w:val="0"/>
      <w:marBottom w:val="0"/>
      <w:divBdr>
        <w:top w:val="none" w:sz="0" w:space="0" w:color="auto"/>
        <w:left w:val="none" w:sz="0" w:space="0" w:color="auto"/>
        <w:bottom w:val="none" w:sz="0" w:space="0" w:color="auto"/>
        <w:right w:val="none" w:sz="0" w:space="0" w:color="auto"/>
      </w:divBdr>
    </w:div>
    <w:div w:id="1563175108">
      <w:bodyDiv w:val="1"/>
      <w:marLeft w:val="0"/>
      <w:marRight w:val="0"/>
      <w:marTop w:val="0"/>
      <w:marBottom w:val="0"/>
      <w:divBdr>
        <w:top w:val="none" w:sz="0" w:space="0" w:color="auto"/>
        <w:left w:val="none" w:sz="0" w:space="0" w:color="auto"/>
        <w:bottom w:val="none" w:sz="0" w:space="0" w:color="auto"/>
        <w:right w:val="none" w:sz="0" w:space="0" w:color="auto"/>
      </w:divBdr>
    </w:div>
    <w:div w:id="1571889604">
      <w:bodyDiv w:val="1"/>
      <w:marLeft w:val="0"/>
      <w:marRight w:val="0"/>
      <w:marTop w:val="0"/>
      <w:marBottom w:val="0"/>
      <w:divBdr>
        <w:top w:val="none" w:sz="0" w:space="0" w:color="auto"/>
        <w:left w:val="none" w:sz="0" w:space="0" w:color="auto"/>
        <w:bottom w:val="none" w:sz="0" w:space="0" w:color="auto"/>
        <w:right w:val="none" w:sz="0" w:space="0" w:color="auto"/>
      </w:divBdr>
    </w:div>
    <w:div w:id="1585719257">
      <w:bodyDiv w:val="1"/>
      <w:marLeft w:val="0"/>
      <w:marRight w:val="0"/>
      <w:marTop w:val="0"/>
      <w:marBottom w:val="0"/>
      <w:divBdr>
        <w:top w:val="none" w:sz="0" w:space="0" w:color="auto"/>
        <w:left w:val="none" w:sz="0" w:space="0" w:color="auto"/>
        <w:bottom w:val="none" w:sz="0" w:space="0" w:color="auto"/>
        <w:right w:val="none" w:sz="0" w:space="0" w:color="auto"/>
      </w:divBdr>
    </w:div>
    <w:div w:id="1585725369">
      <w:bodyDiv w:val="1"/>
      <w:marLeft w:val="0"/>
      <w:marRight w:val="0"/>
      <w:marTop w:val="0"/>
      <w:marBottom w:val="0"/>
      <w:divBdr>
        <w:top w:val="none" w:sz="0" w:space="0" w:color="auto"/>
        <w:left w:val="none" w:sz="0" w:space="0" w:color="auto"/>
        <w:bottom w:val="none" w:sz="0" w:space="0" w:color="auto"/>
        <w:right w:val="none" w:sz="0" w:space="0" w:color="auto"/>
      </w:divBdr>
    </w:div>
    <w:div w:id="1590626024">
      <w:bodyDiv w:val="1"/>
      <w:marLeft w:val="0"/>
      <w:marRight w:val="0"/>
      <w:marTop w:val="0"/>
      <w:marBottom w:val="0"/>
      <w:divBdr>
        <w:top w:val="none" w:sz="0" w:space="0" w:color="auto"/>
        <w:left w:val="none" w:sz="0" w:space="0" w:color="auto"/>
        <w:bottom w:val="none" w:sz="0" w:space="0" w:color="auto"/>
        <w:right w:val="none" w:sz="0" w:space="0" w:color="auto"/>
      </w:divBdr>
    </w:div>
    <w:div w:id="1590851107">
      <w:bodyDiv w:val="1"/>
      <w:marLeft w:val="0"/>
      <w:marRight w:val="0"/>
      <w:marTop w:val="0"/>
      <w:marBottom w:val="0"/>
      <w:divBdr>
        <w:top w:val="none" w:sz="0" w:space="0" w:color="auto"/>
        <w:left w:val="none" w:sz="0" w:space="0" w:color="auto"/>
        <w:bottom w:val="none" w:sz="0" w:space="0" w:color="auto"/>
        <w:right w:val="none" w:sz="0" w:space="0" w:color="auto"/>
      </w:divBdr>
    </w:div>
    <w:div w:id="1614707914">
      <w:bodyDiv w:val="1"/>
      <w:marLeft w:val="0"/>
      <w:marRight w:val="0"/>
      <w:marTop w:val="0"/>
      <w:marBottom w:val="0"/>
      <w:divBdr>
        <w:top w:val="none" w:sz="0" w:space="0" w:color="auto"/>
        <w:left w:val="none" w:sz="0" w:space="0" w:color="auto"/>
        <w:bottom w:val="none" w:sz="0" w:space="0" w:color="auto"/>
        <w:right w:val="none" w:sz="0" w:space="0" w:color="auto"/>
      </w:divBdr>
    </w:div>
    <w:div w:id="1618215049">
      <w:bodyDiv w:val="1"/>
      <w:marLeft w:val="0"/>
      <w:marRight w:val="0"/>
      <w:marTop w:val="0"/>
      <w:marBottom w:val="0"/>
      <w:divBdr>
        <w:top w:val="none" w:sz="0" w:space="0" w:color="auto"/>
        <w:left w:val="none" w:sz="0" w:space="0" w:color="auto"/>
        <w:bottom w:val="none" w:sz="0" w:space="0" w:color="auto"/>
        <w:right w:val="none" w:sz="0" w:space="0" w:color="auto"/>
      </w:divBdr>
    </w:div>
    <w:div w:id="1621523418">
      <w:bodyDiv w:val="1"/>
      <w:marLeft w:val="0"/>
      <w:marRight w:val="0"/>
      <w:marTop w:val="0"/>
      <w:marBottom w:val="0"/>
      <w:divBdr>
        <w:top w:val="none" w:sz="0" w:space="0" w:color="auto"/>
        <w:left w:val="none" w:sz="0" w:space="0" w:color="auto"/>
        <w:bottom w:val="none" w:sz="0" w:space="0" w:color="auto"/>
        <w:right w:val="none" w:sz="0" w:space="0" w:color="auto"/>
      </w:divBdr>
    </w:div>
    <w:div w:id="1623922141">
      <w:bodyDiv w:val="1"/>
      <w:marLeft w:val="0"/>
      <w:marRight w:val="0"/>
      <w:marTop w:val="0"/>
      <w:marBottom w:val="0"/>
      <w:divBdr>
        <w:top w:val="none" w:sz="0" w:space="0" w:color="auto"/>
        <w:left w:val="none" w:sz="0" w:space="0" w:color="auto"/>
        <w:bottom w:val="none" w:sz="0" w:space="0" w:color="auto"/>
        <w:right w:val="none" w:sz="0" w:space="0" w:color="auto"/>
      </w:divBdr>
    </w:div>
    <w:div w:id="1633361491">
      <w:bodyDiv w:val="1"/>
      <w:marLeft w:val="0"/>
      <w:marRight w:val="0"/>
      <w:marTop w:val="0"/>
      <w:marBottom w:val="0"/>
      <w:divBdr>
        <w:top w:val="none" w:sz="0" w:space="0" w:color="auto"/>
        <w:left w:val="none" w:sz="0" w:space="0" w:color="auto"/>
        <w:bottom w:val="none" w:sz="0" w:space="0" w:color="auto"/>
        <w:right w:val="none" w:sz="0" w:space="0" w:color="auto"/>
      </w:divBdr>
      <w:divsChild>
        <w:div w:id="1195580546">
          <w:marLeft w:val="480"/>
          <w:marRight w:val="0"/>
          <w:marTop w:val="0"/>
          <w:marBottom w:val="0"/>
          <w:divBdr>
            <w:top w:val="none" w:sz="0" w:space="0" w:color="auto"/>
            <w:left w:val="none" w:sz="0" w:space="0" w:color="auto"/>
            <w:bottom w:val="none" w:sz="0" w:space="0" w:color="auto"/>
            <w:right w:val="none" w:sz="0" w:space="0" w:color="auto"/>
          </w:divBdr>
        </w:div>
        <w:div w:id="1082216105">
          <w:marLeft w:val="480"/>
          <w:marRight w:val="0"/>
          <w:marTop w:val="0"/>
          <w:marBottom w:val="0"/>
          <w:divBdr>
            <w:top w:val="none" w:sz="0" w:space="0" w:color="auto"/>
            <w:left w:val="none" w:sz="0" w:space="0" w:color="auto"/>
            <w:bottom w:val="none" w:sz="0" w:space="0" w:color="auto"/>
            <w:right w:val="none" w:sz="0" w:space="0" w:color="auto"/>
          </w:divBdr>
        </w:div>
        <w:div w:id="1120295195">
          <w:marLeft w:val="480"/>
          <w:marRight w:val="0"/>
          <w:marTop w:val="0"/>
          <w:marBottom w:val="0"/>
          <w:divBdr>
            <w:top w:val="none" w:sz="0" w:space="0" w:color="auto"/>
            <w:left w:val="none" w:sz="0" w:space="0" w:color="auto"/>
            <w:bottom w:val="none" w:sz="0" w:space="0" w:color="auto"/>
            <w:right w:val="none" w:sz="0" w:space="0" w:color="auto"/>
          </w:divBdr>
        </w:div>
        <w:div w:id="13193927">
          <w:marLeft w:val="480"/>
          <w:marRight w:val="0"/>
          <w:marTop w:val="0"/>
          <w:marBottom w:val="0"/>
          <w:divBdr>
            <w:top w:val="none" w:sz="0" w:space="0" w:color="auto"/>
            <w:left w:val="none" w:sz="0" w:space="0" w:color="auto"/>
            <w:bottom w:val="none" w:sz="0" w:space="0" w:color="auto"/>
            <w:right w:val="none" w:sz="0" w:space="0" w:color="auto"/>
          </w:divBdr>
        </w:div>
        <w:div w:id="1344285081">
          <w:marLeft w:val="480"/>
          <w:marRight w:val="0"/>
          <w:marTop w:val="0"/>
          <w:marBottom w:val="0"/>
          <w:divBdr>
            <w:top w:val="none" w:sz="0" w:space="0" w:color="auto"/>
            <w:left w:val="none" w:sz="0" w:space="0" w:color="auto"/>
            <w:bottom w:val="none" w:sz="0" w:space="0" w:color="auto"/>
            <w:right w:val="none" w:sz="0" w:space="0" w:color="auto"/>
          </w:divBdr>
        </w:div>
        <w:div w:id="1856914809">
          <w:marLeft w:val="480"/>
          <w:marRight w:val="0"/>
          <w:marTop w:val="0"/>
          <w:marBottom w:val="0"/>
          <w:divBdr>
            <w:top w:val="none" w:sz="0" w:space="0" w:color="auto"/>
            <w:left w:val="none" w:sz="0" w:space="0" w:color="auto"/>
            <w:bottom w:val="none" w:sz="0" w:space="0" w:color="auto"/>
            <w:right w:val="none" w:sz="0" w:space="0" w:color="auto"/>
          </w:divBdr>
        </w:div>
        <w:div w:id="1342125083">
          <w:marLeft w:val="480"/>
          <w:marRight w:val="0"/>
          <w:marTop w:val="0"/>
          <w:marBottom w:val="0"/>
          <w:divBdr>
            <w:top w:val="none" w:sz="0" w:space="0" w:color="auto"/>
            <w:left w:val="none" w:sz="0" w:space="0" w:color="auto"/>
            <w:bottom w:val="none" w:sz="0" w:space="0" w:color="auto"/>
            <w:right w:val="none" w:sz="0" w:space="0" w:color="auto"/>
          </w:divBdr>
        </w:div>
        <w:div w:id="309554156">
          <w:marLeft w:val="480"/>
          <w:marRight w:val="0"/>
          <w:marTop w:val="0"/>
          <w:marBottom w:val="0"/>
          <w:divBdr>
            <w:top w:val="none" w:sz="0" w:space="0" w:color="auto"/>
            <w:left w:val="none" w:sz="0" w:space="0" w:color="auto"/>
            <w:bottom w:val="none" w:sz="0" w:space="0" w:color="auto"/>
            <w:right w:val="none" w:sz="0" w:space="0" w:color="auto"/>
          </w:divBdr>
        </w:div>
        <w:div w:id="1797603474">
          <w:marLeft w:val="480"/>
          <w:marRight w:val="0"/>
          <w:marTop w:val="0"/>
          <w:marBottom w:val="0"/>
          <w:divBdr>
            <w:top w:val="none" w:sz="0" w:space="0" w:color="auto"/>
            <w:left w:val="none" w:sz="0" w:space="0" w:color="auto"/>
            <w:bottom w:val="none" w:sz="0" w:space="0" w:color="auto"/>
            <w:right w:val="none" w:sz="0" w:space="0" w:color="auto"/>
          </w:divBdr>
        </w:div>
        <w:div w:id="797332727">
          <w:marLeft w:val="480"/>
          <w:marRight w:val="0"/>
          <w:marTop w:val="0"/>
          <w:marBottom w:val="0"/>
          <w:divBdr>
            <w:top w:val="none" w:sz="0" w:space="0" w:color="auto"/>
            <w:left w:val="none" w:sz="0" w:space="0" w:color="auto"/>
            <w:bottom w:val="none" w:sz="0" w:space="0" w:color="auto"/>
            <w:right w:val="none" w:sz="0" w:space="0" w:color="auto"/>
          </w:divBdr>
        </w:div>
        <w:div w:id="628170360">
          <w:marLeft w:val="480"/>
          <w:marRight w:val="0"/>
          <w:marTop w:val="0"/>
          <w:marBottom w:val="0"/>
          <w:divBdr>
            <w:top w:val="none" w:sz="0" w:space="0" w:color="auto"/>
            <w:left w:val="none" w:sz="0" w:space="0" w:color="auto"/>
            <w:bottom w:val="none" w:sz="0" w:space="0" w:color="auto"/>
            <w:right w:val="none" w:sz="0" w:space="0" w:color="auto"/>
          </w:divBdr>
        </w:div>
        <w:div w:id="20205870">
          <w:marLeft w:val="480"/>
          <w:marRight w:val="0"/>
          <w:marTop w:val="0"/>
          <w:marBottom w:val="0"/>
          <w:divBdr>
            <w:top w:val="none" w:sz="0" w:space="0" w:color="auto"/>
            <w:left w:val="none" w:sz="0" w:space="0" w:color="auto"/>
            <w:bottom w:val="none" w:sz="0" w:space="0" w:color="auto"/>
            <w:right w:val="none" w:sz="0" w:space="0" w:color="auto"/>
          </w:divBdr>
        </w:div>
        <w:div w:id="1815486205">
          <w:marLeft w:val="480"/>
          <w:marRight w:val="0"/>
          <w:marTop w:val="0"/>
          <w:marBottom w:val="0"/>
          <w:divBdr>
            <w:top w:val="none" w:sz="0" w:space="0" w:color="auto"/>
            <w:left w:val="none" w:sz="0" w:space="0" w:color="auto"/>
            <w:bottom w:val="none" w:sz="0" w:space="0" w:color="auto"/>
            <w:right w:val="none" w:sz="0" w:space="0" w:color="auto"/>
          </w:divBdr>
        </w:div>
        <w:div w:id="1697340623">
          <w:marLeft w:val="480"/>
          <w:marRight w:val="0"/>
          <w:marTop w:val="0"/>
          <w:marBottom w:val="0"/>
          <w:divBdr>
            <w:top w:val="none" w:sz="0" w:space="0" w:color="auto"/>
            <w:left w:val="none" w:sz="0" w:space="0" w:color="auto"/>
            <w:bottom w:val="none" w:sz="0" w:space="0" w:color="auto"/>
            <w:right w:val="none" w:sz="0" w:space="0" w:color="auto"/>
          </w:divBdr>
        </w:div>
        <w:div w:id="117380450">
          <w:marLeft w:val="480"/>
          <w:marRight w:val="0"/>
          <w:marTop w:val="0"/>
          <w:marBottom w:val="0"/>
          <w:divBdr>
            <w:top w:val="none" w:sz="0" w:space="0" w:color="auto"/>
            <w:left w:val="none" w:sz="0" w:space="0" w:color="auto"/>
            <w:bottom w:val="none" w:sz="0" w:space="0" w:color="auto"/>
            <w:right w:val="none" w:sz="0" w:space="0" w:color="auto"/>
          </w:divBdr>
        </w:div>
        <w:div w:id="1709835783">
          <w:marLeft w:val="480"/>
          <w:marRight w:val="0"/>
          <w:marTop w:val="0"/>
          <w:marBottom w:val="0"/>
          <w:divBdr>
            <w:top w:val="none" w:sz="0" w:space="0" w:color="auto"/>
            <w:left w:val="none" w:sz="0" w:space="0" w:color="auto"/>
            <w:bottom w:val="none" w:sz="0" w:space="0" w:color="auto"/>
            <w:right w:val="none" w:sz="0" w:space="0" w:color="auto"/>
          </w:divBdr>
        </w:div>
        <w:div w:id="1279485090">
          <w:marLeft w:val="480"/>
          <w:marRight w:val="0"/>
          <w:marTop w:val="0"/>
          <w:marBottom w:val="0"/>
          <w:divBdr>
            <w:top w:val="none" w:sz="0" w:space="0" w:color="auto"/>
            <w:left w:val="none" w:sz="0" w:space="0" w:color="auto"/>
            <w:bottom w:val="none" w:sz="0" w:space="0" w:color="auto"/>
            <w:right w:val="none" w:sz="0" w:space="0" w:color="auto"/>
          </w:divBdr>
        </w:div>
        <w:div w:id="1341933238">
          <w:marLeft w:val="480"/>
          <w:marRight w:val="0"/>
          <w:marTop w:val="0"/>
          <w:marBottom w:val="0"/>
          <w:divBdr>
            <w:top w:val="none" w:sz="0" w:space="0" w:color="auto"/>
            <w:left w:val="none" w:sz="0" w:space="0" w:color="auto"/>
            <w:bottom w:val="none" w:sz="0" w:space="0" w:color="auto"/>
            <w:right w:val="none" w:sz="0" w:space="0" w:color="auto"/>
          </w:divBdr>
        </w:div>
        <w:div w:id="1168909481">
          <w:marLeft w:val="480"/>
          <w:marRight w:val="0"/>
          <w:marTop w:val="0"/>
          <w:marBottom w:val="0"/>
          <w:divBdr>
            <w:top w:val="none" w:sz="0" w:space="0" w:color="auto"/>
            <w:left w:val="none" w:sz="0" w:space="0" w:color="auto"/>
            <w:bottom w:val="none" w:sz="0" w:space="0" w:color="auto"/>
            <w:right w:val="none" w:sz="0" w:space="0" w:color="auto"/>
          </w:divBdr>
        </w:div>
        <w:div w:id="42491207">
          <w:marLeft w:val="480"/>
          <w:marRight w:val="0"/>
          <w:marTop w:val="0"/>
          <w:marBottom w:val="0"/>
          <w:divBdr>
            <w:top w:val="none" w:sz="0" w:space="0" w:color="auto"/>
            <w:left w:val="none" w:sz="0" w:space="0" w:color="auto"/>
            <w:bottom w:val="none" w:sz="0" w:space="0" w:color="auto"/>
            <w:right w:val="none" w:sz="0" w:space="0" w:color="auto"/>
          </w:divBdr>
        </w:div>
        <w:div w:id="385379827">
          <w:marLeft w:val="480"/>
          <w:marRight w:val="0"/>
          <w:marTop w:val="0"/>
          <w:marBottom w:val="0"/>
          <w:divBdr>
            <w:top w:val="none" w:sz="0" w:space="0" w:color="auto"/>
            <w:left w:val="none" w:sz="0" w:space="0" w:color="auto"/>
            <w:bottom w:val="none" w:sz="0" w:space="0" w:color="auto"/>
            <w:right w:val="none" w:sz="0" w:space="0" w:color="auto"/>
          </w:divBdr>
        </w:div>
        <w:div w:id="491486272">
          <w:marLeft w:val="480"/>
          <w:marRight w:val="0"/>
          <w:marTop w:val="0"/>
          <w:marBottom w:val="0"/>
          <w:divBdr>
            <w:top w:val="none" w:sz="0" w:space="0" w:color="auto"/>
            <w:left w:val="none" w:sz="0" w:space="0" w:color="auto"/>
            <w:bottom w:val="none" w:sz="0" w:space="0" w:color="auto"/>
            <w:right w:val="none" w:sz="0" w:space="0" w:color="auto"/>
          </w:divBdr>
        </w:div>
      </w:divsChild>
    </w:div>
    <w:div w:id="1637681910">
      <w:bodyDiv w:val="1"/>
      <w:marLeft w:val="0"/>
      <w:marRight w:val="0"/>
      <w:marTop w:val="0"/>
      <w:marBottom w:val="0"/>
      <w:divBdr>
        <w:top w:val="none" w:sz="0" w:space="0" w:color="auto"/>
        <w:left w:val="none" w:sz="0" w:space="0" w:color="auto"/>
        <w:bottom w:val="none" w:sz="0" w:space="0" w:color="auto"/>
        <w:right w:val="none" w:sz="0" w:space="0" w:color="auto"/>
      </w:divBdr>
    </w:div>
    <w:div w:id="1637686638">
      <w:bodyDiv w:val="1"/>
      <w:marLeft w:val="0"/>
      <w:marRight w:val="0"/>
      <w:marTop w:val="0"/>
      <w:marBottom w:val="0"/>
      <w:divBdr>
        <w:top w:val="none" w:sz="0" w:space="0" w:color="auto"/>
        <w:left w:val="none" w:sz="0" w:space="0" w:color="auto"/>
        <w:bottom w:val="none" w:sz="0" w:space="0" w:color="auto"/>
        <w:right w:val="none" w:sz="0" w:space="0" w:color="auto"/>
      </w:divBdr>
    </w:div>
    <w:div w:id="1651208227">
      <w:bodyDiv w:val="1"/>
      <w:marLeft w:val="0"/>
      <w:marRight w:val="0"/>
      <w:marTop w:val="0"/>
      <w:marBottom w:val="0"/>
      <w:divBdr>
        <w:top w:val="none" w:sz="0" w:space="0" w:color="auto"/>
        <w:left w:val="none" w:sz="0" w:space="0" w:color="auto"/>
        <w:bottom w:val="none" w:sz="0" w:space="0" w:color="auto"/>
        <w:right w:val="none" w:sz="0" w:space="0" w:color="auto"/>
      </w:divBdr>
    </w:div>
    <w:div w:id="1651519051">
      <w:bodyDiv w:val="1"/>
      <w:marLeft w:val="0"/>
      <w:marRight w:val="0"/>
      <w:marTop w:val="0"/>
      <w:marBottom w:val="0"/>
      <w:divBdr>
        <w:top w:val="none" w:sz="0" w:space="0" w:color="auto"/>
        <w:left w:val="none" w:sz="0" w:space="0" w:color="auto"/>
        <w:bottom w:val="none" w:sz="0" w:space="0" w:color="auto"/>
        <w:right w:val="none" w:sz="0" w:space="0" w:color="auto"/>
      </w:divBdr>
    </w:div>
    <w:div w:id="1652949745">
      <w:bodyDiv w:val="1"/>
      <w:marLeft w:val="0"/>
      <w:marRight w:val="0"/>
      <w:marTop w:val="0"/>
      <w:marBottom w:val="0"/>
      <w:divBdr>
        <w:top w:val="none" w:sz="0" w:space="0" w:color="auto"/>
        <w:left w:val="none" w:sz="0" w:space="0" w:color="auto"/>
        <w:bottom w:val="none" w:sz="0" w:space="0" w:color="auto"/>
        <w:right w:val="none" w:sz="0" w:space="0" w:color="auto"/>
      </w:divBdr>
    </w:div>
    <w:div w:id="1661150259">
      <w:bodyDiv w:val="1"/>
      <w:marLeft w:val="0"/>
      <w:marRight w:val="0"/>
      <w:marTop w:val="0"/>
      <w:marBottom w:val="0"/>
      <w:divBdr>
        <w:top w:val="none" w:sz="0" w:space="0" w:color="auto"/>
        <w:left w:val="none" w:sz="0" w:space="0" w:color="auto"/>
        <w:bottom w:val="none" w:sz="0" w:space="0" w:color="auto"/>
        <w:right w:val="none" w:sz="0" w:space="0" w:color="auto"/>
      </w:divBdr>
    </w:div>
    <w:div w:id="1662390955">
      <w:bodyDiv w:val="1"/>
      <w:marLeft w:val="0"/>
      <w:marRight w:val="0"/>
      <w:marTop w:val="0"/>
      <w:marBottom w:val="0"/>
      <w:divBdr>
        <w:top w:val="none" w:sz="0" w:space="0" w:color="auto"/>
        <w:left w:val="none" w:sz="0" w:space="0" w:color="auto"/>
        <w:bottom w:val="none" w:sz="0" w:space="0" w:color="auto"/>
        <w:right w:val="none" w:sz="0" w:space="0" w:color="auto"/>
      </w:divBdr>
    </w:div>
    <w:div w:id="1669211418">
      <w:bodyDiv w:val="1"/>
      <w:marLeft w:val="0"/>
      <w:marRight w:val="0"/>
      <w:marTop w:val="0"/>
      <w:marBottom w:val="0"/>
      <w:divBdr>
        <w:top w:val="none" w:sz="0" w:space="0" w:color="auto"/>
        <w:left w:val="none" w:sz="0" w:space="0" w:color="auto"/>
        <w:bottom w:val="none" w:sz="0" w:space="0" w:color="auto"/>
        <w:right w:val="none" w:sz="0" w:space="0" w:color="auto"/>
      </w:divBdr>
    </w:div>
    <w:div w:id="1672246909">
      <w:bodyDiv w:val="1"/>
      <w:marLeft w:val="0"/>
      <w:marRight w:val="0"/>
      <w:marTop w:val="0"/>
      <w:marBottom w:val="0"/>
      <w:divBdr>
        <w:top w:val="none" w:sz="0" w:space="0" w:color="auto"/>
        <w:left w:val="none" w:sz="0" w:space="0" w:color="auto"/>
        <w:bottom w:val="none" w:sz="0" w:space="0" w:color="auto"/>
        <w:right w:val="none" w:sz="0" w:space="0" w:color="auto"/>
      </w:divBdr>
      <w:divsChild>
        <w:div w:id="862212826">
          <w:marLeft w:val="480"/>
          <w:marRight w:val="0"/>
          <w:marTop w:val="0"/>
          <w:marBottom w:val="0"/>
          <w:divBdr>
            <w:top w:val="none" w:sz="0" w:space="0" w:color="auto"/>
            <w:left w:val="none" w:sz="0" w:space="0" w:color="auto"/>
            <w:bottom w:val="none" w:sz="0" w:space="0" w:color="auto"/>
            <w:right w:val="none" w:sz="0" w:space="0" w:color="auto"/>
          </w:divBdr>
        </w:div>
        <w:div w:id="108286431">
          <w:marLeft w:val="480"/>
          <w:marRight w:val="0"/>
          <w:marTop w:val="0"/>
          <w:marBottom w:val="0"/>
          <w:divBdr>
            <w:top w:val="none" w:sz="0" w:space="0" w:color="auto"/>
            <w:left w:val="none" w:sz="0" w:space="0" w:color="auto"/>
            <w:bottom w:val="none" w:sz="0" w:space="0" w:color="auto"/>
            <w:right w:val="none" w:sz="0" w:space="0" w:color="auto"/>
          </w:divBdr>
        </w:div>
        <w:div w:id="1813207802">
          <w:marLeft w:val="480"/>
          <w:marRight w:val="0"/>
          <w:marTop w:val="0"/>
          <w:marBottom w:val="0"/>
          <w:divBdr>
            <w:top w:val="none" w:sz="0" w:space="0" w:color="auto"/>
            <w:left w:val="none" w:sz="0" w:space="0" w:color="auto"/>
            <w:bottom w:val="none" w:sz="0" w:space="0" w:color="auto"/>
            <w:right w:val="none" w:sz="0" w:space="0" w:color="auto"/>
          </w:divBdr>
        </w:div>
        <w:div w:id="1208029762">
          <w:marLeft w:val="480"/>
          <w:marRight w:val="0"/>
          <w:marTop w:val="0"/>
          <w:marBottom w:val="0"/>
          <w:divBdr>
            <w:top w:val="none" w:sz="0" w:space="0" w:color="auto"/>
            <w:left w:val="none" w:sz="0" w:space="0" w:color="auto"/>
            <w:bottom w:val="none" w:sz="0" w:space="0" w:color="auto"/>
            <w:right w:val="none" w:sz="0" w:space="0" w:color="auto"/>
          </w:divBdr>
        </w:div>
        <w:div w:id="101385893">
          <w:marLeft w:val="480"/>
          <w:marRight w:val="0"/>
          <w:marTop w:val="0"/>
          <w:marBottom w:val="0"/>
          <w:divBdr>
            <w:top w:val="none" w:sz="0" w:space="0" w:color="auto"/>
            <w:left w:val="none" w:sz="0" w:space="0" w:color="auto"/>
            <w:bottom w:val="none" w:sz="0" w:space="0" w:color="auto"/>
            <w:right w:val="none" w:sz="0" w:space="0" w:color="auto"/>
          </w:divBdr>
        </w:div>
        <w:div w:id="1690326481">
          <w:marLeft w:val="480"/>
          <w:marRight w:val="0"/>
          <w:marTop w:val="0"/>
          <w:marBottom w:val="0"/>
          <w:divBdr>
            <w:top w:val="none" w:sz="0" w:space="0" w:color="auto"/>
            <w:left w:val="none" w:sz="0" w:space="0" w:color="auto"/>
            <w:bottom w:val="none" w:sz="0" w:space="0" w:color="auto"/>
            <w:right w:val="none" w:sz="0" w:space="0" w:color="auto"/>
          </w:divBdr>
        </w:div>
        <w:div w:id="1651322700">
          <w:marLeft w:val="480"/>
          <w:marRight w:val="0"/>
          <w:marTop w:val="0"/>
          <w:marBottom w:val="0"/>
          <w:divBdr>
            <w:top w:val="none" w:sz="0" w:space="0" w:color="auto"/>
            <w:left w:val="none" w:sz="0" w:space="0" w:color="auto"/>
            <w:bottom w:val="none" w:sz="0" w:space="0" w:color="auto"/>
            <w:right w:val="none" w:sz="0" w:space="0" w:color="auto"/>
          </w:divBdr>
        </w:div>
        <w:div w:id="218131800">
          <w:marLeft w:val="480"/>
          <w:marRight w:val="0"/>
          <w:marTop w:val="0"/>
          <w:marBottom w:val="0"/>
          <w:divBdr>
            <w:top w:val="none" w:sz="0" w:space="0" w:color="auto"/>
            <w:left w:val="none" w:sz="0" w:space="0" w:color="auto"/>
            <w:bottom w:val="none" w:sz="0" w:space="0" w:color="auto"/>
            <w:right w:val="none" w:sz="0" w:space="0" w:color="auto"/>
          </w:divBdr>
        </w:div>
        <w:div w:id="69424724">
          <w:marLeft w:val="480"/>
          <w:marRight w:val="0"/>
          <w:marTop w:val="0"/>
          <w:marBottom w:val="0"/>
          <w:divBdr>
            <w:top w:val="none" w:sz="0" w:space="0" w:color="auto"/>
            <w:left w:val="none" w:sz="0" w:space="0" w:color="auto"/>
            <w:bottom w:val="none" w:sz="0" w:space="0" w:color="auto"/>
            <w:right w:val="none" w:sz="0" w:space="0" w:color="auto"/>
          </w:divBdr>
        </w:div>
        <w:div w:id="1932470601">
          <w:marLeft w:val="480"/>
          <w:marRight w:val="0"/>
          <w:marTop w:val="0"/>
          <w:marBottom w:val="0"/>
          <w:divBdr>
            <w:top w:val="none" w:sz="0" w:space="0" w:color="auto"/>
            <w:left w:val="none" w:sz="0" w:space="0" w:color="auto"/>
            <w:bottom w:val="none" w:sz="0" w:space="0" w:color="auto"/>
            <w:right w:val="none" w:sz="0" w:space="0" w:color="auto"/>
          </w:divBdr>
        </w:div>
        <w:div w:id="1733846268">
          <w:marLeft w:val="480"/>
          <w:marRight w:val="0"/>
          <w:marTop w:val="0"/>
          <w:marBottom w:val="0"/>
          <w:divBdr>
            <w:top w:val="none" w:sz="0" w:space="0" w:color="auto"/>
            <w:left w:val="none" w:sz="0" w:space="0" w:color="auto"/>
            <w:bottom w:val="none" w:sz="0" w:space="0" w:color="auto"/>
            <w:right w:val="none" w:sz="0" w:space="0" w:color="auto"/>
          </w:divBdr>
        </w:div>
        <w:div w:id="881525716">
          <w:marLeft w:val="480"/>
          <w:marRight w:val="0"/>
          <w:marTop w:val="0"/>
          <w:marBottom w:val="0"/>
          <w:divBdr>
            <w:top w:val="none" w:sz="0" w:space="0" w:color="auto"/>
            <w:left w:val="none" w:sz="0" w:space="0" w:color="auto"/>
            <w:bottom w:val="none" w:sz="0" w:space="0" w:color="auto"/>
            <w:right w:val="none" w:sz="0" w:space="0" w:color="auto"/>
          </w:divBdr>
        </w:div>
        <w:div w:id="1608198241">
          <w:marLeft w:val="480"/>
          <w:marRight w:val="0"/>
          <w:marTop w:val="0"/>
          <w:marBottom w:val="0"/>
          <w:divBdr>
            <w:top w:val="none" w:sz="0" w:space="0" w:color="auto"/>
            <w:left w:val="none" w:sz="0" w:space="0" w:color="auto"/>
            <w:bottom w:val="none" w:sz="0" w:space="0" w:color="auto"/>
            <w:right w:val="none" w:sz="0" w:space="0" w:color="auto"/>
          </w:divBdr>
        </w:div>
        <w:div w:id="854273606">
          <w:marLeft w:val="480"/>
          <w:marRight w:val="0"/>
          <w:marTop w:val="0"/>
          <w:marBottom w:val="0"/>
          <w:divBdr>
            <w:top w:val="none" w:sz="0" w:space="0" w:color="auto"/>
            <w:left w:val="none" w:sz="0" w:space="0" w:color="auto"/>
            <w:bottom w:val="none" w:sz="0" w:space="0" w:color="auto"/>
            <w:right w:val="none" w:sz="0" w:space="0" w:color="auto"/>
          </w:divBdr>
        </w:div>
        <w:div w:id="1545679228">
          <w:marLeft w:val="480"/>
          <w:marRight w:val="0"/>
          <w:marTop w:val="0"/>
          <w:marBottom w:val="0"/>
          <w:divBdr>
            <w:top w:val="none" w:sz="0" w:space="0" w:color="auto"/>
            <w:left w:val="none" w:sz="0" w:space="0" w:color="auto"/>
            <w:bottom w:val="none" w:sz="0" w:space="0" w:color="auto"/>
            <w:right w:val="none" w:sz="0" w:space="0" w:color="auto"/>
          </w:divBdr>
        </w:div>
        <w:div w:id="77220363">
          <w:marLeft w:val="480"/>
          <w:marRight w:val="0"/>
          <w:marTop w:val="0"/>
          <w:marBottom w:val="0"/>
          <w:divBdr>
            <w:top w:val="none" w:sz="0" w:space="0" w:color="auto"/>
            <w:left w:val="none" w:sz="0" w:space="0" w:color="auto"/>
            <w:bottom w:val="none" w:sz="0" w:space="0" w:color="auto"/>
            <w:right w:val="none" w:sz="0" w:space="0" w:color="auto"/>
          </w:divBdr>
        </w:div>
        <w:div w:id="407197474">
          <w:marLeft w:val="480"/>
          <w:marRight w:val="0"/>
          <w:marTop w:val="0"/>
          <w:marBottom w:val="0"/>
          <w:divBdr>
            <w:top w:val="none" w:sz="0" w:space="0" w:color="auto"/>
            <w:left w:val="none" w:sz="0" w:space="0" w:color="auto"/>
            <w:bottom w:val="none" w:sz="0" w:space="0" w:color="auto"/>
            <w:right w:val="none" w:sz="0" w:space="0" w:color="auto"/>
          </w:divBdr>
        </w:div>
        <w:div w:id="1224371740">
          <w:marLeft w:val="480"/>
          <w:marRight w:val="0"/>
          <w:marTop w:val="0"/>
          <w:marBottom w:val="0"/>
          <w:divBdr>
            <w:top w:val="none" w:sz="0" w:space="0" w:color="auto"/>
            <w:left w:val="none" w:sz="0" w:space="0" w:color="auto"/>
            <w:bottom w:val="none" w:sz="0" w:space="0" w:color="auto"/>
            <w:right w:val="none" w:sz="0" w:space="0" w:color="auto"/>
          </w:divBdr>
        </w:div>
        <w:div w:id="1558976621">
          <w:marLeft w:val="480"/>
          <w:marRight w:val="0"/>
          <w:marTop w:val="0"/>
          <w:marBottom w:val="0"/>
          <w:divBdr>
            <w:top w:val="none" w:sz="0" w:space="0" w:color="auto"/>
            <w:left w:val="none" w:sz="0" w:space="0" w:color="auto"/>
            <w:bottom w:val="none" w:sz="0" w:space="0" w:color="auto"/>
            <w:right w:val="none" w:sz="0" w:space="0" w:color="auto"/>
          </w:divBdr>
        </w:div>
        <w:div w:id="499585270">
          <w:marLeft w:val="480"/>
          <w:marRight w:val="0"/>
          <w:marTop w:val="0"/>
          <w:marBottom w:val="0"/>
          <w:divBdr>
            <w:top w:val="none" w:sz="0" w:space="0" w:color="auto"/>
            <w:left w:val="none" w:sz="0" w:space="0" w:color="auto"/>
            <w:bottom w:val="none" w:sz="0" w:space="0" w:color="auto"/>
            <w:right w:val="none" w:sz="0" w:space="0" w:color="auto"/>
          </w:divBdr>
        </w:div>
        <w:div w:id="1044600584">
          <w:marLeft w:val="480"/>
          <w:marRight w:val="0"/>
          <w:marTop w:val="0"/>
          <w:marBottom w:val="0"/>
          <w:divBdr>
            <w:top w:val="none" w:sz="0" w:space="0" w:color="auto"/>
            <w:left w:val="none" w:sz="0" w:space="0" w:color="auto"/>
            <w:bottom w:val="none" w:sz="0" w:space="0" w:color="auto"/>
            <w:right w:val="none" w:sz="0" w:space="0" w:color="auto"/>
          </w:divBdr>
        </w:div>
      </w:divsChild>
    </w:div>
    <w:div w:id="1690063473">
      <w:bodyDiv w:val="1"/>
      <w:marLeft w:val="0"/>
      <w:marRight w:val="0"/>
      <w:marTop w:val="0"/>
      <w:marBottom w:val="0"/>
      <w:divBdr>
        <w:top w:val="none" w:sz="0" w:space="0" w:color="auto"/>
        <w:left w:val="none" w:sz="0" w:space="0" w:color="auto"/>
        <w:bottom w:val="none" w:sz="0" w:space="0" w:color="auto"/>
        <w:right w:val="none" w:sz="0" w:space="0" w:color="auto"/>
      </w:divBdr>
    </w:div>
    <w:div w:id="1690257718">
      <w:bodyDiv w:val="1"/>
      <w:marLeft w:val="0"/>
      <w:marRight w:val="0"/>
      <w:marTop w:val="0"/>
      <w:marBottom w:val="0"/>
      <w:divBdr>
        <w:top w:val="none" w:sz="0" w:space="0" w:color="auto"/>
        <w:left w:val="none" w:sz="0" w:space="0" w:color="auto"/>
        <w:bottom w:val="none" w:sz="0" w:space="0" w:color="auto"/>
        <w:right w:val="none" w:sz="0" w:space="0" w:color="auto"/>
      </w:divBdr>
    </w:div>
    <w:div w:id="1692295520">
      <w:bodyDiv w:val="1"/>
      <w:marLeft w:val="0"/>
      <w:marRight w:val="0"/>
      <w:marTop w:val="0"/>
      <w:marBottom w:val="0"/>
      <w:divBdr>
        <w:top w:val="none" w:sz="0" w:space="0" w:color="auto"/>
        <w:left w:val="none" w:sz="0" w:space="0" w:color="auto"/>
        <w:bottom w:val="none" w:sz="0" w:space="0" w:color="auto"/>
        <w:right w:val="none" w:sz="0" w:space="0" w:color="auto"/>
      </w:divBdr>
    </w:div>
    <w:div w:id="1693459175">
      <w:bodyDiv w:val="1"/>
      <w:marLeft w:val="0"/>
      <w:marRight w:val="0"/>
      <w:marTop w:val="0"/>
      <w:marBottom w:val="0"/>
      <w:divBdr>
        <w:top w:val="none" w:sz="0" w:space="0" w:color="auto"/>
        <w:left w:val="none" w:sz="0" w:space="0" w:color="auto"/>
        <w:bottom w:val="none" w:sz="0" w:space="0" w:color="auto"/>
        <w:right w:val="none" w:sz="0" w:space="0" w:color="auto"/>
      </w:divBdr>
    </w:div>
    <w:div w:id="1713841120">
      <w:bodyDiv w:val="1"/>
      <w:marLeft w:val="0"/>
      <w:marRight w:val="0"/>
      <w:marTop w:val="0"/>
      <w:marBottom w:val="0"/>
      <w:divBdr>
        <w:top w:val="none" w:sz="0" w:space="0" w:color="auto"/>
        <w:left w:val="none" w:sz="0" w:space="0" w:color="auto"/>
        <w:bottom w:val="none" w:sz="0" w:space="0" w:color="auto"/>
        <w:right w:val="none" w:sz="0" w:space="0" w:color="auto"/>
      </w:divBdr>
    </w:div>
    <w:div w:id="1758549688">
      <w:bodyDiv w:val="1"/>
      <w:marLeft w:val="0"/>
      <w:marRight w:val="0"/>
      <w:marTop w:val="0"/>
      <w:marBottom w:val="0"/>
      <w:divBdr>
        <w:top w:val="none" w:sz="0" w:space="0" w:color="auto"/>
        <w:left w:val="none" w:sz="0" w:space="0" w:color="auto"/>
        <w:bottom w:val="none" w:sz="0" w:space="0" w:color="auto"/>
        <w:right w:val="none" w:sz="0" w:space="0" w:color="auto"/>
      </w:divBdr>
    </w:div>
    <w:div w:id="1759213887">
      <w:bodyDiv w:val="1"/>
      <w:marLeft w:val="0"/>
      <w:marRight w:val="0"/>
      <w:marTop w:val="0"/>
      <w:marBottom w:val="0"/>
      <w:divBdr>
        <w:top w:val="none" w:sz="0" w:space="0" w:color="auto"/>
        <w:left w:val="none" w:sz="0" w:space="0" w:color="auto"/>
        <w:bottom w:val="none" w:sz="0" w:space="0" w:color="auto"/>
        <w:right w:val="none" w:sz="0" w:space="0" w:color="auto"/>
      </w:divBdr>
    </w:div>
    <w:div w:id="1772823757">
      <w:bodyDiv w:val="1"/>
      <w:marLeft w:val="0"/>
      <w:marRight w:val="0"/>
      <w:marTop w:val="0"/>
      <w:marBottom w:val="0"/>
      <w:divBdr>
        <w:top w:val="none" w:sz="0" w:space="0" w:color="auto"/>
        <w:left w:val="none" w:sz="0" w:space="0" w:color="auto"/>
        <w:bottom w:val="none" w:sz="0" w:space="0" w:color="auto"/>
        <w:right w:val="none" w:sz="0" w:space="0" w:color="auto"/>
      </w:divBdr>
      <w:divsChild>
        <w:div w:id="58946445">
          <w:marLeft w:val="480"/>
          <w:marRight w:val="0"/>
          <w:marTop w:val="0"/>
          <w:marBottom w:val="0"/>
          <w:divBdr>
            <w:top w:val="none" w:sz="0" w:space="0" w:color="auto"/>
            <w:left w:val="none" w:sz="0" w:space="0" w:color="auto"/>
            <w:bottom w:val="none" w:sz="0" w:space="0" w:color="auto"/>
            <w:right w:val="none" w:sz="0" w:space="0" w:color="auto"/>
          </w:divBdr>
        </w:div>
        <w:div w:id="269357771">
          <w:marLeft w:val="480"/>
          <w:marRight w:val="0"/>
          <w:marTop w:val="0"/>
          <w:marBottom w:val="0"/>
          <w:divBdr>
            <w:top w:val="none" w:sz="0" w:space="0" w:color="auto"/>
            <w:left w:val="none" w:sz="0" w:space="0" w:color="auto"/>
            <w:bottom w:val="none" w:sz="0" w:space="0" w:color="auto"/>
            <w:right w:val="none" w:sz="0" w:space="0" w:color="auto"/>
          </w:divBdr>
        </w:div>
        <w:div w:id="360202244">
          <w:marLeft w:val="480"/>
          <w:marRight w:val="0"/>
          <w:marTop w:val="0"/>
          <w:marBottom w:val="0"/>
          <w:divBdr>
            <w:top w:val="none" w:sz="0" w:space="0" w:color="auto"/>
            <w:left w:val="none" w:sz="0" w:space="0" w:color="auto"/>
            <w:bottom w:val="none" w:sz="0" w:space="0" w:color="auto"/>
            <w:right w:val="none" w:sz="0" w:space="0" w:color="auto"/>
          </w:divBdr>
        </w:div>
        <w:div w:id="13581586">
          <w:marLeft w:val="480"/>
          <w:marRight w:val="0"/>
          <w:marTop w:val="0"/>
          <w:marBottom w:val="0"/>
          <w:divBdr>
            <w:top w:val="none" w:sz="0" w:space="0" w:color="auto"/>
            <w:left w:val="none" w:sz="0" w:space="0" w:color="auto"/>
            <w:bottom w:val="none" w:sz="0" w:space="0" w:color="auto"/>
            <w:right w:val="none" w:sz="0" w:space="0" w:color="auto"/>
          </w:divBdr>
        </w:div>
        <w:div w:id="1703822090">
          <w:marLeft w:val="480"/>
          <w:marRight w:val="0"/>
          <w:marTop w:val="0"/>
          <w:marBottom w:val="0"/>
          <w:divBdr>
            <w:top w:val="none" w:sz="0" w:space="0" w:color="auto"/>
            <w:left w:val="none" w:sz="0" w:space="0" w:color="auto"/>
            <w:bottom w:val="none" w:sz="0" w:space="0" w:color="auto"/>
            <w:right w:val="none" w:sz="0" w:space="0" w:color="auto"/>
          </w:divBdr>
        </w:div>
        <w:div w:id="59407420">
          <w:marLeft w:val="480"/>
          <w:marRight w:val="0"/>
          <w:marTop w:val="0"/>
          <w:marBottom w:val="0"/>
          <w:divBdr>
            <w:top w:val="none" w:sz="0" w:space="0" w:color="auto"/>
            <w:left w:val="none" w:sz="0" w:space="0" w:color="auto"/>
            <w:bottom w:val="none" w:sz="0" w:space="0" w:color="auto"/>
            <w:right w:val="none" w:sz="0" w:space="0" w:color="auto"/>
          </w:divBdr>
        </w:div>
        <w:div w:id="1149832717">
          <w:marLeft w:val="480"/>
          <w:marRight w:val="0"/>
          <w:marTop w:val="0"/>
          <w:marBottom w:val="0"/>
          <w:divBdr>
            <w:top w:val="none" w:sz="0" w:space="0" w:color="auto"/>
            <w:left w:val="none" w:sz="0" w:space="0" w:color="auto"/>
            <w:bottom w:val="none" w:sz="0" w:space="0" w:color="auto"/>
            <w:right w:val="none" w:sz="0" w:space="0" w:color="auto"/>
          </w:divBdr>
        </w:div>
        <w:div w:id="345522443">
          <w:marLeft w:val="480"/>
          <w:marRight w:val="0"/>
          <w:marTop w:val="0"/>
          <w:marBottom w:val="0"/>
          <w:divBdr>
            <w:top w:val="none" w:sz="0" w:space="0" w:color="auto"/>
            <w:left w:val="none" w:sz="0" w:space="0" w:color="auto"/>
            <w:bottom w:val="none" w:sz="0" w:space="0" w:color="auto"/>
            <w:right w:val="none" w:sz="0" w:space="0" w:color="auto"/>
          </w:divBdr>
        </w:div>
        <w:div w:id="1900246664">
          <w:marLeft w:val="480"/>
          <w:marRight w:val="0"/>
          <w:marTop w:val="0"/>
          <w:marBottom w:val="0"/>
          <w:divBdr>
            <w:top w:val="none" w:sz="0" w:space="0" w:color="auto"/>
            <w:left w:val="none" w:sz="0" w:space="0" w:color="auto"/>
            <w:bottom w:val="none" w:sz="0" w:space="0" w:color="auto"/>
            <w:right w:val="none" w:sz="0" w:space="0" w:color="auto"/>
          </w:divBdr>
        </w:div>
        <w:div w:id="1518347700">
          <w:marLeft w:val="480"/>
          <w:marRight w:val="0"/>
          <w:marTop w:val="0"/>
          <w:marBottom w:val="0"/>
          <w:divBdr>
            <w:top w:val="none" w:sz="0" w:space="0" w:color="auto"/>
            <w:left w:val="none" w:sz="0" w:space="0" w:color="auto"/>
            <w:bottom w:val="none" w:sz="0" w:space="0" w:color="auto"/>
            <w:right w:val="none" w:sz="0" w:space="0" w:color="auto"/>
          </w:divBdr>
        </w:div>
        <w:div w:id="78909279">
          <w:marLeft w:val="480"/>
          <w:marRight w:val="0"/>
          <w:marTop w:val="0"/>
          <w:marBottom w:val="0"/>
          <w:divBdr>
            <w:top w:val="none" w:sz="0" w:space="0" w:color="auto"/>
            <w:left w:val="none" w:sz="0" w:space="0" w:color="auto"/>
            <w:bottom w:val="none" w:sz="0" w:space="0" w:color="auto"/>
            <w:right w:val="none" w:sz="0" w:space="0" w:color="auto"/>
          </w:divBdr>
        </w:div>
        <w:div w:id="1179587843">
          <w:marLeft w:val="480"/>
          <w:marRight w:val="0"/>
          <w:marTop w:val="0"/>
          <w:marBottom w:val="0"/>
          <w:divBdr>
            <w:top w:val="none" w:sz="0" w:space="0" w:color="auto"/>
            <w:left w:val="none" w:sz="0" w:space="0" w:color="auto"/>
            <w:bottom w:val="none" w:sz="0" w:space="0" w:color="auto"/>
            <w:right w:val="none" w:sz="0" w:space="0" w:color="auto"/>
          </w:divBdr>
        </w:div>
        <w:div w:id="758988456">
          <w:marLeft w:val="480"/>
          <w:marRight w:val="0"/>
          <w:marTop w:val="0"/>
          <w:marBottom w:val="0"/>
          <w:divBdr>
            <w:top w:val="none" w:sz="0" w:space="0" w:color="auto"/>
            <w:left w:val="none" w:sz="0" w:space="0" w:color="auto"/>
            <w:bottom w:val="none" w:sz="0" w:space="0" w:color="auto"/>
            <w:right w:val="none" w:sz="0" w:space="0" w:color="auto"/>
          </w:divBdr>
        </w:div>
        <w:div w:id="1514564064">
          <w:marLeft w:val="480"/>
          <w:marRight w:val="0"/>
          <w:marTop w:val="0"/>
          <w:marBottom w:val="0"/>
          <w:divBdr>
            <w:top w:val="none" w:sz="0" w:space="0" w:color="auto"/>
            <w:left w:val="none" w:sz="0" w:space="0" w:color="auto"/>
            <w:bottom w:val="none" w:sz="0" w:space="0" w:color="auto"/>
            <w:right w:val="none" w:sz="0" w:space="0" w:color="auto"/>
          </w:divBdr>
        </w:div>
        <w:div w:id="1362172741">
          <w:marLeft w:val="480"/>
          <w:marRight w:val="0"/>
          <w:marTop w:val="0"/>
          <w:marBottom w:val="0"/>
          <w:divBdr>
            <w:top w:val="none" w:sz="0" w:space="0" w:color="auto"/>
            <w:left w:val="none" w:sz="0" w:space="0" w:color="auto"/>
            <w:bottom w:val="none" w:sz="0" w:space="0" w:color="auto"/>
            <w:right w:val="none" w:sz="0" w:space="0" w:color="auto"/>
          </w:divBdr>
        </w:div>
        <w:div w:id="1011569384">
          <w:marLeft w:val="480"/>
          <w:marRight w:val="0"/>
          <w:marTop w:val="0"/>
          <w:marBottom w:val="0"/>
          <w:divBdr>
            <w:top w:val="none" w:sz="0" w:space="0" w:color="auto"/>
            <w:left w:val="none" w:sz="0" w:space="0" w:color="auto"/>
            <w:bottom w:val="none" w:sz="0" w:space="0" w:color="auto"/>
            <w:right w:val="none" w:sz="0" w:space="0" w:color="auto"/>
          </w:divBdr>
        </w:div>
        <w:div w:id="851143711">
          <w:marLeft w:val="480"/>
          <w:marRight w:val="0"/>
          <w:marTop w:val="0"/>
          <w:marBottom w:val="0"/>
          <w:divBdr>
            <w:top w:val="none" w:sz="0" w:space="0" w:color="auto"/>
            <w:left w:val="none" w:sz="0" w:space="0" w:color="auto"/>
            <w:bottom w:val="none" w:sz="0" w:space="0" w:color="auto"/>
            <w:right w:val="none" w:sz="0" w:space="0" w:color="auto"/>
          </w:divBdr>
        </w:div>
        <w:div w:id="100494186">
          <w:marLeft w:val="480"/>
          <w:marRight w:val="0"/>
          <w:marTop w:val="0"/>
          <w:marBottom w:val="0"/>
          <w:divBdr>
            <w:top w:val="none" w:sz="0" w:space="0" w:color="auto"/>
            <w:left w:val="none" w:sz="0" w:space="0" w:color="auto"/>
            <w:bottom w:val="none" w:sz="0" w:space="0" w:color="auto"/>
            <w:right w:val="none" w:sz="0" w:space="0" w:color="auto"/>
          </w:divBdr>
        </w:div>
        <w:div w:id="1541433985">
          <w:marLeft w:val="480"/>
          <w:marRight w:val="0"/>
          <w:marTop w:val="0"/>
          <w:marBottom w:val="0"/>
          <w:divBdr>
            <w:top w:val="none" w:sz="0" w:space="0" w:color="auto"/>
            <w:left w:val="none" w:sz="0" w:space="0" w:color="auto"/>
            <w:bottom w:val="none" w:sz="0" w:space="0" w:color="auto"/>
            <w:right w:val="none" w:sz="0" w:space="0" w:color="auto"/>
          </w:divBdr>
        </w:div>
        <w:div w:id="1858929987">
          <w:marLeft w:val="480"/>
          <w:marRight w:val="0"/>
          <w:marTop w:val="0"/>
          <w:marBottom w:val="0"/>
          <w:divBdr>
            <w:top w:val="none" w:sz="0" w:space="0" w:color="auto"/>
            <w:left w:val="none" w:sz="0" w:space="0" w:color="auto"/>
            <w:bottom w:val="none" w:sz="0" w:space="0" w:color="auto"/>
            <w:right w:val="none" w:sz="0" w:space="0" w:color="auto"/>
          </w:divBdr>
        </w:div>
      </w:divsChild>
    </w:div>
    <w:div w:id="1777284094">
      <w:bodyDiv w:val="1"/>
      <w:marLeft w:val="0"/>
      <w:marRight w:val="0"/>
      <w:marTop w:val="0"/>
      <w:marBottom w:val="0"/>
      <w:divBdr>
        <w:top w:val="none" w:sz="0" w:space="0" w:color="auto"/>
        <w:left w:val="none" w:sz="0" w:space="0" w:color="auto"/>
        <w:bottom w:val="none" w:sz="0" w:space="0" w:color="auto"/>
        <w:right w:val="none" w:sz="0" w:space="0" w:color="auto"/>
      </w:divBdr>
    </w:div>
    <w:div w:id="1778718795">
      <w:bodyDiv w:val="1"/>
      <w:marLeft w:val="0"/>
      <w:marRight w:val="0"/>
      <w:marTop w:val="0"/>
      <w:marBottom w:val="0"/>
      <w:divBdr>
        <w:top w:val="none" w:sz="0" w:space="0" w:color="auto"/>
        <w:left w:val="none" w:sz="0" w:space="0" w:color="auto"/>
        <w:bottom w:val="none" w:sz="0" w:space="0" w:color="auto"/>
        <w:right w:val="none" w:sz="0" w:space="0" w:color="auto"/>
      </w:divBdr>
      <w:divsChild>
        <w:div w:id="1002124527">
          <w:marLeft w:val="480"/>
          <w:marRight w:val="0"/>
          <w:marTop w:val="0"/>
          <w:marBottom w:val="0"/>
          <w:divBdr>
            <w:top w:val="none" w:sz="0" w:space="0" w:color="auto"/>
            <w:left w:val="none" w:sz="0" w:space="0" w:color="auto"/>
            <w:bottom w:val="none" w:sz="0" w:space="0" w:color="auto"/>
            <w:right w:val="none" w:sz="0" w:space="0" w:color="auto"/>
          </w:divBdr>
        </w:div>
        <w:div w:id="1123159525">
          <w:marLeft w:val="480"/>
          <w:marRight w:val="0"/>
          <w:marTop w:val="0"/>
          <w:marBottom w:val="0"/>
          <w:divBdr>
            <w:top w:val="none" w:sz="0" w:space="0" w:color="auto"/>
            <w:left w:val="none" w:sz="0" w:space="0" w:color="auto"/>
            <w:bottom w:val="none" w:sz="0" w:space="0" w:color="auto"/>
            <w:right w:val="none" w:sz="0" w:space="0" w:color="auto"/>
          </w:divBdr>
        </w:div>
        <w:div w:id="480659818">
          <w:marLeft w:val="480"/>
          <w:marRight w:val="0"/>
          <w:marTop w:val="0"/>
          <w:marBottom w:val="0"/>
          <w:divBdr>
            <w:top w:val="none" w:sz="0" w:space="0" w:color="auto"/>
            <w:left w:val="none" w:sz="0" w:space="0" w:color="auto"/>
            <w:bottom w:val="none" w:sz="0" w:space="0" w:color="auto"/>
            <w:right w:val="none" w:sz="0" w:space="0" w:color="auto"/>
          </w:divBdr>
        </w:div>
        <w:div w:id="377705235">
          <w:marLeft w:val="480"/>
          <w:marRight w:val="0"/>
          <w:marTop w:val="0"/>
          <w:marBottom w:val="0"/>
          <w:divBdr>
            <w:top w:val="none" w:sz="0" w:space="0" w:color="auto"/>
            <w:left w:val="none" w:sz="0" w:space="0" w:color="auto"/>
            <w:bottom w:val="none" w:sz="0" w:space="0" w:color="auto"/>
            <w:right w:val="none" w:sz="0" w:space="0" w:color="auto"/>
          </w:divBdr>
        </w:div>
        <w:div w:id="535509113">
          <w:marLeft w:val="480"/>
          <w:marRight w:val="0"/>
          <w:marTop w:val="0"/>
          <w:marBottom w:val="0"/>
          <w:divBdr>
            <w:top w:val="none" w:sz="0" w:space="0" w:color="auto"/>
            <w:left w:val="none" w:sz="0" w:space="0" w:color="auto"/>
            <w:bottom w:val="none" w:sz="0" w:space="0" w:color="auto"/>
            <w:right w:val="none" w:sz="0" w:space="0" w:color="auto"/>
          </w:divBdr>
        </w:div>
        <w:div w:id="381947254">
          <w:marLeft w:val="480"/>
          <w:marRight w:val="0"/>
          <w:marTop w:val="0"/>
          <w:marBottom w:val="0"/>
          <w:divBdr>
            <w:top w:val="none" w:sz="0" w:space="0" w:color="auto"/>
            <w:left w:val="none" w:sz="0" w:space="0" w:color="auto"/>
            <w:bottom w:val="none" w:sz="0" w:space="0" w:color="auto"/>
            <w:right w:val="none" w:sz="0" w:space="0" w:color="auto"/>
          </w:divBdr>
        </w:div>
        <w:div w:id="1849441896">
          <w:marLeft w:val="480"/>
          <w:marRight w:val="0"/>
          <w:marTop w:val="0"/>
          <w:marBottom w:val="0"/>
          <w:divBdr>
            <w:top w:val="none" w:sz="0" w:space="0" w:color="auto"/>
            <w:left w:val="none" w:sz="0" w:space="0" w:color="auto"/>
            <w:bottom w:val="none" w:sz="0" w:space="0" w:color="auto"/>
            <w:right w:val="none" w:sz="0" w:space="0" w:color="auto"/>
          </w:divBdr>
        </w:div>
        <w:div w:id="835222632">
          <w:marLeft w:val="480"/>
          <w:marRight w:val="0"/>
          <w:marTop w:val="0"/>
          <w:marBottom w:val="0"/>
          <w:divBdr>
            <w:top w:val="none" w:sz="0" w:space="0" w:color="auto"/>
            <w:left w:val="none" w:sz="0" w:space="0" w:color="auto"/>
            <w:bottom w:val="none" w:sz="0" w:space="0" w:color="auto"/>
            <w:right w:val="none" w:sz="0" w:space="0" w:color="auto"/>
          </w:divBdr>
        </w:div>
        <w:div w:id="1071121804">
          <w:marLeft w:val="480"/>
          <w:marRight w:val="0"/>
          <w:marTop w:val="0"/>
          <w:marBottom w:val="0"/>
          <w:divBdr>
            <w:top w:val="none" w:sz="0" w:space="0" w:color="auto"/>
            <w:left w:val="none" w:sz="0" w:space="0" w:color="auto"/>
            <w:bottom w:val="none" w:sz="0" w:space="0" w:color="auto"/>
            <w:right w:val="none" w:sz="0" w:space="0" w:color="auto"/>
          </w:divBdr>
        </w:div>
        <w:div w:id="1581672842">
          <w:marLeft w:val="480"/>
          <w:marRight w:val="0"/>
          <w:marTop w:val="0"/>
          <w:marBottom w:val="0"/>
          <w:divBdr>
            <w:top w:val="none" w:sz="0" w:space="0" w:color="auto"/>
            <w:left w:val="none" w:sz="0" w:space="0" w:color="auto"/>
            <w:bottom w:val="none" w:sz="0" w:space="0" w:color="auto"/>
            <w:right w:val="none" w:sz="0" w:space="0" w:color="auto"/>
          </w:divBdr>
        </w:div>
        <w:div w:id="168450059">
          <w:marLeft w:val="480"/>
          <w:marRight w:val="0"/>
          <w:marTop w:val="0"/>
          <w:marBottom w:val="0"/>
          <w:divBdr>
            <w:top w:val="none" w:sz="0" w:space="0" w:color="auto"/>
            <w:left w:val="none" w:sz="0" w:space="0" w:color="auto"/>
            <w:bottom w:val="none" w:sz="0" w:space="0" w:color="auto"/>
            <w:right w:val="none" w:sz="0" w:space="0" w:color="auto"/>
          </w:divBdr>
        </w:div>
        <w:div w:id="914819918">
          <w:marLeft w:val="480"/>
          <w:marRight w:val="0"/>
          <w:marTop w:val="0"/>
          <w:marBottom w:val="0"/>
          <w:divBdr>
            <w:top w:val="none" w:sz="0" w:space="0" w:color="auto"/>
            <w:left w:val="none" w:sz="0" w:space="0" w:color="auto"/>
            <w:bottom w:val="none" w:sz="0" w:space="0" w:color="auto"/>
            <w:right w:val="none" w:sz="0" w:space="0" w:color="auto"/>
          </w:divBdr>
        </w:div>
        <w:div w:id="739981901">
          <w:marLeft w:val="480"/>
          <w:marRight w:val="0"/>
          <w:marTop w:val="0"/>
          <w:marBottom w:val="0"/>
          <w:divBdr>
            <w:top w:val="none" w:sz="0" w:space="0" w:color="auto"/>
            <w:left w:val="none" w:sz="0" w:space="0" w:color="auto"/>
            <w:bottom w:val="none" w:sz="0" w:space="0" w:color="auto"/>
            <w:right w:val="none" w:sz="0" w:space="0" w:color="auto"/>
          </w:divBdr>
        </w:div>
        <w:div w:id="665015334">
          <w:marLeft w:val="480"/>
          <w:marRight w:val="0"/>
          <w:marTop w:val="0"/>
          <w:marBottom w:val="0"/>
          <w:divBdr>
            <w:top w:val="none" w:sz="0" w:space="0" w:color="auto"/>
            <w:left w:val="none" w:sz="0" w:space="0" w:color="auto"/>
            <w:bottom w:val="none" w:sz="0" w:space="0" w:color="auto"/>
            <w:right w:val="none" w:sz="0" w:space="0" w:color="auto"/>
          </w:divBdr>
        </w:div>
        <w:div w:id="1166046519">
          <w:marLeft w:val="480"/>
          <w:marRight w:val="0"/>
          <w:marTop w:val="0"/>
          <w:marBottom w:val="0"/>
          <w:divBdr>
            <w:top w:val="none" w:sz="0" w:space="0" w:color="auto"/>
            <w:left w:val="none" w:sz="0" w:space="0" w:color="auto"/>
            <w:bottom w:val="none" w:sz="0" w:space="0" w:color="auto"/>
            <w:right w:val="none" w:sz="0" w:space="0" w:color="auto"/>
          </w:divBdr>
        </w:div>
        <w:div w:id="1836385106">
          <w:marLeft w:val="480"/>
          <w:marRight w:val="0"/>
          <w:marTop w:val="0"/>
          <w:marBottom w:val="0"/>
          <w:divBdr>
            <w:top w:val="none" w:sz="0" w:space="0" w:color="auto"/>
            <w:left w:val="none" w:sz="0" w:space="0" w:color="auto"/>
            <w:bottom w:val="none" w:sz="0" w:space="0" w:color="auto"/>
            <w:right w:val="none" w:sz="0" w:space="0" w:color="auto"/>
          </w:divBdr>
        </w:div>
        <w:div w:id="1710447466">
          <w:marLeft w:val="480"/>
          <w:marRight w:val="0"/>
          <w:marTop w:val="0"/>
          <w:marBottom w:val="0"/>
          <w:divBdr>
            <w:top w:val="none" w:sz="0" w:space="0" w:color="auto"/>
            <w:left w:val="none" w:sz="0" w:space="0" w:color="auto"/>
            <w:bottom w:val="none" w:sz="0" w:space="0" w:color="auto"/>
            <w:right w:val="none" w:sz="0" w:space="0" w:color="auto"/>
          </w:divBdr>
        </w:div>
        <w:div w:id="482282699">
          <w:marLeft w:val="480"/>
          <w:marRight w:val="0"/>
          <w:marTop w:val="0"/>
          <w:marBottom w:val="0"/>
          <w:divBdr>
            <w:top w:val="none" w:sz="0" w:space="0" w:color="auto"/>
            <w:left w:val="none" w:sz="0" w:space="0" w:color="auto"/>
            <w:bottom w:val="none" w:sz="0" w:space="0" w:color="auto"/>
            <w:right w:val="none" w:sz="0" w:space="0" w:color="auto"/>
          </w:divBdr>
        </w:div>
        <w:div w:id="1488666630">
          <w:marLeft w:val="480"/>
          <w:marRight w:val="0"/>
          <w:marTop w:val="0"/>
          <w:marBottom w:val="0"/>
          <w:divBdr>
            <w:top w:val="none" w:sz="0" w:space="0" w:color="auto"/>
            <w:left w:val="none" w:sz="0" w:space="0" w:color="auto"/>
            <w:bottom w:val="none" w:sz="0" w:space="0" w:color="auto"/>
            <w:right w:val="none" w:sz="0" w:space="0" w:color="auto"/>
          </w:divBdr>
        </w:div>
        <w:div w:id="1011637597">
          <w:marLeft w:val="480"/>
          <w:marRight w:val="0"/>
          <w:marTop w:val="0"/>
          <w:marBottom w:val="0"/>
          <w:divBdr>
            <w:top w:val="none" w:sz="0" w:space="0" w:color="auto"/>
            <w:left w:val="none" w:sz="0" w:space="0" w:color="auto"/>
            <w:bottom w:val="none" w:sz="0" w:space="0" w:color="auto"/>
            <w:right w:val="none" w:sz="0" w:space="0" w:color="auto"/>
          </w:divBdr>
        </w:div>
      </w:divsChild>
    </w:div>
    <w:div w:id="1779443669">
      <w:bodyDiv w:val="1"/>
      <w:marLeft w:val="0"/>
      <w:marRight w:val="0"/>
      <w:marTop w:val="0"/>
      <w:marBottom w:val="0"/>
      <w:divBdr>
        <w:top w:val="none" w:sz="0" w:space="0" w:color="auto"/>
        <w:left w:val="none" w:sz="0" w:space="0" w:color="auto"/>
        <w:bottom w:val="none" w:sz="0" w:space="0" w:color="auto"/>
        <w:right w:val="none" w:sz="0" w:space="0" w:color="auto"/>
      </w:divBdr>
    </w:div>
    <w:div w:id="1787508533">
      <w:bodyDiv w:val="1"/>
      <w:marLeft w:val="0"/>
      <w:marRight w:val="0"/>
      <w:marTop w:val="0"/>
      <w:marBottom w:val="0"/>
      <w:divBdr>
        <w:top w:val="none" w:sz="0" w:space="0" w:color="auto"/>
        <w:left w:val="none" w:sz="0" w:space="0" w:color="auto"/>
        <w:bottom w:val="none" w:sz="0" w:space="0" w:color="auto"/>
        <w:right w:val="none" w:sz="0" w:space="0" w:color="auto"/>
      </w:divBdr>
    </w:div>
    <w:div w:id="1791120408">
      <w:bodyDiv w:val="1"/>
      <w:marLeft w:val="0"/>
      <w:marRight w:val="0"/>
      <w:marTop w:val="0"/>
      <w:marBottom w:val="0"/>
      <w:divBdr>
        <w:top w:val="none" w:sz="0" w:space="0" w:color="auto"/>
        <w:left w:val="none" w:sz="0" w:space="0" w:color="auto"/>
        <w:bottom w:val="none" w:sz="0" w:space="0" w:color="auto"/>
        <w:right w:val="none" w:sz="0" w:space="0" w:color="auto"/>
      </w:divBdr>
    </w:div>
    <w:div w:id="1793163236">
      <w:bodyDiv w:val="1"/>
      <w:marLeft w:val="0"/>
      <w:marRight w:val="0"/>
      <w:marTop w:val="0"/>
      <w:marBottom w:val="0"/>
      <w:divBdr>
        <w:top w:val="none" w:sz="0" w:space="0" w:color="auto"/>
        <w:left w:val="none" w:sz="0" w:space="0" w:color="auto"/>
        <w:bottom w:val="none" w:sz="0" w:space="0" w:color="auto"/>
        <w:right w:val="none" w:sz="0" w:space="0" w:color="auto"/>
      </w:divBdr>
    </w:div>
    <w:div w:id="1793859780">
      <w:bodyDiv w:val="1"/>
      <w:marLeft w:val="0"/>
      <w:marRight w:val="0"/>
      <w:marTop w:val="0"/>
      <w:marBottom w:val="0"/>
      <w:divBdr>
        <w:top w:val="none" w:sz="0" w:space="0" w:color="auto"/>
        <w:left w:val="none" w:sz="0" w:space="0" w:color="auto"/>
        <w:bottom w:val="none" w:sz="0" w:space="0" w:color="auto"/>
        <w:right w:val="none" w:sz="0" w:space="0" w:color="auto"/>
      </w:divBdr>
    </w:div>
    <w:div w:id="1795251405">
      <w:bodyDiv w:val="1"/>
      <w:marLeft w:val="0"/>
      <w:marRight w:val="0"/>
      <w:marTop w:val="0"/>
      <w:marBottom w:val="0"/>
      <w:divBdr>
        <w:top w:val="none" w:sz="0" w:space="0" w:color="auto"/>
        <w:left w:val="none" w:sz="0" w:space="0" w:color="auto"/>
        <w:bottom w:val="none" w:sz="0" w:space="0" w:color="auto"/>
        <w:right w:val="none" w:sz="0" w:space="0" w:color="auto"/>
      </w:divBdr>
    </w:div>
    <w:div w:id="1802460526">
      <w:bodyDiv w:val="1"/>
      <w:marLeft w:val="0"/>
      <w:marRight w:val="0"/>
      <w:marTop w:val="0"/>
      <w:marBottom w:val="0"/>
      <w:divBdr>
        <w:top w:val="none" w:sz="0" w:space="0" w:color="auto"/>
        <w:left w:val="none" w:sz="0" w:space="0" w:color="auto"/>
        <w:bottom w:val="none" w:sz="0" w:space="0" w:color="auto"/>
        <w:right w:val="none" w:sz="0" w:space="0" w:color="auto"/>
      </w:divBdr>
    </w:div>
    <w:div w:id="1812749176">
      <w:bodyDiv w:val="1"/>
      <w:marLeft w:val="0"/>
      <w:marRight w:val="0"/>
      <w:marTop w:val="0"/>
      <w:marBottom w:val="0"/>
      <w:divBdr>
        <w:top w:val="none" w:sz="0" w:space="0" w:color="auto"/>
        <w:left w:val="none" w:sz="0" w:space="0" w:color="auto"/>
        <w:bottom w:val="none" w:sz="0" w:space="0" w:color="auto"/>
        <w:right w:val="none" w:sz="0" w:space="0" w:color="auto"/>
      </w:divBdr>
    </w:div>
    <w:div w:id="1814062354">
      <w:bodyDiv w:val="1"/>
      <w:marLeft w:val="0"/>
      <w:marRight w:val="0"/>
      <w:marTop w:val="0"/>
      <w:marBottom w:val="0"/>
      <w:divBdr>
        <w:top w:val="none" w:sz="0" w:space="0" w:color="auto"/>
        <w:left w:val="none" w:sz="0" w:space="0" w:color="auto"/>
        <w:bottom w:val="none" w:sz="0" w:space="0" w:color="auto"/>
        <w:right w:val="none" w:sz="0" w:space="0" w:color="auto"/>
      </w:divBdr>
    </w:div>
    <w:div w:id="1820073588">
      <w:bodyDiv w:val="1"/>
      <w:marLeft w:val="0"/>
      <w:marRight w:val="0"/>
      <w:marTop w:val="0"/>
      <w:marBottom w:val="0"/>
      <w:divBdr>
        <w:top w:val="none" w:sz="0" w:space="0" w:color="auto"/>
        <w:left w:val="none" w:sz="0" w:space="0" w:color="auto"/>
        <w:bottom w:val="none" w:sz="0" w:space="0" w:color="auto"/>
        <w:right w:val="none" w:sz="0" w:space="0" w:color="auto"/>
      </w:divBdr>
    </w:div>
    <w:div w:id="1826044409">
      <w:bodyDiv w:val="1"/>
      <w:marLeft w:val="0"/>
      <w:marRight w:val="0"/>
      <w:marTop w:val="0"/>
      <w:marBottom w:val="0"/>
      <w:divBdr>
        <w:top w:val="none" w:sz="0" w:space="0" w:color="auto"/>
        <w:left w:val="none" w:sz="0" w:space="0" w:color="auto"/>
        <w:bottom w:val="none" w:sz="0" w:space="0" w:color="auto"/>
        <w:right w:val="none" w:sz="0" w:space="0" w:color="auto"/>
      </w:divBdr>
    </w:div>
    <w:div w:id="1826503818">
      <w:bodyDiv w:val="1"/>
      <w:marLeft w:val="0"/>
      <w:marRight w:val="0"/>
      <w:marTop w:val="0"/>
      <w:marBottom w:val="0"/>
      <w:divBdr>
        <w:top w:val="none" w:sz="0" w:space="0" w:color="auto"/>
        <w:left w:val="none" w:sz="0" w:space="0" w:color="auto"/>
        <w:bottom w:val="none" w:sz="0" w:space="0" w:color="auto"/>
        <w:right w:val="none" w:sz="0" w:space="0" w:color="auto"/>
      </w:divBdr>
    </w:div>
    <w:div w:id="1832721262">
      <w:bodyDiv w:val="1"/>
      <w:marLeft w:val="0"/>
      <w:marRight w:val="0"/>
      <w:marTop w:val="0"/>
      <w:marBottom w:val="0"/>
      <w:divBdr>
        <w:top w:val="none" w:sz="0" w:space="0" w:color="auto"/>
        <w:left w:val="none" w:sz="0" w:space="0" w:color="auto"/>
        <w:bottom w:val="none" w:sz="0" w:space="0" w:color="auto"/>
        <w:right w:val="none" w:sz="0" w:space="0" w:color="auto"/>
      </w:divBdr>
    </w:div>
    <w:div w:id="1835412128">
      <w:bodyDiv w:val="1"/>
      <w:marLeft w:val="0"/>
      <w:marRight w:val="0"/>
      <w:marTop w:val="0"/>
      <w:marBottom w:val="0"/>
      <w:divBdr>
        <w:top w:val="none" w:sz="0" w:space="0" w:color="auto"/>
        <w:left w:val="none" w:sz="0" w:space="0" w:color="auto"/>
        <w:bottom w:val="none" w:sz="0" w:space="0" w:color="auto"/>
        <w:right w:val="none" w:sz="0" w:space="0" w:color="auto"/>
      </w:divBdr>
      <w:divsChild>
        <w:div w:id="1048145357">
          <w:marLeft w:val="480"/>
          <w:marRight w:val="0"/>
          <w:marTop w:val="0"/>
          <w:marBottom w:val="0"/>
          <w:divBdr>
            <w:top w:val="none" w:sz="0" w:space="0" w:color="auto"/>
            <w:left w:val="none" w:sz="0" w:space="0" w:color="auto"/>
            <w:bottom w:val="none" w:sz="0" w:space="0" w:color="auto"/>
            <w:right w:val="none" w:sz="0" w:space="0" w:color="auto"/>
          </w:divBdr>
        </w:div>
        <w:div w:id="1979992186">
          <w:marLeft w:val="480"/>
          <w:marRight w:val="0"/>
          <w:marTop w:val="0"/>
          <w:marBottom w:val="0"/>
          <w:divBdr>
            <w:top w:val="none" w:sz="0" w:space="0" w:color="auto"/>
            <w:left w:val="none" w:sz="0" w:space="0" w:color="auto"/>
            <w:bottom w:val="none" w:sz="0" w:space="0" w:color="auto"/>
            <w:right w:val="none" w:sz="0" w:space="0" w:color="auto"/>
          </w:divBdr>
        </w:div>
        <w:div w:id="281498153">
          <w:marLeft w:val="480"/>
          <w:marRight w:val="0"/>
          <w:marTop w:val="0"/>
          <w:marBottom w:val="0"/>
          <w:divBdr>
            <w:top w:val="none" w:sz="0" w:space="0" w:color="auto"/>
            <w:left w:val="none" w:sz="0" w:space="0" w:color="auto"/>
            <w:bottom w:val="none" w:sz="0" w:space="0" w:color="auto"/>
            <w:right w:val="none" w:sz="0" w:space="0" w:color="auto"/>
          </w:divBdr>
        </w:div>
        <w:div w:id="2088265305">
          <w:marLeft w:val="480"/>
          <w:marRight w:val="0"/>
          <w:marTop w:val="0"/>
          <w:marBottom w:val="0"/>
          <w:divBdr>
            <w:top w:val="none" w:sz="0" w:space="0" w:color="auto"/>
            <w:left w:val="none" w:sz="0" w:space="0" w:color="auto"/>
            <w:bottom w:val="none" w:sz="0" w:space="0" w:color="auto"/>
            <w:right w:val="none" w:sz="0" w:space="0" w:color="auto"/>
          </w:divBdr>
        </w:div>
        <w:div w:id="472717378">
          <w:marLeft w:val="480"/>
          <w:marRight w:val="0"/>
          <w:marTop w:val="0"/>
          <w:marBottom w:val="0"/>
          <w:divBdr>
            <w:top w:val="none" w:sz="0" w:space="0" w:color="auto"/>
            <w:left w:val="none" w:sz="0" w:space="0" w:color="auto"/>
            <w:bottom w:val="none" w:sz="0" w:space="0" w:color="auto"/>
            <w:right w:val="none" w:sz="0" w:space="0" w:color="auto"/>
          </w:divBdr>
        </w:div>
        <w:div w:id="732003553">
          <w:marLeft w:val="480"/>
          <w:marRight w:val="0"/>
          <w:marTop w:val="0"/>
          <w:marBottom w:val="0"/>
          <w:divBdr>
            <w:top w:val="none" w:sz="0" w:space="0" w:color="auto"/>
            <w:left w:val="none" w:sz="0" w:space="0" w:color="auto"/>
            <w:bottom w:val="none" w:sz="0" w:space="0" w:color="auto"/>
            <w:right w:val="none" w:sz="0" w:space="0" w:color="auto"/>
          </w:divBdr>
        </w:div>
        <w:div w:id="1926300066">
          <w:marLeft w:val="480"/>
          <w:marRight w:val="0"/>
          <w:marTop w:val="0"/>
          <w:marBottom w:val="0"/>
          <w:divBdr>
            <w:top w:val="none" w:sz="0" w:space="0" w:color="auto"/>
            <w:left w:val="none" w:sz="0" w:space="0" w:color="auto"/>
            <w:bottom w:val="none" w:sz="0" w:space="0" w:color="auto"/>
            <w:right w:val="none" w:sz="0" w:space="0" w:color="auto"/>
          </w:divBdr>
        </w:div>
        <w:div w:id="582960335">
          <w:marLeft w:val="480"/>
          <w:marRight w:val="0"/>
          <w:marTop w:val="0"/>
          <w:marBottom w:val="0"/>
          <w:divBdr>
            <w:top w:val="none" w:sz="0" w:space="0" w:color="auto"/>
            <w:left w:val="none" w:sz="0" w:space="0" w:color="auto"/>
            <w:bottom w:val="none" w:sz="0" w:space="0" w:color="auto"/>
            <w:right w:val="none" w:sz="0" w:space="0" w:color="auto"/>
          </w:divBdr>
        </w:div>
        <w:div w:id="1516991204">
          <w:marLeft w:val="480"/>
          <w:marRight w:val="0"/>
          <w:marTop w:val="0"/>
          <w:marBottom w:val="0"/>
          <w:divBdr>
            <w:top w:val="none" w:sz="0" w:space="0" w:color="auto"/>
            <w:left w:val="none" w:sz="0" w:space="0" w:color="auto"/>
            <w:bottom w:val="none" w:sz="0" w:space="0" w:color="auto"/>
            <w:right w:val="none" w:sz="0" w:space="0" w:color="auto"/>
          </w:divBdr>
        </w:div>
        <w:div w:id="1302344038">
          <w:marLeft w:val="480"/>
          <w:marRight w:val="0"/>
          <w:marTop w:val="0"/>
          <w:marBottom w:val="0"/>
          <w:divBdr>
            <w:top w:val="none" w:sz="0" w:space="0" w:color="auto"/>
            <w:left w:val="none" w:sz="0" w:space="0" w:color="auto"/>
            <w:bottom w:val="none" w:sz="0" w:space="0" w:color="auto"/>
            <w:right w:val="none" w:sz="0" w:space="0" w:color="auto"/>
          </w:divBdr>
        </w:div>
        <w:div w:id="1032417875">
          <w:marLeft w:val="480"/>
          <w:marRight w:val="0"/>
          <w:marTop w:val="0"/>
          <w:marBottom w:val="0"/>
          <w:divBdr>
            <w:top w:val="none" w:sz="0" w:space="0" w:color="auto"/>
            <w:left w:val="none" w:sz="0" w:space="0" w:color="auto"/>
            <w:bottom w:val="none" w:sz="0" w:space="0" w:color="auto"/>
            <w:right w:val="none" w:sz="0" w:space="0" w:color="auto"/>
          </w:divBdr>
        </w:div>
        <w:div w:id="229730495">
          <w:marLeft w:val="480"/>
          <w:marRight w:val="0"/>
          <w:marTop w:val="0"/>
          <w:marBottom w:val="0"/>
          <w:divBdr>
            <w:top w:val="none" w:sz="0" w:space="0" w:color="auto"/>
            <w:left w:val="none" w:sz="0" w:space="0" w:color="auto"/>
            <w:bottom w:val="none" w:sz="0" w:space="0" w:color="auto"/>
            <w:right w:val="none" w:sz="0" w:space="0" w:color="auto"/>
          </w:divBdr>
        </w:div>
        <w:div w:id="250431653">
          <w:marLeft w:val="480"/>
          <w:marRight w:val="0"/>
          <w:marTop w:val="0"/>
          <w:marBottom w:val="0"/>
          <w:divBdr>
            <w:top w:val="none" w:sz="0" w:space="0" w:color="auto"/>
            <w:left w:val="none" w:sz="0" w:space="0" w:color="auto"/>
            <w:bottom w:val="none" w:sz="0" w:space="0" w:color="auto"/>
            <w:right w:val="none" w:sz="0" w:space="0" w:color="auto"/>
          </w:divBdr>
        </w:div>
        <w:div w:id="16275454">
          <w:marLeft w:val="480"/>
          <w:marRight w:val="0"/>
          <w:marTop w:val="0"/>
          <w:marBottom w:val="0"/>
          <w:divBdr>
            <w:top w:val="none" w:sz="0" w:space="0" w:color="auto"/>
            <w:left w:val="none" w:sz="0" w:space="0" w:color="auto"/>
            <w:bottom w:val="none" w:sz="0" w:space="0" w:color="auto"/>
            <w:right w:val="none" w:sz="0" w:space="0" w:color="auto"/>
          </w:divBdr>
        </w:div>
        <w:div w:id="1068266469">
          <w:marLeft w:val="480"/>
          <w:marRight w:val="0"/>
          <w:marTop w:val="0"/>
          <w:marBottom w:val="0"/>
          <w:divBdr>
            <w:top w:val="none" w:sz="0" w:space="0" w:color="auto"/>
            <w:left w:val="none" w:sz="0" w:space="0" w:color="auto"/>
            <w:bottom w:val="none" w:sz="0" w:space="0" w:color="auto"/>
            <w:right w:val="none" w:sz="0" w:space="0" w:color="auto"/>
          </w:divBdr>
        </w:div>
        <w:div w:id="1356422522">
          <w:marLeft w:val="480"/>
          <w:marRight w:val="0"/>
          <w:marTop w:val="0"/>
          <w:marBottom w:val="0"/>
          <w:divBdr>
            <w:top w:val="none" w:sz="0" w:space="0" w:color="auto"/>
            <w:left w:val="none" w:sz="0" w:space="0" w:color="auto"/>
            <w:bottom w:val="none" w:sz="0" w:space="0" w:color="auto"/>
            <w:right w:val="none" w:sz="0" w:space="0" w:color="auto"/>
          </w:divBdr>
        </w:div>
        <w:div w:id="901019399">
          <w:marLeft w:val="480"/>
          <w:marRight w:val="0"/>
          <w:marTop w:val="0"/>
          <w:marBottom w:val="0"/>
          <w:divBdr>
            <w:top w:val="none" w:sz="0" w:space="0" w:color="auto"/>
            <w:left w:val="none" w:sz="0" w:space="0" w:color="auto"/>
            <w:bottom w:val="none" w:sz="0" w:space="0" w:color="auto"/>
            <w:right w:val="none" w:sz="0" w:space="0" w:color="auto"/>
          </w:divBdr>
        </w:div>
        <w:div w:id="36898396">
          <w:marLeft w:val="480"/>
          <w:marRight w:val="0"/>
          <w:marTop w:val="0"/>
          <w:marBottom w:val="0"/>
          <w:divBdr>
            <w:top w:val="none" w:sz="0" w:space="0" w:color="auto"/>
            <w:left w:val="none" w:sz="0" w:space="0" w:color="auto"/>
            <w:bottom w:val="none" w:sz="0" w:space="0" w:color="auto"/>
            <w:right w:val="none" w:sz="0" w:space="0" w:color="auto"/>
          </w:divBdr>
        </w:div>
        <w:div w:id="235745638">
          <w:marLeft w:val="480"/>
          <w:marRight w:val="0"/>
          <w:marTop w:val="0"/>
          <w:marBottom w:val="0"/>
          <w:divBdr>
            <w:top w:val="none" w:sz="0" w:space="0" w:color="auto"/>
            <w:left w:val="none" w:sz="0" w:space="0" w:color="auto"/>
            <w:bottom w:val="none" w:sz="0" w:space="0" w:color="auto"/>
            <w:right w:val="none" w:sz="0" w:space="0" w:color="auto"/>
          </w:divBdr>
        </w:div>
        <w:div w:id="528757397">
          <w:marLeft w:val="480"/>
          <w:marRight w:val="0"/>
          <w:marTop w:val="0"/>
          <w:marBottom w:val="0"/>
          <w:divBdr>
            <w:top w:val="none" w:sz="0" w:space="0" w:color="auto"/>
            <w:left w:val="none" w:sz="0" w:space="0" w:color="auto"/>
            <w:bottom w:val="none" w:sz="0" w:space="0" w:color="auto"/>
            <w:right w:val="none" w:sz="0" w:space="0" w:color="auto"/>
          </w:divBdr>
        </w:div>
        <w:div w:id="533544629">
          <w:marLeft w:val="480"/>
          <w:marRight w:val="0"/>
          <w:marTop w:val="0"/>
          <w:marBottom w:val="0"/>
          <w:divBdr>
            <w:top w:val="none" w:sz="0" w:space="0" w:color="auto"/>
            <w:left w:val="none" w:sz="0" w:space="0" w:color="auto"/>
            <w:bottom w:val="none" w:sz="0" w:space="0" w:color="auto"/>
            <w:right w:val="none" w:sz="0" w:space="0" w:color="auto"/>
          </w:divBdr>
        </w:div>
        <w:div w:id="801116344">
          <w:marLeft w:val="480"/>
          <w:marRight w:val="0"/>
          <w:marTop w:val="0"/>
          <w:marBottom w:val="0"/>
          <w:divBdr>
            <w:top w:val="none" w:sz="0" w:space="0" w:color="auto"/>
            <w:left w:val="none" w:sz="0" w:space="0" w:color="auto"/>
            <w:bottom w:val="none" w:sz="0" w:space="0" w:color="auto"/>
            <w:right w:val="none" w:sz="0" w:space="0" w:color="auto"/>
          </w:divBdr>
        </w:div>
      </w:divsChild>
    </w:div>
    <w:div w:id="1842114423">
      <w:bodyDiv w:val="1"/>
      <w:marLeft w:val="0"/>
      <w:marRight w:val="0"/>
      <w:marTop w:val="0"/>
      <w:marBottom w:val="0"/>
      <w:divBdr>
        <w:top w:val="none" w:sz="0" w:space="0" w:color="auto"/>
        <w:left w:val="none" w:sz="0" w:space="0" w:color="auto"/>
        <w:bottom w:val="none" w:sz="0" w:space="0" w:color="auto"/>
        <w:right w:val="none" w:sz="0" w:space="0" w:color="auto"/>
      </w:divBdr>
    </w:div>
    <w:div w:id="1886720042">
      <w:bodyDiv w:val="1"/>
      <w:marLeft w:val="0"/>
      <w:marRight w:val="0"/>
      <w:marTop w:val="0"/>
      <w:marBottom w:val="0"/>
      <w:divBdr>
        <w:top w:val="none" w:sz="0" w:space="0" w:color="auto"/>
        <w:left w:val="none" w:sz="0" w:space="0" w:color="auto"/>
        <w:bottom w:val="none" w:sz="0" w:space="0" w:color="auto"/>
        <w:right w:val="none" w:sz="0" w:space="0" w:color="auto"/>
      </w:divBdr>
    </w:div>
    <w:div w:id="1893690670">
      <w:bodyDiv w:val="1"/>
      <w:marLeft w:val="0"/>
      <w:marRight w:val="0"/>
      <w:marTop w:val="0"/>
      <w:marBottom w:val="0"/>
      <w:divBdr>
        <w:top w:val="none" w:sz="0" w:space="0" w:color="auto"/>
        <w:left w:val="none" w:sz="0" w:space="0" w:color="auto"/>
        <w:bottom w:val="none" w:sz="0" w:space="0" w:color="auto"/>
        <w:right w:val="none" w:sz="0" w:space="0" w:color="auto"/>
      </w:divBdr>
    </w:div>
    <w:div w:id="1894609181">
      <w:bodyDiv w:val="1"/>
      <w:marLeft w:val="0"/>
      <w:marRight w:val="0"/>
      <w:marTop w:val="0"/>
      <w:marBottom w:val="0"/>
      <w:divBdr>
        <w:top w:val="none" w:sz="0" w:space="0" w:color="auto"/>
        <w:left w:val="none" w:sz="0" w:space="0" w:color="auto"/>
        <w:bottom w:val="none" w:sz="0" w:space="0" w:color="auto"/>
        <w:right w:val="none" w:sz="0" w:space="0" w:color="auto"/>
      </w:divBdr>
    </w:div>
    <w:div w:id="1899243684">
      <w:bodyDiv w:val="1"/>
      <w:marLeft w:val="0"/>
      <w:marRight w:val="0"/>
      <w:marTop w:val="0"/>
      <w:marBottom w:val="0"/>
      <w:divBdr>
        <w:top w:val="none" w:sz="0" w:space="0" w:color="auto"/>
        <w:left w:val="none" w:sz="0" w:space="0" w:color="auto"/>
        <w:bottom w:val="none" w:sz="0" w:space="0" w:color="auto"/>
        <w:right w:val="none" w:sz="0" w:space="0" w:color="auto"/>
      </w:divBdr>
    </w:div>
    <w:div w:id="1918592572">
      <w:bodyDiv w:val="1"/>
      <w:marLeft w:val="0"/>
      <w:marRight w:val="0"/>
      <w:marTop w:val="0"/>
      <w:marBottom w:val="0"/>
      <w:divBdr>
        <w:top w:val="none" w:sz="0" w:space="0" w:color="auto"/>
        <w:left w:val="none" w:sz="0" w:space="0" w:color="auto"/>
        <w:bottom w:val="none" w:sz="0" w:space="0" w:color="auto"/>
        <w:right w:val="none" w:sz="0" w:space="0" w:color="auto"/>
      </w:divBdr>
    </w:div>
    <w:div w:id="1935939309">
      <w:bodyDiv w:val="1"/>
      <w:marLeft w:val="0"/>
      <w:marRight w:val="0"/>
      <w:marTop w:val="0"/>
      <w:marBottom w:val="0"/>
      <w:divBdr>
        <w:top w:val="none" w:sz="0" w:space="0" w:color="auto"/>
        <w:left w:val="none" w:sz="0" w:space="0" w:color="auto"/>
        <w:bottom w:val="none" w:sz="0" w:space="0" w:color="auto"/>
        <w:right w:val="none" w:sz="0" w:space="0" w:color="auto"/>
      </w:divBdr>
    </w:div>
    <w:div w:id="1937591996">
      <w:bodyDiv w:val="1"/>
      <w:marLeft w:val="0"/>
      <w:marRight w:val="0"/>
      <w:marTop w:val="0"/>
      <w:marBottom w:val="0"/>
      <w:divBdr>
        <w:top w:val="none" w:sz="0" w:space="0" w:color="auto"/>
        <w:left w:val="none" w:sz="0" w:space="0" w:color="auto"/>
        <w:bottom w:val="none" w:sz="0" w:space="0" w:color="auto"/>
        <w:right w:val="none" w:sz="0" w:space="0" w:color="auto"/>
      </w:divBdr>
    </w:div>
    <w:div w:id="1938979958">
      <w:bodyDiv w:val="1"/>
      <w:marLeft w:val="0"/>
      <w:marRight w:val="0"/>
      <w:marTop w:val="0"/>
      <w:marBottom w:val="0"/>
      <w:divBdr>
        <w:top w:val="none" w:sz="0" w:space="0" w:color="auto"/>
        <w:left w:val="none" w:sz="0" w:space="0" w:color="auto"/>
        <w:bottom w:val="none" w:sz="0" w:space="0" w:color="auto"/>
        <w:right w:val="none" w:sz="0" w:space="0" w:color="auto"/>
      </w:divBdr>
    </w:div>
    <w:div w:id="1944992841">
      <w:bodyDiv w:val="1"/>
      <w:marLeft w:val="0"/>
      <w:marRight w:val="0"/>
      <w:marTop w:val="0"/>
      <w:marBottom w:val="0"/>
      <w:divBdr>
        <w:top w:val="none" w:sz="0" w:space="0" w:color="auto"/>
        <w:left w:val="none" w:sz="0" w:space="0" w:color="auto"/>
        <w:bottom w:val="none" w:sz="0" w:space="0" w:color="auto"/>
        <w:right w:val="none" w:sz="0" w:space="0" w:color="auto"/>
      </w:divBdr>
    </w:div>
    <w:div w:id="1948196670">
      <w:bodyDiv w:val="1"/>
      <w:marLeft w:val="0"/>
      <w:marRight w:val="0"/>
      <w:marTop w:val="0"/>
      <w:marBottom w:val="0"/>
      <w:divBdr>
        <w:top w:val="none" w:sz="0" w:space="0" w:color="auto"/>
        <w:left w:val="none" w:sz="0" w:space="0" w:color="auto"/>
        <w:bottom w:val="none" w:sz="0" w:space="0" w:color="auto"/>
        <w:right w:val="none" w:sz="0" w:space="0" w:color="auto"/>
      </w:divBdr>
    </w:div>
    <w:div w:id="1952470363">
      <w:bodyDiv w:val="1"/>
      <w:marLeft w:val="0"/>
      <w:marRight w:val="0"/>
      <w:marTop w:val="0"/>
      <w:marBottom w:val="0"/>
      <w:divBdr>
        <w:top w:val="none" w:sz="0" w:space="0" w:color="auto"/>
        <w:left w:val="none" w:sz="0" w:space="0" w:color="auto"/>
        <w:bottom w:val="none" w:sz="0" w:space="0" w:color="auto"/>
        <w:right w:val="none" w:sz="0" w:space="0" w:color="auto"/>
      </w:divBdr>
    </w:div>
    <w:div w:id="1956473872">
      <w:bodyDiv w:val="1"/>
      <w:marLeft w:val="0"/>
      <w:marRight w:val="0"/>
      <w:marTop w:val="0"/>
      <w:marBottom w:val="0"/>
      <w:divBdr>
        <w:top w:val="none" w:sz="0" w:space="0" w:color="auto"/>
        <w:left w:val="none" w:sz="0" w:space="0" w:color="auto"/>
        <w:bottom w:val="none" w:sz="0" w:space="0" w:color="auto"/>
        <w:right w:val="none" w:sz="0" w:space="0" w:color="auto"/>
      </w:divBdr>
    </w:div>
    <w:div w:id="1970427119">
      <w:bodyDiv w:val="1"/>
      <w:marLeft w:val="0"/>
      <w:marRight w:val="0"/>
      <w:marTop w:val="0"/>
      <w:marBottom w:val="0"/>
      <w:divBdr>
        <w:top w:val="none" w:sz="0" w:space="0" w:color="auto"/>
        <w:left w:val="none" w:sz="0" w:space="0" w:color="auto"/>
        <w:bottom w:val="none" w:sz="0" w:space="0" w:color="auto"/>
        <w:right w:val="none" w:sz="0" w:space="0" w:color="auto"/>
      </w:divBdr>
    </w:div>
    <w:div w:id="1973291289">
      <w:bodyDiv w:val="1"/>
      <w:marLeft w:val="0"/>
      <w:marRight w:val="0"/>
      <w:marTop w:val="0"/>
      <w:marBottom w:val="0"/>
      <w:divBdr>
        <w:top w:val="none" w:sz="0" w:space="0" w:color="auto"/>
        <w:left w:val="none" w:sz="0" w:space="0" w:color="auto"/>
        <w:bottom w:val="none" w:sz="0" w:space="0" w:color="auto"/>
        <w:right w:val="none" w:sz="0" w:space="0" w:color="auto"/>
      </w:divBdr>
    </w:div>
    <w:div w:id="1975328015">
      <w:bodyDiv w:val="1"/>
      <w:marLeft w:val="0"/>
      <w:marRight w:val="0"/>
      <w:marTop w:val="0"/>
      <w:marBottom w:val="0"/>
      <w:divBdr>
        <w:top w:val="none" w:sz="0" w:space="0" w:color="auto"/>
        <w:left w:val="none" w:sz="0" w:space="0" w:color="auto"/>
        <w:bottom w:val="none" w:sz="0" w:space="0" w:color="auto"/>
        <w:right w:val="none" w:sz="0" w:space="0" w:color="auto"/>
      </w:divBdr>
    </w:div>
    <w:div w:id="1979073161">
      <w:bodyDiv w:val="1"/>
      <w:marLeft w:val="0"/>
      <w:marRight w:val="0"/>
      <w:marTop w:val="0"/>
      <w:marBottom w:val="0"/>
      <w:divBdr>
        <w:top w:val="none" w:sz="0" w:space="0" w:color="auto"/>
        <w:left w:val="none" w:sz="0" w:space="0" w:color="auto"/>
        <w:bottom w:val="none" w:sz="0" w:space="0" w:color="auto"/>
        <w:right w:val="none" w:sz="0" w:space="0" w:color="auto"/>
      </w:divBdr>
    </w:div>
    <w:div w:id="1980765384">
      <w:bodyDiv w:val="1"/>
      <w:marLeft w:val="0"/>
      <w:marRight w:val="0"/>
      <w:marTop w:val="0"/>
      <w:marBottom w:val="0"/>
      <w:divBdr>
        <w:top w:val="none" w:sz="0" w:space="0" w:color="auto"/>
        <w:left w:val="none" w:sz="0" w:space="0" w:color="auto"/>
        <w:bottom w:val="none" w:sz="0" w:space="0" w:color="auto"/>
        <w:right w:val="none" w:sz="0" w:space="0" w:color="auto"/>
      </w:divBdr>
    </w:div>
    <w:div w:id="1989632299">
      <w:bodyDiv w:val="1"/>
      <w:marLeft w:val="0"/>
      <w:marRight w:val="0"/>
      <w:marTop w:val="0"/>
      <w:marBottom w:val="0"/>
      <w:divBdr>
        <w:top w:val="none" w:sz="0" w:space="0" w:color="auto"/>
        <w:left w:val="none" w:sz="0" w:space="0" w:color="auto"/>
        <w:bottom w:val="none" w:sz="0" w:space="0" w:color="auto"/>
        <w:right w:val="none" w:sz="0" w:space="0" w:color="auto"/>
      </w:divBdr>
    </w:div>
    <w:div w:id="1990665154">
      <w:bodyDiv w:val="1"/>
      <w:marLeft w:val="0"/>
      <w:marRight w:val="0"/>
      <w:marTop w:val="0"/>
      <w:marBottom w:val="0"/>
      <w:divBdr>
        <w:top w:val="none" w:sz="0" w:space="0" w:color="auto"/>
        <w:left w:val="none" w:sz="0" w:space="0" w:color="auto"/>
        <w:bottom w:val="none" w:sz="0" w:space="0" w:color="auto"/>
        <w:right w:val="none" w:sz="0" w:space="0" w:color="auto"/>
      </w:divBdr>
    </w:div>
    <w:div w:id="2012297842">
      <w:bodyDiv w:val="1"/>
      <w:marLeft w:val="0"/>
      <w:marRight w:val="0"/>
      <w:marTop w:val="0"/>
      <w:marBottom w:val="0"/>
      <w:divBdr>
        <w:top w:val="none" w:sz="0" w:space="0" w:color="auto"/>
        <w:left w:val="none" w:sz="0" w:space="0" w:color="auto"/>
        <w:bottom w:val="none" w:sz="0" w:space="0" w:color="auto"/>
        <w:right w:val="none" w:sz="0" w:space="0" w:color="auto"/>
      </w:divBdr>
    </w:div>
    <w:div w:id="2027053425">
      <w:bodyDiv w:val="1"/>
      <w:marLeft w:val="0"/>
      <w:marRight w:val="0"/>
      <w:marTop w:val="0"/>
      <w:marBottom w:val="0"/>
      <w:divBdr>
        <w:top w:val="none" w:sz="0" w:space="0" w:color="auto"/>
        <w:left w:val="none" w:sz="0" w:space="0" w:color="auto"/>
        <w:bottom w:val="none" w:sz="0" w:space="0" w:color="auto"/>
        <w:right w:val="none" w:sz="0" w:space="0" w:color="auto"/>
      </w:divBdr>
    </w:div>
    <w:div w:id="2035303432">
      <w:bodyDiv w:val="1"/>
      <w:marLeft w:val="0"/>
      <w:marRight w:val="0"/>
      <w:marTop w:val="0"/>
      <w:marBottom w:val="0"/>
      <w:divBdr>
        <w:top w:val="none" w:sz="0" w:space="0" w:color="auto"/>
        <w:left w:val="none" w:sz="0" w:space="0" w:color="auto"/>
        <w:bottom w:val="none" w:sz="0" w:space="0" w:color="auto"/>
        <w:right w:val="none" w:sz="0" w:space="0" w:color="auto"/>
      </w:divBdr>
    </w:div>
    <w:div w:id="2036542262">
      <w:bodyDiv w:val="1"/>
      <w:marLeft w:val="0"/>
      <w:marRight w:val="0"/>
      <w:marTop w:val="0"/>
      <w:marBottom w:val="0"/>
      <w:divBdr>
        <w:top w:val="none" w:sz="0" w:space="0" w:color="auto"/>
        <w:left w:val="none" w:sz="0" w:space="0" w:color="auto"/>
        <w:bottom w:val="none" w:sz="0" w:space="0" w:color="auto"/>
        <w:right w:val="none" w:sz="0" w:space="0" w:color="auto"/>
      </w:divBdr>
    </w:div>
    <w:div w:id="2036928381">
      <w:bodyDiv w:val="1"/>
      <w:marLeft w:val="0"/>
      <w:marRight w:val="0"/>
      <w:marTop w:val="0"/>
      <w:marBottom w:val="0"/>
      <w:divBdr>
        <w:top w:val="none" w:sz="0" w:space="0" w:color="auto"/>
        <w:left w:val="none" w:sz="0" w:space="0" w:color="auto"/>
        <w:bottom w:val="none" w:sz="0" w:space="0" w:color="auto"/>
        <w:right w:val="none" w:sz="0" w:space="0" w:color="auto"/>
      </w:divBdr>
    </w:div>
    <w:div w:id="2037385806">
      <w:bodyDiv w:val="1"/>
      <w:marLeft w:val="0"/>
      <w:marRight w:val="0"/>
      <w:marTop w:val="0"/>
      <w:marBottom w:val="0"/>
      <w:divBdr>
        <w:top w:val="none" w:sz="0" w:space="0" w:color="auto"/>
        <w:left w:val="none" w:sz="0" w:space="0" w:color="auto"/>
        <w:bottom w:val="none" w:sz="0" w:space="0" w:color="auto"/>
        <w:right w:val="none" w:sz="0" w:space="0" w:color="auto"/>
      </w:divBdr>
    </w:div>
    <w:div w:id="2042323156">
      <w:bodyDiv w:val="1"/>
      <w:marLeft w:val="0"/>
      <w:marRight w:val="0"/>
      <w:marTop w:val="0"/>
      <w:marBottom w:val="0"/>
      <w:divBdr>
        <w:top w:val="none" w:sz="0" w:space="0" w:color="auto"/>
        <w:left w:val="none" w:sz="0" w:space="0" w:color="auto"/>
        <w:bottom w:val="none" w:sz="0" w:space="0" w:color="auto"/>
        <w:right w:val="none" w:sz="0" w:space="0" w:color="auto"/>
      </w:divBdr>
    </w:div>
    <w:div w:id="2052337110">
      <w:bodyDiv w:val="1"/>
      <w:marLeft w:val="0"/>
      <w:marRight w:val="0"/>
      <w:marTop w:val="0"/>
      <w:marBottom w:val="0"/>
      <w:divBdr>
        <w:top w:val="none" w:sz="0" w:space="0" w:color="auto"/>
        <w:left w:val="none" w:sz="0" w:space="0" w:color="auto"/>
        <w:bottom w:val="none" w:sz="0" w:space="0" w:color="auto"/>
        <w:right w:val="none" w:sz="0" w:space="0" w:color="auto"/>
      </w:divBdr>
    </w:div>
    <w:div w:id="2062750858">
      <w:bodyDiv w:val="1"/>
      <w:marLeft w:val="0"/>
      <w:marRight w:val="0"/>
      <w:marTop w:val="0"/>
      <w:marBottom w:val="0"/>
      <w:divBdr>
        <w:top w:val="none" w:sz="0" w:space="0" w:color="auto"/>
        <w:left w:val="none" w:sz="0" w:space="0" w:color="auto"/>
        <w:bottom w:val="none" w:sz="0" w:space="0" w:color="auto"/>
        <w:right w:val="none" w:sz="0" w:space="0" w:color="auto"/>
      </w:divBdr>
    </w:div>
    <w:div w:id="2070685107">
      <w:bodyDiv w:val="1"/>
      <w:marLeft w:val="0"/>
      <w:marRight w:val="0"/>
      <w:marTop w:val="0"/>
      <w:marBottom w:val="0"/>
      <w:divBdr>
        <w:top w:val="none" w:sz="0" w:space="0" w:color="auto"/>
        <w:left w:val="none" w:sz="0" w:space="0" w:color="auto"/>
        <w:bottom w:val="none" w:sz="0" w:space="0" w:color="auto"/>
        <w:right w:val="none" w:sz="0" w:space="0" w:color="auto"/>
      </w:divBdr>
    </w:div>
    <w:div w:id="2072995136">
      <w:bodyDiv w:val="1"/>
      <w:marLeft w:val="0"/>
      <w:marRight w:val="0"/>
      <w:marTop w:val="0"/>
      <w:marBottom w:val="0"/>
      <w:divBdr>
        <w:top w:val="none" w:sz="0" w:space="0" w:color="auto"/>
        <w:left w:val="none" w:sz="0" w:space="0" w:color="auto"/>
        <w:bottom w:val="none" w:sz="0" w:space="0" w:color="auto"/>
        <w:right w:val="none" w:sz="0" w:space="0" w:color="auto"/>
      </w:divBdr>
    </w:div>
    <w:div w:id="2074158806">
      <w:bodyDiv w:val="1"/>
      <w:marLeft w:val="0"/>
      <w:marRight w:val="0"/>
      <w:marTop w:val="0"/>
      <w:marBottom w:val="0"/>
      <w:divBdr>
        <w:top w:val="none" w:sz="0" w:space="0" w:color="auto"/>
        <w:left w:val="none" w:sz="0" w:space="0" w:color="auto"/>
        <w:bottom w:val="none" w:sz="0" w:space="0" w:color="auto"/>
        <w:right w:val="none" w:sz="0" w:space="0" w:color="auto"/>
      </w:divBdr>
    </w:div>
    <w:div w:id="2081633594">
      <w:bodyDiv w:val="1"/>
      <w:marLeft w:val="0"/>
      <w:marRight w:val="0"/>
      <w:marTop w:val="0"/>
      <w:marBottom w:val="0"/>
      <w:divBdr>
        <w:top w:val="none" w:sz="0" w:space="0" w:color="auto"/>
        <w:left w:val="none" w:sz="0" w:space="0" w:color="auto"/>
        <w:bottom w:val="none" w:sz="0" w:space="0" w:color="auto"/>
        <w:right w:val="none" w:sz="0" w:space="0" w:color="auto"/>
      </w:divBdr>
    </w:div>
    <w:div w:id="2082872646">
      <w:bodyDiv w:val="1"/>
      <w:marLeft w:val="0"/>
      <w:marRight w:val="0"/>
      <w:marTop w:val="0"/>
      <w:marBottom w:val="0"/>
      <w:divBdr>
        <w:top w:val="none" w:sz="0" w:space="0" w:color="auto"/>
        <w:left w:val="none" w:sz="0" w:space="0" w:color="auto"/>
        <w:bottom w:val="none" w:sz="0" w:space="0" w:color="auto"/>
        <w:right w:val="none" w:sz="0" w:space="0" w:color="auto"/>
      </w:divBdr>
    </w:div>
    <w:div w:id="2089450783">
      <w:bodyDiv w:val="1"/>
      <w:marLeft w:val="0"/>
      <w:marRight w:val="0"/>
      <w:marTop w:val="0"/>
      <w:marBottom w:val="0"/>
      <w:divBdr>
        <w:top w:val="none" w:sz="0" w:space="0" w:color="auto"/>
        <w:left w:val="none" w:sz="0" w:space="0" w:color="auto"/>
        <w:bottom w:val="none" w:sz="0" w:space="0" w:color="auto"/>
        <w:right w:val="none" w:sz="0" w:space="0" w:color="auto"/>
      </w:divBdr>
    </w:div>
    <w:div w:id="2092001037">
      <w:bodyDiv w:val="1"/>
      <w:marLeft w:val="0"/>
      <w:marRight w:val="0"/>
      <w:marTop w:val="0"/>
      <w:marBottom w:val="0"/>
      <w:divBdr>
        <w:top w:val="none" w:sz="0" w:space="0" w:color="auto"/>
        <w:left w:val="none" w:sz="0" w:space="0" w:color="auto"/>
        <w:bottom w:val="none" w:sz="0" w:space="0" w:color="auto"/>
        <w:right w:val="none" w:sz="0" w:space="0" w:color="auto"/>
      </w:divBdr>
    </w:div>
    <w:div w:id="2092189243">
      <w:bodyDiv w:val="1"/>
      <w:marLeft w:val="0"/>
      <w:marRight w:val="0"/>
      <w:marTop w:val="0"/>
      <w:marBottom w:val="0"/>
      <w:divBdr>
        <w:top w:val="none" w:sz="0" w:space="0" w:color="auto"/>
        <w:left w:val="none" w:sz="0" w:space="0" w:color="auto"/>
        <w:bottom w:val="none" w:sz="0" w:space="0" w:color="auto"/>
        <w:right w:val="none" w:sz="0" w:space="0" w:color="auto"/>
      </w:divBdr>
    </w:div>
    <w:div w:id="2103338478">
      <w:bodyDiv w:val="1"/>
      <w:marLeft w:val="0"/>
      <w:marRight w:val="0"/>
      <w:marTop w:val="0"/>
      <w:marBottom w:val="0"/>
      <w:divBdr>
        <w:top w:val="none" w:sz="0" w:space="0" w:color="auto"/>
        <w:left w:val="none" w:sz="0" w:space="0" w:color="auto"/>
        <w:bottom w:val="none" w:sz="0" w:space="0" w:color="auto"/>
        <w:right w:val="none" w:sz="0" w:space="0" w:color="auto"/>
      </w:divBdr>
    </w:div>
    <w:div w:id="2104645177">
      <w:bodyDiv w:val="1"/>
      <w:marLeft w:val="0"/>
      <w:marRight w:val="0"/>
      <w:marTop w:val="0"/>
      <w:marBottom w:val="0"/>
      <w:divBdr>
        <w:top w:val="none" w:sz="0" w:space="0" w:color="auto"/>
        <w:left w:val="none" w:sz="0" w:space="0" w:color="auto"/>
        <w:bottom w:val="none" w:sz="0" w:space="0" w:color="auto"/>
        <w:right w:val="none" w:sz="0" w:space="0" w:color="auto"/>
      </w:divBdr>
    </w:div>
    <w:div w:id="2106657310">
      <w:bodyDiv w:val="1"/>
      <w:marLeft w:val="0"/>
      <w:marRight w:val="0"/>
      <w:marTop w:val="0"/>
      <w:marBottom w:val="0"/>
      <w:divBdr>
        <w:top w:val="none" w:sz="0" w:space="0" w:color="auto"/>
        <w:left w:val="none" w:sz="0" w:space="0" w:color="auto"/>
        <w:bottom w:val="none" w:sz="0" w:space="0" w:color="auto"/>
        <w:right w:val="none" w:sz="0" w:space="0" w:color="auto"/>
      </w:divBdr>
    </w:div>
    <w:div w:id="2110465354">
      <w:bodyDiv w:val="1"/>
      <w:marLeft w:val="0"/>
      <w:marRight w:val="0"/>
      <w:marTop w:val="0"/>
      <w:marBottom w:val="0"/>
      <w:divBdr>
        <w:top w:val="none" w:sz="0" w:space="0" w:color="auto"/>
        <w:left w:val="none" w:sz="0" w:space="0" w:color="auto"/>
        <w:bottom w:val="none" w:sz="0" w:space="0" w:color="auto"/>
        <w:right w:val="none" w:sz="0" w:space="0" w:color="auto"/>
      </w:divBdr>
    </w:div>
    <w:div w:id="2118670562">
      <w:bodyDiv w:val="1"/>
      <w:marLeft w:val="0"/>
      <w:marRight w:val="0"/>
      <w:marTop w:val="0"/>
      <w:marBottom w:val="0"/>
      <w:divBdr>
        <w:top w:val="none" w:sz="0" w:space="0" w:color="auto"/>
        <w:left w:val="none" w:sz="0" w:space="0" w:color="auto"/>
        <w:bottom w:val="none" w:sz="0" w:space="0" w:color="auto"/>
        <w:right w:val="none" w:sz="0" w:space="0" w:color="auto"/>
      </w:divBdr>
    </w:div>
    <w:div w:id="21296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www.wileyonlinelibrary.com/journal/j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CD1FBC9-468B-7849-AA81-0E65D5F65EA3}"/>
      </w:docPartPr>
      <w:docPartBody>
        <w:p w:rsidR="00717469" w:rsidRDefault="00717469">
          <w:r w:rsidRPr="00BF7EBE">
            <w:rPr>
              <w:rStyle w:val="PlaceholderText"/>
            </w:rPr>
            <w:t>Click or tap here to enter text.</w:t>
          </w:r>
        </w:p>
      </w:docPartBody>
    </w:docPart>
    <w:docPart>
      <w:docPartPr>
        <w:name w:val="4C3F0E4B6FB8554A88B017BCC72FA085"/>
        <w:category>
          <w:name w:val="General"/>
          <w:gallery w:val="placeholder"/>
        </w:category>
        <w:types>
          <w:type w:val="bbPlcHdr"/>
        </w:types>
        <w:behaviors>
          <w:behavior w:val="content"/>
        </w:behaviors>
        <w:guid w:val="{BEB20AD6-2D6F-0844-BB03-7C1A0E02A9EC}"/>
      </w:docPartPr>
      <w:docPartBody>
        <w:p w:rsidR="00145EC7" w:rsidRDefault="00145EC7" w:rsidP="00145EC7">
          <w:pPr>
            <w:pStyle w:val="4C3F0E4B6FB8554A88B017BCC72FA085"/>
          </w:pPr>
          <w:r w:rsidRPr="00BF7EBE">
            <w:rPr>
              <w:rStyle w:val="PlaceholderText"/>
            </w:rPr>
            <w:t>Click or tap here to enter text.</w:t>
          </w:r>
        </w:p>
      </w:docPartBody>
    </w:docPart>
    <w:docPart>
      <w:docPartPr>
        <w:name w:val="935CADE145A7FE4FB2A3D08652FEB404"/>
        <w:category>
          <w:name w:val="General"/>
          <w:gallery w:val="placeholder"/>
        </w:category>
        <w:types>
          <w:type w:val="bbPlcHdr"/>
        </w:types>
        <w:behaviors>
          <w:behavior w:val="content"/>
        </w:behaviors>
        <w:guid w:val="{AD4A8658-58A3-7541-94B0-2C10CFEE1263}"/>
      </w:docPartPr>
      <w:docPartBody>
        <w:p w:rsidR="006E6C80" w:rsidRDefault="006E6C80" w:rsidP="006E6C80">
          <w:pPr>
            <w:pStyle w:val="935CADE145A7FE4FB2A3D08652FEB404"/>
          </w:pPr>
          <w:r w:rsidRPr="00BF7EBE">
            <w:rPr>
              <w:rStyle w:val="PlaceholderText"/>
            </w:rPr>
            <w:t>Click or tap here to enter text.</w:t>
          </w:r>
        </w:p>
      </w:docPartBody>
    </w:docPart>
    <w:docPart>
      <w:docPartPr>
        <w:name w:val="E23D2864DABFB34E8C3F5E77B9CAF000"/>
        <w:category>
          <w:name w:val="General"/>
          <w:gallery w:val="placeholder"/>
        </w:category>
        <w:types>
          <w:type w:val="bbPlcHdr"/>
        </w:types>
        <w:behaviors>
          <w:behavior w:val="content"/>
        </w:behaviors>
        <w:guid w:val="{041054B5-A4D6-F24D-AD16-7A691DA3D5C4}"/>
      </w:docPartPr>
      <w:docPartBody>
        <w:p w:rsidR="006E6C80" w:rsidRDefault="006E6C80" w:rsidP="006E6C80">
          <w:pPr>
            <w:pStyle w:val="E23D2864DABFB34E8C3F5E77B9CAF000"/>
          </w:pPr>
          <w:r w:rsidRPr="00BF7EBE">
            <w:rPr>
              <w:rStyle w:val="PlaceholderText"/>
            </w:rPr>
            <w:t>Click or tap here to enter text.</w:t>
          </w:r>
        </w:p>
      </w:docPartBody>
    </w:docPart>
    <w:docPart>
      <w:docPartPr>
        <w:name w:val="604A2DB83B112048A46AE527236A7B54"/>
        <w:category>
          <w:name w:val="General"/>
          <w:gallery w:val="placeholder"/>
        </w:category>
        <w:types>
          <w:type w:val="bbPlcHdr"/>
        </w:types>
        <w:behaviors>
          <w:behavior w:val="content"/>
        </w:behaviors>
        <w:guid w:val="{B1153BE9-3994-4F49-8B37-55094594264B}"/>
      </w:docPartPr>
      <w:docPartBody>
        <w:p w:rsidR="006E6C80" w:rsidRDefault="006E6C80" w:rsidP="006E6C80">
          <w:pPr>
            <w:pStyle w:val="604A2DB83B112048A46AE527236A7B54"/>
          </w:pPr>
          <w:r w:rsidRPr="00BF7E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modern"/>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469"/>
    <w:rsid w:val="000E2208"/>
    <w:rsid w:val="00145EC7"/>
    <w:rsid w:val="002D2A9C"/>
    <w:rsid w:val="00365B76"/>
    <w:rsid w:val="003A39AB"/>
    <w:rsid w:val="004827E7"/>
    <w:rsid w:val="004F1641"/>
    <w:rsid w:val="0064576C"/>
    <w:rsid w:val="006E6C80"/>
    <w:rsid w:val="006F0F41"/>
    <w:rsid w:val="00717469"/>
    <w:rsid w:val="009E07B4"/>
    <w:rsid w:val="00B77CB3"/>
    <w:rsid w:val="00CC4AAD"/>
    <w:rsid w:val="00CF0074"/>
    <w:rsid w:val="00D523E9"/>
    <w:rsid w:val="00F85F76"/>
  </w:rsids>
  <m:mathPr>
    <m:mathFont m:val="Cambria Math"/>
    <m:brkBin m:val="before"/>
    <m:brkBinSub m:val="--"/>
    <m:smallFrac m:val="0"/>
    <m:dispDef/>
    <m:lMargin m:val="0"/>
    <m:rMargin m:val="0"/>
    <m:defJc m:val="centerGroup"/>
    <m:wrapIndent m:val="1440"/>
    <m:intLim m:val="subSup"/>
    <m:naryLim m:val="undOvr"/>
  </m:mathPr>
  <w:themeFontLang w:val="en-CL"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L"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E6C80"/>
    <w:rPr>
      <w:color w:val="666666"/>
    </w:rPr>
  </w:style>
  <w:style w:type="paragraph" w:customStyle="1" w:styleId="4C3F0E4B6FB8554A88B017BCC72FA085">
    <w:name w:val="4C3F0E4B6FB8554A88B017BCC72FA085"/>
    <w:rsid w:val="00145EC7"/>
  </w:style>
  <w:style w:type="paragraph" w:customStyle="1" w:styleId="935CADE145A7FE4FB2A3D08652FEB404">
    <w:name w:val="935CADE145A7FE4FB2A3D08652FEB404"/>
    <w:rsid w:val="006E6C80"/>
  </w:style>
  <w:style w:type="paragraph" w:customStyle="1" w:styleId="E23D2864DABFB34E8C3F5E77B9CAF000">
    <w:name w:val="E23D2864DABFB34E8C3F5E77B9CAF000"/>
    <w:rsid w:val="006E6C80"/>
  </w:style>
  <w:style w:type="paragraph" w:customStyle="1" w:styleId="604A2DB83B112048A46AE527236A7B54">
    <w:name w:val="604A2DB83B112048A46AE527236A7B54"/>
    <w:rsid w:val="006E6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E56415-3D8A-D844-810A-31FD729A3137}">
  <we:reference id="wa104382081" version="1.55.1.0" store="en-US" storeType="OMEX"/>
  <we:alternateReferences>
    <we:reference id="WA104382081" version="1.55.1.0" store="en-US" storeType="OMEX"/>
  </we:alternateReferences>
  <we:properties>
    <we:property name="MENDELEY_CITATIONS" value="[{&quot;citationID&quot;:&quot;MENDELEY_CITATION_d044ce17-cd40-4c03-9100-6c4633da8465&quot;,&quot;properties&quot;:{&quot;noteIndex&quot;:0},&quot;isEdited&quot;:false,&quot;manualOverride&quot;:{&quot;isManuallyOverridden&quot;:false,&quot;citeprocText&quot;:&quot;(PRé Sustainability, 2023)&quot;,&quot;manualOverrideText&quot;:&quot;&quot;},&quot;citationTag&quot;:&quot;MENDELEY_CITATION_v3_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&quot;,&quot;citationItems&quot;:[{&quot;id&quot;:&quot;fe4e9f7d-6a5f-3ae3-8ea0-dc34874fc9f2&quot;,&quot;itemData&quot;:{&quot;type&quot;:&quot;article&quot;,&quot;id&quot;:&quot;fe4e9f7d-6a5f-3ae3-8ea0-dc34874fc9f2&quot;,&quot;title&quot;:&quot;SimaPro&quot;,&quot;author&quot;:[{&quot;family&quot;:&quot;PRé Sustainability&quot;,&quot;given&quot;:&quot;&quot;,&quot;parse-names&quot;:false,&quot;dropping-particle&quot;:&quot;&quot;,&quot;non-dropping-particle&quot;:&quot;&quot;}],&quot;number&quot;:&quot;v9.5&quot;,&quot;issued&quot;:{&quot;date-parts&quot;:[[2023]]},&quot;container-title-short&quot;:&quot;&quot;},&quot;isTemporary&quot;:false,&quot;suppress-author&quot;:false,&quot;composite&quot;:false,&quot;author-only&quot;:false}]},{&quot;citationID&quot;:&quot;MENDELEY_CITATION_e22d8cd4-bdae-499a-bbf1-23b151c3b2e6&quot;,&quot;properties&quot;:{&quot;noteIndex&quot;:0},&quot;isEdited&quot;:false,&quot;manualOverride&quot;:{&quot;isManuallyOverridden&quot;:false,&quot;citeprocText&quot;:&quot;(Jolliet, Saadé-Sbeih, Shaked, &amp;#38; Crettaz, 2020)&quot;,&quot;manualOverrideText&quot;:&quot;&quot;},&quot;citationTag&quot;:&quot;MENDELEY_CITATION_v3_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&quot;,&quot;citationItems&quot;:[{&quot;id&quot;:&quot;8f437057-7bf9-3443-a300-f82c015bf756&quot;,&quot;itemData&quot;:{&quot;type&quot;:&quot;book&quot;,&quot;id&quot;:&quot;8f437057-7bf9-3443-a300-f82c015bf756&quot;,&quot;title&quot;:&quot;Environmental Life Cycle Assessment&quot;,&quot;author&quot;:[{&quot;family&quot;:&quot;Jolliet&quot;,&quot;given&quot;:&quot;Olivier&quot;,&quot;parse-names&quot;:false,&quot;dropping-particle&quot;:&quot;&quot;,&quot;non-dropping-particle&quot;:&quot;&quot;},{&quot;family&quot;:&quot;Saadé-Sbeih&quot;,&quot;given&quot;:&quot;Myriam&quot;,&quot;parse-names&quot;:false,&quot;dropping-particle&quot;:&quot;&quot;,&quot;non-dropping-particle&quot;:&quot;&quot;},{&quot;family&quot;:&quot;Shaked&quot;,&quot;given&quot;:&quot;Shanna&quot;,&quot;parse-names&quot;:false,&quot;dropping-particle&quot;:&quot;&quot;,&quot;non-dropping-particle&quot;:&quot;&quot;},{&quot;family&quot;:&quot;Crettaz&quot;,&quot;given&quot;:&quot;Pierre&quot;,&quot;parse-names&quot;:false,&quot;dropping-particle&quot;:&quot;&quot;,&quot;non-dropping-particle&quot;:&quot;&quot;}],&quot;ISBN&quot;:&quot;9781439887660&quot;,&quot;issued&quot;:{&quot;date-parts&quot;:[[2020]]},&quot;edition&quot;:&quot;2nd edition&quot;,&quot;publisher&quot;:&quot;CRC Predd&quot;,&quot;container-title-short&quot;:&quot;&quot;},&quot;isTemporary&quot;:false,&quot;suppress-author&quot;:false,&quot;composite&quot;:false,&quot;author-only&quot;:false}]},{&quot;citationID&quot;:&quot;MENDELEY_CITATION_c3ef6adc-23f5-4dbf-b279-b7a292b31713&quot;,&quot;properties&quot;:{&quot;noteIndex&quot;:0},&quot;isEdited&quot;:false,&quot;manualOverride&quot;:{&quot;isManuallyOverridden&quot;:true,&quot;citeprocText&quot;:&quot;(Cochilco, 2024c)&quot;,&quot;manualOverrideText&quot;:&quot;Chilean Copper Commission (2024b)&quot;},&quot;citationTag&quot;:&quot;MENDELEY_CITATION_v3_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quot;,&quot;citationItems&quot;:[{&quot;id&quot;:&quot;90b69680-a4db-3abc-a520-0f6a11ef899f&quot;,&quot;itemData&quot;:{&quot;type&quot;:&quot;report&quot;,&quot;id&quot;:&quot;90b69680-a4db-3abc-a520-0f6a11ef899f&quot;,&quot;title&quot;:&quot;Yearbook: Copper and Other Mineral Statistics 2004-2023&quot;,&quot;author&quot;:[{&quot;family&quot;:&quot;Cochilco&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suppress-author&quot;:false,&quot;composite&quot;:false,&quot;author-only&quot;:false}]},{&quot;citationID&quot;:&quot;MENDELEY_CITATION_9e6034c1-9f8d-418f-966c-676346169e85&quot;,&quot;properties&quot;:{&quot;noteIndex&quot;:0},&quot;isEdited&quot;:false,&quot;manualOverride&quot;:{&quot;isManuallyOverridden&quot;:true,&quot;citeprocText&quot;:&quot;(Mining Council of Chile, 2024)&quot;,&quot;manualOverrideText&quot;:&quot;Mining Council of Chile (2024)&quot;},&quot;citationTag&quot;:&quot;MENDELEY_CITATION_v3_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&quot;,&quot;citationItems&quot;:[{&quot;id&quot;:&quot;c554fdd8-d604-3c20-974d-e07395d6cb76&quot;,&quot;itemData&quot;:{&quot;type&quot;:&quot;report&quot;,&quot;id&quot;:&quot;c554fdd8-d604-3c20-974d-e07395d6cb76&quot;,&quot;title&quot;:&quot;Updated Mining Data&quot;,&quot;author&quot;:[{&quot;family&quot;:&quot;Mining Council of Chile&quot;,&quot;given&quot;:&quot;&quot;,&quot;parse-names&quot;:false,&quot;dropping-particle&quot;:&quot;&quot;,&quot;non-dropping-particle&quot;:&quot;&quot;}],&quot;accessed&quot;:{&quot;date-parts&quot;:[[2025,1,19]]},&quot;URL&quot;:&quot;https://consejominero.cl/wp-content/uploads/2024/05/20240527-CAM.pdf&quot;,&quot;issued&quot;:{&quot;date-parts&quot;:[[2024,10]]},&quot;publisher-place&quot;:&quot;Santiago, Chile&quot;,&quot;language&quot;:&quot;Spanish&quot;,&quot;container-title-short&quot;:&quot;&quot;},&quot;isTemporary&quot;:false,&quot;suppress-author&quot;:false,&quot;composite&quot;:false,&quot;author-only&quot;:false}]},{&quot;citationID&quot;:&quot;MENDELEY_CITATION_621eb4d2-73bb-4488-82c9-84aa26035701&quot;,&quot;properties&quot;:{&quot;noteIndex&quot;:0},&quot;isEdited&quot;:false,&quot;manualOverride&quot;:{&quot;isManuallyOverridden&quot;:false,&quot;citeprocText&quot;:&quot;(Northey, Mohr, Mudd, Weng, &amp;#38; Giurco, 2014)&quot;,&quot;manualOverrideText&quot;:&quot;&quot;},&quot;citationTag&quot;:&quot;MENDELEY_CITATION_v3_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&quot;,&quot;citationItems&quot;:[{&quot;id&quot;:&quot;1f6ac4b2-f6d8-3cbc-a092-302a0f79f4e0&quot;,&quot;itemData&quot;:{&quot;type&quot;:&quot;article-journal&quot;,&quot;id&quot;:&quot;1f6ac4b2-f6d8-3cbc-a092-302a0f79f4e0&quot;,&quot;title&quot;:&quot;Modelling future copper ore grade decline based on a detailed assessment of copper resources and mining&quot;,&quot;author&quot;:[{&quot;family&quot;:&quot;Northey&quot;,&quot;given&quot;:&quot;S.&quot;,&quot;parse-names&quot;:false,&quot;dropping-particle&quot;:&quot;&quot;,&quot;non-dropping-particle&quot;:&quot;&quot;},{&quot;family&quot;:&quot;Mohr&quot;,&quot;given&quot;:&quot;S.&quot;,&quot;parse-names&quot;:false,&quot;dropping-particle&quot;:&quot;&quot;,&quot;non-dropping-particle&quot;:&quot;&quot;},{&quot;family&quot;:&quot;Mudd&quot;,&quot;given&quot;:&quot;G. M.&quot;,&quot;parse-names&quot;:false,&quot;dropping-particle&quot;:&quot;&quot;,&quot;non-dropping-particle&quot;:&quot;&quot;},{&quot;family&quot;:&quot;Weng&quot;,&quot;given&quot;:&quot;Z.&quot;,&quot;parse-names&quot;:false,&quot;dropping-particle&quot;:&quot;&quot;,&quot;non-dropping-particle&quot;:&quot;&quot;},{&quot;family&quot;:&quot;Giurco&quot;,&quot;given&quot;:&quot;D.&quot;,&quot;parse-names&quot;:false,&quot;dropping-particle&quot;:&quot;&quot;,&quot;non-dropping-particle&quot;:&quot;&quot;}],&quot;container-title&quot;:&quot;Resources, Conservation and Recycling&quot;,&quot;container-title-short&quot;:&quot;Resour Conserv Recycl&quot;,&quot;DOI&quot;:&quot;10.1016/j.resconrec.2013.10.005&quot;,&quot;ISSN&quot;:&quot;18790658&quot;,&quot;issued&quot;:{&quot;date-parts&quot;:[[2014]]},&quot;page&quot;:&quot;190-201&quot;,&quot;abstract&quot;:&quot;The concept of \&quot;peak oil\&quot; has been explored and debated extensively within the literature. However there has been comparatively little research examining the concept of \&quot;peak minerals\&quot;, particularly in-depth analyses for individual metals. This paper presents scenarios for mined copper production based upon a detailed assessment of global copper resources and historic mine production. Scenarios for production from major copper deposit types and from individual countries or regions were developed using the Geologic Resources Supply-Demand Model (GeRS-DeMo). These scenarios were extended using cumulative grade-tonnage data, derived from our resource database, to produce estimates of potential rates of copper ore grade decline. The scenarios indicate that there are sufficient identified copper resources to grow mined copper production for at least the next twenty years. The future rate of ore grade decline may be less than has historically been the case, as mined grades are approaching the average resource grade and there is still significant copper endowment in high grade ore bodies. Despite increasing demand for copper as the developing world experiences economic growth, the economic and environmental impacts associated with increased production rates and declining ore grades (particularly those relating to energy consumption, water consumption and greenhouse gas emissions) will present barriers to the continued expansion of the industry. For these reasons peak mined copper production may well be realised during this century. © 2013 Published by Elsevier B.V. All rights reserved.&quot;,&quot;publisher&quot;:&quot;Elsevier B.V.&quot;,&quot;volume&quot;:&quot;83&quot;},&quot;isTemporary&quot;:false,&quot;suppress-author&quot;:false,&quot;composite&quot;:false,&quot;author-only&quot;:false}]},{&quot;citationID&quot;:&quot;MENDELEY_CITATION_0296f739-f95b-4c35-a3f4-4d516ae7a5cc&quot;,&quot;properties&quot;:{&quot;noteIndex&quot;:0},&quot;isEdited&quot;:false,&quot;manualOverride&quot;:{&quot;isManuallyOverridden&quot;:false,&quot;citeprocText&quot;:&quot;(Lagos, Peters, Videla, &amp;#38; Jara, 2018)&quot;,&quot;manualOverrideText&quot;:&quot;&quot;},&quot;citationTag&quot;:&quot;MENDELEY_CITATION_v3_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&quot;,&quot;citationItems&quot;:[{&quot;id&quot;:&quot;1f0238f4-c982-3902-9b7f-edd5d48df491&quot;,&quot;itemData&quot;:{&quot;type&quot;:&quot;article-journal&quot;,&quot;id&quot;:&quot;1f0238f4-c982-3902-9b7f-edd5d48df491&quot;,&quot;title&quot;:&quot;The effect of mine aging on the evolution of environmental footprint indicators in the Chilean copper mining industry 2001–2015&quot;,&quot;author&quot;:[{&quot;family&quot;:&quot;Lagos&quot;,&quot;given&quot;:&quot;Gustavo&quot;,&quot;parse-names&quot;:false,&quot;dropping-particle&quot;:&quot;&quot;,&quot;non-dropping-particle&quot;:&quot;&quot;},{&quot;family&quot;:&quot;Peters&quot;,&quot;given&quot;:&quot;David&quot;,&quot;parse-names&quot;:false,&quot;dropping-particle&quot;:&quot;&quot;,&quot;non-dropping-particle&quot;:&quot;&quot;},{&quot;family&quot;:&quot;Videla&quot;,&quot;given&quot;:&quot;Alvaro&quot;,&quot;parse-names&quot;:false,&quot;dropping-particle&quot;:&quot;&quot;,&quot;non-dropping-particle&quot;:&quot;&quot;},{&quot;family&quot;:&quot;Jara&quot;,&quot;given&quot;:&quot;José Joaquín&quot;,&quot;parse-names&quot;:false,&quot;dropping-particle&quot;:&quot;&quot;,&quot;non-dropping-particle&quot;:&quot;&quot;}],&quot;container-title&quot;:&quot;Journal of Cleaner Production&quot;,&quot;container-title-short&quot;:&quot;J Clean Prod&quot;,&quot;DOI&quot;:&quot;10.1016/j.jclepro.2017.10.290&quot;,&quot;ISSN&quot;:&quot;09596526&quot;,&quot;issued&quot;:{&quot;date-parts&quot;:[[2018,1,20]]},&quot;page&quot;:&quot;389-400&quot;,&quot;abstract&quot;:&quot;Abundant evidence suggests that the massive global exploitation of copper mines over the last two decades led to mine aging expressed as ore grade reduction, deepening of open pits and underground operations, hardening of the rock, and increasing stripping ratios. These processes have affected the evolution and change of key environmental footprint indicators. Copper ore grade decline seems the most important of these factors and depends on variables including the rate of extraction, ore deposit geological features, introduction of new technologies, the copper price and its co-products, and the discovery and exploitation of new ore deposits. From 2001 to 2015 Chile increased its copper production by 22% and produced overall 80 million tons of copper, more than it produced in the entire 20th century. This paper explores the effects of mine aging on three key environmental footprint indicators: energy and water consumption, and greenhouse gas emissions. Electric energy consumption per ton of copper should grow in the coming decade at a significantly slower rate than in the last fifteen years because of the slowdown of the ore grade decline in mill concentrators. Additionally, a steeper decrease is expected for the emission of greenhouse gases per ton of copper.&quot;,&quot;publisher&quot;:&quot;Elsevier Ltd&quot;,&quot;volume&quot;:&quot;174&quot;},&quot;isTemporary&quot;:false,&quot;suppress-author&quot;:false,&quot;composite&quot;:false,&quot;author-only&quot;:false}]},{&quot;citationID&quot;:&quot;MENDELEY_CITATION_5fbb5e6e-960a-4eeb-a872-b7f57ac4dd3e&quot;,&quot;properties&quot;:{&quot;noteIndex&quot;:0},&quot;isEdited&quot;:false,&quot;manualOverride&quot;:{&quot;isManuallyOverridden&quot;:true,&quot;citeprocText&quot;:&quot;(Cochilco, 2024c)&quot;,&quot;manualOverrideText&quot;:&quot;Chilean Copper Commission, (2024b)&quot;},&quot;citationTag&quot;:&quot;MENDELEY_CITATION_v3_eyJjaXRhdGlvbklEIjoiTUVOREVMRVlfQ0lUQVRJT05fNWZiYjVlNmUtOTYwYS00ZWViLWE4NzItYjdmNTdhYzRkZDNlIiwicHJvcGVydGllcyI6eyJub3RlSW5kZXgiOjB9LCJpc0VkaXRlZCI6ZmFsc2UsIm1hbnVhbE92ZXJyaWRlIjp7ImlzTWFudWFsbHlPdmVycmlkZGVuIjp0cnVlLCJjaXRlcHJvY1RleHQiOiIoQ29jaGlsY28sIDIwMjRjKSIsIm1hbnVhbE92ZXJyaWRlVGV4dCI6IkNoaWxlYW4gQ29wcGVyIENvbW1pc3Npb24sICgyMDI0Yik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&quot;,&quot;citationItems&quot;:[{&quot;id&quot;:&quot;90b69680-a4db-3abc-a520-0f6a11ef899f&quot;,&quot;itemData&quot;:{&quot;type&quot;:&quot;report&quot;,&quot;id&quot;:&quot;90b69680-a4db-3abc-a520-0f6a11ef899f&quot;,&quot;title&quot;:&quot;Yearbook: Copper and Other Mineral Statistics 2004-2023&quot;,&quot;author&quot;:[{&quot;family&quot;:&quot;Cochilco&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suppress-author&quot;:false,&quot;composite&quot;:false,&quot;author-only&quot;:false}]},{&quot;citationID&quot;:&quot;MENDELEY_CITATION_9c21a2a0-47d9-4528-84e1-e20dc5a5e131&quot;,&quot;properties&quot;:{&quot;noteIndex&quot;:0},&quot;isEdited&quot;:false,&quot;manualOverride&quot;:{&quot;isManuallyOverridden&quot;:true,&quot;citeprocText&quot;:&quot;(Cochilco, 2022)&quot;,&quot;manualOverrideText&quot;:&quot;Chilean Copper Commission (2022)&quot;},&quot;citationTag&quot;:&quot;MENDELEY_CITATION_v3_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&quot;,&quot;citationItems&quot;:[{&quot;id&quot;:&quot;eafad545-bbc7-362c-8050-7858af7068d7&quot;,&quot;itemData&quot;:{&quot;type&quot;:&quot;report&quot;,&quot;id&quot;:&quot;eafad545-bbc7-362c-8050-7858af7068d7&quot;,&quot;title&quot;:&quot;Copper projection in Chile 2022-2033&quot;,&quot;author&quot;:[{&quot;family&quot;:&quot;Cochilco&quot;,&quot;given&quot;:&quot;&quot;,&quot;parse-names&quot;:false,&quot;dropping-particle&quot;:&quot;&quot;,&quot;non-dropping-particle&quot;:&quot;&quot;}],&quot;issued&quot;:{&quot;date-parts&quot;:[[2022]]},&quot;publisher-place&quot;:&quot;Santiago, Chile&quot;,&quot;language&quot;:&quot;Spanish&quot;,&quot;container-title-short&quot;:&quot;&quot;},&quot;isTemporary&quot;:false,&quot;suppress-author&quot;:false,&quot;composite&quot;:false,&quot;author-only&quot;:false}]},{&quot;citationID&quot;:&quot;MENDELEY_CITATION_e96c0d87-3e4d-4395-b928-9233b906c46a&quot;,&quot;properties&quot;:{&quot;noteIndex&quot;:0},&quot;isEdited&quot;:false,&quot;manualOverride&quot;:{&quot;isManuallyOverridden&quot;:false,&quot;citeprocText&quot;:&quot;(Ministry of Mining Chile, 2021)&quot;,&quot;manualOverrideText&quot;:&quot;&quot;},&quot;citationTag&quot;:&quot;MENDELEY_CITATION_v3_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&quot;,&quot;citationItems&quot;:[{&quot;id&quot;:&quot;837d0722-b1a8-3bcb-aa02-c866f929053a&quot;,&quot;itemData&quot;:{&quot;type&quot;:&quot;report&quot;,&quot;id&quot;:&quot;837d0722-b1a8-3bcb-aa02-c866f929053a&quot;,&quot;title&quot;:&quot;Chilean Mining Policy 2050&quot;,&quot;author&quot;:[{&quot;family&quot;:&quot;Ministry of Mining Chile&quot;,&quot;given&quot;:&quot;&quot;,&quot;parse-names&quot;:false,&quot;dropping-particle&quot;:&quot;&quot;,&quot;non-dropping-particle&quot;:&quot;&quot;}],&quot;issued&quot;:{&quot;date-parts&quot;:[[2021,8]]},&quot;language&quot;:&quot;Spanish&quot;,&quot;container-title-short&quot;:&quot;&quot;},&quot;isTemporary&quot;:false,&quot;suppress-author&quot;:false,&quot;composite&quot;:false,&quot;author-only&quot;:false}]},{&quot;citationID&quot;:&quot;MENDELEY_CITATION_5459dcc8-2cfb-427e-92cb-53e9f4cf6074&quot;,&quot;properties&quot;:{&quot;noteIndex&quot;:0},&quot;isEdited&quot;:false,&quot;manualOverride&quot;:{&quot;isManuallyOverridden&quot;:true,&quot;citeprocText&quot;:&quot;(Northey et al., 2014)&quot;,&quot;manualOverrideText&quot;:&quot;Northey et al. (2014)&quot;},&quot;citationTag&quot;:&quot;MENDELEY_CITATION_v3_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&quot;,&quot;citationItems&quot;:[{&quot;id&quot;:&quot;1f6ac4b2-f6d8-3cbc-a092-302a0f79f4e0&quot;,&quot;itemData&quot;:{&quot;type&quot;:&quot;article-journal&quot;,&quot;id&quot;:&quot;1f6ac4b2-f6d8-3cbc-a092-302a0f79f4e0&quot;,&quot;title&quot;:&quot;Modelling future copper ore grade decline based on a detailed assessment of copper resources and mining&quot;,&quot;author&quot;:[{&quot;family&quot;:&quot;Northey&quot;,&quot;given&quot;:&quot;S.&quot;,&quot;parse-names&quot;:false,&quot;dropping-particle&quot;:&quot;&quot;,&quot;non-dropping-particle&quot;:&quot;&quot;},{&quot;family&quot;:&quot;Mohr&quot;,&quot;given&quot;:&quot;S.&quot;,&quot;parse-names&quot;:false,&quot;dropping-particle&quot;:&quot;&quot;,&quot;non-dropping-particle&quot;:&quot;&quot;},{&quot;family&quot;:&quot;Mudd&quot;,&quot;given&quot;:&quot;G. M.&quot;,&quot;parse-names&quot;:false,&quot;dropping-particle&quot;:&quot;&quot;,&quot;non-dropping-particle&quot;:&quot;&quot;},{&quot;family&quot;:&quot;Weng&quot;,&quot;given&quot;:&quot;Z.&quot;,&quot;parse-names&quot;:false,&quot;dropping-particle&quot;:&quot;&quot;,&quot;non-dropping-particle&quot;:&quot;&quot;},{&quot;family&quot;:&quot;Giurco&quot;,&quot;given&quot;:&quot;D.&quot;,&quot;parse-names&quot;:false,&quot;dropping-particle&quot;:&quot;&quot;,&quot;non-dropping-particle&quot;:&quot;&quot;}],&quot;container-title&quot;:&quot;Resources, Conservation and Recycling&quot;,&quot;container-title-short&quot;:&quot;Resour Conserv Recycl&quot;,&quot;DOI&quot;:&quot;10.1016/j.resconrec.2013.10.005&quot;,&quot;ISSN&quot;:&quot;18790658&quot;,&quot;issued&quot;:{&quot;date-parts&quot;:[[2014]]},&quot;page&quot;:&quot;190-201&quot;,&quot;abstract&quot;:&quot;The concept of \&quot;peak oil\&quot; has been explored and debated extensively within the literature. However there has been comparatively little research examining the concept of \&quot;peak minerals\&quot;, particularly in-depth analyses for individual metals. This paper presents scenarios for mined copper production based upon a detailed assessment of global copper resources and historic mine production. Scenarios for production from major copper deposit types and from individual countries or regions were developed using the Geologic Resources Supply-Demand Model (GeRS-DeMo). These scenarios were extended using cumulative grade-tonnage data, derived from our resource database, to produce estimates of potential rates of copper ore grade decline. The scenarios indicate that there are sufficient identified copper resources to grow mined copper production for at least the next twenty years. The future rate of ore grade decline may be less than has historically been the case, as mined grades are approaching the average resource grade and there is still significant copper endowment in high grade ore bodies. Despite increasing demand for copper as the developing world experiences economic growth, the economic and environmental impacts associated with increased production rates and declining ore grades (particularly those relating to energy consumption, water consumption and greenhouse gas emissions) will present barriers to the continued expansion of the industry. For these reasons peak mined copper production may well be realised during this century. © 2013 Published by Elsevier B.V. All rights reserved.&quot;,&quot;publisher&quot;:&quot;Elsevier B.V.&quot;,&quot;volume&quot;:&quot;83&quot;},&quot;isTemporary&quot;:false,&quot;suppress-author&quot;:false,&quot;composite&quot;:false,&quot;author-only&quot;:false}]},{&quot;citationID&quot;:&quot;MENDELEY_CITATION_f3aeecef-a349-42ca-ae08-4d2ccb3fbe92&quot;,&quot;properties&quot;:{&quot;noteIndex&quot;:0},&quot;isEdited&quot;:false,&quot;manualOverride&quot;:{&quot;isManuallyOverridden&quot;:false,&quot;citeprocText&quot;:&quot;(Cochilco, 2024c)&quot;,&quot;manualOverrideText&quot;:&quot;&quot;},&quot;citationTag&quot;:&quot;MENDELEY_CITATION_v3_eyJjaXRhdGlvbklEIjoiTUVOREVMRVlfQ0lUQVRJT05fZjNhZWVjZWYtYTM0OS00MmNhLWFlMDgtNGQyY2NiM2ZiZTky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oaWxlYW4gQ29wcGVyIENvbW1pc3Npb24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quot;,&quot;citationItems&quot;:[{&quot;id&quot;:&quot;90b69680-a4db-3abc-a520-0f6a11ef899f&quot;,&quot;itemData&quot;:{&quot;type&quot;:&quot;report&quot;,&quot;id&quot;:&quot;90b69680-a4db-3abc-a520-0f6a11ef899f&quot;,&quot;title&quot;:&quot;Yearbook: Copper and Other Mineral Statistics 2004-2023&quot;,&quot;author&quot;:[{&quot;family&quot;:&quot;Chilean Copper Commission&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suppress-author&quot;:false,&quot;composite&quot;:false,&quot;author-only&quot;:false}]},{&quot;citationID&quot;:&quot;MENDELEY_CITATION_65051295-6870-46f3-8b62-fbc3180c1deb&quot;,&quot;properties&quot;:{&quot;noteIndex&quot;:0},&quot;isEdited&quot;:false,&quot;manualOverride&quot;:{&quot;isManuallyOverridden&quot;:false,&quot;citeprocText&quot;:&quot;(Cochilco, 2022)&quot;,&quot;manualOverrideText&quot;:&quot;&quot;},&quot;citationTag&quot;:&quot;MENDELEY_CITATION_v3_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&quot;,&quot;citationItems&quot;:[{&quot;id&quot;:&quot;eafad545-bbc7-362c-8050-7858af7068d7&quot;,&quot;itemData&quot;:{&quot;type&quot;:&quot;report&quot;,&quot;id&quot;:&quot;eafad545-bbc7-362c-8050-7858af7068d7&quot;,&quot;title&quot;:&quot;Copper projection in Chile 2022-2033&quot;,&quot;author&quot;:[{&quot;family&quot;:&quot;Chilean Copper Commission&quot;,&quot;given&quot;:&quot;&quot;,&quot;parse-names&quot;:false,&quot;dropping-particle&quot;:&quot;&quot;,&quot;non-dropping-particle&quot;:&quot;&quot;}],&quot;issued&quot;:{&quot;date-parts&quot;:[[2022]]},&quot;publisher-place&quot;:&quot;Santiago, Chile&quot;,&quot;language&quot;:&quot;Spanish&quot;,&quot;container-title-short&quot;:&quot;&quot;},&quot;isTemporary&quot;:false,&quot;suppress-author&quot;:false,&quot;composite&quot;:false,&quot;author-only&quot;:false}]},{&quot;citationID&quot;:&quot;MENDELEY_CITATION_a4434297-d8a7-4829-8c9f-6f57675496a0&quot;,&quot;properties&quot;:{&quot;noteIndex&quot;:0},&quot;isEdited&quot;:false,&quot;manualOverride&quot;:{&quot;isManuallyOverridden&quot;:false,&quot;citeprocText&quot;:&quot;(Ministry of Mines Chile, 2021)&quot;,&quot;manualOverrideText&quot;:&quot;&quot;},&quot;citationTag&quot;:&quot;MENDELEY_CITATION_v3_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&quot;,&quot;citationItems&quot;:[{&quot;id&quot;:&quot;cfd7a893-7b1c-3a8e-8bb7-e39f6d8cda26&quot;,&quot;itemData&quot;:{&quot;type&quot;:&quot;legislation&quot;,&quot;id&quot;:&quot;cfd7a893-7b1c-3a8e-8bb7-e39f6d8cda26&quot;,&quot;title&quot;:&quot;National Mining Policy 2050&quot;,&quot;author&quot;:[{&quot;family&quot;:&quot;Ministry of Mines Chile&quot;,&quot;given&quot;:&quot;&quot;,&quot;parse-names&quot;:false,&quot;dropping-particle&quot;:&quot;&quot;,&quot;non-dropping-particle&quot;:&quot;&quot;}],&quot;accessed&quot;:{&quot;date-parts&quot;:[[2025,1,31]]},&quot;URL&quot;:&quot;https://www.chileagenda2030.gob.cl/iniciativas/35/documento/Anteproyecto_PNM_2050_y_anexos_tecnicos.pdf&quot;,&quot;issued&quot;:{&quot;date-parts&quot;:[[2021,8]]},&quot;publisher-place&quot;:&quot;Chile&quot;,&quot;language&quot;:&quot;Spanish&quot;,&quot;container-title-short&quot;:&quot;&quot;},&quot;isTemporary&quot;:false,&quot;suppress-author&quot;:false,&quot;composite&quot;:false,&quot;author-only&quot;:false}]},{&quot;citationID&quot;:&quot;MENDELEY_CITATION_43be92a2-860c-4512-bb99-6e64ad2a5402&quot;,&quot;properties&quot;:{&quot;noteIndex&quot;:0},&quot;isEdited&quot;:false,&quot;manualOverride&quot;:{&quot;isManuallyOverridden&quot;:true,&quot;citeprocText&quot;:&quot;(Norgate &amp;#38; Jahanshahi, 2006, 2010)&quot;,&quot;manualOverrideText&quot;:&quot;Norgate &amp; Jahanshahi (2006, 2010)&quot;},&quot;citationTag&quot;:&quot;MENDELEY_CITATION_v3_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&quot;,&quot;citationItems&quot;:[{&quot;id&quot;:&quot;aba40a63-2b5d-31f8-8f0e-2f4aea8ffec0&quot;,&quot;itemData&quot;:{&quot;type&quot;:&quot;report&quot;,&quot;id&quot;:&quot;aba40a63-2b5d-31f8-8f0e-2f4aea8ffec0&quot;,&quot;title&quot;:&quot;Energy and greenhouse gas implications of deteriorating quality ore reserves&quot;,&quot;author&quot;:[{&quot;family&quot;:&quot;Norgate&quot;,&quot;given&quot;:&quot;T.&quot;,&quot;parse-names&quot;:false,&quot;dropping-particle&quot;:&quot;&quot;,&quot;non-dropping-particle&quot;:&quot;&quot;},{&quot;family&quot;:&quot;Jahanshahi&quot;,&quot;given&quot;:&quot;S.&quot;,&quot;parse-names&quot;:false,&quot;dropping-particle&quot;:&quot;&quot;,&quot;non-dropping-particle&quot;:&quot;&quot;}],&quot;issued&quot;:{&quot;date-parts&quot;:[[2006]]},&quot;abstract&quot;:&quot;Despite increased levels of recycling, there will be a need for primary metals well into the future. However, reserves of metallic ores around the world are generally deteriorating in grade. Furthermore, many of these low grade ores are fine-grained, requiring additional grinding in order to achieve mineral liberation. Both of these effects, either combined or in isolation, will increase the embodied energy of primary metals. Given that most energy inputs into primary metal production processes are fossil fuel-based, there will also be an increase in the greenhouse gas emissions associated with these processes. Life cycle assessment methodology has been used in the paper to show how these two aspects of deteriorating ore reserves impact on embodied energy and related greenhouse gas emissions for primary metal production, using copper and nickel as examples. The results show that the effect of falling ore grades will be significant at grades below 1% because of the additional energy that must be consumed in the mining and mineral processing stages to move and treat the additional gangue (waste) material. The effect will also be more significant for those metals where the mining and mineral processing stages make substantial contributions to the cradle-to-gate part of the metals life cycle, eg. copper produced pyrometallurgically. Some possible approaches for addressing these issues are discussed in the paper, eg. eliminating the grinding of these ores by smelting them directly.&quot;,&quot;container-title-short&quot;:&quot;&quot;},&quot;isTemporary&quot;:false},{&quot;id&quot;:&quot;2e84d349-9a28-3c66-a80b-f02c2affc431&quot;,&quot;itemData&quot;:{&quot;type&quot;:&quot;article-journal&quot;,&quot;id&quot;:&quot;2e84d349-9a28-3c66-a80b-f02c2affc431&quot;,&quot;title&quot;:&quot;Low grade ores - Smelt, leach or concentrate?&quot;,&quot;author&quot;:[{&quot;family&quot;:&quot;Norgate&quot;,&quot;given&quot;:&quot;T.&quot;,&quot;parse-names&quot;:false,&quot;dropping-particle&quot;:&quot;&quot;,&quot;non-dropping-particle&quot;:&quot;&quot;},{&quot;family&quot;:&quot;Jahanshahi&quot;,&quot;given&quot;:&quot;S.&quot;,&quot;parse-names&quot;:false,&quot;dropping-particle&quot;:&quot;&quot;,&quot;non-dropping-particle&quot;:&quot;&quot;}],&quot;container-title&quot;:&quot;Minerals Engineering&quot;,&quot;container-title-short&quot;:&quot;Miner Eng&quot;,&quot;DOI&quot;:&quot;10.1016/j.mineng.2009.10.002&quot;,&quot;ISSN&quot;:&quot;08926875&quot;,&quot;issued&quot;:{&quot;date-parts&quot;:[[2010,1]]},&quot;page&quot;:&quot;65-73&quot;,&quot;abstract&quot;:&quot;Metallic ore grades are falling globally as the higher grade reserves are exploited first and are progressively depleted. At the same time, the demand for primary metals extracted from these ores is expected to increase, despite increased levels of dematerialisation and recycling. Sustainability concerns have highlighted the need to meet these demands while at the same time minimising resource consumption and environmental emissions. A study was therefore undertaken using life cycle assessment methodology to examine various alternative processing routes for extracting metal from low grade ores (down to 0.1% metal), particularly those of copper and nickel, in terms of their life cycle-based energy consumption (embodied energy) and greenhouse gas emissions. The processing routes examined included conventional concentrating and smelting, direct ore smelting, heap leaching, pressure leaching and in situ leaching. This paper presents the results of this study. Crown Copyright © 2009.&quot;,&quot;issue&quot;:&quot;2&quot;,&quot;volume&quot;:&quot;23&quot;},&quot;isTemporary&quot;:false}]},{&quot;citationID&quot;:&quot;MENDELEY_CITATION_c83322b6-27bb-4a5d-b343-f01e89b21722&quot;,&quot;properties&quot;:{&quot;noteIndex&quot;:0},&quot;isEdited&quot;:false,&quot;manualOverride&quot;:{&quot;isManuallyOverridden&quot;:false,&quot;citeprocText&quot;:&quot;(Harmsen, Roes, &amp;#38; Patel, 2013)&quot;,&quot;manualOverrideText&quot;:&quot;&quot;},&quot;citationTag&quot;:&quot;MENDELEY_CITATION_v3_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&quot;,&quot;citationItems&quot;:[{&quot;id&quot;:&quot;f2f56bb1-fc53-3188-83ad-2208929b0056&quot;,&quot;itemData&quot;:{&quot;type&quot;:&quot;article-journal&quot;,&quot;id&quot;:&quot;f2f56bb1-fc53-3188-83ad-2208929b0056&quot;,&quot;title&quot;:&quot;The impact of copper scarcity on the efficiency of 2050 global renewable energy scenarios&quot;,&quot;author&quot;:[{&quot;family&quot;:&quot;Harmsen&quot;,&quot;given&quot;:&quot;J. H.M.&quot;,&quot;parse-names&quot;:false,&quot;dropping-particle&quot;:&quot;&quot;,&quot;non-dropping-particle&quot;:&quot;&quot;},{&quot;family&quot;:&quot;Roes&quot;,&quot;given&quot;:&quot;A. L.&quot;,&quot;parse-names&quot;:false,&quot;dropping-particle&quot;:&quot;&quot;,&quot;non-dropping-particle&quot;:&quot;&quot;},{&quot;family&quot;:&quot;Patel&quot;,&quot;given&quot;:&quot;M. K.&quot;,&quot;parse-names&quot;:false,&quot;dropping-particle&quot;:&quot;&quot;,&quot;non-dropping-particle&quot;:&quot;&quot;}],&quot;container-title&quot;:&quot;Energy&quot;,&quot;DOI&quot;:&quot;10.1016/j.energy.2012.12.006&quot;,&quot;ISSN&quot;:&quot;03605442&quot;,&quot;issued&quot;:{&quot;date-parts&quot;:[[2013,2,1]]},&quot;page&quot;:&quot;62-73&quot;,&quot;abstract&quot;:&quot;In the coming decades, copper scarcity is likely to result in deteriorating ore quality, which in turn will lead to a higher GER (gross energy requirement) for copper production. In this study, this increasing GER and the effect it has on the EROI (energy return on investment) of wind turbine technologies have been analysed. The GER of copper in a 2050 100% renewable energy system will be a factor 2-7 larger than it is today, depending on technological progress, the recycling rate and the future electricity demand. Because of an increasing in-use stock of copper, recycling will play a relatively small role even when the recycling rate is high. The future EROI of wind turbines is approximately 15% less than is currently often taken into account, mainly due to network losses.The GER of increasingly scarce materials can potentially be used as a more meaningful indicator for abiotic depletion in LCA studies than the current mineral reserve based practice. © 2012 Elsevier Ltd.&quot;,&quot;publisher&quot;:&quot;Elsevier Ltd&quot;,&quot;issue&quot;:&quot;1&quot;,&quot;volume&quot;:&quot;50&quot;,&quot;container-title-short&quot;:&quot;&quot;},&quot;isTemporary&quot;:false,&quot;suppress-author&quot;:false,&quot;composite&quot;:false,&quot;author-only&quot;:false}]},{&quot;citationID&quot;:&quot;MENDELEY_CITATION_04632416-52c5-42b7-ae81-724264b01fa7&quot;,&quot;properties&quot;:{&quot;noteIndex&quot;:0},&quot;isEdited&quot;:false,&quot;manualOverride&quot;:{&quot;isManuallyOverridden&quot;:true,&quot;citeprocText&quot;:&quot;(Norgate &amp;#38; Jahanshahi, 2010)&quot;,&quot;manualOverrideText&quot;:&quot;Norgate &amp; Jahanshahi (2010)&quot;},&quot;citationTag&quot;:&quot;MENDELEY_CITATION_v3_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&quot;,&quot;citationItems&quot;:[{&quot;id&quot;:&quot;2e84d349-9a28-3c66-a80b-f02c2affc431&quot;,&quot;itemData&quot;:{&quot;type&quot;:&quot;article-journal&quot;,&quot;id&quot;:&quot;2e84d349-9a28-3c66-a80b-f02c2affc431&quot;,&quot;title&quot;:&quot;Low grade ores - Smelt, leach or concentrate?&quot;,&quot;author&quot;:[{&quot;family&quot;:&quot;Norgate&quot;,&quot;given&quot;:&quot;T.&quot;,&quot;parse-names&quot;:false,&quot;dropping-particle&quot;:&quot;&quot;,&quot;non-dropping-particle&quot;:&quot;&quot;},{&quot;family&quot;:&quot;Jahanshahi&quot;,&quot;given&quot;:&quot;S.&quot;,&quot;parse-names&quot;:false,&quot;dropping-particle&quot;:&quot;&quot;,&quot;non-dropping-particle&quot;:&quot;&quot;}],&quot;container-title&quot;:&quot;Minerals Engineering&quot;,&quot;container-title-short&quot;:&quot;Miner Eng&quot;,&quot;DOI&quot;:&quot;10.1016/j.mineng.2009.10.002&quot;,&quot;ISSN&quot;:&quot;08926875&quot;,&quot;issued&quot;:{&quot;date-parts&quot;:[[2010,1]]},&quot;page&quot;:&quot;65-73&quot;,&quot;abstract&quot;:&quot;Metallic ore grades are falling globally as the higher grade reserves are exploited first and are progressively depleted. At the same time, the demand for primary metals extracted from these ores is expected to increase, despite increased levels of dematerialisation and recycling. Sustainability concerns have highlighted the need to meet these demands while at the same time minimising resource consumption and environmental emissions. A study was therefore undertaken using life cycle assessment methodology to examine various alternative processing routes for extracting metal from low grade ores (down to 0.1% metal), particularly those of copper and nickel, in terms of their life cycle-based energy consumption (embodied energy) and greenhouse gas emissions. The processing routes examined included conventional concentrating and smelting, direct ore smelting, heap leaching, pressure leaching and in situ leaching. This paper presents the results of this study. Crown Copyright © 2009.&quot;,&quot;issue&quot;:&quot;2&quot;,&quot;volume&quot;:&quot;23&quot;},&quot;isTemporary&quot;:false,&quot;suppress-author&quot;:false,&quot;composite&quot;:false,&quot;author-only&quot;:false}]},{&quot;citationID&quot;:&quot;MENDELEY_CITATION_5e2c40bb-4eae-47f7-99da-de6817418747&quot;,&quot;properties&quot;:{&quot;noteIndex&quot;:0},&quot;isEdited&quot;:false,&quot;manualOverride&quot;:{&quot;isManuallyOverridden&quot;:false,&quot;citeprocText&quot;:&quot;(Ministry of Energy, 2021)&quot;,&quot;manualOverrideText&quot;:&quot;&quot;},&quot;citationTag&quot;:&quot;MENDELEY_CITATION_v3_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&quot;,&quot;citationItems&quot;:[{&quot;id&quot;:&quot;a74b7972-7ade-39ce-9560-9c3eab9a0cd8&quot;,&quot;itemData&quot;:{&quot;type&quot;:&quot;webpage&quot;,&quot;id&quot;:&quot;a74b7972-7ade-39ce-9560-9c3eab9a0cd8&quot;,&quot;title&quot;:&quot;Long-Term Energy Planning&quot;,&quot;author&quot;:[{&quot;family&quot;:&quot;Ministry of Energy&quot;,&quot;given&quot;:&quot;Chile&quot;,&quot;parse-names&quot;:false,&quot;dropping-particle&quot;:&quot;&quot;,&quot;non-dropping-particle&quot;:&quot;&quot;}],&quot;container-title&quot;:&quot;https://energia.gob.cl/pelp&quot;,&quot;issued&quot;:{&quot;date-parts&quot;:[[2021]]},&quot;container-title-short&quot;:&quot;&quot;},&quot;isTemporary&quot;:false,&quot;suppress-author&quot;:false,&quot;composite&quot;:false,&quot;author-only&quot;:false}]},{&quot;citationID&quot;:&quot;MENDELEY_CITATION_eddf264d-52e2-4698-b68b-d2f870e12d87&quot;,&quot;properties&quot;:{&quot;noteIndex&quot;:0},&quot;isEdited&quot;:false,&quot;manualOverride&quot;:{&quot;isManuallyOverridden&quot;:true,&quot;citeprocText&quot;:&quot;(Smith, Sekar, Mirletz, Heath, &amp;#38; Margolis, 2024)&quot;,&quot;manualOverrideText&quot;:&quot;Smith, Sekar, Mirletz, Heath, and Margolis (2024)&quot;},&quot;citationTag&quot;:&quot;MENDELEY_CITATION_v3_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&quot;,&quot;citationItems&quot;:[{&quot;id&quot;:&quot;355cf46b-18e0-3e1d-82f0-2e32a620704a&quot;,&quot;itemData&quot;:{&quot;type&quot;:&quot;report&quot;,&quot;id&quot;:&quot;355cf46b-18e0-3e1d-82f0-2e32a620704a&quot;,&quot;title&quot;:&quot;An Updated Life Cycle Assessment of Utility-Scale Solar Photovoltaic Systems Installed in the United States&quot;,&quot;author&quot;:[{&quot;family&quot;:&quot;Smith&quot;,&quot;given&quot;:&quot;Brittany L&quot;,&quot;parse-names&quot;:false,&quot;dropping-particle&quot;:&quot;&quot;,&quot;non-dropping-particle&quot;:&quot;&quot;},{&quot;family&quot;:&quot;Sekar&quot;,&quot;given&quot;:&quot;Ashok&quot;,&quot;parse-names&quot;:false,&quot;dropping-particle&quot;:&quot;&quot;,&quot;non-dropping-particle&quot;:&quot;&quot;},{&quot;family&quot;:&quot;Mirletz&quot;,&quot;given&quot;:&quot;Heather&quot;,&quot;parse-names&quot;:false,&quot;dropping-particle&quot;:&quot;&quot;,&quot;non-dropping-particle&quot;:&quot;&quot;},{&quot;family&quot;:&quot;Heath&quot;,&quot;given&quot;:&quot;Garvin&quot;,&quot;parse-names&quot;:false,&quot;dropping-particle&quot;:&quot;&quot;,&quot;non-dropping-particle&quot;:&quot;&quot;},{&quot;family&quot;:&quot;Margolis&quot;,&quot;given&quot;:&quot;Robert&quot;,&quot;parse-names&quot;:false,&quot;dropping-particle&quot;:&quot;&quot;,&quot;non-dropping-particle&quot;:&quot;&quot;}],&quot;URL&quot;:&quot;www.nrel.gov/publications.&quot;,&quot;issued&quot;:{&quot;date-parts&quot;:[[2024,3]]},&quot;container-title-short&quot;:&quot;&quot;},&quot;isTemporary&quot;:false,&quot;suppress-author&quot;:false,&quot;composite&quot;:false,&quot;author-only&quot;:false}]},{&quot;citationID&quot;:&quot;MENDELEY_CITATION_1ee81c30-25bb-415b-b8fe-d4b8a890f7a5&quot;,&quot;properties&quot;:{&quot;noteIndex&quot;:0},&quot;isEdited&quot;:false,&quot;manualOverride&quot;:{&quot;isManuallyOverridden&quot;:false,&quot;citeprocText&quot;:&quot;(Molina, Falvey, &amp;#38; Rondanelli, 2017)&quot;,&quot;manualOverrideText&quot;:&quot;&quot;},&quot;citationTag&quot;:&quot;MENDELEY_CITATION_v3_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&quot;,&quot;citationItems&quot;:[{&quot;id&quot;:&quot;ea8e554e-1772-3c33-b767-30eb38385930&quot;,&quot;itemData&quot;:{&quot;type&quot;:&quot;article-journal&quot;,&quot;id&quot;:&quot;ea8e554e-1772-3c33-b767-30eb38385930&quot;,&quot;title&quot;:&quot;A solar radiation database for Chile&quot;,&quot;author&quot;:[{&quot;family&quot;:&quot;Molina&quot;,&quot;given&quot;:&quot;Alejandra&quot;,&quot;parse-names&quot;:false,&quot;dropping-particle&quot;:&quot;&quot;,&quot;non-dropping-particle&quot;:&quot;&quot;},{&quot;family&quot;:&quot;Falvey&quot;,&quot;given&quot;:&quot;Mark&quot;,&quot;parse-names&quot;:false,&quot;dropping-particle&quot;:&quot;&quot;,&quot;non-dropping-particle&quot;:&quot;&quot;},{&quot;family&quot;:&quot;Rondanelli&quot;,&quot;given&quot;:&quot;Roberto&quot;,&quot;parse-names&quot;:false,&quot;dropping-particle&quot;:&quot;&quot;,&quot;non-dropping-particle&quot;:&quot;&quot;}],&quot;container-title&quot;:&quot;Scientific Reports&quot;,&quot;container-title-short&quot;:&quot;Sci Rep&quot;,&quot;DOI&quot;:&quot;10.1038/s41598-017-13761-x&quot;,&quot;ISSN&quot;:&quot;20452322&quot;,&quot;PMID&quot;:&quot;29093511&quot;,&quot;issued&quot;:{&quot;date-parts&quot;:[[2017,12,1]]},&quot;abstract&quot;:&quot;Chile hosts some of the sunniest places on earth, which has led to a growing solar energy industry in recent years. However, the lack of high resolution measurements of solar irradiance becomes a critical obstacle for both financing and design of solar installations. Besides the Atacama Desert, Chile displays a large array of \&quot;solar climates\&quot; due to large latitude and altitude variations, and so provides a useful testbed for the development of solar irradiance maps. Here a new public database for surface solar irradiance over Chile is presented. This database includes hourly irradiance from 2004 to 2016 at 90 m horizontal resolution over continental Chile. Our results are based on global reanalysis data to force a radiative transfer model for clear sky solar irradiance and an empirical model based on geostationary satellite data for cloudy conditions. The results have been validated using 140 surface solar irradiance stations throughout the country. Model mean percentage error in hourly time series of global horizontal irradiance is only 0.73%, considering both clear and cloudy days. The simplicity and accuracy of the model over a wide range of solar conditions provides confidence that the model can be easily generalized to other regions of the world.&quot;,&quot;publisher&quot;:&quot;Nature Publishing Group&quot;,&quot;issue&quot;:&quot;1&quot;,&quot;volume&quot;:&quot;7&quot;},&quot;isTemporary&quot;:false,&quot;suppress-author&quot;:false,&quot;composite&quot;:false,&quot;author-only&quot;:false}]},{&quot;citationID&quot;:&quot;MENDELEY_CITATION_916b6ddd-4c75-4bb7-94ed-67842f28cb07&quot;,&quot;properties&quot;:{&quot;noteIndex&quot;:0},&quot;isEdited&quot;:false,&quot;manualOverride&quot;:{&quot;isManuallyOverridden&quot;:false,&quot;citeprocText&quot;:&quot;(Smith et al., 2024)&quot;,&quot;manualOverrideText&quot;:&quot;&quot;},&quot;citationTag&quot;:&quot;MENDELEY_CITATION_v3_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&quot;,&quot;citationItems&quot;:[{&quot;id&quot;:&quot;355cf46b-18e0-3e1d-82f0-2e32a620704a&quot;,&quot;itemData&quot;:{&quot;type&quot;:&quot;report&quot;,&quot;id&quot;:&quot;355cf46b-18e0-3e1d-82f0-2e32a620704a&quot;,&quot;title&quot;:&quot;An Updated Life Cycle Assessment of Utility-Scale Solar Photovoltaic Systems Installed in the United States&quot;,&quot;author&quot;:[{&quot;family&quot;:&quot;Smith&quot;,&quot;given&quot;:&quot;Brittany L&quot;,&quot;parse-names&quot;:false,&quot;dropping-particle&quot;:&quot;&quot;,&quot;non-dropping-particle&quot;:&quot;&quot;},{&quot;family&quot;:&quot;Sekar&quot;,&quot;given&quot;:&quot;Ashok&quot;,&quot;parse-names&quot;:false,&quot;dropping-particle&quot;:&quot;&quot;,&quot;non-dropping-particle&quot;:&quot;&quot;},{&quot;family&quot;:&quot;Mirletz&quot;,&quot;given&quot;:&quot;Heather&quot;,&quot;parse-names&quot;:false,&quot;dropping-particle&quot;:&quot;&quot;,&quot;non-dropping-particle&quot;:&quot;&quot;},{&quot;family&quot;:&quot;Heath&quot;,&quot;given&quot;:&quot;Garvin&quot;,&quot;parse-names&quot;:false,&quot;dropping-particle&quot;:&quot;&quot;,&quot;non-dropping-particle&quot;:&quot;&quot;},{&quot;family&quot;:&quot;Margolis&quot;,&quot;given&quot;:&quot;Robert&quot;,&quot;parse-names&quot;:false,&quot;dropping-particle&quot;:&quot;&quot;,&quot;non-dropping-particle&quot;:&quot;&quot;}],&quot;URL&quot;:&quot;www.nrel.gov/publications.&quot;,&quot;issued&quot;:{&quot;date-parts&quot;:[[2024,3]]},&quot;container-title-short&quot;:&quot;&quot;},&quot;isTemporary&quot;:false,&quot;suppress-author&quot;:false,&quot;composite&quot;:false,&quot;author-only&quot;:false}]},{&quot;citationID&quot;:&quot;MENDELEY_CITATION_64b4853f-1d24-4473-9933-5ac91d3c4e45&quot;,&quot;properties&quot;:{&quot;noteIndex&quot;:0},&quot;isEdited&quot;:false,&quot;manualOverride&quot;:{&quot;isManuallyOverridden&quot;:false,&quot;citeprocText&quot;:&quot;(Lotrič, Sekavčnik, Kuštrin, &amp;#38; Mori, 2021)&quot;,&quot;manualOverrideText&quot;:&quot;&quot;},&quot;citationTag&quot;:&quot;MENDELEY_CITATION_v3_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&quot;,&quot;citationItems&quot;:[{&quot;id&quot;:&quot;3e6aeee1-2388-3f83-a207-2714d5285e4a&quot;,&quot;itemData&quot;:{&quot;type&quot;:&quot;article-journal&quot;,&quot;id&quot;:&quot;3e6aeee1-2388-3f83-a207-2714d5285e4a&quot;,&quot;title&quot;:&quot;Life-cycle assessment of hydrogen technologies with the focus on EU critical raw materials and end-of-life strategies&quot;,&quot;author&quot;:[{&quot;family&quot;:&quot;Lotrič&quot;,&quot;given&quot;:&quot;Andrej&quot;,&quot;parse-names&quot;:false,&quot;dropping-particle&quot;:&quot;&quot;,&quot;non-dropping-particle&quot;:&quot;&quot;},{&quot;family&quot;:&quot;Sekavčnik&quot;,&quot;given&quot;:&quot;Mihael&quot;,&quot;parse-names&quot;:false,&quot;dropping-particle&quot;:&quot;&quot;,&quot;non-dropping-particle&quot;:&quot;&quot;},{&quot;family&quot;:&quot;Kuštrin&quot;,&quot;given&quot;:&quot;Igor&quot;,&quot;parse-names&quot;:false,&quot;dropping-particle&quot;:&quot;&quot;,&quot;non-dropping-particle&quot;:&quot;&quot;},{&quot;family&quot;:&quot;Mori&quot;,&quot;given&quot;:&quot;Mitja&quot;,&quot;parse-names&quot;:false,&quot;dropping-particle&quot;:&quot;&quot;,&quot;non-dropping-particle&quot;:&quot;&quot;}],&quot;container-title&quot;:&quot;International Journal of Hydrogen Energy&quot;,&quot;container-title-short&quot;:&quot;Int J Hydrogen Energy&quot;,&quot;DOI&quot;:&quot;10.1016/j.ijhydene.2020.06.190&quot;,&quot;ISSN&quot;:&quot;03603199&quot;,&quot;issued&quot;:{&quot;date-parts&quot;:[[2021,3,3]]},&quot;page&quot;:&quot;10143-10160&quot;,&quot;abstract&quot;:&quot;We present the results of a life-cycle assessment (LCA) for the manufacturing and end-of-life (EoL) phases of the following fuel-cell and hydrogen (FCH) technologies: alkaline water electrolyser (AWE), polymer-electrolyte-membrane water electrolyser (PEMWE), high-temperature (HT) and low-temperature (LT) polymer-electrolyte-membrane fuel cells (PEMFCs), together with the balance-of-plant components. New life-cycle inventories (LCIs), i.e., material inputs for the AWE, PEMWE and HT PEMFC are developed, whereas the existing LCI for the LT PEMFC is adopted from a previous EU-funded project. The LCA models for all four FCH technologies are created by modelling the manufacturing phase, followed by defining the EoL strategies and processes used and finally by assessing the effects of the EoL approach using environmental indicators. The effects are analysed with a stepwise approach, where the CML2001 assessment method is used to evaluate the environmental impacts. The results show that the environmental impacts of the manufacturing phase can be substantially reduced by using the proposed EoL strategies (i.e., recycled materials being used in the manufacturing phase and replacing some of the virgin materials). To point out the importance of critical materials (in this case, the platinum-group metals or PGMs) and their recycling strategies, further analyses were made. By comparing the EoL phase with and without the recycling of PGMs, an increase in the environmental impacts is observed, which is much greater in the case of both fuel-cell systems, because they contain a larger quantity of PGMs.&quot;,&quot;publisher&quot;:&quot;Elsevier Ltd&quot;,&quot;issue&quot;:&quot;16&quot;,&quot;volume&quot;:&quot;46&quot;},&quot;isTemporary&quot;:false,&quot;suppress-author&quot;:false,&quot;composite&quot;:false,&quot;author-only&quot;:false}]},{&quot;citationID&quot;:&quot;MENDELEY_CITATION_74c6de9d-00cb-4a1c-8c5d-48a0c8c9c4a8&quot;,&quot;properties&quot;:{&quot;noteIndex&quot;:0},&quot;isEdited&quot;:false,&quot;manualOverride&quot;:{&quot;isManuallyOverridden&quot;:false,&quot;citeprocText&quot;:&quot;(Evaluation Commission Antofagasta Region, 2022)&quot;,&quot;manualOverrideText&quot;:&quot;&quot;},&quot;citationTag&quot;:&quot;MENDELEY_CITATION_v3_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&quot;,&quot;citationItems&quot;:[{&quot;id&quot;:&quot;e967bdab-2c9b-3ceb-846f-5ab348e25c9c&quot;,&quot;itemData&quot;:{&quot;type&quot;:&quot;legislation&quot;,&quot;id&quot;:&quot;e967bdab-2c9b-3ceb-846f-5ab348e25c9c&quot;,&quot;title&quot;:&quot;HyEx Project - Green Hydrogen Production&quot;,&quot;author&quot;:[{&quot;family&quot;:&quot;Evaluation Commission Antofagasta Region&quot;,&quot;given&quot;:&quot;Republic of Chile&quot;,&quot;parse-names&quot;:false,&quot;dropping-particle&quot;:&quot;&quot;,&quot;non-dropping-particle&quot;:&quot;&quot;}],&quot;number&quot;:&quot;RCA 202202001118&quot;,&quot;accessed&quot;:{&quot;date-parts&quot;:[[2025,1,20]]},&quot;URL&quot;:&quot;https://validador.sea.gob.cl/validar/sea/documentVerification&quot;,&quot;issued&quot;:{&quot;date-parts&quot;:[[2022,4,27]]},&quot;publisher-place&quot;:&quot;Chile&quot;,&quot;language&quot;:&quot;Spanish&quot;,&quot;container-title-short&quot;:&quot;&quot;},&quot;isTemporary&quot;:false,&quot;suppress-author&quot;:false,&quot;composite&quot;:false,&quot;author-only&quot;:false}]},{&quot;citationID&quot;:&quot;MENDELEY_CITATION_6584d8c7-28b7-4223-b780-7d4d3a9e9e92&quot;,&quot;properties&quot;:{&quot;noteIndex&quot;:0},&quot;isEdited&quot;:false,&quot;manualOverride&quot;:{&quot;isManuallyOverridden&quot;:false,&quot;citeprocText&quot;:&quot;(Khan et al., 2024)&quot;,&quot;manualOverrideText&quot;:&quot;&quot;},&quot;citationTag&quot;:&quot;MENDELEY_CITATION_v3_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&quot;,&quot;citationItems&quot;:[{&quot;id&quot;:&quot;97c197ee-601d-3123-bf2f-4730c89fec31&quot;,&quot;itemData&quot;:{&quot;type&quot;:&quot;article-journal&quot;,&quot;id&quot;:&quot;97c197ee-601d-3123-bf2f-4730c89fec31&quot;,&quot;title&quot;:&quot;Strategies for life cycle impact reduction of green hydrogen production – Influence of electrolyser value chain design&quot;,&quot;author&quot;:[{&quot;family&quot;:&quot;Khan&quot;,&quot;given&quot;:&quot;Muhammad Haider Ali&quot;,&quot;parse-names&quot;:false,&quot;dropping-particle&quot;:&quot;&quot;,&quot;non-dropping-particle&quot;:&quot;&quot;},{&quot;family&quot;:&quot;Sitaraman&quot;,&quot;given&quot;:&quot;Tarun&quot;,&quot;parse-names&quot;:false,&quot;dropping-particle&quot;:&quot;&quot;,&quot;non-dropping-particle&quot;:&quot;&quot;},{&quot;family&quot;:&quot;Haque&quot;,&quot;given&quot;:&quot;Nawshad&quot;,&quot;parse-names&quot;:false,&quot;dropping-particle&quot;:&quot;&quot;,&quot;non-dropping-particle&quot;:&quot;&quot;},{&quot;family&quot;:&quot;Leslie&quot;,&quot;given&quot;:&quot;Greg&quot;,&quot;parse-names&quot;:false,&quot;dropping-particle&quot;:&quot;&quot;,&quot;non-dropping-particle&quot;:&quot;&quot;},{&quot;family&quot;:&quot;Saydam&quot;,&quot;given&quot;:&quot;Serkan&quot;,&quot;parse-names&quot;:false,&quot;dropping-particle&quot;:&quot;&quot;,&quot;non-dropping-particle&quot;:&quot;&quot;},{&quot;family&quot;:&quot;Daiyan&quot;,&quot;given&quot;:&quot;Rahman&quot;,&quot;parse-names&quot;:false,&quot;dropping-particle&quot;:&quot;&quot;,&quot;non-dropping-particle&quot;:&quot;&quot;},{&quot;family&quot;:&quot;Amal&quot;,&quot;given&quot;:&quot;Rose&quot;,&quot;parse-names&quot;:false,&quot;dropping-particle&quot;:&quot;&quot;,&quot;non-dropping-particle&quot;:&quot;&quot;},{&quot;family&quot;:&quot;Kara&quot;,&quot;given&quot;:&quot;Sami&quot;,&quot;parse-names&quot;:false,&quot;dropping-particle&quot;:&quot;&quot;,&quot;non-dropping-particle&quot;:&quot;&quot;}],&quot;container-title&quot;:&quot;International Journal of Hydrogen Energy&quot;,&quot;container-title-short&quot;:&quot;Int J Hydrogen Energy&quot;,&quot;DOI&quot;:&quot;10.1016/j.ijhydene.2024.01.081&quot;,&quot;ISSN&quot;:&quot;03603199&quot;,&quot;issued&quot;:{&quot;date-parts&quot;:[[2024,4,10]]},&quot;page&quot;:&quot;769-782&quot;,&quot;abstract&quot;:&quot;Green Hydrogen (H2 via renewable-driven electrolysis) is emerging as a vector to meet net-zero emission targets, provided it is produced with a low life cycle impact. While certification schemes for green H2 have been introduced, they mainly focus on the embodied emissions from energy supply during electrolyser operation. This narrow focus on just operation is an oversight, considering that a complete green H2 value chain also includes the electrolyser's manufacturing, transport/installation, and end-of-life. Each step of this chain involves materials and energy flows that impart impacts that undermine the clean and sustainable status of H2. Therefore, holistic and harmonised assessments of the green H2 production chain are required to ensure both economic and environmental deployment of H2. Herein, we conduct an overarching environmental assessment encompassing the production chain described above, using Australia as a case study. Our results indicate that while the energy source has the most impact, material and manufacturing inputs associated with electrolyser production are increasingly significant as the scale of H2 output expands. Moreover, wind power electrolysis has a greater chance of achieving green H2 certification compared to solar powered, while increasing the amount of localised manufactured content and investment in end-of-life recycling of electrolyser components can reduce the overall life cycle impact of green H2 production by 20%.&quot;,&quot;publisher&quot;:&quot;Elsevier Ltd&quot;,&quot;volume&quot;:&quot;62&quot;},&quot;isTemporary&quot;:false,&quot;suppress-author&quot;:false,&quot;composite&quot;:false,&quot;author-only&quot;:false}]},{&quot;citationID&quot;:&quot;MENDELEY_CITATION_4e730fab-3558-4855-a8dd-fd9f30f66188&quot;,&quot;properties&quot;:{&quot;noteIndex&quot;:0},&quot;isEdited&quot;:false,&quot;manualOverride&quot;:{&quot;isManuallyOverridden&quot;:false,&quot;citeprocText&quot;:&quot;(Khan et al., 2024)&quot;,&quot;manualOverrideText&quot;:&quot;&quot;},&quot;citationTag&quot;:&quot;MENDELEY_CITATION_v3_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&quot;,&quot;citationItems&quot;:[{&quot;id&quot;:&quot;97c197ee-601d-3123-bf2f-4730c89fec31&quot;,&quot;itemData&quot;:{&quot;type&quot;:&quot;article-journal&quot;,&quot;id&quot;:&quot;97c197ee-601d-3123-bf2f-4730c89fec31&quot;,&quot;title&quot;:&quot;Strategies for life cycle impact reduction of green hydrogen production – Influence of electrolyser value chain design&quot;,&quot;author&quot;:[{&quot;family&quot;:&quot;Khan&quot;,&quot;given&quot;:&quot;Muhammad Haider Ali&quot;,&quot;parse-names&quot;:false,&quot;dropping-particle&quot;:&quot;&quot;,&quot;non-dropping-particle&quot;:&quot;&quot;},{&quot;family&quot;:&quot;Sitaraman&quot;,&quot;given&quot;:&quot;Tarun&quot;,&quot;parse-names&quot;:false,&quot;dropping-particle&quot;:&quot;&quot;,&quot;non-dropping-particle&quot;:&quot;&quot;},{&quot;family&quot;:&quot;Haque&quot;,&quot;given&quot;:&quot;Nawshad&quot;,&quot;parse-names&quot;:false,&quot;dropping-particle&quot;:&quot;&quot;,&quot;non-dropping-particle&quot;:&quot;&quot;},{&quot;family&quot;:&quot;Leslie&quot;,&quot;given&quot;:&quot;Greg&quot;,&quot;parse-names&quot;:false,&quot;dropping-particle&quot;:&quot;&quot;,&quot;non-dropping-particle&quot;:&quot;&quot;},{&quot;family&quot;:&quot;Saydam&quot;,&quot;given&quot;:&quot;Serkan&quot;,&quot;parse-names&quot;:false,&quot;dropping-particle&quot;:&quot;&quot;,&quot;non-dropping-particle&quot;:&quot;&quot;},{&quot;family&quot;:&quot;Daiyan&quot;,&quot;given&quot;:&quot;Rahman&quot;,&quot;parse-names&quot;:false,&quot;dropping-particle&quot;:&quot;&quot;,&quot;non-dropping-particle&quot;:&quot;&quot;},{&quot;family&quot;:&quot;Amal&quot;,&quot;given&quot;:&quot;Rose&quot;,&quot;parse-names&quot;:false,&quot;dropping-particle&quot;:&quot;&quot;,&quot;non-dropping-particle&quot;:&quot;&quot;},{&quot;family&quot;:&quot;Kara&quot;,&quot;given&quot;:&quot;Sami&quot;,&quot;parse-names&quot;:false,&quot;dropping-particle&quot;:&quot;&quot;,&quot;non-dropping-particle&quot;:&quot;&quot;}],&quot;container-title&quot;:&quot;International Journal of Hydrogen Energy&quot;,&quot;container-title-short&quot;:&quot;Int J Hydrogen Energy&quot;,&quot;DOI&quot;:&quot;10.1016/j.ijhydene.2024.01.081&quot;,&quot;ISSN&quot;:&quot;03603199&quot;,&quot;issued&quot;:{&quot;date-parts&quot;:[[2024,4,10]]},&quot;page&quot;:&quot;769-782&quot;,&quot;abstract&quot;:&quot;Green Hydrogen (H2 via renewable-driven electrolysis) is emerging as a vector to meet net-zero emission targets, provided it is produced with a low life cycle impact. While certification schemes for green H2 have been introduced, they mainly focus on the embodied emissions from energy supply during electrolyser operation. This narrow focus on just operation is an oversight, considering that a complete green H2 value chain also includes the electrolyser's manufacturing, transport/installation, and end-of-life. Each step of this chain involves materials and energy flows that impart impacts that undermine the clean and sustainable status of H2. Therefore, holistic and harmonised assessments of the green H2 production chain are required to ensure both economic and environmental deployment of H2. Herein, we conduct an overarching environmental assessment encompassing the production chain described above, using Australia as a case study. Our results indicate that while the energy source has the most impact, material and manufacturing inputs associated with electrolyser production are increasingly significant as the scale of H2 output expands. Moreover, wind power electrolysis has a greater chance of achieving green H2 certification compared to solar powered, while increasing the amount of localised manufactured content and investment in end-of-life recycling of electrolyser components can reduce the overall life cycle impact of green H2 production by 20%.&quot;,&quot;publisher&quot;:&quot;Elsevier Ltd&quot;,&quot;volume&quot;:&quot;62&quot;},&quot;isTemporary&quot;:false,&quot;suppress-author&quot;:false,&quot;composite&quot;:false,&quot;author-only&quot;:false}]},{&quot;citationID&quot;:&quot;MENDELEY_CITATION_c485b24c-df40-4470-8868-9ae5769a86f9&quot;,&quot;properties&quot;:{&quot;noteIndex&quot;:0},&quot;isEdited&quot;:false,&quot;manualOverride&quot;:{&quot;isManuallyOverridden&quot;:false,&quot;citeprocText&quot;:&quot;(Evaluation Commission Antofagasta Region, 2022)&quot;,&quot;manualOverrideText&quot;:&quot;&quot;},&quot;citationTag&quot;:&quot;MENDELEY_CITATION_v3_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&quot;,&quot;citationItems&quot;:[{&quot;id&quot;:&quot;e967bdab-2c9b-3ceb-846f-5ab348e25c9c&quot;,&quot;itemData&quot;:{&quot;type&quot;:&quot;legislation&quot;,&quot;id&quot;:&quot;e967bdab-2c9b-3ceb-846f-5ab348e25c9c&quot;,&quot;title&quot;:&quot;HyEx Project - Green Hydrogen Production&quot;,&quot;author&quot;:[{&quot;family&quot;:&quot;Evaluation Commission Antofagasta Region&quot;,&quot;given&quot;:&quot;Republic of Chile&quot;,&quot;parse-names&quot;:false,&quot;dropping-particle&quot;:&quot;&quot;,&quot;non-dropping-particle&quot;:&quot;&quot;}],&quot;number&quot;:&quot;RCA 202202001118&quot;,&quot;accessed&quot;:{&quot;date-parts&quot;:[[2025,1,20]]},&quot;URL&quot;:&quot;https://validador.sea.gob.cl/validar/sea/documentVerification&quot;,&quot;issued&quot;:{&quot;date-parts&quot;:[[2022,4,27]]},&quot;publisher-place&quot;:&quot;Chile&quot;,&quot;language&quot;:&quot;Spanish&quot;,&quot;container-title-short&quot;:&quot;&quot;},&quot;isTemporary&quot;:false,&quot;suppress-author&quot;:false,&quot;composite&quot;:false,&quot;author-only&quot;:false}]},{&quot;citationID&quot;:&quot;MENDELEY_CITATION_94f0bde6-cb74-4f3a-a54b-4877a984e72f&quot;,&quot;properties&quot;:{&quot;noteIndex&quot;:0},&quot;isEdited&quot;:false,&quot;manualOverride&quot;:{&quot;isManuallyOverridden&quot;:false,&quot;citeprocText&quot;:&quot;(Delpierre, Quist, Mertens, Prieur-Vernat, &amp;#38; Cucurachi, 2021)&quot;,&quot;manualOverrideText&quot;:&quot;&quot;},&quot;citationTag&quot;:&quot;MENDELEY_CITATION_v3_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&quot;,&quot;citationItems&quot;:[{&quot;id&quot;:&quot;37b784f2-f664-3a25-8298-1aa86b27d9f7&quot;,&quot;itemData&quot;:{&quot;type&quot;:&quot;article-journal&quot;,&quot;id&quot;:&quot;37b784f2-f664-3a25-8298-1aa86b27d9f7&quot;,&quot;title&quot;:&quot;Assessing the environmental impacts of wind-based hydrogen production in the Netherlands using ex-ante LCA and scenarios analysis&quot;,&quot;author&quot;:[{&quot;family&quot;:&quot;Delpierre&quot;,&quot;given&quot;:&quot;Mathieu&quot;,&quot;parse-names&quot;:false,&quot;dropping-particle&quot;:&quot;&quot;,&quot;non-dropping-particle&quot;:&quot;&quot;},{&quot;family&quot;:&quot;Quist&quot;,&quot;given&quot;:&quot;Jaco&quot;,&quot;parse-names&quot;:false,&quot;dropping-particle&quot;:&quot;&quot;,&quot;non-dropping-particle&quot;:&quot;&quot;},{&quot;family&quot;:&quot;Mertens&quot;,&quot;given&quot;:&quot;Jan&quot;,&quot;parse-names&quot;:false,&quot;dropping-particle&quot;:&quot;&quot;,&quot;non-dropping-particle&quot;:&quot;&quot;},{&quot;family&quot;:&quot;Prieur-Vernat&quot;,&quot;given&quot;:&quot;Anne&quot;,&quot;parse-names&quot;:false,&quot;dropping-particle&quot;:&quot;&quot;,&quot;non-dropping-particle&quot;:&quot;&quot;},{&quot;family&quot;:&quot;Cucurachi&quot;,&quot;given&quot;:&quot;Stefano&quot;,&quot;parse-names&quot;:false,&quot;dropping-particle&quot;:&quot;&quot;,&quot;non-dropping-particle&quot;:&quot;&quot;}],&quot;container-title&quot;:&quot;Journal of Cleaner Production&quot;,&quot;container-title-short&quot;:&quot;J Clean Prod&quot;,&quot;DOI&quot;:&quot;10.1016/j.jclepro.2021.126866&quot;,&quot;ISSN&quot;:&quot;09596526&quot;,&quot;issued&quot;:{&quot;date-parts&quot;:[[2021,5,25]]},&quot;abstract&quot;:&quot;Two electrolysis technologies fed with renewable energy sources are promising for the production of CO2-free hydrogen and enabling the transition to a hydrogen society: Alkaline Electrolyte (AE) and Polymer Electrolyte Membrane (PEM). However, limited information exists on the potential environmental impacts of these promising sustainable innovations when operating on a large-scale. To fill this gap, the performance of AE and PEM systems is compared, using ex-ante Life Cycle Assessment (LCA), technology analysis and exploratory scenarios for which a refined methodology has been developed to study the effects of implementing large-scale sustainable hydrogen production systems. Ex-ante LCA allows modelling the environmental impacts of hydrogen production, exploratory scenario analysis allows modelling possible upscaling effects at potential future states of hydrogen production and use in vehicles in the Netherlands in 2050. A bridging tool for mapping the technological field has been created enabling the combination of quantitative LCAs with qualitative scenarios. This tool also enables diversity for exploring multiple sets of visions. The main results from the paper show, with an exception for the “ozone depletion” impact category, (1) that large-scale AE and PEM systems have similar environmental impacts with variations lower than 7% in all impact categories, (2) that the contribution of the electrolyser is limited to 10% of all impact categories results, and (3) that the origin of the electricity is the largest contributor to the environmental impact contributing to more than 90% in all impact categories, even when renewable energy sources are used. It is concluded that the methodology was applied successfully and provides a solid basis for an ex-ante assessment framework that can be applied to emerging technological systems.&quot;,&quot;publisher&quot;:&quot;Elsevier Ltd&quot;,&quot;volume&quot;:&quot;299&quot;},&quot;isTemporary&quot;:false}]},{&quot;citationID&quot;:&quot;MENDELEY_CITATION_f38d6228-2e65-4815-9ddd-5912c1c43680&quot;,&quot;properties&quot;:{&quot;noteIndex&quot;:0},&quot;isEdited&quot;:false,&quot;manualOverride&quot;:{&quot;isManuallyOverridden&quot;:false,&quot;citeprocText&quot;:&quot;(Khan et al., 2024)&quot;,&quot;manualOverrideText&quot;:&quot;&quot;},&quot;citationTag&quot;:&quot;MENDELEY_CITATION_v3_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&quot;,&quot;citationItems&quot;:[{&quot;id&quot;:&quot;97c197ee-601d-3123-bf2f-4730c89fec31&quot;,&quot;itemData&quot;:{&quot;type&quot;:&quot;article-journal&quot;,&quot;id&quot;:&quot;97c197ee-601d-3123-bf2f-4730c89fec31&quot;,&quot;title&quot;:&quot;Strategies for life cycle impact reduction of green hydrogen production – Influence of electrolyser value chain design&quot;,&quot;author&quot;:[{&quot;family&quot;:&quot;Khan&quot;,&quot;given&quot;:&quot;Muhammad Haider Ali&quot;,&quot;parse-names&quot;:false,&quot;dropping-particle&quot;:&quot;&quot;,&quot;non-dropping-particle&quot;:&quot;&quot;},{&quot;family&quot;:&quot;Sitaraman&quot;,&quot;given&quot;:&quot;Tarun&quot;,&quot;parse-names&quot;:false,&quot;dropping-particle&quot;:&quot;&quot;,&quot;non-dropping-particle&quot;:&quot;&quot;},{&quot;family&quot;:&quot;Haque&quot;,&quot;given&quot;:&quot;Nawshad&quot;,&quot;parse-names&quot;:false,&quot;dropping-particle&quot;:&quot;&quot;,&quot;non-dropping-particle&quot;:&quot;&quot;},{&quot;family&quot;:&quot;Leslie&quot;,&quot;given&quot;:&quot;Greg&quot;,&quot;parse-names&quot;:false,&quot;dropping-particle&quot;:&quot;&quot;,&quot;non-dropping-particle&quot;:&quot;&quot;},{&quot;family&quot;:&quot;Saydam&quot;,&quot;given&quot;:&quot;Serkan&quot;,&quot;parse-names&quot;:false,&quot;dropping-particle&quot;:&quot;&quot;,&quot;non-dropping-particle&quot;:&quot;&quot;},{&quot;family&quot;:&quot;Daiyan&quot;,&quot;given&quot;:&quot;Rahman&quot;,&quot;parse-names&quot;:false,&quot;dropping-particle&quot;:&quot;&quot;,&quot;non-dropping-particle&quot;:&quot;&quot;},{&quot;family&quot;:&quot;Amal&quot;,&quot;given&quot;:&quot;Rose&quot;,&quot;parse-names&quot;:false,&quot;dropping-particle&quot;:&quot;&quot;,&quot;non-dropping-particle&quot;:&quot;&quot;},{&quot;family&quot;:&quot;Kara&quot;,&quot;given&quot;:&quot;Sami&quot;,&quot;parse-names&quot;:false,&quot;dropping-particle&quot;:&quot;&quot;,&quot;non-dropping-particle&quot;:&quot;&quot;}],&quot;container-title&quot;:&quot;International Journal of Hydrogen Energy&quot;,&quot;container-title-short&quot;:&quot;Int J Hydrogen Energy&quot;,&quot;DOI&quot;:&quot;10.1016/j.ijhydene.2024.01.081&quot;,&quot;ISSN&quot;:&quot;03603199&quot;,&quot;issued&quot;:{&quot;date-parts&quot;:[[2024,4,10]]},&quot;page&quot;:&quot;769-782&quot;,&quot;abstract&quot;:&quot;Green Hydrogen (H2 via renewable-driven electrolysis) is emerging as a vector to meet net-zero emission targets, provided it is produced with a low life cycle impact. While certification schemes for green H2 have been introduced, they mainly focus on the embodied emissions from energy supply during electrolyser operation. This narrow focus on just operation is an oversight, considering that a complete green H2 value chain also includes the electrolyser's manufacturing, transport/installation, and end-of-life. Each step of this chain involves materials and energy flows that impart impacts that undermine the clean and sustainable status of H2. Therefore, holistic and harmonised assessments of the green H2 production chain are required to ensure both economic and environmental deployment of H2. Herein, we conduct an overarching environmental assessment encompassing the production chain described above, using Australia as a case study. Our results indicate that while the energy source has the most impact, material and manufacturing inputs associated with electrolyser production are increasingly significant as the scale of H2 output expands. Moreover, wind power electrolysis has a greater chance of achieving green H2 certification compared to solar powered, while increasing the amount of localised manufactured content and investment in end-of-life recycling of electrolyser components can reduce the overall life cycle impact of green H2 production by 20%.&quot;,&quot;publisher&quot;:&quot;Elsevier Ltd&quot;,&quot;volume&quot;:&quot;62&quot;},&quot;isTemporary&quot;:false,&quot;suppress-author&quot;:false,&quot;composite&quot;:false,&quot;author-only&quot;:false}]},{&quot;citationID&quot;:&quot;MENDELEY_CITATION_71ec481d-881f-4d73-90c4-fd6b7b0363ee&quot;,&quot;properties&quot;:{&quot;noteIndex&quot;:0},&quot;isEdited&quot;:false,&quot;manualOverride&quot;:{&quot;isManuallyOverridden&quot;:false,&quot;citeprocText&quot;:&quot;(Ellersdorfer, Omar, Taylor, Daiyan, &amp;#38; Leslie, 2023)&quot;,&quot;manualOverrideText&quot;:&quot;&quot;},&quot;citationTag&quot;:&quot;MENDELEY_CITATION_v3_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&quot;,&quot;citationItems&quot;:[{&quot;id&quot;:&quot;6937659d-d244-3c07-820b-d1a40acc5dfc&quot;,&quot;itemData&quot;:{&quot;type&quot;:&quot;article-journal&quot;,&quot;id&quot;:&quot;6937659d-d244-3c07-820b-d1a40acc5dfc&quot;,&quot;title&quot;:&quot;Multi-effect distillation: a sustainable option to large-scale green hydrogen production using solar energy&quot;,&quot;author&quot;:[{&quot;family&quot;:&quot;Ellersdorfer&quot;,&quot;given&quot;:&quot;Peter&quot;,&quot;parse-names&quot;:false,&quot;dropping-particle&quot;:&quot;&quot;,&quot;non-dropping-particle&quot;:&quot;&quot;},{&quot;family&quot;:&quot;Omar&quot;,&quot;given&quot;:&quot;Amr&quot;,&quot;parse-names&quot;:false,&quot;dropping-particle&quot;:&quot;&quot;,&quot;non-dropping-particle&quot;:&quot;&quot;},{&quot;family&quot;:&quot;Taylor&quot;,&quot;given&quot;:&quot;Robert A.&quot;,&quot;parse-names&quot;:false,&quot;dropping-particle&quot;:&quot;&quot;,&quot;non-dropping-particle&quot;:&quot;&quot;},{&quot;family&quot;:&quot;Daiyan&quot;,&quot;given&quot;:&quot;Rahman&quot;,&quot;parse-names&quot;:false,&quot;dropping-particle&quot;:&quot;&quot;,&quot;non-dropping-particle&quot;:&quot;&quot;},{&quot;family&quot;:&quot;Leslie&quot;,&quot;given&quot;:&quot;Greg&quot;,&quot;parse-names&quot;:false,&quot;dropping-particle&quot;:&quot;&quot;,&quot;non-dropping-particle&quot;:&quot;&quot;}],&quot;container-title&quot;:&quot;International Journal of Hydrogen Energy&quot;,&quot;container-title-short&quot;:&quot;Int J Hydrogen Energy&quot;,&quot;DOI&quot;:&quot;10.1016/j.ijhydene.2023.04.261&quot;,&quot;ISSN&quot;:&quot;03603199&quot;,&quot;issued&quot;:{&quot;date-parts&quot;:[[2023,9,22]]},&quot;page&quot;:&quot;31491-31505&quot;,&quot;abstract&quot;:&quot;Development of sustainable, gigawatt capacity green hydrogen will require both renewable energy and water inputs, along with careful management of the waste heat produced by these processes (i.e., 9.3–16.7 kWhth/kgH2 for a 70–80% stack efficiency, high heat value). Here we compare the water demands and operating costs for a solar-driven electrolyser facility (powered by solar PV) operating on desalinated seawater produced using reverse osmosis or low-temperature multi-effect distillation. The waste heat was managed via passive cooling, evaporative cooling or through thermal recovery. It was found that the costs for low-temperature multi-effect distillation were up to 85% lower than reverse osmosis and generated 50–270L/ kgH2 of surplus water for ancillary benefit. This work challenges conventional wisdom surrounding the use of membrane desalination for meeting the water demands, offering compelling reasons for thermal desalination to be employed in large-scale production of green hydrogen.&quot;,&quot;publisher&quot;:&quot;Elsevier Ltd&quot;,&quot;issue&quot;:&quot;81&quot;,&quot;volume&quot;:&quot;48&quot;},&quot;isTemporary&quot;:false,&quot;suppress-author&quot;:false,&quot;composite&quot;:false,&quot;author-only&quot;:false}]},{&quot;citationID&quot;:&quot;MENDELEY_CITATION_cd9052df-fed8-4b7f-bc68-964548fa3339&quot;,&quot;properties&quot;:{&quot;noteIndex&quot;:0},&quot;isEdited&quot;:false,&quot;manualOverride&quot;:{&quot;isManuallyOverridden&quot;:false,&quot;citeprocText&quot;:&quot;(Ellersdorfer et al., 2023)&quot;,&quot;manualOverrideText&quot;:&quot;&quot;},&quot;citationTag&quot;:&quot;MENDELEY_CITATION_v3_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&quot;,&quot;citationItems&quot;:[{&quot;id&quot;:&quot;6937659d-d244-3c07-820b-d1a40acc5dfc&quot;,&quot;itemData&quot;:{&quot;type&quot;:&quot;article-journal&quot;,&quot;id&quot;:&quot;6937659d-d244-3c07-820b-d1a40acc5dfc&quot;,&quot;title&quot;:&quot;Multi-effect distillation: a sustainable option to large-scale green hydrogen production using solar energy&quot;,&quot;author&quot;:[{&quot;family&quot;:&quot;Ellersdorfer&quot;,&quot;given&quot;:&quot;Peter&quot;,&quot;parse-names&quot;:false,&quot;dropping-particle&quot;:&quot;&quot;,&quot;non-dropping-particle&quot;:&quot;&quot;},{&quot;family&quot;:&quot;Omar&quot;,&quot;given&quot;:&quot;Amr&quot;,&quot;parse-names&quot;:false,&quot;dropping-particle&quot;:&quot;&quot;,&quot;non-dropping-particle&quot;:&quot;&quot;},{&quot;family&quot;:&quot;Taylor&quot;,&quot;given&quot;:&quot;Robert A.&quot;,&quot;parse-names&quot;:false,&quot;dropping-particle&quot;:&quot;&quot;,&quot;non-dropping-particle&quot;:&quot;&quot;},{&quot;family&quot;:&quot;Daiyan&quot;,&quot;given&quot;:&quot;Rahman&quot;,&quot;parse-names&quot;:false,&quot;dropping-particle&quot;:&quot;&quot;,&quot;non-dropping-particle&quot;:&quot;&quot;},{&quot;family&quot;:&quot;Leslie&quot;,&quot;given&quot;:&quot;Greg&quot;,&quot;parse-names&quot;:false,&quot;dropping-particle&quot;:&quot;&quot;,&quot;non-dropping-particle&quot;:&quot;&quot;}],&quot;container-title&quot;:&quot;International Journal of Hydrogen Energy&quot;,&quot;container-title-short&quot;:&quot;Int J Hydrogen Energy&quot;,&quot;DOI&quot;:&quot;10.1016/j.ijhydene.2023.04.261&quot;,&quot;ISSN&quot;:&quot;03603199&quot;,&quot;issued&quot;:{&quot;date-parts&quot;:[[2023,9,22]]},&quot;page&quot;:&quot;31491-31505&quot;,&quot;abstract&quot;:&quot;Development of sustainable, gigawatt capacity green hydrogen will require both renewable energy and water inputs, along with careful management of the waste heat produced by these processes (i.e., 9.3–16.7 kWhth/kgH2 for a 70–80% stack efficiency, high heat value). Here we compare the water demands and operating costs for a solar-driven electrolyser facility (powered by solar PV) operating on desalinated seawater produced using reverse osmosis or low-temperature multi-effect distillation. The waste heat was managed via passive cooling, evaporative cooling or through thermal recovery. It was found that the costs for low-temperature multi-effect distillation were up to 85% lower than reverse osmosis and generated 50–270L/ kgH2 of surplus water for ancillary benefit. This work challenges conventional wisdom surrounding the use of membrane desalination for meeting the water demands, offering compelling reasons for thermal desalination to be employed in large-scale production of green hydrogen.&quot;,&quot;publisher&quot;:&quot;Elsevier Ltd&quot;,&quot;issue&quot;:&quot;81&quot;,&quot;volume&quot;:&quot;48&quot;},&quot;isTemporary&quot;:false,&quot;suppress-author&quot;:false,&quot;composite&quot;:false,&quot;author-only&quot;:false}]},{&quot;citationID&quot;:&quot;MENDELEY_CITATION_ce55b6e3-12e5-4bf2-bb5f-a0d3106df7d1&quot;,&quot;properties&quot;:{&quot;noteIndex&quot;:0},&quot;isEdited&quot;:false,&quot;manualOverride&quot;:{&quot;isManuallyOverridden&quot;:false,&quot;citeprocText&quot;:&quot;(Koj, Wulf, Schreiber, &amp;#38; Zapp, 2017)&quot;,&quot;manualOverrideText&quot;:&quot;&quot;},&quot;citationTag&quot;:&quot;MENDELEY_CITATION_v3_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&quot;,&quot;citationItems&quot;:[{&quot;id&quot;:&quot;b9c25130-a117-3e3e-9c08-49f89c14b517&quot;,&quot;itemData&quot;:{&quot;type&quot;:&quot;article-journal&quot;,&quot;id&quot;:&quot;b9c25130-a117-3e3e-9c08-49f89c14b517&quot;,&quot;title&quot;:&quot;Site-dependent environmental impacts of industrial hydrogen production by alkalinewater electrolysis&quot;,&quot;author&quot;:[{&quot;family&quot;:&quot;Koj&quot;,&quot;given&quot;:&quot;Jan Christian&quot;,&quot;parse-names&quot;:false,&quot;dropping-particle&quot;:&quot;&quot;,&quot;non-dropping-particle&quot;:&quot;&quot;},{&quot;family&quot;:&quot;Wulf&quot;,&quot;given&quot;:&quot;Christina&quot;,&quot;parse-names&quot;:false,&quot;dropping-particle&quot;:&quot;&quot;,&quot;non-dropping-particle&quot;:&quot;&quot;},{&quot;family&quot;:&quot;Schreiber&quot;,&quot;given&quot;:&quot;Andrea&quot;,&quot;parse-names&quot;:false,&quot;dropping-particle&quot;:&quot;&quot;,&quot;non-dropping-particle&quot;:&quot;&quot;},{&quot;family&quot;:&quot;Zapp&quot;,&quot;given&quot;:&quot;Petra&quot;,&quot;parse-names&quot;:false,&quot;dropping-particle&quot;:&quot;&quot;,&quot;non-dropping-particle&quot;:&quot;&quot;}],&quot;container-title&quot;:&quot;Energies&quot;,&quot;container-title-short&quot;:&quot;Energies (Basel)&quot;,&quot;DOI&quot;:&quot;10.3390/en10070860&quot;,&quot;ISSN&quot;:&quot;19961073&quot;,&quot;issued&quot;:{&quot;date-parts&quot;:[[2017]]},&quot;abstract&quot;:&quot;Industrial hydrogen production via alkaline water electrolysis (AEL) is a mature hydrogen production method. One argument in favor of AEL when supplied with renewable energy is its environmental superiority against conventional fossil-based hydrogen production. However, today electricity from the national grid is widely utilized for industrial applications of AEL. Also, the ban on asbestos membranes led to a change in performance patterns, making a detailed assessment necessary. This study presents a comparative Life Cycle Assessment (LCA) using the GaBi software (version 6.115, thinkstep, Leinfelden-Echterdingen, Germany), revealing inventory data and environmental impacts for industrial hydrogen production by latest AELs (6MW, Zirfon membranes) in three different countries (Austria, Germany and Spain) with corresponding grid mixes. The results confirm the dependence of most environmental effects from the operation phase and specifically the site-dependent electricity mix. Construction of system components and the replacement of cell stacks make a minor contribution. At present, considering the three countries, AEL can be operated in the most environmentally friendly fashion in Austria. Concerning the construction of AEL plants the materials nickel and polytetrafluoroethylene in particular, used for cell manufacturing, revealed significant contributions to the environmental burden.&quot;,&quot;publisher&quot;:&quot;MDPI AG&quot;,&quot;issue&quot;:&quot;7&quot;,&quot;volume&quot;:&quot;10&quot;},&quot;isTemporary&quot;:false,&quot;suppress-author&quot;:false,&quot;composite&quot;:false,&quot;author-only&quot;:false}]},{&quot;citationID&quot;:&quot;MENDELEY_CITATION_8e5b6989-b747-4f90-8afb-b845daed6a49&quot;,&quot;properties&quot;:{&quot;noteIndex&quot;:0},&quot;isEdited&quot;:false,&quot;manualOverride&quot;:{&quot;isManuallyOverridden&quot;:false,&quot;citeprocText&quot;:&quot;(Delpierre et al., 2021)&quot;,&quot;manualOverrideText&quot;:&quot;&quot;},&quot;citationTag&quot;:&quot;MENDELEY_CITATION_v3_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&quot;,&quot;citationItems&quot;:[{&quot;id&quot;:&quot;37b784f2-f664-3a25-8298-1aa86b27d9f7&quot;,&quot;itemData&quot;:{&quot;type&quot;:&quot;article-journal&quot;,&quot;id&quot;:&quot;37b784f2-f664-3a25-8298-1aa86b27d9f7&quot;,&quot;title&quot;:&quot;Assessing the environmental impacts of wind-based hydrogen production in the Netherlands using ex-ante LCA and scenarios analysis&quot;,&quot;author&quot;:[{&quot;family&quot;:&quot;Delpierre&quot;,&quot;given&quot;:&quot;Mathieu&quot;,&quot;parse-names&quot;:false,&quot;dropping-particle&quot;:&quot;&quot;,&quot;non-dropping-particle&quot;:&quot;&quot;},{&quot;family&quot;:&quot;Quist&quot;,&quot;given&quot;:&quot;Jaco&quot;,&quot;parse-names&quot;:false,&quot;dropping-particle&quot;:&quot;&quot;,&quot;non-dropping-particle&quot;:&quot;&quot;},{&quot;family&quot;:&quot;Mertens&quot;,&quot;given&quot;:&quot;Jan&quot;,&quot;parse-names&quot;:false,&quot;dropping-particle&quot;:&quot;&quot;,&quot;non-dropping-particle&quot;:&quot;&quot;},{&quot;family&quot;:&quot;Prieur-Vernat&quot;,&quot;given&quot;:&quot;Anne&quot;,&quot;parse-names&quot;:false,&quot;dropping-particle&quot;:&quot;&quot;,&quot;non-dropping-particle&quot;:&quot;&quot;},{&quot;family&quot;:&quot;Cucurachi&quot;,&quot;given&quot;:&quot;Stefano&quot;,&quot;parse-names&quot;:false,&quot;dropping-particle&quot;:&quot;&quot;,&quot;non-dropping-particle&quot;:&quot;&quot;}],&quot;container-title&quot;:&quot;Journal of Cleaner Production&quot;,&quot;container-title-short&quot;:&quot;J Clean Prod&quot;,&quot;DOI&quot;:&quot;10.1016/j.jclepro.2021.126866&quot;,&quot;ISSN&quot;:&quot;09596526&quot;,&quot;issued&quot;:{&quot;date-parts&quot;:[[2021,5,25]]},&quot;abstract&quot;:&quot;Two electrolysis technologies fed with renewable energy sources are promising for the production of CO2-free hydrogen and enabling the transition to a hydrogen society: Alkaline Electrolyte (AE) and Polymer Electrolyte Membrane (PEM). However, limited information exists on the potential environmental impacts of these promising sustainable innovations when operating on a large-scale. To fill this gap, the performance of AE and PEM systems is compared, using ex-ante Life Cycle Assessment (LCA), technology analysis and exploratory scenarios for which a refined methodology has been developed to study the effects of implementing large-scale sustainable hydrogen production systems. Ex-ante LCA allows modelling the environmental impacts of hydrogen production, exploratory scenario analysis allows modelling possible upscaling effects at potential future states of hydrogen production and use in vehicles in the Netherlands in 2050. A bridging tool for mapping the technological field has been created enabling the combination of quantitative LCAs with qualitative scenarios. This tool also enables diversity for exploring multiple sets of visions. The main results from the paper show, with an exception for the “ozone depletion” impact category, (1) that large-scale AE and PEM systems have similar environmental impacts with variations lower than 7% in all impact categories, (2) that the contribution of the electrolyser is limited to 10% of all impact categories results, and (3) that the origin of the electricity is the largest contributor to the environmental impact contributing to more than 90% in all impact categories, even when renewable energy sources are used. It is concluded that the methodology was applied successfully and provides a solid basis for an ex-ante assessment framework that can be applied to emerging technological systems.&quot;,&quot;publisher&quot;:&quot;Elsevier Ltd&quot;,&quot;volume&quot;:&quot;299&quot;},&quot;isTemporary&quot;:false,&quot;suppress-author&quot;:false,&quot;composite&quot;:false,&quot;author-only&quot;:false}]},{&quot;citationID&quot;:&quot;MENDELEY_CITATION_ee0c6bcd-a803-4052-9c07-e6d6be2f9b29&quot;,&quot;properties&quot;:{&quot;noteIndex&quot;:0},&quot;isEdited&quot;:false,&quot;manualOverride&quot;:{&quot;isManuallyOverridden&quot;:false,&quot;citeprocText&quot;:&quot;(Koj et al., 2017; Krishnan, Corona, Kramer, Junginger, &amp;#38; Koning, 2024)&quot;,&quot;manualOverrideText&quot;:&quot;&quot;},&quot;citationTag&quot;:&quot;MENDELEY_CITATION_v3_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&quot;,&quot;citationItems&quot;:[{&quot;id&quot;:&quot;b9c25130-a117-3e3e-9c08-49f89c14b517&quot;,&quot;itemData&quot;:{&quot;type&quot;:&quot;article-journal&quot;,&quot;id&quot;:&quot;b9c25130-a117-3e3e-9c08-49f89c14b517&quot;,&quot;title&quot;:&quot;Site-dependent environmental impacts of industrial hydrogen production by alkalinewater electrolysis&quot;,&quot;author&quot;:[{&quot;family&quot;:&quot;Koj&quot;,&quot;given&quot;:&quot;Jan Christian&quot;,&quot;parse-names&quot;:false,&quot;dropping-particle&quot;:&quot;&quot;,&quot;non-dropping-particle&quot;:&quot;&quot;},{&quot;family&quot;:&quot;Wulf&quot;,&quot;given&quot;:&quot;Christina&quot;,&quot;parse-names&quot;:false,&quot;dropping-particle&quot;:&quot;&quot;,&quot;non-dropping-particle&quot;:&quot;&quot;},{&quot;family&quot;:&quot;Schreiber&quot;,&quot;given&quot;:&quot;Andrea&quot;,&quot;parse-names&quot;:false,&quot;dropping-particle&quot;:&quot;&quot;,&quot;non-dropping-particle&quot;:&quot;&quot;},{&quot;family&quot;:&quot;Zapp&quot;,&quot;given&quot;:&quot;Petra&quot;,&quot;parse-names&quot;:false,&quot;dropping-particle&quot;:&quot;&quot;,&quot;non-dropping-particle&quot;:&quot;&quot;}],&quot;container-title&quot;:&quot;Energies&quot;,&quot;container-title-short&quot;:&quot;Energies (Basel)&quot;,&quot;DOI&quot;:&quot;10.3390/en10070860&quot;,&quot;ISSN&quot;:&quot;19961073&quot;,&quot;issued&quot;:{&quot;date-parts&quot;:[[2017]]},&quot;abstract&quot;:&quot;Industrial hydrogen production via alkaline water electrolysis (AEL) is a mature hydrogen production method. One argument in favor of AEL when supplied with renewable energy is its environmental superiority against conventional fossil-based hydrogen production. However, today electricity from the national grid is widely utilized for industrial applications of AEL. Also, the ban on asbestos membranes led to a change in performance patterns, making a detailed assessment necessary. This study presents a comparative Life Cycle Assessment (LCA) using the GaBi software (version 6.115, thinkstep, Leinfelden-Echterdingen, Germany), revealing inventory data and environmental impacts for industrial hydrogen production by latest AELs (6MW, Zirfon membranes) in three different countries (Austria, Germany and Spain) with corresponding grid mixes. The results confirm the dependence of most environmental effects from the operation phase and specifically the site-dependent electricity mix. Construction of system components and the replacement of cell stacks make a minor contribution. At present, considering the three countries, AEL can be operated in the most environmentally friendly fashion in Austria. Concerning the construction of AEL plants the materials nickel and polytetrafluoroethylene in particular, used for cell manufacturing, revealed significant contributions to the environmental burden.&quot;,&quot;publisher&quot;:&quot;MDPI AG&quot;,&quot;issue&quot;:&quot;7&quot;,&quot;volume&quot;:&quot;10&quot;},&quot;isTemporary&quot;:false},{&quot;id&quot;:&quot;fad40a5a-6363-35c6-99e8-2b89367e19c1&quot;,&quot;itemData&quot;:{&quot;type&quot;:&quot;article-journal&quot;,&quot;id&quot;:&quot;fad40a5a-6363-35c6-99e8-2b89367e19c1&quot;,&quot;title&quot;:&quot;Prospective LCA of alkaline and PEM electrolyser systems&quot;,&quot;author&quot;:[{&quot;family&quot;:&quot;Krishnan&quot;,&quot;given&quot;:&quot;Subramani&quot;,&quot;parse-names&quot;:false,&quot;dropping-particle&quot;:&quot;&quot;,&quot;non-dropping-particle&quot;:&quot;&quot;},{&quot;family&quot;:&quot;Corona&quot;,&quot;given&quot;:&quot;Blanca&quot;,&quot;parse-names&quot;:false,&quot;dropping-particle&quot;:&quot;&quot;,&quot;non-dropping-particle&quot;:&quot;&quot;},{&quot;family&quot;:&quot;Kramer&quot;,&quot;given&quot;:&quot;Gert Jan&quot;,&quot;parse-names&quot;:false,&quot;dropping-particle&quot;:&quot;&quot;,&quot;non-dropping-particle&quot;:&quot;&quot;},{&quot;family&quot;:&quot;Junginger&quot;,&quot;given&quot;:&quot;Martin&quot;,&quot;parse-names&quot;:false,&quot;dropping-particle&quot;:&quot;&quot;,&quot;non-dropping-particle&quot;:&quot;&quot;},{&quot;family&quot;:&quot;Koning&quot;,&quot;given&quot;:&quot;Vinzenz&quot;,&quot;parse-names&quot;:false,&quot;dropping-particle&quot;:&quot;&quot;,&quot;non-dropping-particle&quot;:&quot;&quot;}],&quot;container-title&quot;:&quot;International Journal of Hydrogen Energy&quot;,&quot;container-title-short&quot;:&quot;Int J Hydrogen Energy&quot;,&quot;DOI&quot;:&quot;10.1016/j.ijhydene.2023.10.192&quot;,&quot;ISSN&quot;:&quot;03603199&quot;,&quot;issued&quot;:{&quot;date-parts&quot;:[[2024,2,15]]},&quot;page&quot;:&quot;26-41&quot;,&quot;abstract&quot;:&quot;This prospective life cycle assessment (LCA) compares the environmental impacts of alkaline electrolyser (AE) and proton exchange membrane (PEM) electrolyser systems for green hydrogen production with a special focus on the stack components. The study evaluates both baseline and near-future advanced designs, considering cradle-to-gate life cycle from material production to operation. The electricity source followed by the stacks are identified as major contributors to environmental impacts. No clear winner emerges between AE and PEM in relation to environmental impacts. The advanced designs show a reduced impact in most categories compared to baseline designs which can mainly be attributed to the increased current density. Advanced green hydrogen production technologies outperform grey and blue hydrogen production technologies in all impact categories, except for minerals and metals resource use due to rare earth metals in the stacks. Next to increasing current density, decreasing minimal load requirements. improving sustainable mining practices (including waste treatment) and low carbon intensity steel production routes can enhance the environmental performance of electrolyser systems, aiding the transition to sustainable hydrogen production.&quot;,&quot;publisher&quot;:&quot;Elsevier Ltd&quot;,&quot;volume&quot;:&quot;55&quot;},&quot;isTemporary&quot;:false}]},{&quot;citationID&quot;:&quot;MENDELEY_CITATION_89cfc0aa-69b9-43b2-b70a-4764b0008d18&quot;,&quot;properties&quot;:{&quot;noteIndex&quot;:0},&quot;isEdited&quot;:false,&quot;manualOverride&quot;:{&quot;isManuallyOverridden&quot;:true,&quot;citeprocText&quot;:&quot;(Bareiß, de la Rua, Möckl, &amp;#38; Hamacher, 2019; Delpierre et al., 2021; Krishnan et al., 2024)&quot;,&quot;manualOverrideText&quot;:&quot;Bareiß, de la Rua, Möckl, and Hamacher (2019), Delpierre, Quist, Mertens, Prieur-Vernat, and Cucurachi (2021) and Krishnan et al. (2024)&quot;},&quot;citationTag&quot;:&quot;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&quot;,&quot;citationItems&quot;:[{&quot;id&quot;:&quot;5edff44f-3e95-371f-9c5c-cea86cc06f77&quot;,&quot;itemData&quot;:{&quot;type&quot;:&quot;article-journal&quot;,&quot;id&quot;:&quot;5edff44f-3e95-371f-9c5c-cea86cc06f77&quot;,&quot;title&quot;:&quot;Life cycle assessment of hydrogen from proton exchange membrane water electrolysis in future energy systems&quot;,&quot;author&quot;:[{&quot;family&quot;:&quot;Bareiß&quot;,&quot;given&quot;:&quot;Kay&quot;,&quot;parse-names&quot;:false,&quot;dropping-particle&quot;:&quot;&quot;,&quot;non-dropping-particle&quot;:&quot;&quot;},{&quot;family&quot;:&quot;la Rua&quot;,&quot;given&quot;:&quot;Cristina&quot;,&quot;parse-names&quot;:false,&quot;dropping-particle&quot;:&quot;&quot;,&quot;non-dropping-particle&quot;:&quot;de&quot;},{&quot;family&quot;:&quot;Möckl&quot;,&quot;given&quot;:&quot;Maximilian&quot;,&quot;parse-names&quot;:false,&quot;dropping-particle&quot;:&quot;&quot;,&quot;non-dropping-particle&quot;:&quot;&quot;},{&quot;family&quot;:&quot;Hamacher&quot;,&quot;given&quot;:&quot;Thomas&quot;,&quot;parse-names&quot;:false,&quot;dropping-particle&quot;:&quot;&quot;,&quot;non-dropping-particle&quot;:&quot;&quot;}],&quot;container-title&quot;:&quot;Applied Energy&quot;,&quot;container-title-short&quot;:&quot;Appl Energy&quot;,&quot;DOI&quot;:&quot;10.1016/j.apenergy.2019.01.001&quot;,&quot;ISSN&quot;:&quot;03062619&quot;,&quot;issued&quot;:{&quot;date-parts&quot;:[[2019,3,1]]},&quot;page&quot;:&quot;862-872&quot;,&quot;abstract&quot;:&quot;This study discusses the potential of H2 production by proton exchange membrane water electrolysis as an effective option to reduce greenhouse gas emissions in the hydrogen sector. To address this topic, a life cycle assessment is conducted to compare proton exchange membrane water electrolysis versus the reference process - steam methane reforming. As a relevant result we show that hydrogen production via proton exchange membrane water electrolysis is a promising technology to reduce CO2 emissions of the hydrogen sector by up to 75%, if the electrolysis system runs exclusively on electricity generated from renewable energy sources. In a future (2050) base-load operation mode emissions are comparable to the reference system. The results for the global warming potential show a strong reduction of greenhouse gas emissions by 2050. The thoroughly and in-depth modeled components of the electrolyser have negligible influence on impact categories; thus, emissions are mainly determined by the electricity mix. With 2017 electricity mix of Germany, the global warming potential corresponds to 29.5 kg CO2 eq. for each kg of produced hydrogen. Referring to the electricity mix we received from an energy model emissions can be reduced to 11.5 kg CO2 eq. in base-load operation by the year 2050. Using only the 3000 h of excess power from renewables in a year will allow for the reduction of the global warming potential to 3.3 kg CO2 eq. From this result we see that an environmentally friendly electricity mix is crucial for reducing the global warming impact of electrolytic hydrogen.&quot;,&quot;publisher&quot;:&quot;Elsevier Ltd&quot;,&quot;volume&quot;:&quot;237&quot;},&quot;isTemporary&quot;:false},{&quot;id&quot;:&quot;37b784f2-f664-3a25-8298-1aa86b27d9f7&quot;,&quot;itemData&quot;:{&quot;type&quot;:&quot;article-journal&quot;,&quot;id&quot;:&quot;37b784f2-f664-3a25-8298-1aa86b27d9f7&quot;,&quot;title&quot;:&quot;Assessing the environmental impacts of wind-based hydrogen production in the Netherlands using ex-ante LCA and scenarios analysis&quot;,&quot;author&quot;:[{&quot;family&quot;:&quot;Delpierre&quot;,&quot;given&quot;:&quot;Mathieu&quot;,&quot;parse-names&quot;:false,&quot;dropping-particle&quot;:&quot;&quot;,&quot;non-dropping-particle&quot;:&quot;&quot;},{&quot;family&quot;:&quot;Quist&quot;,&quot;given&quot;:&quot;Jaco&quot;,&quot;parse-names&quot;:false,&quot;dropping-particle&quot;:&quot;&quot;,&quot;non-dropping-particle&quot;:&quot;&quot;},{&quot;family&quot;:&quot;Mertens&quot;,&quot;given&quot;:&quot;Jan&quot;,&quot;parse-names&quot;:false,&quot;dropping-particle&quot;:&quot;&quot;,&quot;non-dropping-particle&quot;:&quot;&quot;},{&quot;family&quot;:&quot;Prieur-Vernat&quot;,&quot;given&quot;:&quot;Anne&quot;,&quot;parse-names&quot;:false,&quot;dropping-particle&quot;:&quot;&quot;,&quot;non-dropping-particle&quot;:&quot;&quot;},{&quot;family&quot;:&quot;Cucurachi&quot;,&quot;given&quot;:&quot;Stefano&quot;,&quot;parse-names&quot;:false,&quot;dropping-particle&quot;:&quot;&quot;,&quot;non-dropping-particle&quot;:&quot;&quot;}],&quot;container-title&quot;:&quot;Journal of Cleaner Production&quot;,&quot;container-title-short&quot;:&quot;J Clean Prod&quot;,&quot;DOI&quot;:&quot;10.1016/j.jclepro.2021.126866&quot;,&quot;ISSN&quot;:&quot;09596526&quot;,&quot;issued&quot;:{&quot;date-parts&quot;:[[2021,5,25]]},&quot;abstract&quot;:&quot;Two electrolysis technologies fed with renewable energy sources are promising for the production of CO2-free hydrogen and enabling the transition to a hydrogen society: Alkaline Electrolyte (AE) and Polymer Electrolyte Membrane (PEM). However, limited information exists on the potential environmental impacts of these promising sustainable innovations when operating on a large-scale. To fill this gap, the performance of AE and PEM systems is compared, using ex-ante Life Cycle Assessment (LCA), technology analysis and exploratory scenarios for which a refined methodology has been developed to study the effects of implementing large-scale sustainable hydrogen production systems. Ex-ante LCA allows modelling the environmental impacts of hydrogen production, exploratory scenario analysis allows modelling possible upscaling effects at potential future states of hydrogen production and use in vehicles in the Netherlands in 2050. A bridging tool for mapping the technological field has been created enabling the combination of quantitative LCAs with qualitative scenarios. This tool also enables diversity for exploring multiple sets of visions. The main results from the paper show, with an exception for the “ozone depletion” impact category, (1) that large-scale AE and PEM systems have similar environmental impacts with variations lower than 7% in all impact categories, (2) that the contribution of the electrolyser is limited to 10% of all impact categories results, and (3) that the origin of the electricity is the largest contributor to the environmental impact contributing to more than 90% in all impact categories, even when renewable energy sources are used. It is concluded that the methodology was applied successfully and provides a solid basis for an ex-ante assessment framework that can be applied to emerging technological systems.&quot;,&quot;publisher&quot;:&quot;Elsevier Ltd&quot;,&quot;volume&quot;:&quot;299&quot;},&quot;isTemporary&quot;:false},{&quot;id&quot;:&quot;fad40a5a-6363-35c6-99e8-2b89367e19c1&quot;,&quot;itemData&quot;:{&quot;type&quot;:&quot;article-journal&quot;,&quot;id&quot;:&quot;fad40a5a-6363-35c6-99e8-2b89367e19c1&quot;,&quot;title&quot;:&quot;Prospective LCA of alkaline and PEM electrolyser systems&quot;,&quot;author&quot;:[{&quot;family&quot;:&quot;Krishnan&quot;,&quot;given&quot;:&quot;Subramani&quot;,&quot;parse-names&quot;:false,&quot;dropping-particle&quot;:&quot;&quot;,&quot;non-dropping-particle&quot;:&quot;&quot;},{&quot;family&quot;:&quot;Corona&quot;,&quot;given&quot;:&quot;Blanca&quot;,&quot;parse-names&quot;:false,&quot;dropping-particle&quot;:&quot;&quot;,&quot;non-dropping-particle&quot;:&quot;&quot;},{&quot;family&quot;:&quot;Kramer&quot;,&quot;given&quot;:&quot;Gert Jan&quot;,&quot;parse-names&quot;:false,&quot;dropping-particle&quot;:&quot;&quot;,&quot;non-dropping-particle&quot;:&quot;&quot;},{&quot;family&quot;:&quot;Junginger&quot;,&quot;given&quot;:&quot;Martin&quot;,&quot;parse-names&quot;:false,&quot;dropping-particle&quot;:&quot;&quot;,&quot;non-dropping-particle&quot;:&quot;&quot;},{&quot;family&quot;:&quot;Koning&quot;,&quot;given&quot;:&quot;Vinzenz&quot;,&quot;parse-names&quot;:false,&quot;dropping-particle&quot;:&quot;&quot;,&quot;non-dropping-particle&quot;:&quot;&quot;}],&quot;container-title&quot;:&quot;International Journal of Hydrogen Energy&quot;,&quot;container-title-short&quot;:&quot;Int J Hydrogen Energy&quot;,&quot;DOI&quot;:&quot;10.1016/j.ijhydene.2023.10.192&quot;,&quot;ISSN&quot;:&quot;03603199&quot;,&quot;issued&quot;:{&quot;date-parts&quot;:[[2024,2,15]]},&quot;page&quot;:&quot;26-41&quot;,&quot;abstract&quot;:&quot;This prospective life cycle assessment (LCA) compares the environmental impacts of alkaline electrolyser (AE) and proton exchange membrane (PEM) electrolyser systems for green hydrogen production with a special focus on the stack components. The study evaluates both baseline and near-future advanced designs, considering cradle-to-gate life cycle from material production to operation. The electricity source followed by the stacks are identified as major contributors to environmental impacts. No clear winner emerges between AE and PEM in relation to environmental impacts. The advanced designs show a reduced impact in most categories compared to baseline designs which can mainly be attributed to the increased current density. Advanced green hydrogen production technologies outperform grey and blue hydrogen production technologies in all impact categories, except for minerals and metals resource use due to rare earth metals in the stacks. Next to increasing current density, decreasing minimal load requirements. improving sustainable mining practices (including waste treatment) and low carbon intensity steel production routes can enhance the environmental performance of electrolyser systems, aiding the transition to sustainable hydrogen production.&quot;,&quot;publisher&quot;:&quot;Elsevier Ltd&quot;,&quot;volume&quot;:&quot;55&quot;},&quot;isTemporary&quot;:false}]},{&quot;citationID&quot;:&quot;MENDELEY_CITATION_c9208370-0002-4974-ad67-6cbc1e05b9c1&quot;,&quot;properties&quot;:{&quot;noteIndex&quot;:0},&quot;isEdited&quot;:false,&quot;manualOverride&quot;:{&quot;isManuallyOverridden&quot;:false,&quot;citeprocText&quot;:&quot;(Krishnan et al., 2024)&quot;,&quot;manualOverrideText&quot;:&quot;&quot;},&quot;citationTag&quot;:&quot;MENDELEY_CITATION_v3_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&quot;,&quot;citationItems&quot;:[{&quot;id&quot;:&quot;fad40a5a-6363-35c6-99e8-2b89367e19c1&quot;,&quot;itemData&quot;:{&quot;type&quot;:&quot;article-journal&quot;,&quot;id&quot;:&quot;fad40a5a-6363-35c6-99e8-2b89367e19c1&quot;,&quot;title&quot;:&quot;Prospective LCA of alkaline and PEM electrolyser systems&quot;,&quot;author&quot;:[{&quot;family&quot;:&quot;Krishnan&quot;,&quot;given&quot;:&quot;Subramani&quot;,&quot;parse-names&quot;:false,&quot;dropping-particle&quot;:&quot;&quot;,&quot;non-dropping-particle&quot;:&quot;&quot;},{&quot;family&quot;:&quot;Corona&quot;,&quot;given&quot;:&quot;Blanca&quot;,&quot;parse-names&quot;:false,&quot;dropping-particle&quot;:&quot;&quot;,&quot;non-dropping-particle&quot;:&quot;&quot;},{&quot;family&quot;:&quot;Kramer&quot;,&quot;given&quot;:&quot;Gert Jan&quot;,&quot;parse-names&quot;:false,&quot;dropping-particle&quot;:&quot;&quot;,&quot;non-dropping-particle&quot;:&quot;&quot;},{&quot;family&quot;:&quot;Junginger&quot;,&quot;given&quot;:&quot;Martin&quot;,&quot;parse-names&quot;:false,&quot;dropping-particle&quot;:&quot;&quot;,&quot;non-dropping-particle&quot;:&quot;&quot;},{&quot;family&quot;:&quot;Koning&quot;,&quot;given&quot;:&quot;Vinzenz&quot;,&quot;parse-names&quot;:false,&quot;dropping-particle&quot;:&quot;&quot;,&quot;non-dropping-particle&quot;:&quot;&quot;}],&quot;container-title&quot;:&quot;International Journal of Hydrogen Energy&quot;,&quot;container-title-short&quot;:&quot;Int J Hydrogen Energy&quot;,&quot;DOI&quot;:&quot;10.1016/j.ijhydene.2023.10.192&quot;,&quot;ISSN&quot;:&quot;03603199&quot;,&quot;issued&quot;:{&quot;date-parts&quot;:[[2024,2,15]]},&quot;page&quot;:&quot;26-41&quot;,&quot;abstract&quot;:&quot;This prospective life cycle assessment (LCA) compares the environmental impacts of alkaline electrolyser (AE) and proton exchange membrane (PEM) electrolyser systems for green hydrogen production with a special focus on the stack components. The study evaluates both baseline and near-future advanced designs, considering cradle-to-gate life cycle from material production to operation. The electricity source followed by the stacks are identified as major contributors to environmental impacts. No clear winner emerges between AE and PEM in relation to environmental impacts. The advanced designs show a reduced impact in most categories compared to baseline designs which can mainly be attributed to the increased current density. Advanced green hydrogen production technologies outperform grey and blue hydrogen production technologies in all impact categories, except for minerals and metals resource use due to rare earth metals in the stacks. Next to increasing current density, decreasing minimal load requirements. improving sustainable mining practices (including waste treatment) and low carbon intensity steel production routes can enhance the environmental performance of electrolyser systems, aiding the transition to sustainable hydrogen production.&quot;,&quot;publisher&quot;:&quot;Elsevier Ltd&quot;,&quot;volume&quot;:&quot;55&quot;},&quot;isTemporary&quot;:false,&quot;suppress-author&quot;:false,&quot;composite&quot;:false,&quot;author-only&quot;:false}]},{&quot;citationID&quot;:&quot;MENDELEY_CITATION_59827f70-492e-4950-8a97-70d5d1adef53&quot;,&quot;properties&quot;:{&quot;noteIndex&quot;:0},&quot;isEdited&quot;:false,&quot;manualOverride&quot;:{&quot;isManuallyOverridden&quot;:false,&quot;citeprocText&quot;:&quot;(Koj et al., 2017)&quot;,&quot;manualOverrideText&quot;:&quot;&quot;},&quot;citationTag&quot;:&quot;MENDELEY_CITATION_v3_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&quot;,&quot;citationItems&quot;:[{&quot;id&quot;:&quot;b9c25130-a117-3e3e-9c08-49f89c14b517&quot;,&quot;itemData&quot;:{&quot;type&quot;:&quot;article-journal&quot;,&quot;id&quot;:&quot;b9c25130-a117-3e3e-9c08-49f89c14b517&quot;,&quot;title&quot;:&quot;Site-dependent environmental impacts of industrial hydrogen production by alkalinewater electrolysis&quot;,&quot;author&quot;:[{&quot;family&quot;:&quot;Koj&quot;,&quot;given&quot;:&quot;Jan Christian&quot;,&quot;parse-names&quot;:false,&quot;dropping-particle&quot;:&quot;&quot;,&quot;non-dropping-particle&quot;:&quot;&quot;},{&quot;family&quot;:&quot;Wulf&quot;,&quot;given&quot;:&quot;Christina&quot;,&quot;parse-names&quot;:false,&quot;dropping-particle&quot;:&quot;&quot;,&quot;non-dropping-particle&quot;:&quot;&quot;},{&quot;family&quot;:&quot;Schreiber&quot;,&quot;given&quot;:&quot;Andrea&quot;,&quot;parse-names&quot;:false,&quot;dropping-particle&quot;:&quot;&quot;,&quot;non-dropping-particle&quot;:&quot;&quot;},{&quot;family&quot;:&quot;Zapp&quot;,&quot;given&quot;:&quot;Petra&quot;,&quot;parse-names&quot;:false,&quot;dropping-particle&quot;:&quot;&quot;,&quot;non-dropping-particle&quot;:&quot;&quot;}],&quot;container-title&quot;:&quot;Energies&quot;,&quot;container-title-short&quot;:&quot;Energies (Basel)&quot;,&quot;DOI&quot;:&quot;10.3390/en10070860&quot;,&quot;ISSN&quot;:&quot;19961073&quot;,&quot;issued&quot;:{&quot;date-parts&quot;:[[2017]]},&quot;abstract&quot;:&quot;Industrial hydrogen production via alkaline water electrolysis (AEL) is a mature hydrogen production method. One argument in favor of AEL when supplied with renewable energy is its environmental superiority against conventional fossil-based hydrogen production. However, today electricity from the national grid is widely utilized for industrial applications of AEL. Also, the ban on asbestos membranes led to a change in performance patterns, making a detailed assessment necessary. This study presents a comparative Life Cycle Assessment (LCA) using the GaBi software (version 6.115, thinkstep, Leinfelden-Echterdingen, Germany), revealing inventory data and environmental impacts for industrial hydrogen production by latest AELs (6MW, Zirfon membranes) in three different countries (Austria, Germany and Spain) with corresponding grid mixes. The results confirm the dependence of most environmental effects from the operation phase and specifically the site-dependent electricity mix. Construction of system components and the replacement of cell stacks make a minor contribution. At present, considering the three countries, AEL can be operated in the most environmentally friendly fashion in Austria. Concerning the construction of AEL plants the materials nickel and polytetrafluoroethylene in particular, used for cell manufacturing, revealed significant contributions to the environmental burden.&quot;,&quot;publisher&quot;:&quot;MDPI AG&quot;,&quot;issue&quot;:&quot;7&quot;,&quot;volume&quot;:&quot;10&quot;},&quot;isTemporary&quot;:false,&quot;suppress-author&quot;:false,&quot;composite&quot;:false,&quot;author-only&quot;:false}]},{&quot;citationID&quot;:&quot;MENDELEY_CITATION_e7ad00dd-8acd-493c-965a-0f4f44c4b00e&quot;,&quot;properties&quot;:{&quot;noteIndex&quot;:0},&quot;isEdited&quot;:false,&quot;manualOverride&quot;:{&quot;isManuallyOverridden&quot;:false,&quot;citeprocText&quot;:&quot;(Bareiß et al., 2019; Delpierre et al., 2021; Khan et al., 2024; Krishnan et al., 2024)&quot;,&quot;manualOverrideText&quot;:&quot;&quot;},&quot;citationTag&quot;:&quot;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&quot;,&quot;citationItems&quot;:[{&quot;id&quot;:&quot;5edff44f-3e95-371f-9c5c-cea86cc06f77&quot;,&quot;itemData&quot;:{&quot;type&quot;:&quot;article-journal&quot;,&quot;id&quot;:&quot;5edff44f-3e95-371f-9c5c-cea86cc06f77&quot;,&quot;title&quot;:&quot;Life cycle assessment of hydrogen from proton exchange membrane water electrolysis in future energy systems&quot;,&quot;author&quot;:[{&quot;family&quot;:&quot;Bareiß&quot;,&quot;given&quot;:&quot;Kay&quot;,&quot;parse-names&quot;:false,&quot;dropping-particle&quot;:&quot;&quot;,&quot;non-dropping-particle&quot;:&quot;&quot;},{&quot;family&quot;:&quot;la Rua&quot;,&quot;given&quot;:&quot;Cristina&quot;,&quot;parse-names&quot;:false,&quot;dropping-particle&quot;:&quot;&quot;,&quot;non-dropping-particle&quot;:&quot;de&quot;},{&quot;family&quot;:&quot;Möckl&quot;,&quot;given&quot;:&quot;Maximilian&quot;,&quot;parse-names&quot;:false,&quot;dropping-particle&quot;:&quot;&quot;,&quot;non-dropping-particle&quot;:&quot;&quot;},{&quot;family&quot;:&quot;Hamacher&quot;,&quot;given&quot;:&quot;Thomas&quot;,&quot;parse-names&quot;:false,&quot;dropping-particle&quot;:&quot;&quot;,&quot;non-dropping-particle&quot;:&quot;&quot;}],&quot;container-title&quot;:&quot;Applied Energy&quot;,&quot;container-title-short&quot;:&quot;Appl Energy&quot;,&quot;DOI&quot;:&quot;10.1016/j.apenergy.2019.01.001&quot;,&quot;ISSN&quot;:&quot;03062619&quot;,&quot;issued&quot;:{&quot;date-parts&quot;:[[2019,3,1]]},&quot;page&quot;:&quot;862-872&quot;,&quot;abstract&quot;:&quot;This study discusses the potential of H2 production by proton exchange membrane water electrolysis as an effective option to reduce greenhouse gas emissions in the hydrogen sector. To address this topic, a life cycle assessment is conducted to compare proton exchange membrane water electrolysis versus the reference process - steam methane reforming. As a relevant result we show that hydrogen production via proton exchange membrane water electrolysis is a promising technology to reduce CO2 emissions of the hydrogen sector by up to 75%, if the electrolysis system runs exclusively on electricity generated from renewable energy sources. In a future (2050) base-load operation mode emissions are comparable to the reference system. The results for the global warming potential show a strong reduction of greenhouse gas emissions by 2050. The thoroughly and in-depth modeled components of the electrolyser have negligible influence on impact categories; thus, emissions are mainly determined by the electricity mix. With 2017 electricity mix of Germany, the global warming potential corresponds to 29.5 kg CO2 eq. for each kg of produced hydrogen. Referring to the electricity mix we received from an energy model emissions can be reduced to 11.5 kg CO2 eq. in base-load operation by the year 2050. Using only the 3000 h of excess power from renewables in a year will allow for the reduction of the global warming potential to 3.3 kg CO2 eq. From this result we see that an environmentally friendly electricity mix is crucial for reducing the global warming impact of electrolytic hydrogen.&quot;,&quot;publisher&quot;:&quot;Elsevier Ltd&quot;,&quot;volume&quot;:&quot;237&quot;},&quot;isTemporary&quot;:false},{&quot;id&quot;:&quot;97c197ee-601d-3123-bf2f-4730c89fec31&quot;,&quot;itemData&quot;:{&quot;type&quot;:&quot;article-journal&quot;,&quot;id&quot;:&quot;97c197ee-601d-3123-bf2f-4730c89fec31&quot;,&quot;title&quot;:&quot;Strategies for life cycle impact reduction of green hydrogen production – Influence of electrolyser value chain design&quot;,&quot;author&quot;:[{&quot;family&quot;:&quot;Khan&quot;,&quot;given&quot;:&quot;Muhammad Haider Ali&quot;,&quot;parse-names&quot;:false,&quot;dropping-particle&quot;:&quot;&quot;,&quot;non-dropping-particle&quot;:&quot;&quot;},{&quot;family&quot;:&quot;Sitaraman&quot;,&quot;given&quot;:&quot;Tarun&quot;,&quot;parse-names&quot;:false,&quot;dropping-particle&quot;:&quot;&quot;,&quot;non-dropping-particle&quot;:&quot;&quot;},{&quot;family&quot;:&quot;Haque&quot;,&quot;given&quot;:&quot;Nawshad&quot;,&quot;parse-names&quot;:false,&quot;dropping-particle&quot;:&quot;&quot;,&quot;non-dropping-particle&quot;:&quot;&quot;},{&quot;family&quot;:&quot;Leslie&quot;,&quot;given&quot;:&quot;Greg&quot;,&quot;parse-names&quot;:false,&quot;dropping-particle&quot;:&quot;&quot;,&quot;non-dropping-particle&quot;:&quot;&quot;},{&quot;family&quot;:&quot;Saydam&quot;,&quot;given&quot;:&quot;Serkan&quot;,&quot;parse-names&quot;:false,&quot;dropping-particle&quot;:&quot;&quot;,&quot;non-dropping-particle&quot;:&quot;&quot;},{&quot;family&quot;:&quot;Daiyan&quot;,&quot;given&quot;:&quot;Rahman&quot;,&quot;parse-names&quot;:false,&quot;dropping-particle&quot;:&quot;&quot;,&quot;non-dropping-particle&quot;:&quot;&quot;},{&quot;family&quot;:&quot;Amal&quot;,&quot;given&quot;:&quot;Rose&quot;,&quot;parse-names&quot;:false,&quot;dropping-particle&quot;:&quot;&quot;,&quot;non-dropping-particle&quot;:&quot;&quot;},{&quot;family&quot;:&quot;Kara&quot;,&quot;given&quot;:&quot;Sami&quot;,&quot;parse-names&quot;:false,&quot;dropping-particle&quot;:&quot;&quot;,&quot;non-dropping-particle&quot;:&quot;&quot;}],&quot;container-title&quot;:&quot;International Journal of Hydrogen Energy&quot;,&quot;container-title-short&quot;:&quot;Int J Hydrogen Energy&quot;,&quot;DOI&quot;:&quot;10.1016/j.ijhydene.2024.01.081&quot;,&quot;ISSN&quot;:&quot;03603199&quot;,&quot;issued&quot;:{&quot;date-parts&quot;:[[2024,4,10]]},&quot;page&quot;:&quot;769-782&quot;,&quot;abstract&quot;:&quot;Green Hydrogen (H2 via renewable-driven electrolysis) is emerging as a vector to meet net-zero emission targets, provided it is produced with a low life cycle impact. While certification schemes for green H2 have been introduced, they mainly focus on the embodied emissions from energy supply during electrolyser operation. This narrow focus on just operation is an oversight, considering that a complete green H2 value chain also includes the electrolyser's manufacturing, transport/installation, and end-of-life. Each step of this chain involves materials and energy flows that impart impacts that undermine the clean and sustainable status of H2. Therefore, holistic and harmonised assessments of the green H2 production chain are required to ensure both economic and environmental deployment of H2. Herein, we conduct an overarching environmental assessment encompassing the production chain described above, using Australia as a case study. Our results indicate that while the energy source has the most impact, material and manufacturing inputs associated with electrolyser production are increasingly significant as the scale of H2 output expands. Moreover, wind power electrolysis has a greater chance of achieving green H2 certification compared to solar powered, while increasing the amount of localised manufactured content and investment in end-of-life recycling of electrolyser components can reduce the overall life cycle impact of green H2 production by 20%.&quot;,&quot;publisher&quot;:&quot;Elsevier Ltd&quot;,&quot;volume&quot;:&quot;62&quot;},&quot;isTemporary&quot;:false},{&quot;id&quot;:&quot;37b784f2-f664-3a25-8298-1aa86b27d9f7&quot;,&quot;itemData&quot;:{&quot;type&quot;:&quot;article-journal&quot;,&quot;id&quot;:&quot;37b784f2-f664-3a25-8298-1aa86b27d9f7&quot;,&quot;title&quot;:&quot;Assessing the environmental impacts of wind-based hydrogen production in the Netherlands using ex-ante LCA and scenarios analysis&quot;,&quot;author&quot;:[{&quot;family&quot;:&quot;Delpierre&quot;,&quot;given&quot;:&quot;Mathieu&quot;,&quot;parse-names&quot;:false,&quot;dropping-particle&quot;:&quot;&quot;,&quot;non-dropping-particle&quot;:&quot;&quot;},{&quot;family&quot;:&quot;Quist&quot;,&quot;given&quot;:&quot;Jaco&quot;,&quot;parse-names&quot;:false,&quot;dropping-particle&quot;:&quot;&quot;,&quot;non-dropping-particle&quot;:&quot;&quot;},{&quot;family&quot;:&quot;Mertens&quot;,&quot;given&quot;:&quot;Jan&quot;,&quot;parse-names&quot;:false,&quot;dropping-particle&quot;:&quot;&quot;,&quot;non-dropping-particle&quot;:&quot;&quot;},{&quot;family&quot;:&quot;Prieur-Vernat&quot;,&quot;given&quot;:&quot;Anne&quot;,&quot;parse-names&quot;:false,&quot;dropping-particle&quot;:&quot;&quot;,&quot;non-dropping-particle&quot;:&quot;&quot;},{&quot;family&quot;:&quot;Cucurachi&quot;,&quot;given&quot;:&quot;Stefano&quot;,&quot;parse-names&quot;:false,&quot;dropping-particle&quot;:&quot;&quot;,&quot;non-dropping-particle&quot;:&quot;&quot;}],&quot;container-title&quot;:&quot;Journal of Cleaner Production&quot;,&quot;container-title-short&quot;:&quot;J Clean Prod&quot;,&quot;DOI&quot;:&quot;10.1016/j.jclepro.2021.126866&quot;,&quot;ISSN&quot;:&quot;09596526&quot;,&quot;issued&quot;:{&quot;date-parts&quot;:[[2021,5,25]]},&quot;abstract&quot;:&quot;Two electrolysis technologies fed with renewable energy sources are promising for the production of CO2-free hydrogen and enabling the transition to a hydrogen society: Alkaline Electrolyte (AE) and Polymer Electrolyte Membrane (PEM). However, limited information exists on the potential environmental impacts of these promising sustainable innovations when operating on a large-scale. To fill this gap, the performance of AE and PEM systems is compared, using ex-ante Life Cycle Assessment (LCA), technology analysis and exploratory scenarios for which a refined methodology has been developed to study the effects of implementing large-scale sustainable hydrogen production systems. Ex-ante LCA allows modelling the environmental impacts of hydrogen production, exploratory scenario analysis allows modelling possible upscaling effects at potential future states of hydrogen production and use in vehicles in the Netherlands in 2050. A bridging tool for mapping the technological field has been created enabling the combination of quantitative LCAs with qualitative scenarios. This tool also enables diversity for exploring multiple sets of visions. The main results from the paper show, with an exception for the “ozone depletion” impact category, (1) that large-scale AE and PEM systems have similar environmental impacts with variations lower than 7% in all impact categories, (2) that the contribution of the electrolyser is limited to 10% of all impact categories results, and (3) that the origin of the electricity is the largest contributor to the environmental impact contributing to more than 90% in all impact categories, even when renewable energy sources are used. It is concluded that the methodology was applied successfully and provides a solid basis for an ex-ante assessment framework that can be applied to emerging technological systems.&quot;,&quot;publisher&quot;:&quot;Elsevier Ltd&quot;,&quot;volume&quot;:&quot;299&quot;},&quot;isTemporary&quot;:false},{&quot;id&quot;:&quot;fad40a5a-6363-35c6-99e8-2b89367e19c1&quot;,&quot;itemData&quot;:{&quot;type&quot;:&quot;article-journal&quot;,&quot;id&quot;:&quot;fad40a5a-6363-35c6-99e8-2b89367e19c1&quot;,&quot;title&quot;:&quot;Prospective LCA of alkaline and PEM electrolyser systems&quot;,&quot;author&quot;:[{&quot;family&quot;:&quot;Krishnan&quot;,&quot;given&quot;:&quot;Subramani&quot;,&quot;parse-names&quot;:false,&quot;dropping-particle&quot;:&quot;&quot;,&quot;non-dropping-particle&quot;:&quot;&quot;},{&quot;family&quot;:&quot;Corona&quot;,&quot;given&quot;:&quot;Blanca&quot;,&quot;parse-names&quot;:false,&quot;dropping-particle&quot;:&quot;&quot;,&quot;non-dropping-particle&quot;:&quot;&quot;},{&quot;family&quot;:&quot;Kramer&quot;,&quot;given&quot;:&quot;Gert Jan&quot;,&quot;parse-names&quot;:false,&quot;dropping-particle&quot;:&quot;&quot;,&quot;non-dropping-particle&quot;:&quot;&quot;},{&quot;family&quot;:&quot;Junginger&quot;,&quot;given&quot;:&quot;Martin&quot;,&quot;parse-names&quot;:false,&quot;dropping-particle&quot;:&quot;&quot;,&quot;non-dropping-particle&quot;:&quot;&quot;},{&quot;family&quot;:&quot;Koning&quot;,&quot;given&quot;:&quot;Vinzenz&quot;,&quot;parse-names&quot;:false,&quot;dropping-particle&quot;:&quot;&quot;,&quot;non-dropping-particle&quot;:&quot;&quot;}],&quot;container-title&quot;:&quot;International Journal of Hydrogen Energy&quot;,&quot;container-title-short&quot;:&quot;Int J Hydrogen Energy&quot;,&quot;DOI&quot;:&quot;10.1016/j.ijhydene.2023.10.192&quot;,&quot;ISSN&quot;:&quot;03603199&quot;,&quot;issued&quot;:{&quot;date-parts&quot;:[[2024,2,15]]},&quot;page&quot;:&quot;26-41&quot;,&quot;abstract&quot;:&quot;This prospective life cycle assessment (LCA) compares the environmental impacts of alkaline electrolyser (AE) and proton exchange membrane (PEM) electrolyser systems for green hydrogen production with a special focus on the stack components. The study evaluates both baseline and near-future advanced designs, considering cradle-to-gate life cycle from material production to operation. The electricity source followed by the stacks are identified as major contributors to environmental impacts. No clear winner emerges between AE and PEM in relation to environmental impacts. The advanced designs show a reduced impact in most categories compared to baseline designs which can mainly be attributed to the increased current density. Advanced green hydrogen production technologies outperform grey and blue hydrogen production technologies in all impact categories, except for minerals and metals resource use due to rare earth metals in the stacks. Next to increasing current density, decreasing minimal load requirements. improving sustainable mining practices (including waste treatment) and low carbon intensity steel production routes can enhance the environmental performance of electrolyser systems, aiding the transition to sustainable hydrogen production.&quot;,&quot;publisher&quot;:&quot;Elsevier Ltd&quot;,&quot;volume&quot;:&quot;55&quot;},&quot;isTemporary&quot;:false}]},{&quot;citationID&quot;:&quot;MENDELEY_CITATION_8187be1a-197c-4586-ab3b-b67e4a2eb38f&quot;,&quot;properties&quot;:{&quot;noteIndex&quot;:0},&quot;isEdited&quot;:false,&quot;manualOverride&quot;:{&quot;isManuallyOverridden&quot;:false,&quot;citeprocText&quot;:&quot;(Wulf et al., 2018)&quot;,&quot;manualOverrideText&quot;:&quot;&quot;},&quot;citationTag&quot;:&quot;MENDELEY_CITATION_v3_eyJjaXRhdGlvbklEIjoiTUVOREVMRVlfQ0lUQVRJT05fODE4N2JlMWEtMTk3Yy00NTg2LWFiM2ItYjY3ZTRhMmViMzhm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quot;,&quot;citationItems&quot;:[{&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suppress-author&quot;:false,&quot;composite&quot;:false,&quot;author-only&quot;:false}]},{&quot;citationID&quot;:&quot;MENDELEY_CITATION_5762d4a6-48e4-4148-abfc-a8d7a53842c3&quot;,&quot;properties&quot;:{&quot;noteIndex&quot;:0},&quot;isEdited&quot;:false,&quot;manualOverride&quot;:{&quot;isManuallyOverridden&quot;:false,&quot;citeprocText&quot;:&quot;(Wulf et al., 2018)&quot;,&quot;manualOverrideText&quot;:&quot;&quot;},&quot;citationTag&quot;:&quot;MENDELEY_CITATION_v3_eyJjaXRhdGlvbklEIjoiTUVOREVMRVlfQ0lUQVRJT05fNTc2MmQ0YTYtNDhlNC00MTQ4LWFiZmMtYThkN2E1Mzg0MmMz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quot;,&quot;citationItems&quot;:[{&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suppress-author&quot;:false,&quot;composite&quot;:false,&quot;author-only&quot;:false}]},{&quot;citationID&quot;:&quot;MENDELEY_CITATION_6f8a1e45-3e67-4946-ae4d-70f3b7af66ca&quot;,&quot;properties&quot;:{&quot;noteIndex&quot;:0},&quot;isEdited&quot;:false,&quot;manualOverride&quot;:{&quot;isManuallyOverridden&quot;:true,&quot;citeprocText&quot;:&quot;(Burkhardt, Patyk, Tanguy, &amp;#38; Retzke, 2016; Wulf et al., 2018)&quot;,&quot;manualOverrideText&quot;:&quot;Burkhardt, Patyk, Tanguy, and Retzke (2016) and Wulf et al. (2018)&quot;},&quot;citationTag&quot;:&quot;MENDELEY_CITATION_v3_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V9XX0=&quot;,&quot;citationItems&quot;:[{&quot;id&quot;:&quot;ea257342-e0ff-3194-b44b-8ad15d15c49f&quot;,&quot;itemData&quot;:{&quot;type&quot;:&quot;article-journal&quot;,&quot;id&quot;:&quot;ea257342-e0ff-3194-b44b-8ad15d15c49f&quot;,&quot;title&quot;:&quot;Hydrogen mobility from wind energy – A life cycle assessment focusing on the fuel supply&quot;,&quot;author&quot;:[{&quot;family&quot;:&quot;Burkhardt&quot;,&quot;given&quot;:&quot;Jörg&quot;,&quot;parse-names&quot;:false,&quot;dropping-particle&quot;:&quot;&quot;,&quot;non-dropping-particle&quot;:&quot;&quot;},{&quot;family&quot;:&quot;Patyk&quot;,&quot;given&quot;:&quot;Andreas&quot;,&quot;parse-names&quot;:false,&quot;dropping-particle&quot;:&quot;&quot;,&quot;non-dropping-particle&quot;:&quot;&quot;},{&quot;family&quot;:&quot;Tanguy&quot;,&quot;given&quot;:&quot;Philippe&quot;,&quot;parse-names&quot;:false,&quot;dropping-particle&quot;:&quot;&quot;,&quot;non-dropping-particle&quot;:&quot;&quot;},{&quot;family&quot;:&quot;Retzke&quot;,&quot;given&quot;:&quot;Carsten&quot;,&quot;parse-names&quot;:false,&quot;dropping-particle&quot;:&quot;&quot;,&quot;non-dropping-particle&quot;:&quot;&quot;}],&quot;container-title&quot;:&quot;Applied Energy&quot;,&quot;container-title-short&quot;:&quot;Appl Energy&quot;,&quot;DOI&quot;:&quot;10.1016/j.apenergy.2016.07.104&quot;,&quot;ISSN&quot;:&quot;03062619&quot;,&quot;issued&quot;:{&quot;date-parts&quot;:[[2016,11,1]]},&quot;page&quot;:&quot;54-64&quot;,&quot;abstract&quot;:&quot;In the current debates on reducing greenhouse gas emissions in the mobility sector, hydrogen produced via water electrolysis from renewable electricity is commonly regarded to be a sustainable energy carrier with large potential for decarbonisation of the mobility sector. Directly produced at the refueling stations site, hydrogen greenhouse gas emissions are presently defined to be zero in e.g. the Directives of the European Union since emissions arising from the facilities construction are defined to be negligible. In order to check the validity of this assumption with respect to the latest technical developments in hydrogen supply, the present article aims to report the environmental performance of hydrogen being produced and compressed for mobility purposes. To this end, a state-of-the-art hydrogen refueling station (HRS) with an on-site alkaline electrolyser is assessed, which was built and operated in Berlin. Assuming electricity supply from wind energy generation, a life cycle assessment for the complete value chain was carried out where primary data for the build-up of electrolyser and HRS were obtained during decommissioning of the station. The results show that the construction of HRS and on-site electrolyser requires higher material and energy expenditures compared to previous investigations on similar but technically less advanced systems. These expenditures generate a significant footprint in the specific e.g. greenhouse gas emissions if the electrolyser is operated at a reduced load factor as it may be foreseen for grid stabilisation purposes. To ensure a strong reduction of emissions compared to conventional fuels, this load factor should be sufficiently high and should be defined to not fall under a certain threshold in upcoming directives. Besides, excessive use of supplies should be avoided and the refueling station should be operated with renewable electricity to the largest extent.&quot;,&quot;publisher&quot;:&quot;Elsevier Ltd&quot;,&quot;volume&quot;:&quot;181&quot;},&quot;isTemporary&quot;:false},{&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citationID&quot;:&quot;MENDELEY_CITATION_4f9384e9-e0f8-4381-afa5-6b4b311da506&quot;,&quot;properties&quot;:{&quot;noteIndex&quot;:0},&quot;isEdited&quot;:false,&quot;manualOverride&quot;:{&quot;isManuallyOverridden&quot;:false,&quot;citeprocText&quot;:&quot;(Reuß et al., 2017; Tsiklios, Hermesmann, &amp;#38; Müller, 2022; Wulf et al., 2018)&quot;,&quot;manualOverrideText&quot;:&quot;&quot;},&quot;citationTag&quot;:&quot;MENDELEY_CITATION_v3_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V9XX0=&quot;,&quot;citationItems&quot;:[{&quot;id&quot;:&quot;5ef60b60-1fc9-386e-9ba7-d4d09e829508&quot;,&quot;itemData&quot;:{&quot;type&quot;:&quot;article-journal&quot;,&quot;id&quot;:&quot;5ef60b60-1fc9-386e-9ba7-d4d09e829508&quot;,&quot;title&quot;:&quot;Seasonal storage and alternative carriers: A flexible hydrogen supply chain model&quot;,&quot;author&quot;:[{&quot;family&quot;:&quot;Reuß&quot;,&quot;given&quot;:&quot;M.&quot;,&quot;parse-names&quot;:false,&quot;dropping-particle&quot;:&quot;&quot;,&quot;non-dropping-particle&quot;:&quot;&quot;},{&quot;family&quot;:&quot;Grube&quot;,&quot;given&quot;:&quot;T.&quot;,&quot;parse-names&quot;:false,&quot;dropping-particle&quot;:&quot;&quot;,&quot;non-dropping-particle&quot;:&quot;&quot;},{&quot;family&quot;:&quot;Robinius&quot;,&quot;given&quot;:&quot;M.&quot;,&quot;parse-names&quot;:false,&quot;dropping-particle&quot;:&quot;&quot;,&quot;non-dropping-particle&quot;:&quot;&quot;},{&quot;family&quot;:&quot;Preuster&quot;,&quot;given&quot;:&quot;P.&quot;,&quot;parse-names&quot;:false,&quot;dropping-particle&quot;:&quot;&quot;,&quot;non-dropping-particle&quot;:&quot;&quot;},{&quot;family&quot;:&quot;Wasserscheid&quot;,&quot;given&quot;:&quot;P.&quot;,&quot;parse-names&quot;:false,&quot;dropping-particle&quot;:&quot;&quot;,&quot;non-dropping-particle&quot;:&quot;&quot;},{&quot;family&quot;:&quot;Stolten&quot;,&quot;given&quot;:&quot;D.&quot;,&quot;parse-names&quot;:false,&quot;dropping-particle&quot;:&quot;&quot;,&quot;non-dropping-particle&quot;:&quot;&quot;}],&quot;container-title&quot;:&quot;Applied Energy&quot;,&quot;container-title-short&quot;:&quot;Appl Energy&quot;,&quot;DOI&quot;:&quot;10.1016/j.apenergy.2017.05.050&quot;,&quot;ISSN&quot;:&quot;03062619&quot;,&quot;issued&quot;:{&quot;date-parts&quot;:[[2017]]},&quot;page&quot;:&quot;290-302&quot;,&quot;abstract&quot;:&quot;A viable hydrogen infrastructure is one of the main challenges for fuel cells in mobile applications. Several studies have investigated the most cost-efficient hydrogen supply chain structure, with a focus on hydrogen transportation. However, supply chain models based on hydrogen produced by electrolysis require additional seasonal hydrogen storage capacity to close the gap between fluctuation in renewable generation from surplus electricity and fuelling station demand. To address this issue, we developed a model that draws on and extends approaches in the literature with respect to long-term storage. Thus, we analyse Liquid Organic Hydrogen Carriers (LOHC) and show their potential impact on future hydrogen mobility. We demonstrate that LOHC-based pathways are highly promising especially for smaller-scale hydrogen demand and if storage in salt caverns remains uncompetitive, but emit more greenhouse gases (GHG) than other gaseous or hydrogen ones. Liquid hydrogen as a seasonal storage medium offers no advantage compared to LOHC or cavern storage since lower electricity prices for flexible operation cannot balance the investment costs of liquefaction plants. A well-to-wheel analysis indicates that all investigated pathways have less than 30% GHG-emissions compared to conventional fossil fuel pathways within a European framework.&quot;,&quot;publisher&quot;:&quot;Elsevier Ltd&quot;,&quot;volume&quot;:&quot;200&quot;},&quot;isTemporary&quot;:false},{&quot;id&quot;:&quot;e3c74a45-a44b-33c6-9eda-1a7c2f292fc1&quot;,&quot;itemData&quot;:{&quot;type&quot;:&quot;article-journal&quot;,&quot;id&quot;:&quot;e3c74a45-a44b-33c6-9eda-1a7c2f292fc1&quot;,&quot;title&quot;:&quot;Hydrogen transport in large-scale transmission pipeline networks: Thermodynamic and environmental assessment of repurposed and new pipeline configurations&quot;,&quot;author&quot;:[{&quot;family&quot;:&quot;Tsiklios&quot;,&quot;given&quot;:&quot;C.&quot;,&quot;parse-names&quot;:false,&quot;dropping-particle&quot;:&quot;&quot;,&quot;non-dropping-particle&quot;:&quot;&quot;},{&quot;family&quot;:&quot;Hermesmann&quot;,&quot;given&quot;:&quot;M.&quot;,&quot;parse-names&quot;:false,&quot;dropping-particle&quot;:&quot;&quot;,&quot;non-dropping-particle&quot;:&quot;&quot;},{&quot;family&quot;:&quot;Müller&quot;,&quot;given&quot;:&quot;T. E.&quot;,&quot;parse-names&quot;:false,&quot;dropping-particle&quot;:&quot;&quot;,&quot;non-dropping-particle&quot;:&quot;&quot;}],&quot;container-title&quot;:&quot;Applied Energy&quot;,&quot;container-title-short&quot;:&quot;Appl Energy&quot;,&quot;DOI&quot;:&quot;10.1016/j.apenergy.2022.120097&quot;,&quot;ISSN&quot;:&quot;03062619&quot;,&quot;issued&quot;:{&quot;date-parts&quot;:[[2022,12,1]]},&quot;abstract&quot;:&quot;One key strategy to achieve global climate targets is implementing climate-friendly hydrogen as a versatile energy carrier, commodity, and feedstock in the most energy-intensive sectors. Transmission pipeline networks are suited particularly for connecting primary hydrogen producers and consumers over medium distances to meet the future hydrogen demand in regions that strongly rely on energy imports. Nonetheless, the development and operation of large-scale hydrogen pipeline networks may have various yet unknown impacts on the environment. This work investigates the energetic efficiency and the environmental performance of hydrogen transport via pipeline by means of thermodynamic analysis and life cycle assessment. Pertinent technical specifications for large-scale hydrogen pipeline networks were derived based on the current design of state-of-the-art hydrogen pipelines and compressor stations. Since the energy-efficient operation of the pipeline network is essential for a climate-friendly hydrogen transport, thermodynamic analyses were performed to determine the resulting energy demand. Depending on the impact category considered, there are advantages and trade-offs in aiming for an energy-efficient as well as environmentally friendly hydrogen transport solution. The most decisive parameters to reach these aims are the condition of the line pipe's inner layer, the applied load capacity, as well as the compression ratios, -stages and -positioning. By varying these parameters and considering multiple transport variants, we recommend three measures for the design and operation of new or repurposed hydrogen pipelines: 1) Installing new smooth line pipes or cleaning existing ones to minimize the roughness of the inner surface; 2) Moderately reducing the load capacity, and 3) Shortening the transport intervals by installing intermediate compressor stations. Ultimately, reducing pressure losses within the pipeline system is crucial for ensuring an energetically efficient as well as environmentally friendly hydrogen transmission via large-scale pipeline networks.&quot;,&quot;publisher&quot;:&quot;Elsevier Ltd&quot;,&quot;volume&quot;:&quot;327&quot;},&quot;isTemporary&quot;:false},{&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citationID&quot;:&quot;MENDELEY_CITATION_ca51ecd8-3f3b-4e2b-8153-989cfb41d302&quot;,&quot;properties&quot;:{&quot;noteIndex&quot;:0},&quot;isEdited&quot;:false,&quot;manualOverride&quot;:{&quot;isManuallyOverridden&quot;:false,&quot;citeprocText&quot;:&quot;(Wulf et al., 2018)&quot;,&quot;manualOverrideText&quot;:&quot;&quot;},&quot;citationTag&quot;:&quot;MENDELEY_CITATION_v3_eyJjaXRhdGlvbklEIjoiTUVOREVMRVlfQ0lUQVRJT05fY2E1MWVjZDgtM2YzYi00ZTJiLTgxNTMtOTg5Y2ZiNDFkMzAy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quot;,&quot;citationItems&quot;:[{&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suppress-author&quot;:false,&quot;composite&quot;:false,&quot;author-only&quot;:false}]},{&quot;citationID&quot;:&quot;MENDELEY_CITATION_77229a7c-1c6e-49c2-80b3-9453c6fd86b0&quot;,&quot;properties&quot;:{&quot;noteIndex&quot;:0},&quot;isEdited&quot;:false,&quot;manualOverride&quot;:{&quot;isManuallyOverridden&quot;:false,&quot;citeprocText&quot;:&quot;(Akhtar, Dickson, &amp;#38; Liu, 2021; Burkhardt et al., 2016; Wulf et al., 2018)&quot;,&quot;manualOverrideText&quot;:&quot;&quot;},&quot;citationTag&quot;:&quot;MENDELEY_CITATION_v3_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V9XX0=&quot;,&quot;citationItems&quot;:[{&quot;id&quot;:&quot;b3c4a634-e2a9-33a8-96db-5635a1056afc&quot;,&quot;itemData&quot;:{&quot;type&quot;:&quot;article-journal&quot;,&quot;id&quot;:&quot;b3c4a634-e2a9-33a8-96db-5635a1056afc&quot;,&quot;title&quot;:&quot;Life Cycle Assessment of Inland Green Hydrogen Supply Chain Networks with Current Challenges and Future Prospects&quot;,&quot;author&quot;:[{&quot;family&quot;:&quot;Akhtar&quot;,&quot;given&quot;:&quot;Malik Sajawal&quot;,&quot;parse-names&quot;:false,&quot;dropping-particle&quot;:&quot;&quot;,&quot;non-dropping-particle&quot;:&quot;&quot;},{&quot;family&quot;:&quot;Dickson&quot;,&quot;given&quot;:&quot;Rofice&quot;,&quot;parse-names&quot;:false,&quot;dropping-particle&quot;:&quot;&quot;,&quot;non-dropping-particle&quot;:&quot;&quot;},{&quot;family&quot;:&quot;Liu&quot;,&quot;given&quot;:&quot;J. Jay&quot;,&quot;parse-names&quot;:false,&quot;dropping-particle&quot;:&quot;&quot;,&quot;non-dropping-particle&quot;:&quot;&quot;}],&quot;container-title&quot;:&quot;ACS Sustainable Chemistry and Engineering&quot;,&quot;container-title-short&quot;:&quot;ACS Sustain Chem Eng&quot;,&quot;DOI&quot;:&quot;10.1021/acssuschemeng.1c06769&quot;,&quot;ISSN&quot;:&quot;21680485&quot;,&quot;issued&quot;:{&quot;date-parts&quot;:[[2021,12,20]]},&quot;page&quot;:&quot;17152-17163&quot;,&quot;abstract&quot;:&quot;Large-scale energy storage and mobility infrastructures are imperative for meeting the current global energy demand. With hydrogen increasingly emerging as a potential energy carrier, the development of global hydrogen mobility infrastructures is essential to accelerate the transition to a hydrogen economy. In this work, a comprehensive cradle-to-gate life cycle assessment (LCA) was performed for seven hydrogen delivery pathways: compressed gas via pipeline (CGH2-PL), compressed gas via tube trailer (CGH2-TT), liquid hydrogen (LH2), liquid organic hydrogen carrier with natural gas as a heating source (LOHC), liquid ammonia (LNH3), liquid organic hydrogen carrier with hydrogen as a heating source (LOHC-Own), and the direct utilization of NH3 in direct ammonia fuel cell vehicle (LNH3-DAFCV). The LCA results showed that CGH2-PL is the most sustainable option among all the above mentioned pathways as it showed to have the lowest global warming potential (GWP) (1.57 kgCO2-eq/kgH2). On the contrary, delivery via LOHC had the worst results and would have the highest emissions (3.58 kgCO2-eq/kgH2). However, by partially utilizing the produced hydrogen to fulfill the heating requirements during dehydrogenation (LOHC-Own), approximately 35% of the GWP was reduced to 2.34 kgCO2-eq/kgH2. Likely, delivery via LNH3 also showed significant emissions (3.14 kgCO2-eq/kgH2) and remained the second worst candidate for hydrogen delivery. However, the direct utilization of NH3 in DAFCV showed promising results for GWP (1.62 kgCO2-eq/kgH2), making NH3 a likely candidate for future hydrogen and energy carriers.&quot;,&quot;publisher&quot;:&quot;American Chemical Society&quot;,&quot;issue&quot;:&quot;50&quot;,&quot;volume&quot;:&quot;9&quot;},&quot;isTemporary&quot;:false},{&quot;id&quot;:&quot;ea257342-e0ff-3194-b44b-8ad15d15c49f&quot;,&quot;itemData&quot;:{&quot;type&quot;:&quot;article-journal&quot;,&quot;id&quot;:&quot;ea257342-e0ff-3194-b44b-8ad15d15c49f&quot;,&quot;title&quot;:&quot;Hydrogen mobility from wind energy – A life cycle assessment focusing on the fuel supply&quot;,&quot;author&quot;:[{&quot;family&quot;:&quot;Burkhardt&quot;,&quot;given&quot;:&quot;Jörg&quot;,&quot;parse-names&quot;:false,&quot;dropping-particle&quot;:&quot;&quot;,&quot;non-dropping-particle&quot;:&quot;&quot;},{&quot;family&quot;:&quot;Patyk&quot;,&quot;given&quot;:&quot;Andreas&quot;,&quot;parse-names&quot;:false,&quot;dropping-particle&quot;:&quot;&quot;,&quot;non-dropping-particle&quot;:&quot;&quot;},{&quot;family&quot;:&quot;Tanguy&quot;,&quot;given&quot;:&quot;Philippe&quot;,&quot;parse-names&quot;:false,&quot;dropping-particle&quot;:&quot;&quot;,&quot;non-dropping-particle&quot;:&quot;&quot;},{&quot;family&quot;:&quot;Retzke&quot;,&quot;given&quot;:&quot;Carsten&quot;,&quot;parse-names&quot;:false,&quot;dropping-particle&quot;:&quot;&quot;,&quot;non-dropping-particle&quot;:&quot;&quot;}],&quot;container-title&quot;:&quot;Applied Energy&quot;,&quot;container-title-short&quot;:&quot;Appl Energy&quot;,&quot;DOI&quot;:&quot;10.1016/j.apenergy.2016.07.104&quot;,&quot;ISSN&quot;:&quot;03062619&quot;,&quot;issued&quot;:{&quot;date-parts&quot;:[[2016,11,1]]},&quot;page&quot;:&quot;54-64&quot;,&quot;abstract&quot;:&quot;In the current debates on reducing greenhouse gas emissions in the mobility sector, hydrogen produced via water electrolysis from renewable electricity is commonly regarded to be a sustainable energy carrier with large potential for decarbonisation of the mobility sector. Directly produced at the refueling stations site, hydrogen greenhouse gas emissions are presently defined to be zero in e.g. the Directives of the European Union since emissions arising from the facilities construction are defined to be negligible. In order to check the validity of this assumption with respect to the latest technical developments in hydrogen supply, the present article aims to report the environmental performance of hydrogen being produced and compressed for mobility purposes. To this end, a state-of-the-art hydrogen refueling station (HRS) with an on-site alkaline electrolyser is assessed, which was built and operated in Berlin. Assuming electricity supply from wind energy generation, a life cycle assessment for the complete value chain was carried out where primary data for the build-up of electrolyser and HRS were obtained during decommissioning of the station. The results show that the construction of HRS and on-site electrolyser requires higher material and energy expenditures compared to previous investigations on similar but technically less advanced systems. These expenditures generate a significant footprint in the specific e.g. greenhouse gas emissions if the electrolyser is operated at a reduced load factor as it may be foreseen for grid stabilisation purposes. To ensure a strong reduction of emissions compared to conventional fuels, this load factor should be sufficiently high and should be defined to not fall under a certain threshold in upcoming directives. Besides, excessive use of supplies should be avoided and the refueling station should be operated with renewable electricity to the largest extent.&quot;,&quot;publisher&quot;:&quot;Elsevier Ltd&quot;,&quot;volume&quot;:&quot;181&quot;},&quot;isTemporary&quot;:false},{&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citationID&quot;:&quot;MENDELEY_CITATION_9dcdf645-6895-43f9-8be1-51c24d5b2e5a&quot;,&quot;properties&quot;:{&quot;noteIndex&quot;:0},&quot;isEdited&quot;:false,&quot;manualOverride&quot;:{&quot;isManuallyOverridden&quot;:false,&quot;citeprocText&quot;:&quot;(Wulf et al., 2018)&quot;,&quot;manualOverrideText&quot;:&quot;&quot;},&quot;citationTag&quot;:&quot;MENDELEY_CITATION_v3_eyJjaXRhdGlvbklEIjoiTUVOREVMRVlfQ0lUQVRJT05fOWRjZGY2NDUtNjg5NS00M2Y5LThiZTEtNTFjMjRkNWIyZTVh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quot;,&quot;citationItems&quot;:[{&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suppress-author&quot;:false,&quot;composite&quot;:false,&quot;author-only&quot;:false}]},{&quot;citationID&quot;:&quot;MENDELEY_CITATION_32a71f5a-80c6-48d0-ab61-c6d55ce1bf51&quot;,&quot;properties&quot;:{&quot;noteIndex&quot;:0},&quot;isEdited&quot;:false,&quot;manualOverride&quot;:{&quot;isManuallyOverridden&quot;:false,&quot;citeprocText&quot;:&quot;(Wulf et al., 2018)&quot;,&quot;manualOverrideText&quot;:&quot;&quot;},&quot;citationTag&quot;:&quot;MENDELEY_CITATION_v3_eyJjaXRhdGlvbklEIjoiTUVOREVMRVlfQ0lUQVRJT05fMzJhNzFmNWEtODBjNi00OGQwLWFiNjEtYzZkNTVjZTFiZjUx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quot;,&quot;citationItems&quot;:[{&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suppress-author&quot;:false,&quot;composite&quot;:false,&quot;author-only&quot;:false}]},{&quot;citationID&quot;:&quot;MENDELEY_CITATION_bd15479b-d950-420e-9900-644e02ff44c0&quot;,&quot;properties&quot;:{&quot;noteIndex&quot;:0},&quot;isEdited&quot;:false,&quot;manualOverride&quot;:{&quot;isManuallyOverridden&quot;:false,&quot;citeprocText&quot;:&quot;(Akhtar et al., 2021)&quot;,&quot;manualOverrideText&quot;:&quot;&quot;},&quot;citationTag&quot;:&quot;MENDELEY_CITATION_v3_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&quot;,&quot;citationItems&quot;:[{&quot;id&quot;:&quot;b3c4a634-e2a9-33a8-96db-5635a1056afc&quot;,&quot;itemData&quot;:{&quot;type&quot;:&quot;article-journal&quot;,&quot;id&quot;:&quot;b3c4a634-e2a9-33a8-96db-5635a1056afc&quot;,&quot;title&quot;:&quot;Life Cycle Assessment of Inland Green Hydrogen Supply Chain Networks with Current Challenges and Future Prospects&quot;,&quot;author&quot;:[{&quot;family&quot;:&quot;Akhtar&quot;,&quot;given&quot;:&quot;Malik Sajawal&quot;,&quot;parse-names&quot;:false,&quot;dropping-particle&quot;:&quot;&quot;,&quot;non-dropping-particle&quot;:&quot;&quot;},{&quot;family&quot;:&quot;Dickson&quot;,&quot;given&quot;:&quot;Rofice&quot;,&quot;parse-names&quot;:false,&quot;dropping-particle&quot;:&quot;&quot;,&quot;non-dropping-particle&quot;:&quot;&quot;},{&quot;family&quot;:&quot;Liu&quot;,&quot;given&quot;:&quot;J. Jay&quot;,&quot;parse-names&quot;:false,&quot;dropping-particle&quot;:&quot;&quot;,&quot;non-dropping-particle&quot;:&quot;&quot;}],&quot;container-title&quot;:&quot;ACS Sustainable Chemistry and Engineering&quot;,&quot;container-title-short&quot;:&quot;ACS Sustain Chem Eng&quot;,&quot;DOI&quot;:&quot;10.1021/acssuschemeng.1c06769&quot;,&quot;ISSN&quot;:&quot;21680485&quot;,&quot;issued&quot;:{&quot;date-parts&quot;:[[2021,12,20]]},&quot;page&quot;:&quot;17152-17163&quot;,&quot;abstract&quot;:&quot;Large-scale energy storage and mobility infrastructures are imperative for meeting the current global energy demand. With hydrogen increasingly emerging as a potential energy carrier, the development of global hydrogen mobility infrastructures is essential to accelerate the transition to a hydrogen economy. In this work, a comprehensive cradle-to-gate life cycle assessment (LCA) was performed for seven hydrogen delivery pathways: compressed gas via pipeline (CGH2-PL), compressed gas via tube trailer (CGH2-TT), liquid hydrogen (LH2), liquid organic hydrogen carrier with natural gas as a heating source (LOHC), liquid ammonia (LNH3), liquid organic hydrogen carrier with hydrogen as a heating source (LOHC-Own), and the direct utilization of NH3 in direct ammonia fuel cell vehicle (LNH3-DAFCV). The LCA results showed that CGH2-PL is the most sustainable option among all the above mentioned pathways as it showed to have the lowest global warming potential (GWP) (1.57 kgCO2-eq/kgH2). On the contrary, delivery via LOHC had the worst results and would have the highest emissions (3.58 kgCO2-eq/kgH2). However, by partially utilizing the produced hydrogen to fulfill the heating requirements during dehydrogenation (LOHC-Own), approximately 35% of the GWP was reduced to 2.34 kgCO2-eq/kgH2. Likely, delivery via LNH3 also showed significant emissions (3.14 kgCO2-eq/kgH2) and remained the second worst candidate for hydrogen delivery. However, the direct utilization of NH3 in DAFCV showed promising results for GWP (1.62 kgCO2-eq/kgH2), making NH3 a likely candidate for future hydrogen and energy carriers.&quot;,&quot;publisher&quot;:&quot;American Chemical Society&quot;,&quot;issue&quot;:&quot;50&quot;,&quot;volume&quot;:&quot;9&quot;},&quot;isTemporary&quot;:false,&quot;suppress-author&quot;:false,&quot;composite&quot;:false,&quot;author-only&quot;:false}]},{&quot;citationID&quot;:&quot;MENDELEY_CITATION_00bc3191-c5b7-4d81-8269-53ccd34bb3f0&quot;,&quot;properties&quot;:{&quot;noteIndex&quot;:0},&quot;isEdited&quot;:false,&quot;manualOverride&quot;:{&quot;isManuallyOverridden&quot;:false,&quot;citeprocText&quot;:&quot;(Wulf et al., 2018)&quot;,&quot;manualOverrideText&quot;:&quot;&quot;},&quot;citationTag&quot;:&quot;MENDELEY_CITATION_v3_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&quot;,&quot;citationItems&quot;:[{&quot;id&quot;:&quot;1a86d2e2-4ab6-33e9-a606-2a884e872d5b&quot;,&quot;itemData&quot;:{&quot;type&quot;:&quot;article-journal&quot;,&quot;id&quot;:&quot;1a86d2e2-4ab6-33e9-a606-2a884e872d5b&quot;,&quot;title&quot;:&quot;Life Cycle Assessment of hydrogen transport and distribution options&quot;,&quot;author&quot;:[{&quot;family&quot;:&quot;Wulf&quot;,&quot;given&quot;:&quot;Christina&quot;,&quot;parse-names&quot;:false,&quot;dropping-particle&quot;:&quot;&quot;,&quot;non-dropping-particle&quot;:&quot;&quot;},{&quot;family&quot;:&quot;Reuß&quot;,&quot;given&quot;:&quot;Markus&quot;,&quot;parse-names&quot;:false,&quot;dropping-particle&quot;:&quot;&quot;,&quot;non-dropping-particle&quot;:&quot;&quot;},{&quot;family&quot;:&quot;Grube&quot;,&quot;given&quot;:&quot;Thomas&quot;,&quot;parse-names&quot;:false,&quot;dropping-particle&quot;:&quot;&quot;,&quot;non-dropping-particle&quot;:&quot;&quot;},{&quot;family&quot;:&quot;Zapp&quot;,&quot;given&quot;:&quot;Petra&quot;,&quot;parse-names&quot;:false,&quot;dropping-particle&quot;:&quot;&quot;,&quot;non-dropping-particle&quot;:&quot;&quot;},{&quot;family&quot;:&quot;Robinius&quot;,&quot;given&quot;:&quot;Martin&quot;,&quot;parse-names&quot;:false,&quot;dropping-particle&quot;:&quot;&quot;,&quot;non-dropping-particle&quot;:&quot;&quot;},{&quot;family&quot;:&quot;Hake&quot;,&quot;given&quot;:&quot;Jürgen Friedrich&quot;,&quot;parse-names&quot;:false,&quot;dropping-particle&quot;:&quot;&quot;,&quot;non-dropping-particle&quot;:&quot;&quot;},{&quot;family&quot;:&quot;Stolten&quot;,&quot;given&quot;:&quot;Detlef&quot;,&quot;parse-names&quot;:false,&quot;dropping-particle&quot;:&quot;&quot;,&quot;non-dropping-particle&quot;:&quot;&quot;}],&quot;container-title&quot;:&quot;Journal of Cleaner Production&quot;,&quot;container-title-short&quot;:&quot;J Clean Prod&quot;,&quot;DOI&quot;:&quot;10.1016/j.jclepro.2018.07.180&quot;,&quot;ISSN&quot;:&quot;09596526&quot;,&quot;issued&quot;:{&quot;date-parts&quot;:[[2018,10,20]]},&quot;page&quot;:&quot;431-443&quot;,&quot;abstract&quot;:&quot;Renewably produced hydrogen offers a solution for mobility via fuel cell electric vehicles without emissions during driving. However, the hydrogen supply chain, from hydrogen production to the fueling station – incorporating seasonal storage and transport – varies in economic and environmental aspects depending on the technology used, as well as individual conditions, such as the distance between production and demand. Previous studies have focused on the economic aspects of varying technologies and elaborated application areas of each technology, while environmental issues were not specifically considered. To address this shortcoming, this paper presents a life cycle assessment of three supply chain architectures: (a) Liquid Organic Hydrogen Carriers (LOHCs hereinafter) for transport and storage; as well as (b) compressed hydrogen storage in salt caverns, together with pipelines; and (c) pressurized gas truck transport. The results of this study show that the pipeline solution has the least environmental impact with respect to most of the impact categories for all analyzed cases. Only for short distances, i.e., 100 km, is truck transport better in a few impact categories. When considering truck transport scenarios, LOHCs have higher environmental impacts than pressurized gas in seven out of 14 impact categories. Nevertheless, for longer distances, the difference is decreasing. The seasonal storage of hydrogen has almost no environmental influence, independent of the impact category, transport distance or hydrogen demand. In particular, strong scaling effects underlie the good performance of pipeline networks.&quot;,&quot;publisher&quot;:&quot;Elsevier Ltd&quot;,&quot;volume&quot;:&quot;199&quot;},&quot;isTemporary&quot;:false,&quot;suppress-author&quot;:false,&quot;composite&quot;:false,&quot;author-only&quot;:false}]},{&quot;citationID&quot;:&quot;MENDELEY_CITATION_b2428fef-6a95-4354-8485-2fd0c5f49269&quot;,&quot;properties&quot;:{&quot;noteIndex&quot;:0},&quot;isEdited&quot;:false,&quot;manualOverride&quot;:{&quot;isManuallyOverridden&quot;:false,&quot;citeprocText&quot;:&quot;(Evaluation Commission Republic of Chile, 2021)&quot;,&quot;manualOverrideText&quot;:&quot;&quot;},&quot;citationTag&quot;:&quot;MENDELEY_CITATION_v3_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&quot;,&quot;citationItems&quot;:[{&quot;id&quot;:&quot;59e853ea-fd6a-3fa8-bfd4-081adcedf624&quot;,&quot;itemData&quot;:{&quot;type&quot;:&quot;legislation&quot;,&quot;id&quot;:&quot;59e853ea-fd6a-3fa8-bfd4-081adcedf624&quot;,&quot;title&quot;:&quot;Infrastructure development and improvement of the productive capacity of Collahuasi&quot;,&quot;author&quot;:[{&quot;family&quot;:&quot;Evaluation Commission Republic of Chile&quot;,&quot;given&quot;:&quot;&quot;,&quot;parse-names&quot;:false,&quot;dropping-particle&quot;:&quot;&quot;,&quot;non-dropping-particle&quot;:&quot;&quot;}],&quot;number&quot;:&quot;RCA 20219900112&quot;,&quot;accessed&quot;:{&quot;date-parts&quot;:[[2025,1,20]]},&quot;URL&quot;:&quot;https://validador.sea.gob.cl/validar/sea/documentVerification&quot;,&quot;issued&quot;:{&quot;date-parts&quot;:[[2021,12,21]]},&quot;publisher-place&quot;:&quot;Chile&quot;,&quot;language&quot;:&quot;Spanish&quot;,&quot;container-title-short&quot;:&quot;&quot;},&quot;isTemporary&quot;:false,&quot;suppress-author&quot;:false,&quot;composite&quot;:false,&quot;author-only&quot;:false}]},{&quot;citationID&quot;:&quot;MENDELEY_CITATION_736dcf54-8b1d-4583-abfe-01b8bb35cf5b&quot;,&quot;properties&quot;:{&quot;noteIndex&quot;:0},&quot;isEdited&quot;:false,&quot;manualOverride&quot;:{&quot;isManuallyOverridden&quot;:true,&quot;citeprocText&quot;:&quot;(Cochilco, 2024b)&quot;,&quot;manualOverrideText&quot;:&quot;Chilean Copper Commission (2024)&quot;},&quot;citationTag&quot;:&quot;MENDELEY_CITATION_v3_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&quot;,&quot;citationItems&quot;:[{&quot;id&quot;:&quot;3d76349f-9bb3-3a32-a385-d8e627f3d8c0&quot;,&quot;itemData&quot;:{&quot;type&quot;:&quot;report&quot;,&quot;id&quot;:&quot;3d76349f-9bb3-3a32-a385-d8e627f3d8c0&quot;,&quot;title&quot;:&quot;Projection of electrical energy consumption in copper mining 2023-2034&quot;,&quot;author&quot;:[{&quot;family&quot;:&quot;Cochilco&quot;,&quot;given&quot;:&quot;&quot;,&quot;parse-names&quot;:false,&quot;dropping-particle&quot;:&quot;&quot;,&quot;non-dropping-particle&quot;:&quot;&quot;}],&quot;accessed&quot;:{&quot;date-parts&quot;:[[2025,1,20]]},&quot;URL&quot;:&quot;https://www.cochilco.cl/web/informe-proyeccion-del-consumo-de-energia-electrica-en-la-mineria-del-cobre-2023-2034/#:~:text=Se%20estima%20el%20consumo%20el%C3%A9ctrico,en%20el%20mismo%20periodo%20analizado.&quot;,&quot;issued&quot;:{&quot;date-parts&quot;:[[2024]]},&quot;publisher-place&quot;:&quot;Santiago, Chile&quot;,&quot;language&quot;:&quot;Spanish&quot;,&quot;container-title-short&quot;:&quot;&quot;},&quot;isTemporary&quot;:false,&quot;suppress-author&quot;:false,&quot;composite&quot;:false,&quot;author-only&quot;:false}]},{&quot;citationID&quot;:&quot;MENDELEY_CITATION_25271863-fc6c-4406-924e-2c1f84cc844c&quot;,&quot;properties&quot;:{&quot;noteIndex&quot;:0},&quot;isEdited&quot;:false,&quot;manualOverride&quot;:{&quot;isManuallyOverridden&quot;:false,&quot;citeprocText&quot;:&quot;(Wernet et al., 2016)&quot;,&quot;manualOverrideText&quot;:&quot;&quot;},&quot;citationTag&quot;:&quot;MENDELEY_CITATION_v3_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&quot;,&quot;citationItems&quot;:[{&quot;id&quot;:&quot;64f2542c-1fe6-335d-9fc1-8f4ecd3d7a06&quot;,&quot;itemData&quot;:{&quot;type&quot;:&quot;article-journal&quot;,&quot;id&quot;:&quot;64f2542c-1fe6-335d-9fc1-8f4ecd3d7a06&quot;,&quot;title&quot;:&quot;The ecoinvent database version 3 (part I): overview and methodology&quot;,&quot;author&quot;:[{&quot;family&quot;:&quot;Wernet&quot;,&quot;given&quot;:&quot;Gregor&quot;,&quot;parse-names&quot;:false,&quot;dropping-particle&quot;:&quot;&quot;,&quot;non-dropping-particle&quot;:&quot;&quot;},{&quot;family&quot;:&quot;Bauer&quot;,&quot;given&quot;:&quot;Christian&quot;,&quot;parse-names&quot;:false,&quot;dropping-particle&quot;:&quot;&quot;,&quot;non-dropping-particle&quot;:&quot;&quot;},{&quot;family&quot;:&quot;Steubing&quot;,&quot;given&quot;:&quot;Bernhard&quot;,&quot;parse-names&quot;:false,&quot;dropping-particle&quot;:&quot;&quot;,&quot;non-dropping-particle&quot;:&quot;&quot;},{&quot;family&quot;:&quot;Reinhard&quot;,&quot;given&quot;:&quot;Jürgen&quot;,&quot;parse-names&quot;:false,&quot;dropping-particle&quot;:&quot;&quot;,&quot;non-dropping-particle&quot;:&quot;&quot;},{&quot;family&quot;:&quot;Moreno-Ruiz&quot;,&quot;given&quot;:&quot;Emilia&quot;,&quot;parse-names&quot;:false,&quot;dropping-particle&quot;:&quot;&quot;,&quot;non-dropping-particle&quot;:&quot;&quot;},{&quot;family&quot;:&quot;Weidema&quot;,&quot;given&quot;:&quot;Bo&quot;,&quot;parse-names&quot;:false,&quot;dropping-particle&quot;:&quot;&quot;,&quot;non-dropping-particle&quot;:&quot;&quot;}],&quot;container-title&quot;:&quot;International Journal of Life Cycle Assessment&quot;,&quot;DOI&quot;:&quot;10.1007/s11367-016-1087-8&quot;,&quot;ISSN&quot;:&quot;16147502&quot;,&quot;issued&quot;:{&quot;date-parts&quot;:[[2016,9,1]]},&quot;page&quot;:&quot;1218-1230&quot;,&quot;abstract&quot;:&quot;Purpose: Good background data are an important requirement in LCA. Practitioners generally make use of LCI databases for such data, and the ecoinvent database is the largest transparent unit-process LCI database worldwide. Since its first release in 2003, it has been continuously updated, and version 3 was published in 2013. The release of version 3 introduced several significant methodological and technological improvements, besides a large number of new and updated datasets. The aim was to expand the content of the database, set the foundation for a truly global database, support regionalized LCIA, offer multiple system models, allow for easier integration of data from different regions, and reduce maintenance efforts. This article describes the methodological developments. Methods: Modeling choices and raw data were separated in version 3, which enables the application of different sets of modeling choices, or system models, to the same raw data with little effort. This includes one system model for Consequential LCA. Flow properties were added to all exchanges in the database, giving more information on the inventory and allowing a fast calculation of mass and other balances. With version 3.1, the database is generally water-balanced, and water use and consumption can be determined. Consumption mixes called market datasets were consistently added to the database, and global background data was added, often as an extrapolation from regional data. Results and discussion: In combination with hundreds of new unit processes from regions outside Europe, these changes lead to an improved modeling of global supply chains, and a more realistic distribution of impacts in regionalized LCIA. The new mixes also facilitate further regionalization due to the availability of background data for all regions. Conclusions: With version 3, the ecoinvent database substantially expands the goals and scopes of LCA studies it can support. The new system models allow new, different studies to be performed. Global supply chains and market datasets significantly increase the relevance of the database outside of Europe, and regionalized LCA is supported by the data. Datasets are more transparent, include more information, and support, e.g., water balances. The developments also support easier collaboration with other database initiatives, as demonstrated by a first successful collaboration with a data project in Québec. Version 3 has set the foundation for expanding ecoinvent from a mostly regional into a truly global database and offers many new insights beyond the thousands of new and updated datasets it also introduced.&quot;,&quot;publisher&quot;:&quot;Springer Verlag&quot;,&quot;issue&quot;:&quot;9&quot;,&quot;volume&quot;:&quot;21&quot;,&quot;container-title-short&quot;:&quot;&quot;},&quot;isTemporary&quot;:false,&quot;suppress-author&quot;:false,&quot;composite&quot;:false,&quot;author-only&quot;:false}]},{&quot;citationID&quot;:&quot;MENDELEY_CITATION_afc0d263-dec4-4b90-a2bc-9fa6db276247&quot;,&quot;properties&quot;:{&quot;noteIndex&quot;:0},&quot;isEdited&quot;:false,&quot;manualOverride&quot;:{&quot;isManuallyOverridden&quot;:false,&quot;citeprocText&quot;:&quot;(Evaluation Commission Republic of Chile, 2021)&quot;,&quot;manualOverrideText&quot;:&quot;&quot;},&quot;citationTag&quot;:&quot;MENDELEY_CITATION_v3_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&quot;,&quot;citationItems&quot;:[{&quot;id&quot;:&quot;59e853ea-fd6a-3fa8-bfd4-081adcedf624&quot;,&quot;itemData&quot;:{&quot;type&quot;:&quot;legislation&quot;,&quot;id&quot;:&quot;59e853ea-fd6a-3fa8-bfd4-081adcedf624&quot;,&quot;title&quot;:&quot;Infrastructure development and improvement of the productive capacity of Collahuasi&quot;,&quot;author&quot;:[{&quot;family&quot;:&quot;Evaluation Commission Republic of Chile&quot;,&quot;given&quot;:&quot;&quot;,&quot;parse-names&quot;:false,&quot;dropping-particle&quot;:&quot;&quot;,&quot;non-dropping-particle&quot;:&quot;&quot;}],&quot;number&quot;:&quot;RCA 20219900112&quot;,&quot;accessed&quot;:{&quot;date-parts&quot;:[[2025,1,20]]},&quot;URL&quot;:&quot;https://validador.sea.gob.cl/validar/sea/documentVerification&quot;,&quot;issued&quot;:{&quot;date-parts&quot;:[[2021,12,21]]},&quot;publisher-place&quot;:&quot;Chile&quot;,&quot;language&quot;:&quot;Spanish&quot;,&quot;container-title-short&quot;:&quot;&quot;},&quot;isTemporary&quot;:false,&quot;suppress-author&quot;:false,&quot;composite&quot;:false,&quot;author-only&quot;:false}]},{&quot;citationID&quot;:&quot;MENDELEY_CITATION_43bfdc53-1eff-4319-8206-04b3c0026a1c&quot;,&quot;properties&quot;:{&quot;noteIndex&quot;:0},&quot;isEdited&quot;:false,&quot;manualOverride&quot;:{&quot;isManuallyOverridden&quot;:false,&quot;citeprocText&quot;:&quot;(Cochilco, 2024b)&quot;,&quot;manualOverrideText&quot;:&quot;&quot;},&quot;citationTag&quot;:&quot;MENDELEY_CITATION_v3_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&quot;,&quot;citationItems&quot;:[{&quot;id&quot;:&quot;3d76349f-9bb3-3a32-a385-d8e627f3d8c0&quot;,&quot;itemData&quot;:{&quot;type&quot;:&quot;report&quot;,&quot;id&quot;:&quot;3d76349f-9bb3-3a32-a385-d8e627f3d8c0&quot;,&quot;title&quot;:&quot;Projection of electrical energy consumption in copper mining 2023-2034&quot;,&quot;author&quot;:[{&quot;family&quot;:&quot;Chilean Copper Commission&quot;,&quot;given&quot;:&quot;&quot;,&quot;parse-names&quot;:false,&quot;dropping-particle&quot;:&quot;&quot;,&quot;non-dropping-particle&quot;:&quot;&quot;}],&quot;accessed&quot;:{&quot;date-parts&quot;:[[2025,1,20]]},&quot;URL&quot;:&quot;https://www.cochilco.cl/web/informe-proyeccion-del-consumo-de-energia-electrica-en-la-mineria-del-cobre-2023-2034/#:~:text=Se%20estima%20el%20consumo%20el%C3%A9ctrico,en%20el%20mismo%20periodo%20analizado.&quot;,&quot;issued&quot;:{&quot;date-parts&quot;:[[2024]]},&quot;publisher-place&quot;:&quot;Santiago, Chile&quot;,&quot;language&quot;:&quot;Spanish&quot;,&quot;container-title-short&quot;:&quot;&quot;},&quot;isTemporary&quot;:false,&quot;suppress-author&quot;:false,&quot;composite&quot;:false,&quot;author-only&quot;:false}]},{&quot;citationID&quot;:&quot;MENDELEY_CITATION_776bda0e-0a58-4542-8c2c-98e342fa45e2&quot;,&quot;properties&quot;:{&quot;noteIndex&quot;:0},&quot;isEdited&quot;:false,&quot;manualOverride&quot;:{&quot;isManuallyOverridden&quot;:false,&quot;citeprocText&quot;:&quot;(White, 1998)&quot;,&quot;manualOverrideText&quot;:&quot;&quot;},&quot;citationTag&quot;:&quot;MENDELEY_CITATION_v3_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&quot;,&quot;citationItems&quot;:[{&quot;id&quot;:&quot;755357e1-0640-3f1a-8e1f-1606f17e19a5&quot;,&quot;itemData&quot;:{&quot;type&quot;:&quot;book&quot;,&quot;id&quot;:&quot;755357e1-0640-3f1a-8e1f-1606f17e19a5&quot;,&quot;title&quot;:&quot;Fluid Mechanics&quot;,&quot;author&quot;:[{&quot;family&quot;:&quot;White&quot;,&quot;given&quot;:&quot;Frank M.&quot;,&quot;parse-names&quot;:false,&quot;dropping-particle&quot;:&quot;&quot;,&quot;non-dropping-particle&quot;:&quot;&quot;}],&quot;editor&quot;:[{&quot;family&quot;:&quot;Holman&quot;,&quot;given&quot;:&quot;Jack P.&quot;,&quot;parse-names&quot;:false,&quot;dropping-particle&quot;:&quot;&quot;,&quot;non-dropping-particle&quot;:&quot;&quot;},{&quot;family&quot;:&quot;Lloyd&quot;,&quot;given&quot;:&quot;John&quot;,&quot;parse-names&quot;:false,&quot;dropping-particle&quot;:&quot;&quot;,&quot;non-dropping-particle&quot;:&quot;&quot;}],&quot;issued&quot;:{&quot;date-parts&quot;:[[1998,1,1]]},&quot;edition&quot;:&quot;4&quot;,&quot;publisher&quot;:&quot;McGraw-Hill Science Engineering&quot;,&quot;container-title-short&quot;:&quot;&quot;},&quot;isTemporary&quot;:false,&quot;suppress-author&quot;:false,&quot;composite&quot;:false,&quot;author-only&quot;:false}]},{&quot;citationID&quot;:&quot;MENDELEY_CITATION_8d9ff049-e12e-4da0-840e-584bb35e497a&quot;,&quot;properties&quot;:{&quot;noteIndex&quot;:0},&quot;isEdited&quot;:false,&quot;manualOverride&quot;:{&quot;isManuallyOverridden&quot;:false,&quot;citeprocText&quot;:&quot;(Castro-Molinare, Korre, &amp;#38; Durucan, 2014)&quot;,&quot;manualOverrideText&quot;:&quot;&quot;},&quot;citationTag&quot;:&quot;MENDELEY_CITATION_v3_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&quot;,&quot;citationItems&quot;:[{&quot;id&quot;:&quot;3245f143-b178-3cad-ab38-e1d25efcbe7d&quot;,&quot;itemData&quot;:{&quot;type&quot;:&quot;chapter&quot;,&quot;id&quot;:&quot;3245f143-b178-3cad-ab38-e1d25efcbe7d&quot;,&quot;title&quot;:&quot;Sustainability Analysis of Copper Extraction and Processing using Life Cycle Analysis Methods: A Case Study in the North of Chile&quot;,&quot;author&quot;:[{&quot;family&quot;:&quot;Castro-Molinare&quot;,&quot;given&quot;:&quot;Julio&quot;,&quot;parse-names&quot;:false,&quot;dropping-particle&quot;:&quot;&quot;,&quot;non-dropping-particle&quot;:&quot;&quot;},{&quot;family&quot;:&quot;Korre&quot;,&quot;given&quot;:&quot;Anna&quot;,&quot;parse-names&quot;:false,&quot;dropping-particle&quot;:&quot;&quot;,&quot;non-dropping-particle&quot;:&quot;&quot;},{&quot;family&quot;:&quot;Durucan&quot;,&quot;given&quot;:&quot;Sevket&quot;,&quot;parse-names&quot;:false,&quot;dropping-particle&quot;:&quot;&quot;,&quot;non-dropping-particle&quot;:&quot;&quot;}],&quot;container-title&quot;:&quot;Computer Aided Chemical Engineering&quot;,&quot;DOI&quot;:&quot;10.1016/B978-0-444-63455-9.50145-8&quot;,&quot;ISSN&quot;:&quot;15707946&quot;,&quot;issued&quot;:{&quot;date-parts&quot;:[[2014]]},&quot;page&quot;:&quot;1861-1866&quot;,&quot;abstract&quot;:&quot;Although life cycle of mining and mineral processing systems, including copper production, have been carried out since the mid to late 1990s; these studies are limited to the ore extraction and mineral processing, not considering waste management, which is the most important part of metal production systems when assessing their environmental performance. In addition, the low level of detail in mineral production systems included in conventional LCA tools (not accounting for emission at unit process level) lead to oversimplifications and underestimation of true impacts. This paper presents the life cycle assessment model developed by the authors to assess the impacts of copper extraction and processing, including waste management. The model is designed at unit process level and accounts for emissions to the different environmental compartments (air, water, soil). The model functionality is illustrated through a case study of a Chilean mining and mineral processing operation. The sensitivity of the LCA impact category indicator scores to the variation of input parameters, such as the copper ore grade, mine stripping ratio, metal recovery efficiency and electricity source mix are also evaluated and presented. © 2014 Elsevier B.V.&quot;,&quot;publisher&quot;:&quot;Elsevier B.V.&quot;,&quot;volume&quot;:&quot;33&quot;,&quot;container-title-short&quot;:&quot;&quot;},&quot;isTemporary&quot;:false,&quot;suppress-author&quot;:false,&quot;composite&quot;:false,&quot;author-only&quot;:false}]},{&quot;citationID&quot;:&quot;MENDELEY_CITATION_8c965a9d-136f-4ac4-934c-4bbec263a3b6&quot;,&quot;properties&quot;:{&quot;noteIndex&quot;:0},&quot;isEdited&quot;:false,&quot;manualOverride&quot;:{&quot;isManuallyOverridden&quot;:false,&quot;citeprocText&quot;:&quot;(Cochilco, 2024c)&quot;,&quot;manualOverrideText&quot;:&quot;&quot;},&quot;citationTag&quot;:&quot;MENDELEY_CITATION_v3_eyJjaXRhdGlvbklEIjoiTUVOREVMRVlfQ0lUQVRJT05fOGM5NjVhOWQtMTM2Zi00YWM0LTkzNGMtNGJiZWMyNjNhM2I2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&quot;,&quot;citationItems&quot;:[{&quot;id&quot;:&quot;90b69680-a4db-3abc-a520-0f6a11ef899f&quot;,&quot;itemData&quot;:{&quot;type&quot;:&quot;report&quot;,&quot;id&quot;:&quot;90b69680-a4db-3abc-a520-0f6a11ef899f&quot;,&quot;title&quot;:&quot;Yearbook: Copper and Other Mineral Statistics 2004-2023&quot;,&quot;author&quot;:[{&quot;family&quot;:&quot;Cochilco&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suppress-author&quot;:false,&quot;composite&quot;:false,&quot;author-only&quot;:false}]},{&quot;citationID&quot;:&quot;MENDELEY_CITATION_eeb4fc23-1368-413c-855d-1dc234c87497&quot;,&quot;properties&quot;:{&quot;noteIndex&quot;:0},&quot;isEdited&quot;:false,&quot;manualOverride&quot;:{&quot;isManuallyOverridden&quot;:false,&quot;citeprocText&quot;:&quot;(Cochilco, 2024c; Mining Council of Chile, 2024)&quot;,&quot;manualOverrideText&quot;:&quot;&quot;},&quot;citationTag&quot;:&quot;MENDELEY_CITATION_v3_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V9XX0=&quot;,&quot;citationItems&quot;:[{&quot;id&quot;:&quot;c554fdd8-d604-3c20-974d-e07395d6cb76&quot;,&quot;itemData&quot;:{&quot;type&quot;:&quot;report&quot;,&quot;id&quot;:&quot;c554fdd8-d604-3c20-974d-e07395d6cb76&quot;,&quot;title&quot;:&quot;Updated Mining Data&quot;,&quot;author&quot;:[{&quot;family&quot;:&quot;Mining Council of Chile&quot;,&quot;given&quot;:&quot;&quot;,&quot;parse-names&quot;:false,&quot;dropping-particle&quot;:&quot;&quot;,&quot;non-dropping-particle&quot;:&quot;&quot;}],&quot;accessed&quot;:{&quot;date-parts&quot;:[[2025,1,19]]},&quot;URL&quot;:&quot;https://consejominero.cl/wp-content/uploads/2024/05/20240527-CAM.pdf&quot;,&quot;issued&quot;:{&quot;date-parts&quot;:[[2024,10]]},&quot;publisher-place&quot;:&quot;Santiago, Chile&quot;,&quot;language&quot;:&quot;Spanish&quot;,&quot;container-title-short&quot;:&quot;&quot;},&quot;isTemporary&quot;:false},{&quot;id&quot;:&quot;90b69680-a4db-3abc-a520-0f6a11ef899f&quot;,&quot;itemData&quot;:{&quot;type&quot;:&quot;report&quot;,&quot;id&quot;:&quot;90b69680-a4db-3abc-a520-0f6a11ef899f&quot;,&quot;title&quot;:&quot;Yearbook: Copper and Other Mineral Statistics 2004-2023&quot;,&quot;author&quot;:[{&quot;family&quot;:&quot;Cochilco&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citationID&quot;:&quot;MENDELEY_CITATION_dc930cd5-3045-4902-bd84-772e1fc132a3&quot;,&quot;properties&quot;:{&quot;noteIndex&quot;:0},&quot;isEdited&quot;:false,&quot;manualOverride&quot;:{&quot;isManuallyOverridden&quot;:false,&quot;citeprocText&quot;:&quot;(Ardente &amp;#38; Cellura, 2012)&quot;,&quot;manualOverrideText&quot;:&quot;&quot;},&quot;citationTag&quot;:&quot;MENDELEY_CITATION_v3_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&quot;,&quot;citationItems&quot;:[{&quot;id&quot;:&quot;06a9624f-f766-3b55-9546-fa70dbd4af0e&quot;,&quot;itemData&quot;:{&quot;type&quot;:&quot;article-journal&quot;,&quot;id&quot;:&quot;06a9624f-f766-3b55-9546-fa70dbd4af0e&quot;,&quot;title&quot;:&quot;Economic Allocation in Life Cycle Assessment: The State of the Art and Discussion of Examples&quot;,&quot;author&quot;:[{&quot;family&quot;:&quot;Ardente&quot;,&quot;given&quot;:&quot;Fulvio&quot;,&quot;parse-names&quot;:false,&quot;dropping-particle&quot;:&quot;&quot;,&quot;non-dropping-particle&quot;:&quot;&quot;},{&quot;family&quot;:&quot;Cellura&quot;,&quot;given&quot;:&quot;Maurizio&quot;,&quot;parse-names&quot;:false,&quot;dropping-particle&quot;:&quot;&quot;,&quot;non-dropping-particle&quot;:&quot;&quot;}],&quot;container-title&quot;:&quot;Journal of Industrial Ecology&quot;,&quot;container-title-short&quot;:&quot;J Ind Ecol&quot;,&quot;DOI&quot;:&quot;10.1111/j.1530-9290.2011.00434.x&quot;,&quot;ISSN&quot;:&quot;10881980&quot;,&quot;issued&quot;:{&quot;date-parts&quot;:[[2012,6]]},&quot;page&quot;:&quot;387-398&quot;,&quot;abstract&quot;:&quot;This article examines methods for analyzing allocation in life cycle assessment (LCA); it focuses on comparisons of economic allocation with other feasible alternatives. The International Organization for Standardization's (ISO) guideline 14044 indicates that economic allocation should only be used as a last resort, when other methods are not suitable. However, the LCA literature reports several examples of the use of economic allocation. This is due partly to its simplicity and partly to its ability to illustrate the properties of complex systems. Sometimes a price summarizes complex attributes of product or service quality that cannot be easily measured by physical criteria. On the other hand, economic allocation does have limitations arising, for example, from the variability of prices and the low correlation between prices and physical flows. This article presents the state of the debate on the topic and some hypothetical examples for illustration. A general conclusion is that it is not possible to determine one \&quot;best\&quot; allocation method. The allocation procedure has to be selected on a case-by-case basis and no single approach is suitable for every situation. Despite its limitations, economic allocation has certain qualities that make it flexible and potentially suitable for different contexts. In some situations, economic allocation should not be the last methodological resort. The option of economic allocation should be considered, for example, whenever the prices of coproducts and coservices differ widely. © 2011 by Yale University.&quot;,&quot;issue&quot;:&quot;3&quot;,&quot;volume&quot;:&quot;16&quot;},&quot;isTemporary&quot;:false,&quot;suppress-author&quot;:false,&quot;composite&quot;:false,&quot;author-only&quot;:false}]},{&quot;citationID&quot;:&quot;MENDELEY_CITATION_847cf9fa-a7c0-40a8-9e79-300abfa47cbb&quot;,&quot;properties&quot;:{&quot;noteIndex&quot;:0},&quot;isEdited&quot;:false,&quot;manualOverride&quot;:{&quot;isManuallyOverridden&quot;:false,&quot;citeprocText&quot;:&quot;(Cochilco, 2024a, 2024d; London Metal Exchange, 2024)&quot;,&quot;manualOverrideText&quot;:&quot;&quot;},&quot;citationTag&quot;:&quot;MENDELEY_CITATION_v3_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&quot;,&quot;citationItems&quot;:[{&quot;id&quot;:&quot;1f967ba7-1e03-3981-9e0e-1f01ddc95298&quot;,&quot;itemData&quot;:{&quot;type&quot;:&quot;webpage&quot;,&quot;id&quot;:&quot;1f967ba7-1e03-3981-9e0e-1f01ddc95298&quot;,&quot;title&quot;:&quot;Historical Metal Prices&quot;,&quot;author&quot;:[{&quot;family&quot;:&quot;Cochilco&quot;,&quot;given&quot;:&quot;&quot;,&quot;parse-names&quot;:false,&quot;dropping-particle&quot;:&quot;&quot;,&quot;non-dropping-particle&quot;:&quot;&quot;}],&quot;container-title&quot;:&quot;https://www.cochilco.cl/web/&quot;,&quot;issued&quot;:{&quot;date-parts&quot;:[[2024,12]]},&quot;container-title-short&quot;:&quot;&quot;},&quot;isTemporary&quot;:false},{&quot;id&quot;:&quot;78b36a71-9310-38a3-97e9-3dfd9236509d&quot;,&quot;itemData&quot;:{&quot;type&quot;:&quot;report&quot;,&quot;id&quot;:&quot;78b36a71-9310-38a3-97e9-3dfd9236509d&quot;,&quot;title&quot;:&quot;Chilean sulfuric acid market. Projection to 2023&quot;,&quot;author&quot;:[{&quot;family&quot;:&quot;Cochilco&quot;,&quot;given&quot;:&quot;&quot;,&quot;parse-names&quot;:false,&quot;dropping-particle&quot;:&quot;&quot;,&quot;non-dropping-particle&quot;:&quot;&quot;}],&quot;issued&quot;:{&quot;date-parts&quot;:[[2024]]},&quot;publisher-place&quot;:&quot;Santiago, Chile&quot;,&quot;language&quot;:&quot;Spanish&quot;,&quot;container-title-short&quot;:&quot;&quot;},&quot;isTemporary&quot;:false},{&quot;id&quot;:&quot;d2b7ad85-6d17-3ac6-9fcf-b6dbef19e801&quot;,&quot;itemData&quot;:{&quot;type&quot;:&quot;webpage&quot;,&quot;id&quot;:&quot;d2b7ad85-6d17-3ac6-9fcf-b6dbef19e801&quot;,&quot;title&quot;:&quot;LME Copper Official Prices curve&quot;,&quot;author&quot;:[{&quot;family&quot;:&quot;London Metal Exchange&quot;,&quot;given&quot;:&quot;&quot;,&quot;parse-names&quot;:false,&quot;dropping-particle&quot;:&quot;&quot;,&quot;non-dropping-particle&quot;:&quot;&quot;}],&quot;container-title&quot;:&quot;https://www.lme.com/en/Metals/Non-ferrous/LME-Copper#Summary&quot;,&quot;issued&quot;:{&quot;date-parts&quot;:[[2024,12]]},&quot;container-title-short&quot;:&quot;&quot;},&quot;isTemporary&quot;:false}]},{&quot;citationID&quot;:&quot;MENDELEY_CITATION_1a010dce-9497-4c9a-bdc6-c3088212a33c&quot;,&quot;properties&quot;:{&quot;noteIndex&quot;:0},&quot;isEdited&quot;:false,&quot;manualOverride&quot;:{&quot;isManuallyOverridden&quot;:false,&quot;citeprocText&quot;:&quot;(Cochilco, 2024c)&quot;,&quot;manualOverrideText&quot;:&quot;&quot;},&quot;citationTag&quot;:&quot;MENDELEY_CITATION_v3_eyJjaXRhdGlvbklEIjoiTUVOREVMRVlfQ0lUQVRJT05fMWEwMTBkY2UtOTQ5Ny00YzlhLWJkYzYtYzMwODgyMTJhMzNj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oaWxlYW4gQ29wcGVyIENvbW1pc3Npb24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quot;,&quot;citationItems&quot;:[{&quot;id&quot;:&quot;90b69680-a4db-3abc-a520-0f6a11ef899f&quot;,&quot;itemData&quot;:{&quot;type&quot;:&quot;report&quot;,&quot;id&quot;:&quot;90b69680-a4db-3abc-a520-0f6a11ef899f&quot;,&quot;title&quot;:&quot;Yearbook: Copper and Other Mineral Statistics 2004-2023&quot;,&quot;author&quot;:[{&quot;family&quot;:&quot;Chilean Copper Commission&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suppress-author&quot;:false,&quot;composite&quot;:false,&quot;author-only&quot;:false}]},{&quot;citationID&quot;:&quot;MENDELEY_CITATION_88bedb72-d5d7-4888-8072-6c94d17e1ad3&quot;,&quot;properties&quot;:{&quot;noteIndex&quot;:0},&quot;isEdited&quot;:false,&quot;manualOverride&quot;:{&quot;isManuallyOverridden&quot;:false,&quot;citeprocText&quot;:&quot;(Cochilco, 2024c)&quot;,&quot;manualOverrideText&quot;:&quot;&quot;},&quot;citationTag&quot;:&quot;MENDELEY_CITATION_v3_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&quot;,&quot;citationItems&quot;:[{&quot;id&quot;:&quot;90b69680-a4db-3abc-a520-0f6a11ef899f&quot;,&quot;itemData&quot;:{&quot;type&quot;:&quot;report&quot;,&quot;id&quot;:&quot;90b69680-a4db-3abc-a520-0f6a11ef899f&quot;,&quot;title&quot;:&quot;Yearbook: Copper and Other Mineral Statistics 2004-2023&quot;,&quot;author&quot;:[{&quot;family&quot;:&quot;Chilean Copper Commission&quot;,&quot;given&quot;:&quot;&quot;,&quot;parse-names&quot;:false,&quot;dropping-particle&quot;:&quot;&quot;,&quot;non-dropping-particle&quot;:&quot;&quot;}],&quot;accessed&quot;:{&quot;date-parts&quot;:[[2025,1,17]]},&quot;URL&quot;:&quot;https://www.cochilco.cl/web/anuario-de-estadisticas-del-cobre-y-otros-minerales/&quot;,&quot;issued&quot;:{&quot;date-parts&quot;:[[2024]]},&quot;publisher-place&quot;:&quot;Santiago, Chile&quot;,&quot;language&quot;:&quot;Spanish/ English&quot;,&quot;container-title-short&quot;:&quot;&quot;},&quot;isTemporary&quot;:false,&quot;suppress-author&quot;:false,&quot;composite&quot;:false,&quot;author-onl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D1E83-40CD-1440-B93D-B7E875805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22</Pages>
  <Words>5428</Words>
  <Characters>30940</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Application of Physical Economy Approaches</vt:lpstr>
    </vt:vector>
  </TitlesOfParts>
  <Company>Griffith University</Company>
  <LinksUpToDate>false</LinksUpToDate>
  <CharactersWithSpaces>36296</CharactersWithSpaces>
  <SharedDoc>false</SharedDoc>
  <HLinks>
    <vt:vector size="6" baseType="variant">
      <vt:variant>
        <vt:i4>1441886</vt:i4>
      </vt:variant>
      <vt:variant>
        <vt:i4>0</vt:i4>
      </vt:variant>
      <vt:variant>
        <vt:i4>0</vt:i4>
      </vt:variant>
      <vt:variant>
        <vt:i4>5</vt:i4>
      </vt:variant>
      <vt:variant>
        <vt:lpwstr>http://www.wileyonlinelibrary.com/journal/jie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of Physical Economy Approaches</dc:title>
  <dc:subject/>
  <dc:creator>Peter Daniels</dc:creator>
  <cp:keywords/>
  <cp:lastModifiedBy>Javiera Cepeda Kato</cp:lastModifiedBy>
  <cp:revision>217</cp:revision>
  <cp:lastPrinted>2011-02-03T06:37:00Z</cp:lastPrinted>
  <dcterms:created xsi:type="dcterms:W3CDTF">2025-01-31T07:03:00Z</dcterms:created>
  <dcterms:modified xsi:type="dcterms:W3CDTF">2025-09-03T00:45:00Z</dcterms:modified>
</cp:coreProperties>
</file>