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9A7C7" w14:textId="3A922E1B" w:rsidR="002D46CC" w:rsidRDefault="00801F01">
      <w:pPr>
        <w:pStyle w:val="a7"/>
        <w:rPr>
          <w:rFonts w:ascii="Arial" w:hAnsi="Arial"/>
          <w:sz w:val="28"/>
        </w:rPr>
      </w:pPr>
      <w:r>
        <w:rPr>
          <w:noProof/>
        </w:rPr>
        <w:drawing>
          <wp:anchor distT="0" distB="0" distL="114300" distR="114300" simplePos="0" relativeHeight="251658240" behindDoc="1" locked="0" layoutInCell="1" allowOverlap="1" wp14:anchorId="33BFCA6A" wp14:editId="14FF9F06">
            <wp:simplePos x="0" y="0"/>
            <wp:positionH relativeFrom="column">
              <wp:posOffset>-38100</wp:posOffset>
            </wp:positionH>
            <wp:positionV relativeFrom="paragraph">
              <wp:posOffset>-5080</wp:posOffset>
            </wp:positionV>
            <wp:extent cx="5467350" cy="476250"/>
            <wp:effectExtent l="0" t="0" r="0" b="0"/>
            <wp:wrapNone/>
            <wp:docPr id="3" name="図 1" descr="esupp new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upp new graphic"/>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67350" cy="476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264AD8" w14:textId="77777777" w:rsidR="002B5979" w:rsidRPr="00B82850" w:rsidRDefault="002B5979" w:rsidP="00BC4005">
      <w:pPr>
        <w:pStyle w:val="a7"/>
        <w:outlineLvl w:val="0"/>
        <w:rPr>
          <w:rFonts w:ascii="Arial Rounded MT Bold" w:hAnsi="Arial Rounded MT Bold" w:cs="Arial"/>
          <w:sz w:val="21"/>
          <w:szCs w:val="21"/>
        </w:rPr>
      </w:pPr>
      <w:r>
        <w:rPr>
          <w:rFonts w:ascii="Arial" w:hAnsi="Arial"/>
          <w:sz w:val="28"/>
        </w:rPr>
        <w:t xml:space="preserve">           </w:t>
      </w:r>
      <w:r w:rsidRPr="00B82850">
        <w:rPr>
          <w:rFonts w:ascii="Arial Rounded MT Bold" w:hAnsi="Arial Rounded MT Bold" w:cs="Arial"/>
          <w:sz w:val="21"/>
          <w:szCs w:val="21"/>
        </w:rPr>
        <w:t>SUPPORTING INFORMATION FOR:</w:t>
      </w:r>
    </w:p>
    <w:p w14:paraId="38121A3C" w14:textId="77777777" w:rsidR="002B5979" w:rsidRDefault="002B5979">
      <w:pPr>
        <w:pStyle w:val="a7"/>
        <w:rPr>
          <w:rFonts w:ascii="Arial" w:hAnsi="Arial"/>
          <w:sz w:val="28"/>
        </w:rPr>
      </w:pPr>
    </w:p>
    <w:p w14:paraId="29853A81" w14:textId="0BC3C468" w:rsidR="00637D84" w:rsidRPr="008929D7" w:rsidRDefault="00BC7DAC" w:rsidP="008A2B05">
      <w:pPr>
        <w:pStyle w:val="a7"/>
        <w:rPr>
          <w:rFonts w:ascii="Arial" w:hAnsi="Arial"/>
          <w:b/>
          <w:sz w:val="28"/>
        </w:rPr>
      </w:pPr>
      <w:r>
        <w:rPr>
          <w:rFonts w:ascii="Arial" w:eastAsiaTheme="minorEastAsia" w:hAnsi="Arial" w:hint="eastAsia"/>
          <w:sz w:val="28"/>
          <w:lang w:eastAsia="ja-JP"/>
        </w:rPr>
        <w:t>Maeno</w:t>
      </w:r>
      <w:r w:rsidR="0067182A">
        <w:rPr>
          <w:rFonts w:ascii="Arial" w:hAnsi="Arial"/>
          <w:sz w:val="28"/>
        </w:rPr>
        <w:t xml:space="preserve">, </w:t>
      </w:r>
      <w:r>
        <w:rPr>
          <w:rFonts w:ascii="Arial" w:eastAsiaTheme="minorEastAsia" w:hAnsi="Arial" w:hint="eastAsia"/>
          <w:sz w:val="28"/>
          <w:lang w:eastAsia="ja-JP"/>
        </w:rPr>
        <w:t>K</w:t>
      </w:r>
      <w:r w:rsidR="008929D7">
        <w:rPr>
          <w:rFonts w:ascii="Arial" w:hAnsi="Arial"/>
          <w:sz w:val="28"/>
        </w:rPr>
        <w:t>.</w:t>
      </w:r>
      <w:r w:rsidR="00957CB3">
        <w:rPr>
          <w:rFonts w:ascii="Arial" w:hAnsi="Arial"/>
          <w:sz w:val="28"/>
        </w:rPr>
        <w:t xml:space="preserve">, </w:t>
      </w:r>
      <w:r>
        <w:rPr>
          <w:rFonts w:ascii="Arial" w:eastAsiaTheme="minorEastAsia" w:hAnsi="Arial" w:hint="eastAsia"/>
          <w:sz w:val="28"/>
          <w:lang w:eastAsia="ja-JP"/>
        </w:rPr>
        <w:t>Islam</w:t>
      </w:r>
      <w:r w:rsidR="00957CB3">
        <w:rPr>
          <w:rFonts w:ascii="Arial" w:hAnsi="Arial"/>
          <w:sz w:val="28"/>
        </w:rPr>
        <w:t>,</w:t>
      </w:r>
      <w:r w:rsidR="009F5CBF">
        <w:rPr>
          <w:rFonts w:ascii="Arial" w:hAnsi="Arial"/>
          <w:sz w:val="28"/>
        </w:rPr>
        <w:t xml:space="preserve"> </w:t>
      </w:r>
      <w:r>
        <w:rPr>
          <w:rFonts w:ascii="Arial" w:eastAsiaTheme="minorEastAsia" w:hAnsi="Arial" w:hint="eastAsia"/>
          <w:sz w:val="28"/>
          <w:lang w:eastAsia="ja-JP"/>
        </w:rPr>
        <w:t>K</w:t>
      </w:r>
      <w:r w:rsidR="00DB45F4">
        <w:rPr>
          <w:rFonts w:ascii="Arial" w:hAnsi="Arial"/>
          <w:sz w:val="28"/>
        </w:rPr>
        <w:t xml:space="preserve">. &amp; </w:t>
      </w:r>
      <w:proofErr w:type="spellStart"/>
      <w:r>
        <w:rPr>
          <w:rFonts w:ascii="Arial" w:eastAsiaTheme="minorEastAsia" w:hAnsi="Arial" w:hint="eastAsia"/>
          <w:sz w:val="28"/>
          <w:lang w:eastAsia="ja-JP"/>
        </w:rPr>
        <w:t>Motoshita</w:t>
      </w:r>
      <w:proofErr w:type="spellEnd"/>
      <w:r w:rsidR="00DB45F4">
        <w:rPr>
          <w:rFonts w:ascii="Arial" w:hAnsi="Arial"/>
          <w:sz w:val="28"/>
        </w:rPr>
        <w:t xml:space="preserve">, </w:t>
      </w:r>
      <w:r>
        <w:rPr>
          <w:rFonts w:ascii="Arial" w:eastAsiaTheme="minorEastAsia" w:hAnsi="Arial" w:hint="eastAsia"/>
          <w:sz w:val="28"/>
          <w:lang w:eastAsia="ja-JP"/>
        </w:rPr>
        <w:t>M</w:t>
      </w:r>
      <w:r w:rsidR="00DB45F4">
        <w:rPr>
          <w:rFonts w:ascii="Arial" w:hAnsi="Arial"/>
          <w:sz w:val="28"/>
        </w:rPr>
        <w:t>.</w:t>
      </w:r>
      <w:r w:rsidR="00281931" w:rsidRPr="00281931">
        <w:t xml:space="preserve"> </w:t>
      </w:r>
      <w:r w:rsidRPr="00BC7DAC">
        <w:rPr>
          <w:rFonts w:ascii="Arial" w:hAnsi="Arial"/>
          <w:sz w:val="28"/>
        </w:rPr>
        <w:t xml:space="preserve">Assessing positive and negative effects of global supply chains through water </w:t>
      </w:r>
      <w:proofErr w:type="spellStart"/>
      <w:r w:rsidRPr="00BC7DAC">
        <w:rPr>
          <w:rFonts w:ascii="Arial" w:hAnsi="Arial"/>
          <w:sz w:val="28"/>
        </w:rPr>
        <w:t>footprinting</w:t>
      </w:r>
      <w:proofErr w:type="spellEnd"/>
      <w:r w:rsidRPr="00BC7DAC">
        <w:rPr>
          <w:rFonts w:ascii="Arial" w:hAnsi="Arial"/>
          <w:sz w:val="28"/>
        </w:rPr>
        <w:t>: The balance between economic benefits and environmental pressure from the global and regional scale perspectives</w:t>
      </w:r>
      <w:r w:rsidR="0067182A">
        <w:rPr>
          <w:rFonts w:ascii="Arial" w:hAnsi="Arial"/>
          <w:sz w:val="28"/>
        </w:rPr>
        <w:t xml:space="preserve">. </w:t>
      </w:r>
      <w:r w:rsidR="0067182A" w:rsidRPr="0067182A">
        <w:rPr>
          <w:rFonts w:ascii="Arial" w:hAnsi="Arial"/>
          <w:i/>
          <w:sz w:val="28"/>
        </w:rPr>
        <w:t>Journal of Industrial Ecology.</w:t>
      </w:r>
    </w:p>
    <w:p w14:paraId="77221E02" w14:textId="77777777" w:rsidR="00637D84" w:rsidRDefault="00985C4A">
      <w:pPr>
        <w:pStyle w:val="a7"/>
        <w:rPr>
          <w:rFonts w:ascii="Garamond" w:hAnsi="Garamond"/>
          <w:sz w:val="20"/>
        </w:rPr>
      </w:pPr>
      <w:r>
        <w:rPr>
          <w:rFonts w:ascii="Garamond" w:hAnsi="Garamond"/>
          <w:noProof/>
          <w:sz w:val="20"/>
        </w:rPr>
        <w:object w:dxaOrig="1440" w:dyaOrig="1440" w14:anchorId="5FC519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3.6pt;margin-top:11.45pt;width:259.5pt;height:20.25pt;z-index:251657216;mso-wrap-edited:f" o:allowincell="f">
            <v:imagedata r:id="rId8" o:title=""/>
            <w10:wrap type="topAndBottom"/>
          </v:shape>
          <o:OLEObject Type="Embed" ProgID="PBrush" ShapeID="_x0000_s2050" DrawAspect="Content" ObjectID="_1838201296" r:id="rId9"/>
        </w:object>
      </w:r>
    </w:p>
    <w:p w14:paraId="72E626F0" w14:textId="025E8BD4" w:rsidR="00281931" w:rsidRPr="00BD609D" w:rsidRDefault="0067182A" w:rsidP="00281931">
      <w:pPr>
        <w:rPr>
          <w:rFonts w:ascii="Arial" w:eastAsiaTheme="minorEastAsia" w:hAnsi="Arial"/>
          <w:sz w:val="22"/>
          <w:lang w:eastAsia="ja-JP"/>
        </w:rPr>
      </w:pPr>
      <w:r>
        <w:rPr>
          <w:rFonts w:ascii="Arial" w:hAnsi="Arial"/>
          <w:sz w:val="22"/>
        </w:rPr>
        <w:t xml:space="preserve">This supporting information </w:t>
      </w:r>
      <w:r w:rsidR="00957CB3">
        <w:rPr>
          <w:rFonts w:ascii="Arial" w:hAnsi="Arial"/>
          <w:sz w:val="22"/>
        </w:rPr>
        <w:t>provides</w:t>
      </w:r>
      <w:r w:rsidR="000724FB">
        <w:rPr>
          <w:rFonts w:ascii="Arial" w:eastAsiaTheme="minorEastAsia" w:hAnsi="Arial" w:hint="eastAsia"/>
          <w:sz w:val="22"/>
          <w:lang w:eastAsia="ja-JP"/>
        </w:rPr>
        <w:t xml:space="preserve"> </w:t>
      </w:r>
      <w:proofErr w:type="gramStart"/>
      <w:r w:rsidR="00EA3C37">
        <w:rPr>
          <w:rFonts w:ascii="Arial" w:eastAsiaTheme="minorEastAsia" w:hAnsi="Arial" w:hint="eastAsia"/>
          <w:sz w:val="22"/>
          <w:lang w:eastAsia="ja-JP"/>
        </w:rPr>
        <w:t>the</w:t>
      </w:r>
      <w:proofErr w:type="gramEnd"/>
      <w:r w:rsidR="00EA3C37">
        <w:rPr>
          <w:rFonts w:ascii="Arial" w:eastAsiaTheme="minorEastAsia" w:hAnsi="Arial" w:hint="eastAsia"/>
          <w:sz w:val="22"/>
          <w:lang w:eastAsia="ja-JP"/>
        </w:rPr>
        <w:t xml:space="preserve"> </w:t>
      </w:r>
      <w:r w:rsidR="007B0B0E">
        <w:rPr>
          <w:rFonts w:ascii="Arial" w:eastAsiaTheme="minorEastAsia" w:hAnsi="Arial" w:hint="eastAsia"/>
          <w:sz w:val="22"/>
          <w:lang w:eastAsia="ja-JP"/>
        </w:rPr>
        <w:t xml:space="preserve">demonstration of the </w:t>
      </w:r>
      <w:r w:rsidR="007B0B0E" w:rsidRPr="007B0B0E">
        <w:rPr>
          <w:rFonts w:ascii="Arial" w:hAnsi="Arial"/>
          <w:sz w:val="22"/>
        </w:rPr>
        <w:t xml:space="preserve">detailed results for </w:t>
      </w:r>
      <w:r w:rsidR="009A176C">
        <w:rPr>
          <w:rFonts w:ascii="Arial" w:eastAsiaTheme="minorEastAsia" w:hAnsi="Arial" w:hint="eastAsia"/>
          <w:sz w:val="22"/>
          <w:lang w:eastAsia="ja-JP"/>
        </w:rPr>
        <w:t>WOC of all countries</w:t>
      </w:r>
      <w:r w:rsidR="009A176C">
        <w:rPr>
          <w:rFonts w:ascii="Arial" w:eastAsiaTheme="minorEastAsia" w:hAnsi="Arial"/>
          <w:sz w:val="22"/>
          <w:lang w:eastAsia="ja-JP"/>
        </w:rPr>
        <w:t>’</w:t>
      </w:r>
      <w:r w:rsidR="009A176C">
        <w:rPr>
          <w:rFonts w:ascii="Arial" w:eastAsiaTheme="minorEastAsia" w:hAnsi="Arial" w:hint="eastAsia"/>
          <w:sz w:val="22"/>
          <w:lang w:eastAsia="ja-JP"/>
        </w:rPr>
        <w:t xml:space="preserve"> GSCs and </w:t>
      </w:r>
      <w:r w:rsidR="007B0B0E" w:rsidRPr="007B0B0E">
        <w:rPr>
          <w:rFonts w:ascii="Arial" w:hAnsi="Arial"/>
          <w:sz w:val="22"/>
        </w:rPr>
        <w:t xml:space="preserve">the relationship between WOC and VA </w:t>
      </w:r>
      <w:r w:rsidR="00453D20">
        <w:rPr>
          <w:rFonts w:ascii="Arial" w:eastAsiaTheme="minorEastAsia" w:hAnsi="Arial" w:hint="eastAsia"/>
          <w:sz w:val="22"/>
          <w:lang w:eastAsia="ja-JP"/>
        </w:rPr>
        <w:t>of</w:t>
      </w:r>
      <w:r w:rsidR="007B0B0E" w:rsidRPr="007B0B0E">
        <w:rPr>
          <w:rFonts w:ascii="Arial" w:hAnsi="Arial"/>
          <w:sz w:val="22"/>
        </w:rPr>
        <w:t xml:space="preserve"> each sector </w:t>
      </w:r>
      <w:r w:rsidR="00453D20">
        <w:rPr>
          <w:rFonts w:ascii="Arial" w:eastAsiaTheme="minorEastAsia" w:hAnsi="Arial" w:hint="eastAsia"/>
          <w:sz w:val="22"/>
          <w:lang w:eastAsia="ja-JP"/>
        </w:rPr>
        <w:t>with</w:t>
      </w:r>
      <w:r w:rsidR="007B0B0E" w:rsidRPr="007B0B0E">
        <w:rPr>
          <w:rFonts w:ascii="Arial" w:hAnsi="Arial"/>
          <w:sz w:val="22"/>
        </w:rPr>
        <w:t xml:space="preserve">in </w:t>
      </w:r>
      <w:r w:rsidR="009A176C">
        <w:rPr>
          <w:rFonts w:ascii="Arial" w:eastAsiaTheme="minorEastAsia" w:hAnsi="Arial" w:hint="eastAsia"/>
          <w:sz w:val="22"/>
          <w:lang w:eastAsia="ja-JP"/>
        </w:rPr>
        <w:t xml:space="preserve">the top 20 </w:t>
      </w:r>
      <w:proofErr w:type="gramStart"/>
      <w:r w:rsidR="00173A11">
        <w:rPr>
          <w:rFonts w:ascii="Arial" w:eastAsiaTheme="minorEastAsia" w:hAnsi="Arial" w:hint="eastAsia"/>
          <w:sz w:val="22"/>
          <w:lang w:eastAsia="ja-JP"/>
        </w:rPr>
        <w:t>country</w:t>
      </w:r>
      <w:r w:rsidR="00173A11">
        <w:rPr>
          <w:rFonts w:ascii="Arial" w:eastAsiaTheme="minorEastAsia" w:hAnsi="Arial"/>
          <w:sz w:val="22"/>
          <w:lang w:eastAsia="ja-JP"/>
        </w:rPr>
        <w:t>’</w:t>
      </w:r>
      <w:r w:rsidR="00173A11">
        <w:rPr>
          <w:rFonts w:ascii="Arial" w:eastAsiaTheme="minorEastAsia" w:hAnsi="Arial" w:hint="eastAsia"/>
          <w:sz w:val="22"/>
          <w:lang w:eastAsia="ja-JP"/>
        </w:rPr>
        <w:t>s</w:t>
      </w:r>
      <w:proofErr w:type="gramEnd"/>
      <w:r w:rsidR="00173A11">
        <w:rPr>
          <w:rFonts w:ascii="Arial" w:eastAsiaTheme="minorEastAsia" w:hAnsi="Arial" w:hint="eastAsia"/>
          <w:sz w:val="22"/>
          <w:lang w:eastAsia="ja-JP"/>
        </w:rPr>
        <w:t xml:space="preserve"> </w:t>
      </w:r>
      <w:r w:rsidR="009A176C">
        <w:rPr>
          <w:rFonts w:ascii="Arial" w:eastAsiaTheme="minorEastAsia" w:hAnsi="Arial" w:hint="eastAsia"/>
          <w:sz w:val="22"/>
          <w:lang w:eastAsia="ja-JP"/>
        </w:rPr>
        <w:t>GSCs with the largest WOC</w:t>
      </w:r>
      <w:r w:rsidR="00AF150B">
        <w:rPr>
          <w:rFonts w:ascii="Arial" w:eastAsiaTheme="minorEastAsia" w:hAnsi="Arial" w:hint="eastAsia"/>
          <w:sz w:val="22"/>
          <w:lang w:eastAsia="ja-JP"/>
        </w:rPr>
        <w:t xml:space="preserve"> </w:t>
      </w:r>
      <w:r w:rsidR="00AF150B">
        <w:rPr>
          <w:rFonts w:hint="eastAsia"/>
        </w:rPr>
        <w:t xml:space="preserve">focused </w:t>
      </w:r>
      <w:proofErr w:type="gramStart"/>
      <w:r w:rsidR="00AF150B">
        <w:rPr>
          <w:rFonts w:hint="eastAsia"/>
        </w:rPr>
        <w:t>in</w:t>
      </w:r>
      <w:proofErr w:type="gramEnd"/>
      <w:r w:rsidR="00AF150B">
        <w:rPr>
          <w:rFonts w:hint="eastAsia"/>
        </w:rPr>
        <w:t xml:space="preserve"> this study</w:t>
      </w:r>
      <w:r w:rsidR="007B0B0E" w:rsidRPr="007B0B0E">
        <w:rPr>
          <w:rFonts w:ascii="Arial" w:hAnsi="Arial"/>
          <w:sz w:val="22"/>
        </w:rPr>
        <w:t>.</w:t>
      </w:r>
    </w:p>
    <w:p w14:paraId="0270BAE7" w14:textId="00CDD88D" w:rsidR="00637D84" w:rsidRDefault="00801F01" w:rsidP="00281931">
      <w:pPr>
        <w:jc w:val="right"/>
        <w:rPr>
          <w:rFonts w:ascii="Garamond" w:hAnsi="Garamond"/>
          <w:sz w:val="20"/>
        </w:rPr>
      </w:pPr>
      <w:r w:rsidRPr="00127752">
        <w:rPr>
          <w:rFonts w:ascii="Garamond" w:hAnsi="Garamond"/>
          <w:noProof/>
          <w:sz w:val="20"/>
        </w:rPr>
        <w:drawing>
          <wp:inline distT="0" distB="0" distL="0" distR="0" wp14:anchorId="2777D606" wp14:editId="6C4A7DED">
            <wp:extent cx="3076575" cy="14287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76575" cy="142875"/>
                    </a:xfrm>
                    <a:prstGeom prst="rect">
                      <a:avLst/>
                    </a:prstGeom>
                    <a:noFill/>
                    <a:ln>
                      <a:noFill/>
                    </a:ln>
                  </pic:spPr>
                </pic:pic>
              </a:graphicData>
            </a:graphic>
          </wp:inline>
        </w:drawing>
      </w:r>
    </w:p>
    <w:p w14:paraId="39BEF12E" w14:textId="77777777" w:rsidR="00637D84" w:rsidRDefault="00637D84">
      <w:pPr>
        <w:pStyle w:val="a7"/>
        <w:rPr>
          <w:rFonts w:ascii="Garamond" w:hAnsi="Garamond"/>
          <w:sz w:val="20"/>
        </w:rPr>
      </w:pPr>
      <w:r>
        <w:rPr>
          <w:rFonts w:ascii="Garamond" w:hAnsi="Garamond"/>
          <w:sz w:val="22"/>
        </w:rPr>
        <w:t xml:space="preserve"> </w:t>
      </w:r>
    </w:p>
    <w:p w14:paraId="2BD55F8F" w14:textId="1B14D972" w:rsidR="00365929" w:rsidRDefault="00365929">
      <w:pPr>
        <w:rPr>
          <w:rFonts w:ascii="Garamond" w:hAnsi="Garamond"/>
        </w:rPr>
      </w:pPr>
      <w:r>
        <w:br w:type="page"/>
      </w:r>
    </w:p>
    <w:p w14:paraId="69AA68A9" w14:textId="77777777" w:rsidR="00365929" w:rsidRPr="00F22701" w:rsidRDefault="00365929" w:rsidP="00365929">
      <w:pPr>
        <w:jc w:val="center"/>
        <w:rPr>
          <w:b/>
          <w:bCs/>
          <w:sz w:val="28"/>
          <w:szCs w:val="32"/>
        </w:rPr>
      </w:pPr>
      <w:r w:rsidRPr="00F22701">
        <w:rPr>
          <w:rFonts w:hint="eastAsia"/>
          <w:b/>
          <w:bCs/>
          <w:sz w:val="28"/>
          <w:szCs w:val="32"/>
        </w:rPr>
        <w:lastRenderedPageBreak/>
        <w:t>Supp</w:t>
      </w:r>
      <w:r>
        <w:rPr>
          <w:rFonts w:hint="eastAsia"/>
          <w:b/>
          <w:bCs/>
          <w:sz w:val="28"/>
          <w:szCs w:val="32"/>
        </w:rPr>
        <w:t>lementary</w:t>
      </w:r>
      <w:r w:rsidRPr="00F22701">
        <w:rPr>
          <w:rFonts w:hint="eastAsia"/>
          <w:b/>
          <w:bCs/>
          <w:sz w:val="28"/>
          <w:szCs w:val="32"/>
        </w:rPr>
        <w:t xml:space="preserve"> Information 2</w:t>
      </w:r>
    </w:p>
    <w:p w14:paraId="497E0B1D" w14:textId="77777777" w:rsidR="00365929" w:rsidRPr="0053588D" w:rsidRDefault="00365929" w:rsidP="00365929"/>
    <w:p w14:paraId="037D2AB6" w14:textId="77777777" w:rsidR="00365929" w:rsidRPr="0053588D" w:rsidRDefault="00365929" w:rsidP="00365929">
      <w:pPr>
        <w:rPr>
          <w:b/>
          <w:sz w:val="28"/>
          <w:szCs w:val="32"/>
        </w:rPr>
      </w:pPr>
      <w:r w:rsidRPr="0053588D">
        <w:rPr>
          <w:b/>
          <w:sz w:val="28"/>
          <w:szCs w:val="32"/>
        </w:rPr>
        <w:t xml:space="preserve">Assessing positive and negative effects of global supply chains through water </w:t>
      </w:r>
      <w:proofErr w:type="spellStart"/>
      <w:r w:rsidRPr="0053588D">
        <w:rPr>
          <w:b/>
          <w:sz w:val="28"/>
          <w:szCs w:val="32"/>
        </w:rPr>
        <w:t>footprinting</w:t>
      </w:r>
      <w:proofErr w:type="spellEnd"/>
      <w:r w:rsidRPr="0053588D">
        <w:rPr>
          <w:b/>
          <w:sz w:val="28"/>
          <w:szCs w:val="32"/>
        </w:rPr>
        <w:t>: The balance between economic benefits and environmental pressure from the global and regional scale perspectives</w:t>
      </w:r>
    </w:p>
    <w:p w14:paraId="73DC2D0E" w14:textId="77777777" w:rsidR="00365929" w:rsidRPr="0053588D" w:rsidRDefault="00365929" w:rsidP="00365929"/>
    <w:p w14:paraId="60B960FA" w14:textId="77777777" w:rsidR="00365929" w:rsidRPr="0053588D" w:rsidRDefault="00365929" w:rsidP="00365929">
      <w:r w:rsidRPr="0053588D">
        <w:t xml:space="preserve">Keitaro </w:t>
      </w:r>
      <w:proofErr w:type="spellStart"/>
      <w:proofErr w:type="gramStart"/>
      <w:r w:rsidRPr="0053588D">
        <w:t>Maeno</w:t>
      </w:r>
      <w:r w:rsidRPr="0053588D">
        <w:rPr>
          <w:vertAlign w:val="superscript"/>
        </w:rPr>
        <w:t>a,b</w:t>
      </w:r>
      <w:proofErr w:type="spellEnd"/>
      <w:proofErr w:type="gramEnd"/>
      <w:r w:rsidRPr="0053588D">
        <w:t xml:space="preserve">*, </w:t>
      </w:r>
      <w:bookmarkStart w:id="0" w:name="_Hlk62685849"/>
      <w:r w:rsidRPr="0053588D">
        <w:t xml:space="preserve">Kamrul </w:t>
      </w:r>
      <w:proofErr w:type="spellStart"/>
      <w:proofErr w:type="gramStart"/>
      <w:r w:rsidRPr="0053588D">
        <w:t>Islam</w:t>
      </w:r>
      <w:r w:rsidRPr="0053588D">
        <w:rPr>
          <w:vertAlign w:val="superscript"/>
        </w:rPr>
        <w:t>a,b</w:t>
      </w:r>
      <w:proofErr w:type="spellEnd"/>
      <w:proofErr w:type="gramEnd"/>
      <w:r w:rsidRPr="0053588D">
        <w:t xml:space="preserve">, Masaharu </w:t>
      </w:r>
      <w:bookmarkEnd w:id="0"/>
      <w:proofErr w:type="spellStart"/>
      <w:proofErr w:type="gramStart"/>
      <w:r w:rsidRPr="0053588D">
        <w:t>Motoshita</w:t>
      </w:r>
      <w:r w:rsidRPr="0053588D">
        <w:rPr>
          <w:vertAlign w:val="superscript"/>
        </w:rPr>
        <w:t>a,b</w:t>
      </w:r>
      <w:proofErr w:type="spellEnd"/>
      <w:proofErr w:type="gramEnd"/>
    </w:p>
    <w:p w14:paraId="42CA506E" w14:textId="77777777" w:rsidR="00365929" w:rsidRPr="0053588D" w:rsidRDefault="00365929" w:rsidP="00365929">
      <w:proofErr w:type="spellStart"/>
      <w:proofErr w:type="gramStart"/>
      <w:r w:rsidRPr="0053588D">
        <w:rPr>
          <w:vertAlign w:val="superscript"/>
        </w:rPr>
        <w:t>a</w:t>
      </w:r>
      <w:proofErr w:type="spellEnd"/>
      <w:proofErr w:type="gramEnd"/>
      <w:r w:rsidRPr="0053588D">
        <w:t xml:space="preserve"> Integrated Research Center for Nature Positive Technology, National Institute of Advanced Industrial Science and Technology, AIST Tsukuba West, 16-1 </w:t>
      </w:r>
      <w:proofErr w:type="spellStart"/>
      <w:r w:rsidRPr="0053588D">
        <w:t>Onogawa</w:t>
      </w:r>
      <w:proofErr w:type="spellEnd"/>
      <w:r w:rsidRPr="0053588D">
        <w:t>, Tsukuba, Ibaraki 305-8569, Japan</w:t>
      </w:r>
    </w:p>
    <w:p w14:paraId="667C5E3B" w14:textId="77777777" w:rsidR="00365929" w:rsidRPr="0053588D" w:rsidRDefault="00365929" w:rsidP="00365929">
      <w:r w:rsidRPr="0053588D">
        <w:rPr>
          <w:vertAlign w:val="superscript"/>
        </w:rPr>
        <w:t>b</w:t>
      </w:r>
      <w:r w:rsidRPr="0053588D">
        <w:t xml:space="preserve"> Research Institute of Science for Safety and Sustainability, National Institute of Advanced Industrial Science and Technology, AIST Tsukuba West, 16-1 </w:t>
      </w:r>
      <w:proofErr w:type="spellStart"/>
      <w:r w:rsidRPr="0053588D">
        <w:t>Onogawa</w:t>
      </w:r>
      <w:proofErr w:type="spellEnd"/>
      <w:r w:rsidRPr="0053588D">
        <w:t>, Tsukuba, Ibaraki 305-8569, Japan</w:t>
      </w:r>
    </w:p>
    <w:p w14:paraId="4C37E835" w14:textId="77777777" w:rsidR="00365929" w:rsidRPr="0053588D" w:rsidRDefault="00365929" w:rsidP="00365929">
      <w:r>
        <w:br w:type="page"/>
      </w:r>
    </w:p>
    <w:p w14:paraId="17D40CE0" w14:textId="77777777" w:rsidR="00365929" w:rsidRDefault="00365929" w:rsidP="00365929">
      <w:pPr>
        <w:jc w:val="both"/>
        <w:rPr>
          <w:i/>
          <w:iCs/>
        </w:rPr>
        <w:sectPr w:rsidR="00365929" w:rsidSect="00365929">
          <w:pgSz w:w="11906" w:h="16838"/>
          <w:pgMar w:top="1985" w:right="1701" w:bottom="1701" w:left="1701" w:header="851" w:footer="992" w:gutter="0"/>
          <w:cols w:space="425"/>
          <w:docGrid w:type="lines" w:linePitch="360"/>
        </w:sectPr>
      </w:pPr>
    </w:p>
    <w:p w14:paraId="3CFEBC20" w14:textId="77777777" w:rsidR="00365929" w:rsidRPr="00074480" w:rsidRDefault="00365929" w:rsidP="00365929">
      <w:pPr>
        <w:rPr>
          <w:i/>
          <w:iCs/>
        </w:rPr>
      </w:pPr>
      <w:r w:rsidRPr="00074480">
        <w:rPr>
          <w:noProof/>
        </w:rPr>
        <w:lastRenderedPageBreak/>
        <mc:AlternateContent>
          <mc:Choice Requires="wps">
            <w:drawing>
              <wp:anchor distT="45720" distB="45720" distL="114300" distR="114300" simplePos="0" relativeHeight="251663360" behindDoc="0" locked="0" layoutInCell="1" allowOverlap="1" wp14:anchorId="58DF8104" wp14:editId="11656C65">
                <wp:simplePos x="0" y="0"/>
                <wp:positionH relativeFrom="page">
                  <wp:posOffset>631190</wp:posOffset>
                </wp:positionH>
                <wp:positionV relativeFrom="paragraph">
                  <wp:posOffset>-970602</wp:posOffset>
                </wp:positionV>
                <wp:extent cx="9430385" cy="1404620"/>
                <wp:effectExtent l="0" t="0" r="0" b="8890"/>
                <wp:wrapNone/>
                <wp:docPr id="10789844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30385" cy="1404620"/>
                        </a:xfrm>
                        <a:prstGeom prst="rect">
                          <a:avLst/>
                        </a:prstGeom>
                        <a:solidFill>
                          <a:srgbClr val="FFFFFF"/>
                        </a:solidFill>
                        <a:ln w="9525">
                          <a:noFill/>
                          <a:miter lim="800000"/>
                          <a:headEnd/>
                          <a:tailEnd/>
                        </a:ln>
                      </wps:spPr>
                      <wps:txbx>
                        <w:txbxContent>
                          <w:p w14:paraId="1E823259" w14:textId="77777777" w:rsidR="00365929" w:rsidRPr="00074480" w:rsidRDefault="00365929" w:rsidP="00365929">
                            <w:pPr>
                              <w:jc w:val="center"/>
                            </w:pPr>
                            <w:r w:rsidRPr="0053588D">
                              <w:rPr>
                                <w:i/>
                                <w:iCs/>
                              </w:rPr>
                              <w:t xml:space="preserve">S1. </w:t>
                            </w:r>
                            <w:r w:rsidRPr="001F6DA2">
                              <w:rPr>
                                <w:i/>
                                <w:iCs/>
                              </w:rPr>
                              <w:t xml:space="preserve">Blue water overconsumption </w:t>
                            </w:r>
                            <w:r>
                              <w:rPr>
                                <w:rFonts w:hint="eastAsia"/>
                                <w:i/>
                                <w:iCs/>
                              </w:rPr>
                              <w:t xml:space="preserve">induced </w:t>
                            </w:r>
                            <w:r w:rsidRPr="001F6DA2">
                              <w:rPr>
                                <w:i/>
                                <w:iCs/>
                              </w:rPr>
                              <w:t xml:space="preserve">in global supply chains (GSCs) of </w:t>
                            </w:r>
                            <w:r>
                              <w:rPr>
                                <w:rFonts w:hint="eastAsia"/>
                                <w:i/>
                                <w:iCs/>
                              </w:rPr>
                              <w:t xml:space="preserve">industries in all countries </w:t>
                            </w:r>
                            <w:r>
                              <w:rPr>
                                <w:i/>
                                <w:iCs/>
                              </w:rPr>
                              <w:t>covered</w:t>
                            </w:r>
                            <w:r>
                              <w:rPr>
                                <w:rFonts w:hint="eastAsia"/>
                                <w:i/>
                                <w:iCs/>
                              </w:rPr>
                              <w:t xml:space="preserve"> by the GLORIA database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DF8104" id="_x0000_t202" coordsize="21600,21600" o:spt="202" path="m,l,21600r21600,l21600,xe">
                <v:stroke joinstyle="miter"/>
                <v:path gradientshapeok="t" o:connecttype="rect"/>
              </v:shapetype>
              <v:shape id="テキスト ボックス 2" o:spid="_x0000_s1026" type="#_x0000_t202" style="position:absolute;margin-left:49.7pt;margin-top:-76.45pt;width:742.55pt;height:110.6pt;z-index:25166336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" stroked="f">
                <v:textbox style="mso-fit-shape-to-text:t">
                  <w:txbxContent>
                    <w:p w14:paraId="1E823259" w14:textId="77777777" w:rsidR="00365929" w:rsidRPr="00074480" w:rsidRDefault="00365929" w:rsidP="00365929">
                      <w:pPr>
                        <w:jc w:val="center"/>
                      </w:pPr>
                      <w:r w:rsidRPr="0053588D">
                        <w:rPr>
                          <w:i/>
                          <w:iCs/>
                        </w:rPr>
                        <w:t xml:space="preserve">S1. </w:t>
                      </w:r>
                      <w:r w:rsidRPr="001F6DA2">
                        <w:rPr>
                          <w:i/>
                          <w:iCs/>
                        </w:rPr>
                        <w:t xml:space="preserve">Blue water overconsumption </w:t>
                      </w:r>
                      <w:r>
                        <w:rPr>
                          <w:rFonts w:hint="eastAsia"/>
                          <w:i/>
                          <w:iCs/>
                        </w:rPr>
                        <w:t xml:space="preserve">induced </w:t>
                      </w:r>
                      <w:r w:rsidRPr="001F6DA2">
                        <w:rPr>
                          <w:i/>
                          <w:iCs/>
                        </w:rPr>
                        <w:t xml:space="preserve">in global supply chains (GSCs) of </w:t>
                      </w:r>
                      <w:r>
                        <w:rPr>
                          <w:rFonts w:hint="eastAsia"/>
                          <w:i/>
                          <w:iCs/>
                        </w:rPr>
                        <w:t xml:space="preserve">industries in all countries </w:t>
                      </w:r>
                      <w:r>
                        <w:rPr>
                          <w:i/>
                          <w:iCs/>
                        </w:rPr>
                        <w:t>covered</w:t>
                      </w:r>
                      <w:r>
                        <w:rPr>
                          <w:rFonts w:hint="eastAsia"/>
                          <w:i/>
                          <w:iCs/>
                        </w:rPr>
                        <w:t xml:space="preserve"> by the GLORIA database</w:t>
                      </w:r>
                    </w:p>
                  </w:txbxContent>
                </v:textbox>
                <w10:wrap anchorx="page"/>
              </v:shape>
            </w:pict>
          </mc:Fallback>
        </mc:AlternateContent>
      </w:r>
      <w:r>
        <w:rPr>
          <w:noProof/>
        </w:rPr>
        <w:drawing>
          <wp:anchor distT="0" distB="0" distL="114300" distR="114300" simplePos="0" relativeHeight="251660288" behindDoc="0" locked="0" layoutInCell="1" allowOverlap="1" wp14:anchorId="7AFC0E6B" wp14:editId="32C213C3">
            <wp:simplePos x="0" y="0"/>
            <wp:positionH relativeFrom="page">
              <wp:posOffset>27179</wp:posOffset>
            </wp:positionH>
            <wp:positionV relativeFrom="paragraph">
              <wp:posOffset>-575169</wp:posOffset>
            </wp:positionV>
            <wp:extent cx="10494142" cy="5759355"/>
            <wp:effectExtent l="0" t="0" r="2540" b="0"/>
            <wp:wrapNone/>
            <wp:docPr id="119844980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02967" cy="576419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83EDCC" w14:textId="77777777" w:rsidR="00365929" w:rsidRDefault="00365929" w:rsidP="00365929">
      <w:pPr>
        <w:jc w:val="both"/>
      </w:pPr>
    </w:p>
    <w:p w14:paraId="47465A3D" w14:textId="77777777" w:rsidR="00365929" w:rsidRDefault="00365929" w:rsidP="00365929">
      <w:pPr>
        <w:jc w:val="both"/>
      </w:pPr>
    </w:p>
    <w:p w14:paraId="7100B9AA" w14:textId="77777777" w:rsidR="00365929" w:rsidRDefault="00365929" w:rsidP="00365929">
      <w:pPr>
        <w:jc w:val="both"/>
      </w:pPr>
    </w:p>
    <w:p w14:paraId="43DF90FD" w14:textId="77777777" w:rsidR="00365929" w:rsidRDefault="00365929" w:rsidP="00365929">
      <w:pPr>
        <w:jc w:val="both"/>
      </w:pPr>
    </w:p>
    <w:p w14:paraId="72CA18D7" w14:textId="77777777" w:rsidR="00365929" w:rsidRDefault="00365929" w:rsidP="00365929">
      <w:pPr>
        <w:jc w:val="both"/>
      </w:pPr>
    </w:p>
    <w:p w14:paraId="4E27F5A1" w14:textId="77777777" w:rsidR="00365929" w:rsidRDefault="00365929" w:rsidP="00365929">
      <w:pPr>
        <w:jc w:val="both"/>
      </w:pPr>
    </w:p>
    <w:p w14:paraId="6E06EF56" w14:textId="77777777" w:rsidR="00365929" w:rsidRDefault="00365929" w:rsidP="00365929">
      <w:pPr>
        <w:jc w:val="both"/>
      </w:pPr>
    </w:p>
    <w:p w14:paraId="1B18ABE2" w14:textId="77777777" w:rsidR="00365929" w:rsidRDefault="00365929" w:rsidP="00365929">
      <w:pPr>
        <w:jc w:val="both"/>
      </w:pPr>
    </w:p>
    <w:p w14:paraId="1C86B779" w14:textId="77777777" w:rsidR="00365929" w:rsidRDefault="00365929" w:rsidP="00365929">
      <w:pPr>
        <w:jc w:val="both"/>
      </w:pPr>
    </w:p>
    <w:p w14:paraId="77396389" w14:textId="77777777" w:rsidR="00365929" w:rsidRDefault="00365929" w:rsidP="00365929">
      <w:r w:rsidRPr="00074480">
        <w:rPr>
          <w:noProof/>
        </w:rPr>
        <mc:AlternateContent>
          <mc:Choice Requires="wps">
            <w:drawing>
              <wp:anchor distT="45720" distB="45720" distL="114300" distR="114300" simplePos="0" relativeHeight="251662336" behindDoc="0" locked="0" layoutInCell="1" allowOverlap="1" wp14:anchorId="5A7CE11A" wp14:editId="4C1E28FE">
                <wp:simplePos x="0" y="0"/>
                <wp:positionH relativeFrom="page">
                  <wp:align>center</wp:align>
                </wp:positionH>
                <wp:positionV relativeFrom="paragraph">
                  <wp:posOffset>3103880</wp:posOffset>
                </wp:positionV>
                <wp:extent cx="9430385" cy="1404620"/>
                <wp:effectExtent l="0" t="0" r="0" b="0"/>
                <wp:wrapNone/>
                <wp:docPr id="46659699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30385" cy="1404620"/>
                        </a:xfrm>
                        <a:prstGeom prst="rect">
                          <a:avLst/>
                        </a:prstGeom>
                        <a:solidFill>
                          <a:srgbClr val="FFFFFF"/>
                        </a:solidFill>
                        <a:ln w="9525">
                          <a:noFill/>
                          <a:miter lim="800000"/>
                          <a:headEnd/>
                          <a:tailEnd/>
                        </a:ln>
                      </wps:spPr>
                      <wps:txbx>
                        <w:txbxContent>
                          <w:p w14:paraId="3705653A" w14:textId="6911B039" w:rsidR="00365929" w:rsidRPr="00074480" w:rsidRDefault="00365929" w:rsidP="00365929">
                            <w:r w:rsidRPr="00E0621A">
                              <w:t>Figure S1. Bluewater overconsumption (WOC) within global supply chains (GSCs) which are induced to satisfy global final demands for final products produced in each country (i.e., the GSCs of each country’s industries). Countries are shown in the acronyms as listed in Table S</w:t>
                            </w:r>
                            <w:r w:rsidR="00D7000A">
                              <w:rPr>
                                <w:rFonts w:eastAsiaTheme="minorEastAsia" w:hint="eastAsia"/>
                                <w:lang w:eastAsia="ja-JP"/>
                              </w:rPr>
                              <w:t>3</w:t>
                            </w:r>
                            <w:r w:rsidRPr="00E0621A">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7CE11A" id="_x0000_t202" coordsize="21600,21600" o:spt="202" path="m,l,21600r21600,l21600,xe">
                <v:stroke joinstyle="miter"/>
                <v:path gradientshapeok="t" o:connecttype="rect"/>
              </v:shapetype>
              <v:shape id="_x0000_s1027" type="#_x0000_t202" style="position:absolute;margin-left:0;margin-top:244.4pt;width:742.55pt;height:110.6pt;z-index:251662336;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" stroked="f">
                <v:textbox style="mso-fit-shape-to-text:t">
                  <w:txbxContent>
                    <w:p w14:paraId="3705653A" w14:textId="6911B039" w:rsidR="00365929" w:rsidRPr="00074480" w:rsidRDefault="00365929" w:rsidP="00365929">
                      <w:r w:rsidRPr="00E0621A">
                        <w:t>Figure S1. Bluewater overconsumption (WOC) within global supply chains (GSCs) which are induced to satisfy global final demands for final products produced in each country (i.e., the GSCs of each country’s industries). Countries are shown in the acronyms as listed in Table S</w:t>
                      </w:r>
                      <w:r w:rsidR="00D7000A">
                        <w:rPr>
                          <w:rFonts w:eastAsiaTheme="minorEastAsia" w:hint="eastAsia"/>
                          <w:lang w:eastAsia="ja-JP"/>
                        </w:rPr>
                        <w:t>3</w:t>
                      </w:r>
                      <w:r w:rsidRPr="00E0621A">
                        <w:t>.</w:t>
                      </w:r>
                    </w:p>
                  </w:txbxContent>
                </v:textbox>
                <w10:wrap anchorx="page"/>
              </v:shape>
            </w:pict>
          </mc:Fallback>
        </mc:AlternateContent>
      </w:r>
      <w:r>
        <w:br w:type="page"/>
      </w:r>
    </w:p>
    <w:p w14:paraId="6FAC8304" w14:textId="77777777" w:rsidR="00365929" w:rsidRDefault="00365929" w:rsidP="00365929">
      <w:pPr>
        <w:jc w:val="both"/>
      </w:pPr>
      <w:r>
        <w:rPr>
          <w:noProof/>
        </w:rPr>
        <w:lastRenderedPageBreak/>
        <w:drawing>
          <wp:anchor distT="0" distB="0" distL="114300" distR="114300" simplePos="0" relativeHeight="251664384" behindDoc="0" locked="0" layoutInCell="1" allowOverlap="1" wp14:anchorId="0AE4605B" wp14:editId="7651497D">
            <wp:simplePos x="0" y="0"/>
            <wp:positionH relativeFrom="page">
              <wp:posOffset>0</wp:posOffset>
            </wp:positionH>
            <wp:positionV relativeFrom="paragraph">
              <wp:posOffset>-974725</wp:posOffset>
            </wp:positionV>
            <wp:extent cx="10588802" cy="6981825"/>
            <wp:effectExtent l="0" t="0" r="3175" b="0"/>
            <wp:wrapNone/>
            <wp:docPr id="126317026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588802" cy="6981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2B2138" w14:textId="77777777" w:rsidR="00365929" w:rsidRDefault="00365929" w:rsidP="00365929">
      <w:r w:rsidRPr="00074480">
        <w:rPr>
          <w:noProof/>
        </w:rPr>
        <mc:AlternateContent>
          <mc:Choice Requires="wps">
            <w:drawing>
              <wp:anchor distT="45720" distB="45720" distL="114300" distR="114300" simplePos="0" relativeHeight="251661312" behindDoc="0" locked="0" layoutInCell="1" allowOverlap="1" wp14:anchorId="277D36B9" wp14:editId="3E9D2998">
                <wp:simplePos x="0" y="0"/>
                <wp:positionH relativeFrom="margin">
                  <wp:align>center</wp:align>
                </wp:positionH>
                <wp:positionV relativeFrom="paragraph">
                  <wp:posOffset>5777865</wp:posOffset>
                </wp:positionV>
                <wp:extent cx="10134600" cy="14046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0" cy="1404620"/>
                        </a:xfrm>
                        <a:prstGeom prst="rect">
                          <a:avLst/>
                        </a:prstGeom>
                        <a:solidFill>
                          <a:srgbClr val="FFFFFF"/>
                        </a:solidFill>
                        <a:ln w="9525">
                          <a:noFill/>
                          <a:miter lim="800000"/>
                          <a:headEnd/>
                          <a:tailEnd/>
                        </a:ln>
                      </wps:spPr>
                      <wps:txbx>
                        <w:txbxContent>
                          <w:p w14:paraId="2DF02F75" w14:textId="377B9DD3" w:rsidR="00365929" w:rsidRPr="00074480" w:rsidRDefault="00365929" w:rsidP="00365929">
                            <w:r w:rsidRPr="00074480">
                              <w:t>Figure S2. Constitution of the sectoral contributions to the total WOC induced in each country’s GSCs. Countries are shown in the acronyms as listed in Table S</w:t>
                            </w:r>
                            <w:r w:rsidR="005E3CD2">
                              <w:rPr>
                                <w:rFonts w:eastAsiaTheme="minorEastAsia" w:hint="eastAsia"/>
                                <w:lang w:eastAsia="ja-JP"/>
                              </w:rPr>
                              <w:t>3</w:t>
                            </w:r>
                            <w:r w:rsidRPr="00074480">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7D36B9" id="_x0000_s1028" type="#_x0000_t202" style="position:absolute;margin-left:0;margin-top:454.95pt;width:798pt;height:110.6pt;z-index:25166131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" stroked="f">
                <v:textbox style="mso-fit-shape-to-text:t">
                  <w:txbxContent>
                    <w:p w14:paraId="2DF02F75" w14:textId="377B9DD3" w:rsidR="00365929" w:rsidRPr="00074480" w:rsidRDefault="00365929" w:rsidP="00365929">
                      <w:r w:rsidRPr="00074480">
                        <w:t>Figure S2. Constitution of the sectoral contributions to the total WOC induced in each country’s GSCs. Countries are shown in the acronyms as listed in Table S</w:t>
                      </w:r>
                      <w:r w:rsidR="005E3CD2">
                        <w:rPr>
                          <w:rFonts w:eastAsiaTheme="minorEastAsia" w:hint="eastAsia"/>
                          <w:lang w:eastAsia="ja-JP"/>
                        </w:rPr>
                        <w:t>3</w:t>
                      </w:r>
                      <w:r w:rsidRPr="00074480">
                        <w:t>.</w:t>
                      </w:r>
                    </w:p>
                  </w:txbxContent>
                </v:textbox>
                <w10:wrap anchorx="margin"/>
              </v:shape>
            </w:pict>
          </mc:Fallback>
        </mc:AlternateContent>
      </w:r>
      <w:r>
        <w:br w:type="page"/>
      </w:r>
    </w:p>
    <w:p w14:paraId="39A6496B" w14:textId="77777777" w:rsidR="00365929" w:rsidRDefault="00365929" w:rsidP="00365929">
      <w:pPr>
        <w:sectPr w:rsidR="00365929" w:rsidSect="00365929">
          <w:pgSz w:w="16840" w:h="11907" w:orient="landscape" w:code="9"/>
          <w:pgMar w:top="1701" w:right="1985" w:bottom="1701" w:left="1701" w:header="851" w:footer="992" w:gutter="0"/>
          <w:cols w:space="425"/>
          <w:docGrid w:type="lines" w:linePitch="360"/>
        </w:sectPr>
      </w:pPr>
    </w:p>
    <w:p w14:paraId="3B5B732D" w14:textId="77777777" w:rsidR="00365929" w:rsidRDefault="00365929" w:rsidP="00365929">
      <w:pPr>
        <w:jc w:val="both"/>
      </w:pPr>
      <w:r>
        <w:rPr>
          <w:rFonts w:hint="eastAsia"/>
        </w:rPr>
        <w:lastRenderedPageBreak/>
        <w:t xml:space="preserve">Figure S1 shows the blue water overconsumption induced in GSCs of industries in each country </w:t>
      </w:r>
      <w:r>
        <w:t>covered</w:t>
      </w:r>
      <w:r>
        <w:rPr>
          <w:rFonts w:hint="eastAsia"/>
        </w:rPr>
        <w:t xml:space="preserve"> by the GLORIA database (i.e., 164 countries and regions). From Fig.S1, we observed that the global WOC was concentrated in the specific countries GSCs such as the Indian, Chinese and USA</w:t>
      </w:r>
      <w:r>
        <w:t>’</w:t>
      </w:r>
      <w:r>
        <w:rPr>
          <w:rFonts w:hint="eastAsia"/>
        </w:rPr>
        <w:t xml:space="preserve">s GSCs. Specifically, more than 80% and 90% of the global total WOC was induced in GSCs of industries in 12 and 26 countries, respectively. </w:t>
      </w:r>
    </w:p>
    <w:p w14:paraId="3E5E4F01" w14:textId="77777777" w:rsidR="00365929" w:rsidRDefault="00365929" w:rsidP="00365929">
      <w:pPr>
        <w:jc w:val="both"/>
      </w:pPr>
    </w:p>
    <w:p w14:paraId="4309A20B" w14:textId="77777777" w:rsidR="00365929" w:rsidRDefault="00365929" w:rsidP="00365929">
      <w:pPr>
        <w:jc w:val="both"/>
      </w:pPr>
      <w:r>
        <w:rPr>
          <w:rFonts w:hint="eastAsia"/>
        </w:rPr>
        <w:t>Figure S2 represents the constitution of the sectoral contributions to the total WOC induced in each country</w:t>
      </w:r>
      <w:r>
        <w:t>’</w:t>
      </w:r>
      <w:r>
        <w:rPr>
          <w:rFonts w:hint="eastAsia"/>
        </w:rPr>
        <w:t xml:space="preserve">s GSCs. Based on Fig.S2, we found that more than half of the WOC is generated in the agriculture sector for almost all cases (153 out of 164 cases) </w:t>
      </w:r>
      <w:r>
        <w:t>other</w:t>
      </w:r>
      <w:r>
        <w:rPr>
          <w:rFonts w:hint="eastAsia"/>
        </w:rPr>
        <w:t xml:space="preserve"> than several specific cases such as the Sudanese, </w:t>
      </w:r>
      <w:r>
        <w:t>Nepalese</w:t>
      </w:r>
      <w:r>
        <w:rPr>
          <w:rFonts w:hint="eastAsia"/>
        </w:rPr>
        <w:t xml:space="preserve"> and Ethiopian GSCs. This result </w:t>
      </w:r>
      <w:r>
        <w:t>highlights</w:t>
      </w:r>
      <w:r>
        <w:rPr>
          <w:rFonts w:hint="eastAsia"/>
        </w:rPr>
        <w:t xml:space="preserve"> the dominant role of the agriculture sector in terms of WOC within the GSCs, the universal relevance of the macro scope analysis in this study and the comparability of the results targeting this sector among almost all cases of the GSCs. These findings support our focus on WOC in the agriculture sector within the top 20 GSCs </w:t>
      </w:r>
      <w:r>
        <w:t>with</w:t>
      </w:r>
      <w:r>
        <w:rPr>
          <w:rFonts w:hint="eastAsia"/>
        </w:rPr>
        <w:t xml:space="preserve"> the largest WOC in the main text.</w:t>
      </w:r>
    </w:p>
    <w:p w14:paraId="639A612D" w14:textId="77777777" w:rsidR="00365929" w:rsidRDefault="00365929" w:rsidP="00365929">
      <w:r>
        <w:br w:type="page"/>
      </w:r>
    </w:p>
    <w:p w14:paraId="348EEBBE" w14:textId="77777777" w:rsidR="00365929" w:rsidRDefault="00365929" w:rsidP="00365929">
      <w:pPr>
        <w:jc w:val="both"/>
        <w:rPr>
          <w:i/>
          <w:iCs/>
        </w:rPr>
      </w:pPr>
      <w:r w:rsidRPr="0053588D">
        <w:rPr>
          <w:i/>
          <w:iCs/>
        </w:rPr>
        <w:lastRenderedPageBreak/>
        <w:t>S</w:t>
      </w:r>
      <w:r>
        <w:rPr>
          <w:rFonts w:hint="eastAsia"/>
          <w:i/>
          <w:iCs/>
        </w:rPr>
        <w:t>2</w:t>
      </w:r>
      <w:r w:rsidRPr="0053588D">
        <w:rPr>
          <w:i/>
          <w:iCs/>
        </w:rPr>
        <w:t xml:space="preserve">. </w:t>
      </w:r>
      <w:r>
        <w:rPr>
          <w:rFonts w:hint="eastAsia"/>
          <w:i/>
          <w:iCs/>
        </w:rPr>
        <w:t xml:space="preserve">Relationship between CW-WOC and CW-VA of the other sectors than the agriculture sector in the top 20 GSCs with the largest WOC focused in this study </w:t>
      </w:r>
    </w:p>
    <w:p w14:paraId="69F69D2E" w14:textId="77777777" w:rsidR="00365929" w:rsidRPr="00091DD0" w:rsidRDefault="00365929" w:rsidP="00365929">
      <w:pPr>
        <w:jc w:val="both"/>
      </w:pPr>
    </w:p>
    <w:p w14:paraId="34F8E0A7" w14:textId="77777777" w:rsidR="00365929" w:rsidRDefault="00365929" w:rsidP="00365929">
      <w:pPr>
        <w:jc w:val="both"/>
      </w:pPr>
      <w:r>
        <w:rPr>
          <w:noProof/>
        </w:rPr>
        <w:drawing>
          <wp:inline distT="0" distB="0" distL="0" distR="0" wp14:anchorId="39B77772" wp14:editId="4E6E35CB">
            <wp:extent cx="5417797" cy="4430520"/>
            <wp:effectExtent l="0" t="0" r="0" b="0"/>
            <wp:docPr id="190060063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17797" cy="4430520"/>
                    </a:xfrm>
                    <a:prstGeom prst="rect">
                      <a:avLst/>
                    </a:prstGeom>
                    <a:noFill/>
                    <a:ln>
                      <a:noFill/>
                    </a:ln>
                  </pic:spPr>
                </pic:pic>
              </a:graphicData>
            </a:graphic>
          </wp:inline>
        </w:drawing>
      </w:r>
    </w:p>
    <w:p w14:paraId="4ACF3292" w14:textId="0A87C87E" w:rsidR="00365929" w:rsidRPr="00F22701" w:rsidRDefault="00365929" w:rsidP="00365929">
      <w:pPr>
        <w:jc w:val="both"/>
      </w:pPr>
      <w:r w:rsidRPr="0031308A">
        <w:t>Figure</w:t>
      </w:r>
      <w:r>
        <w:rPr>
          <w:rFonts w:hint="eastAsia"/>
        </w:rPr>
        <w:t xml:space="preserve"> S3</w:t>
      </w:r>
      <w:r w:rsidRPr="0031308A">
        <w:t>.</w:t>
      </w:r>
      <w:r w:rsidRPr="00C87772">
        <w:t xml:space="preserve"> Normalized contribution-weighted blue water overconsumption (CW-WOC) and contribution-weighted value-added (CW-VA) of the </w:t>
      </w:r>
      <w:r>
        <w:t>“</w:t>
      </w:r>
      <w:r>
        <w:rPr>
          <w:rFonts w:hint="eastAsia"/>
        </w:rPr>
        <w:t>Mining and quarrying</w:t>
      </w:r>
      <w:r w:rsidRPr="00C87772">
        <w:t xml:space="preserve"> sector</w:t>
      </w:r>
      <w:r>
        <w:rPr>
          <w:rFonts w:hint="eastAsia"/>
        </w:rPr>
        <w:t xml:space="preserve"> (ISIC rev4 code: B)</w:t>
      </w:r>
      <w:r>
        <w:t>”</w:t>
      </w:r>
      <w:r w:rsidRPr="00C87772">
        <w:t xml:space="preserve"> in the top 20 GSCs with the largest WOC </w:t>
      </w:r>
      <w:r>
        <w:rPr>
          <w:rFonts w:hint="eastAsia"/>
        </w:rPr>
        <w:t xml:space="preserve">focused </w:t>
      </w:r>
      <w:proofErr w:type="gramStart"/>
      <w:r>
        <w:rPr>
          <w:rFonts w:hint="eastAsia"/>
        </w:rPr>
        <w:t>in</w:t>
      </w:r>
      <w:proofErr w:type="gramEnd"/>
      <w:r>
        <w:rPr>
          <w:rFonts w:hint="eastAsia"/>
        </w:rPr>
        <w:t xml:space="preserve"> this study </w:t>
      </w:r>
      <w:r w:rsidRPr="00C87772">
        <w:t>and the relationship</w:t>
      </w:r>
      <w:r>
        <w:rPr>
          <w:rFonts w:hint="eastAsia"/>
        </w:rPr>
        <w:t xml:space="preserve"> between CW-WOC and CW-VA</w:t>
      </w:r>
      <w:r w:rsidRPr="00066482">
        <w:t xml:space="preserve"> of each of the </w:t>
      </w:r>
      <w:r>
        <w:rPr>
          <w:rFonts w:hint="eastAsia"/>
        </w:rPr>
        <w:t xml:space="preserve">relevant </w:t>
      </w:r>
      <w:r w:rsidRPr="00066482">
        <w:t>GSCs</w:t>
      </w:r>
      <w:r w:rsidRPr="00C87772">
        <w:t>.</w:t>
      </w:r>
      <w:r>
        <w:rPr>
          <w:rFonts w:hint="eastAsia"/>
        </w:rPr>
        <w:t xml:space="preserve"> Countries are shown in the acronyms as listed in Table S</w:t>
      </w:r>
      <w:r w:rsidR="003658F1">
        <w:rPr>
          <w:rFonts w:eastAsiaTheme="minorEastAsia" w:hint="eastAsia"/>
          <w:lang w:eastAsia="ja-JP"/>
        </w:rPr>
        <w:t>3</w:t>
      </w:r>
      <w:r>
        <w:rPr>
          <w:rFonts w:hint="eastAsia"/>
        </w:rPr>
        <w:t>.</w:t>
      </w:r>
    </w:p>
    <w:p w14:paraId="09D3E4F5" w14:textId="77777777" w:rsidR="00365929" w:rsidRDefault="00365929" w:rsidP="00365929">
      <w:pPr>
        <w:jc w:val="both"/>
      </w:pPr>
    </w:p>
    <w:p w14:paraId="21033D48" w14:textId="77777777" w:rsidR="00365929" w:rsidRDefault="00365929" w:rsidP="00365929">
      <w:pPr>
        <w:jc w:val="both"/>
      </w:pPr>
      <w:r>
        <w:rPr>
          <w:noProof/>
        </w:rPr>
        <w:lastRenderedPageBreak/>
        <w:drawing>
          <wp:inline distT="0" distB="0" distL="0" distR="0" wp14:anchorId="75127D5E" wp14:editId="61606A12">
            <wp:extent cx="5399908" cy="4430520"/>
            <wp:effectExtent l="0" t="0" r="0" b="0"/>
            <wp:docPr id="34747398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9908" cy="4430520"/>
                    </a:xfrm>
                    <a:prstGeom prst="rect">
                      <a:avLst/>
                    </a:prstGeom>
                    <a:noFill/>
                    <a:ln>
                      <a:noFill/>
                    </a:ln>
                  </pic:spPr>
                </pic:pic>
              </a:graphicData>
            </a:graphic>
          </wp:inline>
        </w:drawing>
      </w:r>
    </w:p>
    <w:p w14:paraId="1452C86D" w14:textId="07BF0F97" w:rsidR="00365929" w:rsidRPr="00F22701" w:rsidRDefault="00365929" w:rsidP="00365929">
      <w:pPr>
        <w:jc w:val="both"/>
      </w:pPr>
      <w:r w:rsidRPr="0031308A">
        <w:t>Figure</w:t>
      </w:r>
      <w:r>
        <w:rPr>
          <w:rFonts w:hint="eastAsia"/>
        </w:rPr>
        <w:t xml:space="preserve"> S4</w:t>
      </w:r>
      <w:r w:rsidRPr="0031308A">
        <w:t>.</w:t>
      </w:r>
      <w:r w:rsidRPr="00C87772">
        <w:t xml:space="preserve"> Normalized contribution-weighted blue water overconsumption (CW-WOC) and contribution-weighted value-added (CW-VA) of the </w:t>
      </w:r>
      <w:r>
        <w:t>“</w:t>
      </w:r>
      <w:r>
        <w:rPr>
          <w:rFonts w:hint="eastAsia"/>
        </w:rPr>
        <w:t>Manufacturing, infrastructure and construction</w:t>
      </w:r>
      <w:r w:rsidRPr="00C87772">
        <w:t xml:space="preserve"> sector</w:t>
      </w:r>
      <w:r>
        <w:rPr>
          <w:rFonts w:hint="eastAsia"/>
        </w:rPr>
        <w:t xml:space="preserve"> (ISIC rev4 code: C-F)</w:t>
      </w:r>
      <w:r>
        <w:t>”</w:t>
      </w:r>
      <w:r w:rsidRPr="00C87772">
        <w:t xml:space="preserve"> in the top 20 GSCs with the largest WOC </w:t>
      </w:r>
      <w:r>
        <w:rPr>
          <w:rFonts w:hint="eastAsia"/>
        </w:rPr>
        <w:t xml:space="preserve">focused </w:t>
      </w:r>
      <w:proofErr w:type="gramStart"/>
      <w:r>
        <w:rPr>
          <w:rFonts w:hint="eastAsia"/>
        </w:rPr>
        <w:t>in</w:t>
      </w:r>
      <w:proofErr w:type="gramEnd"/>
      <w:r>
        <w:rPr>
          <w:rFonts w:hint="eastAsia"/>
        </w:rPr>
        <w:t xml:space="preserve"> this study </w:t>
      </w:r>
      <w:r w:rsidRPr="00C87772">
        <w:t>and the relationship</w:t>
      </w:r>
      <w:r>
        <w:rPr>
          <w:rFonts w:hint="eastAsia"/>
        </w:rPr>
        <w:t xml:space="preserve"> between CW-WOC and CW-VA</w:t>
      </w:r>
      <w:r w:rsidRPr="00066482">
        <w:t xml:space="preserve"> of each of the </w:t>
      </w:r>
      <w:r>
        <w:rPr>
          <w:rFonts w:hint="eastAsia"/>
        </w:rPr>
        <w:t xml:space="preserve">relevant </w:t>
      </w:r>
      <w:r w:rsidRPr="00066482">
        <w:t>GSCs</w:t>
      </w:r>
      <w:r w:rsidRPr="00C87772">
        <w:t>.</w:t>
      </w:r>
      <w:r>
        <w:rPr>
          <w:rFonts w:hint="eastAsia"/>
        </w:rPr>
        <w:t xml:space="preserve"> Countries are shown in the acronyms as listed in Table S</w:t>
      </w:r>
      <w:r w:rsidR="003658F1">
        <w:rPr>
          <w:rFonts w:eastAsiaTheme="minorEastAsia" w:hint="eastAsia"/>
          <w:lang w:eastAsia="ja-JP"/>
        </w:rPr>
        <w:t>3</w:t>
      </w:r>
      <w:r>
        <w:rPr>
          <w:rFonts w:hint="eastAsia"/>
        </w:rPr>
        <w:t>.</w:t>
      </w:r>
    </w:p>
    <w:p w14:paraId="46DFCC33" w14:textId="77777777" w:rsidR="00365929" w:rsidRDefault="00365929" w:rsidP="00365929">
      <w:pPr>
        <w:jc w:val="both"/>
      </w:pPr>
    </w:p>
    <w:p w14:paraId="12A988C3" w14:textId="77777777" w:rsidR="00365929" w:rsidRDefault="00365929" w:rsidP="00365929">
      <w:pPr>
        <w:jc w:val="both"/>
      </w:pPr>
      <w:r>
        <w:rPr>
          <w:noProof/>
        </w:rPr>
        <w:lastRenderedPageBreak/>
        <w:drawing>
          <wp:inline distT="0" distB="0" distL="0" distR="0" wp14:anchorId="4AD2162C" wp14:editId="78A96375">
            <wp:extent cx="5420861" cy="4430520"/>
            <wp:effectExtent l="0" t="0" r="8890" b="0"/>
            <wp:docPr id="993436825"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0861" cy="4430520"/>
                    </a:xfrm>
                    <a:prstGeom prst="rect">
                      <a:avLst/>
                    </a:prstGeom>
                    <a:noFill/>
                    <a:ln>
                      <a:noFill/>
                    </a:ln>
                  </pic:spPr>
                </pic:pic>
              </a:graphicData>
            </a:graphic>
          </wp:inline>
        </w:drawing>
      </w:r>
    </w:p>
    <w:p w14:paraId="0CF05837" w14:textId="0C11FBCF" w:rsidR="00365929" w:rsidRPr="00F22701" w:rsidRDefault="00365929" w:rsidP="00365929">
      <w:pPr>
        <w:jc w:val="both"/>
      </w:pPr>
      <w:r w:rsidRPr="0031308A">
        <w:t>Figure</w:t>
      </w:r>
      <w:r>
        <w:rPr>
          <w:rFonts w:hint="eastAsia"/>
        </w:rPr>
        <w:t xml:space="preserve"> S5</w:t>
      </w:r>
      <w:r w:rsidRPr="0031308A">
        <w:t>.</w:t>
      </w:r>
      <w:r w:rsidRPr="00C87772">
        <w:t xml:space="preserve"> Normalized contribution-weighted blue water overconsumption (CW-WOC) and contribution-weighted value-added (CW-VA) of the </w:t>
      </w:r>
      <w:r>
        <w:t>“</w:t>
      </w:r>
      <w:r>
        <w:rPr>
          <w:rFonts w:hint="eastAsia"/>
        </w:rPr>
        <w:t>Services</w:t>
      </w:r>
      <w:r w:rsidRPr="00C87772">
        <w:t xml:space="preserve"> sector</w:t>
      </w:r>
      <w:r>
        <w:rPr>
          <w:rFonts w:hint="eastAsia"/>
        </w:rPr>
        <w:t xml:space="preserve"> (ISIC rev4 code: G-T)</w:t>
      </w:r>
      <w:r>
        <w:t>”</w:t>
      </w:r>
      <w:r w:rsidRPr="00C87772">
        <w:t xml:space="preserve"> in the top 20 GSCs with the largest WOC </w:t>
      </w:r>
      <w:r>
        <w:rPr>
          <w:rFonts w:hint="eastAsia"/>
        </w:rPr>
        <w:t xml:space="preserve">focused </w:t>
      </w:r>
      <w:proofErr w:type="gramStart"/>
      <w:r>
        <w:rPr>
          <w:rFonts w:hint="eastAsia"/>
        </w:rPr>
        <w:t>in</w:t>
      </w:r>
      <w:proofErr w:type="gramEnd"/>
      <w:r>
        <w:rPr>
          <w:rFonts w:hint="eastAsia"/>
        </w:rPr>
        <w:t xml:space="preserve"> this study </w:t>
      </w:r>
      <w:r w:rsidRPr="00C87772">
        <w:t>and the relationship</w:t>
      </w:r>
      <w:r>
        <w:rPr>
          <w:rFonts w:hint="eastAsia"/>
        </w:rPr>
        <w:t xml:space="preserve"> between CW-WOC and CW-VA</w:t>
      </w:r>
      <w:r w:rsidRPr="00066482">
        <w:t xml:space="preserve"> of each of the </w:t>
      </w:r>
      <w:r>
        <w:rPr>
          <w:rFonts w:hint="eastAsia"/>
        </w:rPr>
        <w:t xml:space="preserve">relevant </w:t>
      </w:r>
      <w:r w:rsidRPr="00066482">
        <w:t>GSCs</w:t>
      </w:r>
      <w:r w:rsidRPr="00C87772">
        <w:t>.</w:t>
      </w:r>
      <w:r>
        <w:rPr>
          <w:rFonts w:hint="eastAsia"/>
        </w:rPr>
        <w:t xml:space="preserve"> Countries are shown in the acronyms as listed in Table S</w:t>
      </w:r>
      <w:r w:rsidR="003658F1">
        <w:rPr>
          <w:rFonts w:eastAsiaTheme="minorEastAsia" w:hint="eastAsia"/>
          <w:lang w:eastAsia="ja-JP"/>
        </w:rPr>
        <w:t>3</w:t>
      </w:r>
      <w:r>
        <w:rPr>
          <w:rFonts w:hint="eastAsia"/>
        </w:rPr>
        <w:t>.</w:t>
      </w:r>
    </w:p>
    <w:p w14:paraId="7B74F25F" w14:textId="77777777" w:rsidR="00365929" w:rsidRPr="006C42AD" w:rsidRDefault="00365929" w:rsidP="00365929">
      <w:pPr>
        <w:jc w:val="both"/>
      </w:pPr>
    </w:p>
    <w:p w14:paraId="50830FC9" w14:textId="77777777" w:rsidR="00365929" w:rsidRDefault="00365929" w:rsidP="00365929">
      <w:pPr>
        <w:jc w:val="both"/>
      </w:pPr>
      <w:r>
        <w:rPr>
          <w:rFonts w:hint="eastAsia"/>
        </w:rPr>
        <w:t xml:space="preserve">Figures S3-S5 show the relationship between CW-WOC and CW-VA in sectors other than the agriculture sector involved in the top 20 GSCs with the largest WOC </w:t>
      </w:r>
      <w:r>
        <w:t>highlighted</w:t>
      </w:r>
      <w:r>
        <w:rPr>
          <w:rFonts w:hint="eastAsia"/>
        </w:rPr>
        <w:t xml:space="preserve"> in this study. These GSCs covered 78.4%, 79.6% and 75.3% of the global total WOC generated by each sector in 2015, respectively. From the figures, we can observe different </w:t>
      </w:r>
      <w:r>
        <w:t>situations</w:t>
      </w:r>
      <w:r>
        <w:rPr>
          <w:rFonts w:hint="eastAsia"/>
        </w:rPr>
        <w:t xml:space="preserve"> from the analysis focusing on the agriculture sector </w:t>
      </w:r>
      <w:r>
        <w:t>described</w:t>
      </w:r>
      <w:r>
        <w:rPr>
          <w:rFonts w:hint="eastAsia"/>
        </w:rPr>
        <w:t xml:space="preserve"> in the main text. </w:t>
      </w:r>
    </w:p>
    <w:p w14:paraId="4F0173CD" w14:textId="77777777" w:rsidR="00365929" w:rsidRDefault="00365929" w:rsidP="00365929">
      <w:pPr>
        <w:jc w:val="both"/>
      </w:pPr>
    </w:p>
    <w:p w14:paraId="05C45AE4" w14:textId="097CBC86" w:rsidR="00365929" w:rsidRPr="00066482" w:rsidRDefault="00365929" w:rsidP="00365929">
      <w:pPr>
        <w:jc w:val="both"/>
      </w:pPr>
      <w:r>
        <w:rPr>
          <w:rFonts w:hint="eastAsia"/>
        </w:rPr>
        <w:t xml:space="preserve">For example, the Chinese GSCs </w:t>
      </w:r>
      <w:r w:rsidRPr="00A43076">
        <w:t>showed the highest CW-WOC and CW-VA values</w:t>
      </w:r>
      <w:r>
        <w:rPr>
          <w:rFonts w:hint="eastAsia"/>
        </w:rPr>
        <w:t xml:space="preserve"> in </w:t>
      </w:r>
      <w:r>
        <w:t>“</w:t>
      </w:r>
      <w:r>
        <w:rPr>
          <w:rFonts w:hint="eastAsia"/>
        </w:rPr>
        <w:t>Mining and quarrying sector</w:t>
      </w:r>
      <w:r>
        <w:t>”</w:t>
      </w:r>
      <w:r>
        <w:rPr>
          <w:rFonts w:hint="eastAsia"/>
        </w:rPr>
        <w:t xml:space="preserve"> and </w:t>
      </w:r>
      <w:r>
        <w:t>“</w:t>
      </w:r>
      <w:r w:rsidRPr="0086006C">
        <w:t>Manufacturing, infrastructure and construction sector</w:t>
      </w:r>
      <w:r>
        <w:t>”</w:t>
      </w:r>
      <w:r>
        <w:rPr>
          <w:rFonts w:hint="eastAsia"/>
        </w:rPr>
        <w:t xml:space="preserve"> </w:t>
      </w:r>
      <w:r>
        <w:t>involved</w:t>
      </w:r>
      <w:r>
        <w:rPr>
          <w:rFonts w:hint="eastAsia"/>
        </w:rPr>
        <w:t xml:space="preserve"> within the GSCs (Fig.S3-S4), </w:t>
      </w:r>
      <w:r w:rsidRPr="001D2716">
        <w:t>reflecting China’s global dominance in production activities in these sectors.</w:t>
      </w:r>
      <w:r>
        <w:rPr>
          <w:rFonts w:hint="eastAsia"/>
        </w:rPr>
        <w:t xml:space="preserve"> Looking at the slope of the relationships between both indicators (i.e., the VA-based efficiency of WOC in this study) of the relevant GSCs (Fig.S3-S4), we found that the Chinese GSCs were </w:t>
      </w:r>
      <w:r>
        <w:t>relatively</w:t>
      </w:r>
      <w:r>
        <w:rPr>
          <w:rFonts w:hint="eastAsia"/>
        </w:rPr>
        <w:t xml:space="preserve"> inefficient in terms of the balance between CW-WOC and CW-VA in these sectors within the relevant GSCs, indicating different situations from the result of their agriculture sector. On the other hand, from Fig.S4-S5, the USA</w:t>
      </w:r>
      <w:r>
        <w:t>’</w:t>
      </w:r>
      <w:r>
        <w:rPr>
          <w:rFonts w:hint="eastAsia"/>
        </w:rPr>
        <w:t xml:space="preserve">s GSCs showed a relatively efficient balance between CW-WOC and CW-VA in </w:t>
      </w:r>
      <w:r>
        <w:lastRenderedPageBreak/>
        <w:t>“</w:t>
      </w:r>
      <w:r w:rsidRPr="0086006C">
        <w:t>Manufacturing, infrastructure and construction sector</w:t>
      </w:r>
      <w:r>
        <w:t>”</w:t>
      </w:r>
      <w:r>
        <w:rPr>
          <w:rFonts w:hint="eastAsia"/>
        </w:rPr>
        <w:t xml:space="preserve"> and </w:t>
      </w:r>
      <w:r>
        <w:t>“</w:t>
      </w:r>
      <w:r>
        <w:rPr>
          <w:rFonts w:hint="eastAsia"/>
        </w:rPr>
        <w:t>Services sector</w:t>
      </w:r>
      <w:r>
        <w:t>”</w:t>
      </w:r>
      <w:r>
        <w:rPr>
          <w:rFonts w:hint="eastAsia"/>
        </w:rPr>
        <w:t xml:space="preserve"> within the relevant GSCs</w:t>
      </w:r>
      <w:r w:rsidRPr="00531B12">
        <w:t>, again unlike the result for the agriculture sector.</w:t>
      </w:r>
      <w:r>
        <w:rPr>
          <w:rFonts w:hint="eastAsia"/>
        </w:rPr>
        <w:t xml:space="preserve"> This result highlighted the relevance of our focus on the agriculture sector in this case. For further detailed information, we provided CW-WOC and CW-VA in all countries</w:t>
      </w:r>
      <w:r>
        <w:t>’</w:t>
      </w:r>
      <w:r>
        <w:rPr>
          <w:rFonts w:hint="eastAsia"/>
        </w:rPr>
        <w:t xml:space="preserve"> GSCs covered by GLORIA in Tables S</w:t>
      </w:r>
      <w:r w:rsidR="00D10F7D">
        <w:rPr>
          <w:rFonts w:eastAsiaTheme="minorEastAsia" w:hint="eastAsia"/>
          <w:lang w:eastAsia="ja-JP"/>
        </w:rPr>
        <w:t>4</w:t>
      </w:r>
      <w:r>
        <w:rPr>
          <w:rFonts w:hint="eastAsia"/>
        </w:rPr>
        <w:t>-S</w:t>
      </w:r>
      <w:r w:rsidR="00D10F7D">
        <w:rPr>
          <w:rFonts w:eastAsiaTheme="minorEastAsia" w:hint="eastAsia"/>
          <w:lang w:eastAsia="ja-JP"/>
        </w:rPr>
        <w:t>7</w:t>
      </w:r>
      <w:r>
        <w:rPr>
          <w:rFonts w:hint="eastAsia"/>
        </w:rPr>
        <w:t xml:space="preserve"> in </w:t>
      </w:r>
      <w:r>
        <w:t>Supplementary</w:t>
      </w:r>
      <w:r>
        <w:rPr>
          <w:rFonts w:hint="eastAsia"/>
        </w:rPr>
        <w:t xml:space="preserve"> Information </w:t>
      </w:r>
      <w:r w:rsidR="00D10F7D">
        <w:rPr>
          <w:rFonts w:eastAsiaTheme="minorEastAsia" w:hint="eastAsia"/>
          <w:lang w:eastAsia="ja-JP"/>
        </w:rPr>
        <w:t>SI</w:t>
      </w:r>
      <w:r>
        <w:rPr>
          <w:rFonts w:hint="eastAsia"/>
        </w:rPr>
        <w:t>1.</w:t>
      </w:r>
    </w:p>
    <w:p w14:paraId="09E6B1AD" w14:textId="77777777" w:rsidR="005053C2" w:rsidRPr="00365929" w:rsidRDefault="005053C2">
      <w:pPr>
        <w:pStyle w:val="JIEreferencelist"/>
        <w:ind w:left="0" w:firstLine="0"/>
        <w:rPr>
          <w:rFonts w:eastAsiaTheme="minorEastAsia"/>
          <w:i/>
          <w:lang w:eastAsia="ja-JP"/>
        </w:rPr>
      </w:pPr>
    </w:p>
    <w:sectPr w:rsidR="005053C2" w:rsidRPr="00365929" w:rsidSect="005212CA">
      <w:headerReference w:type="default" r:id="rId16"/>
      <w:footerReference w:type="default" r:id="rId17"/>
      <w:headerReference w:type="first" r:id="rId18"/>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E08A5" w14:textId="77777777" w:rsidR="008203F6" w:rsidRDefault="008203F6">
      <w:r>
        <w:separator/>
      </w:r>
    </w:p>
  </w:endnote>
  <w:endnote w:type="continuationSeparator" w:id="0">
    <w:p w14:paraId="270016D1" w14:textId="77777777" w:rsidR="008203F6" w:rsidRDefault="00820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DAC1E" w14:textId="77777777" w:rsidR="00637D84" w:rsidRPr="00DB45F4" w:rsidRDefault="00637D84">
    <w:pPr>
      <w:autoSpaceDE w:val="0"/>
      <w:autoSpaceDN w:val="0"/>
      <w:adjustRightInd w:val="0"/>
      <w:jc w:val="center"/>
      <w:rPr>
        <w:rFonts w:eastAsia="Times New Roman"/>
        <w:szCs w:val="24"/>
      </w:rPr>
    </w:pPr>
    <w:r w:rsidRPr="00DB45F4">
      <w:rPr>
        <w:rFonts w:eastAsia="Times New Roman"/>
        <w:szCs w:val="24"/>
      </w:rPr>
      <w:t>S-</w:t>
    </w:r>
    <w:r w:rsidR="00127752" w:rsidRPr="00DB45F4">
      <w:rPr>
        <w:rStyle w:val="a9"/>
        <w:szCs w:val="24"/>
        <w:lang w:val="en-GB"/>
      </w:rPr>
      <w:fldChar w:fldCharType="begin"/>
    </w:r>
    <w:r w:rsidRPr="00DB45F4">
      <w:rPr>
        <w:rStyle w:val="a9"/>
        <w:szCs w:val="24"/>
        <w:lang w:val="en-GB"/>
      </w:rPr>
      <w:instrText xml:space="preserve"> PAGE </w:instrText>
    </w:r>
    <w:r w:rsidR="00127752" w:rsidRPr="00DB45F4">
      <w:rPr>
        <w:rStyle w:val="a9"/>
        <w:szCs w:val="24"/>
        <w:lang w:val="en-GB"/>
      </w:rPr>
      <w:fldChar w:fldCharType="separate"/>
    </w:r>
    <w:r w:rsidR="005342AF" w:rsidRPr="00DB45F4">
      <w:rPr>
        <w:rStyle w:val="a9"/>
        <w:noProof/>
        <w:szCs w:val="24"/>
        <w:lang w:val="en-GB"/>
      </w:rPr>
      <w:t>1</w:t>
    </w:r>
    <w:r w:rsidR="00127752" w:rsidRPr="00DB45F4">
      <w:rPr>
        <w:rStyle w:val="a9"/>
        <w:szCs w:val="24"/>
        <w:lang w:val="en-GB"/>
      </w:rPr>
      <w:fldChar w:fldCharType="end"/>
    </w:r>
  </w:p>
  <w:p w14:paraId="4050EB4B" w14:textId="77777777" w:rsidR="00637D84" w:rsidRDefault="00637D8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26201" w14:textId="77777777" w:rsidR="008203F6" w:rsidRDefault="008203F6">
      <w:r>
        <w:separator/>
      </w:r>
    </w:p>
  </w:footnote>
  <w:footnote w:type="continuationSeparator" w:id="0">
    <w:p w14:paraId="42E3C566" w14:textId="77777777" w:rsidR="008203F6" w:rsidRDefault="008203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CE6EA" w14:textId="77777777" w:rsidR="00637D84" w:rsidRDefault="00637D84">
    <w:pPr>
      <w:autoSpaceDE w:val="0"/>
      <w:autoSpaceDN w:val="0"/>
      <w:adjustRightInd w:val="0"/>
    </w:pPr>
    <w:r>
      <w:rPr>
        <w:rFonts w:ascii="Arial" w:hAnsi="Arial"/>
        <w:sz w:val="20"/>
      </w:rPr>
      <w:t xml:space="preserve">Journal of Industrial Ecology – </w:t>
    </w:r>
    <w:hyperlink r:id="rId1" w:history="1">
      <w:r w:rsidR="0005253F" w:rsidRPr="0005253F">
        <w:rPr>
          <w:rStyle w:val="ad"/>
          <w:rFonts w:ascii="Arial" w:hAnsi="Arial" w:cs="Arial"/>
          <w:b/>
          <w:bCs/>
          <w:sz w:val="20"/>
        </w:rPr>
        <w:t>www.wileyonlinelibrary.com/journal/jie</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89F5C" w14:textId="77777777" w:rsidR="00637D84" w:rsidRDefault="00637D84">
    <w:pPr>
      <w:pStyle w:val="JIEnormal-noindent"/>
      <w:autoSpaceDE w:val="0"/>
      <w:autoSpaceDN w:val="0"/>
      <w:adjustRightInd w:val="0"/>
      <w:spacing w:line="240" w:lineRule="auto"/>
    </w:pPr>
    <w:r>
      <w:rPr>
        <w:rFonts w:ascii="Arial" w:hAnsi="Arial" w:cs="Arial"/>
        <w:sz w:val="20"/>
      </w:rPr>
      <w:t>2007</w:t>
    </w:r>
    <w:r>
      <w:rPr>
        <w:rFonts w:ascii="Arial" w:hAnsi="Arial" w:cs="Arial"/>
      </w:rPr>
      <w:t xml:space="preserve"> </w:t>
    </w:r>
    <w:r>
      <w:rPr>
        <w:rFonts w:ascii="Arial" w:hAnsi="Arial"/>
        <w:sz w:val="20"/>
      </w:rPr>
      <w:t>Journal of Industrial Ecology – www.mitpressjournals.org/jie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1A09ED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E4AD6F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316409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BCA0C9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CFED87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83E695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6C88AB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EA2C3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9564E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F3214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337EE4"/>
    <w:multiLevelType w:val="singleLevel"/>
    <w:tmpl w:val="70E47D3E"/>
    <w:lvl w:ilvl="0">
      <w:start w:val="3"/>
      <w:numFmt w:val="bullet"/>
      <w:lvlText w:val="-"/>
      <w:lvlJc w:val="left"/>
      <w:pPr>
        <w:tabs>
          <w:tab w:val="num" w:pos="360"/>
        </w:tabs>
        <w:ind w:left="360" w:hanging="360"/>
      </w:pPr>
      <w:rPr>
        <w:rFonts w:hint="default"/>
      </w:rPr>
    </w:lvl>
  </w:abstractNum>
  <w:abstractNum w:abstractNumId="11" w15:restartNumberingAfterBreak="0">
    <w:nsid w:val="25BF5770"/>
    <w:multiLevelType w:val="singleLevel"/>
    <w:tmpl w:val="33663910"/>
    <w:lvl w:ilvl="0">
      <w:start w:val="1"/>
      <w:numFmt w:val="decimal"/>
      <w:lvlText w:val="(%1)"/>
      <w:lvlJc w:val="left"/>
      <w:pPr>
        <w:tabs>
          <w:tab w:val="num" w:pos="360"/>
        </w:tabs>
        <w:ind w:left="360" w:hanging="360"/>
      </w:pPr>
      <w:rPr>
        <w:rFonts w:hint="default"/>
      </w:rPr>
    </w:lvl>
  </w:abstractNum>
  <w:abstractNum w:abstractNumId="12" w15:restartNumberingAfterBreak="0">
    <w:nsid w:val="25EB5E38"/>
    <w:multiLevelType w:val="singleLevel"/>
    <w:tmpl w:val="BA3E57E0"/>
    <w:lvl w:ilvl="0">
      <w:start w:val="2"/>
      <w:numFmt w:val="bullet"/>
      <w:lvlText w:val="-"/>
      <w:lvlJc w:val="left"/>
      <w:pPr>
        <w:tabs>
          <w:tab w:val="num" w:pos="360"/>
        </w:tabs>
        <w:ind w:left="360" w:hanging="360"/>
      </w:pPr>
      <w:rPr>
        <w:rFonts w:hint="default"/>
      </w:rPr>
    </w:lvl>
  </w:abstractNum>
  <w:abstractNum w:abstractNumId="13" w15:restartNumberingAfterBreak="0">
    <w:nsid w:val="38803DC1"/>
    <w:multiLevelType w:val="singleLevel"/>
    <w:tmpl w:val="A98E3B3E"/>
    <w:lvl w:ilvl="0">
      <w:start w:val="5"/>
      <w:numFmt w:val="decimal"/>
      <w:lvlText w:val="%1."/>
      <w:lvlJc w:val="left"/>
      <w:pPr>
        <w:tabs>
          <w:tab w:val="num" w:pos="360"/>
        </w:tabs>
        <w:ind w:left="360" w:hanging="360"/>
      </w:pPr>
      <w:rPr>
        <w:rFonts w:hint="default"/>
        <w:i/>
      </w:rPr>
    </w:lvl>
  </w:abstractNum>
  <w:abstractNum w:abstractNumId="14" w15:restartNumberingAfterBreak="0">
    <w:nsid w:val="41504999"/>
    <w:multiLevelType w:val="singleLevel"/>
    <w:tmpl w:val="0409000F"/>
    <w:lvl w:ilvl="0">
      <w:start w:val="6"/>
      <w:numFmt w:val="decimal"/>
      <w:lvlText w:val="%1."/>
      <w:lvlJc w:val="left"/>
      <w:pPr>
        <w:tabs>
          <w:tab w:val="num" w:pos="360"/>
        </w:tabs>
        <w:ind w:left="360" w:hanging="360"/>
      </w:pPr>
      <w:rPr>
        <w:rFonts w:hint="default"/>
      </w:rPr>
    </w:lvl>
  </w:abstractNum>
  <w:abstractNum w:abstractNumId="15" w15:restartNumberingAfterBreak="0">
    <w:nsid w:val="4CC42E2B"/>
    <w:multiLevelType w:val="singleLevel"/>
    <w:tmpl w:val="DA742C6E"/>
    <w:lvl w:ilvl="0">
      <w:start w:val="1"/>
      <w:numFmt w:val="decimal"/>
      <w:lvlText w:val="(%1)"/>
      <w:lvlJc w:val="left"/>
      <w:pPr>
        <w:tabs>
          <w:tab w:val="num" w:pos="360"/>
        </w:tabs>
        <w:ind w:left="360" w:hanging="360"/>
      </w:pPr>
      <w:rPr>
        <w:rFonts w:hint="default"/>
      </w:rPr>
    </w:lvl>
  </w:abstractNum>
  <w:abstractNum w:abstractNumId="16" w15:restartNumberingAfterBreak="0">
    <w:nsid w:val="59474098"/>
    <w:multiLevelType w:val="singleLevel"/>
    <w:tmpl w:val="0409000F"/>
    <w:lvl w:ilvl="0">
      <w:start w:val="5"/>
      <w:numFmt w:val="decimal"/>
      <w:lvlText w:val="%1."/>
      <w:lvlJc w:val="left"/>
      <w:pPr>
        <w:tabs>
          <w:tab w:val="num" w:pos="360"/>
        </w:tabs>
        <w:ind w:left="360" w:hanging="360"/>
      </w:pPr>
      <w:rPr>
        <w:rFonts w:hint="default"/>
      </w:rPr>
    </w:lvl>
  </w:abstractNum>
  <w:abstractNum w:abstractNumId="17" w15:restartNumberingAfterBreak="0">
    <w:nsid w:val="616817F5"/>
    <w:multiLevelType w:val="singleLevel"/>
    <w:tmpl w:val="7E1C9194"/>
    <w:lvl w:ilvl="0">
      <w:start w:val="1"/>
      <w:numFmt w:val="lowerRoman"/>
      <w:lvlText w:val="(%1)"/>
      <w:lvlJc w:val="left"/>
      <w:pPr>
        <w:tabs>
          <w:tab w:val="num" w:pos="720"/>
        </w:tabs>
        <w:ind w:left="720" w:hanging="720"/>
      </w:pPr>
      <w:rPr>
        <w:rFonts w:hint="default"/>
      </w:rPr>
    </w:lvl>
  </w:abstractNum>
  <w:abstractNum w:abstractNumId="18" w15:restartNumberingAfterBreak="0">
    <w:nsid w:val="65942637"/>
    <w:multiLevelType w:val="singleLevel"/>
    <w:tmpl w:val="6F9C28B6"/>
    <w:lvl w:ilvl="0">
      <w:start w:val="1"/>
      <w:numFmt w:val="bullet"/>
      <w:lvlText w:val="-"/>
      <w:lvlJc w:val="left"/>
      <w:pPr>
        <w:tabs>
          <w:tab w:val="num" w:pos="360"/>
        </w:tabs>
        <w:ind w:left="360" w:hanging="360"/>
      </w:pPr>
      <w:rPr>
        <w:rFonts w:hint="default"/>
      </w:rPr>
    </w:lvl>
  </w:abstractNum>
  <w:abstractNum w:abstractNumId="19" w15:restartNumberingAfterBreak="0">
    <w:nsid w:val="706348D3"/>
    <w:multiLevelType w:val="singleLevel"/>
    <w:tmpl w:val="2DC06656"/>
    <w:lvl w:ilvl="0">
      <w:start w:val="1"/>
      <w:numFmt w:val="decimal"/>
      <w:lvlText w:val="(%1)"/>
      <w:lvlJc w:val="left"/>
      <w:pPr>
        <w:tabs>
          <w:tab w:val="num" w:pos="360"/>
        </w:tabs>
        <w:ind w:left="360" w:hanging="360"/>
      </w:pPr>
      <w:rPr>
        <w:rFonts w:hint="default"/>
      </w:rPr>
    </w:lvl>
  </w:abstractNum>
  <w:abstractNum w:abstractNumId="20" w15:restartNumberingAfterBreak="0">
    <w:nsid w:val="72F15821"/>
    <w:multiLevelType w:val="singleLevel"/>
    <w:tmpl w:val="58A6672C"/>
    <w:lvl w:ilvl="0">
      <w:start w:val="1"/>
      <w:numFmt w:val="bullet"/>
      <w:lvlText w:val="-"/>
      <w:lvlJc w:val="left"/>
      <w:pPr>
        <w:tabs>
          <w:tab w:val="num" w:pos="360"/>
        </w:tabs>
        <w:ind w:left="360" w:hanging="360"/>
      </w:pPr>
      <w:rPr>
        <w:rFonts w:hint="default"/>
      </w:rPr>
    </w:lvl>
  </w:abstractNum>
  <w:abstractNum w:abstractNumId="21" w15:restartNumberingAfterBreak="0">
    <w:nsid w:val="78326307"/>
    <w:multiLevelType w:val="singleLevel"/>
    <w:tmpl w:val="B70838CA"/>
    <w:lvl w:ilvl="0">
      <w:start w:val="8"/>
      <w:numFmt w:val="bullet"/>
      <w:lvlText w:val="-"/>
      <w:lvlJc w:val="left"/>
      <w:pPr>
        <w:tabs>
          <w:tab w:val="num" w:pos="360"/>
        </w:tabs>
        <w:ind w:left="360" w:hanging="360"/>
      </w:pPr>
      <w:rPr>
        <w:rFonts w:hint="default"/>
      </w:rPr>
    </w:lvl>
  </w:abstractNum>
  <w:abstractNum w:abstractNumId="22" w15:restartNumberingAfterBreak="0">
    <w:nsid w:val="793955C5"/>
    <w:multiLevelType w:val="singleLevel"/>
    <w:tmpl w:val="7CC40C30"/>
    <w:lvl w:ilvl="0">
      <w:start w:val="3"/>
      <w:numFmt w:val="bullet"/>
      <w:lvlText w:val="-"/>
      <w:lvlJc w:val="left"/>
      <w:pPr>
        <w:tabs>
          <w:tab w:val="num" w:pos="360"/>
        </w:tabs>
        <w:ind w:left="360" w:hanging="360"/>
      </w:pPr>
      <w:rPr>
        <w:rFonts w:hint="default"/>
      </w:rPr>
    </w:lvl>
  </w:abstractNum>
  <w:num w:numId="1" w16cid:durableId="2141875534">
    <w:abstractNumId w:val="12"/>
  </w:num>
  <w:num w:numId="2" w16cid:durableId="213738310">
    <w:abstractNumId w:val="17"/>
  </w:num>
  <w:num w:numId="3" w16cid:durableId="1180854222">
    <w:abstractNumId w:val="20"/>
  </w:num>
  <w:num w:numId="4" w16cid:durableId="350958015">
    <w:abstractNumId w:val="15"/>
  </w:num>
  <w:num w:numId="5" w16cid:durableId="716859951">
    <w:abstractNumId w:val="19"/>
  </w:num>
  <w:num w:numId="6" w16cid:durableId="1346441437">
    <w:abstractNumId w:val="11"/>
  </w:num>
  <w:num w:numId="7" w16cid:durableId="497306137">
    <w:abstractNumId w:val="14"/>
  </w:num>
  <w:num w:numId="8" w16cid:durableId="1448574120">
    <w:abstractNumId w:val="22"/>
  </w:num>
  <w:num w:numId="9" w16cid:durableId="2128431779">
    <w:abstractNumId w:val="18"/>
  </w:num>
  <w:num w:numId="10" w16cid:durableId="439684955">
    <w:abstractNumId w:val="21"/>
  </w:num>
  <w:num w:numId="11" w16cid:durableId="955916319">
    <w:abstractNumId w:val="16"/>
  </w:num>
  <w:num w:numId="12" w16cid:durableId="1787966443">
    <w:abstractNumId w:val="13"/>
  </w:num>
  <w:num w:numId="13" w16cid:durableId="1968243524">
    <w:abstractNumId w:val="10"/>
  </w:num>
  <w:num w:numId="14" w16cid:durableId="140270281">
    <w:abstractNumId w:val="9"/>
  </w:num>
  <w:num w:numId="15" w16cid:durableId="509949839">
    <w:abstractNumId w:val="7"/>
  </w:num>
  <w:num w:numId="16" w16cid:durableId="864486262">
    <w:abstractNumId w:val="6"/>
  </w:num>
  <w:num w:numId="17" w16cid:durableId="10498155">
    <w:abstractNumId w:val="5"/>
  </w:num>
  <w:num w:numId="18" w16cid:durableId="1208224174">
    <w:abstractNumId w:val="4"/>
  </w:num>
  <w:num w:numId="19" w16cid:durableId="28729417">
    <w:abstractNumId w:val="8"/>
  </w:num>
  <w:num w:numId="20" w16cid:durableId="620041118">
    <w:abstractNumId w:val="3"/>
  </w:num>
  <w:num w:numId="21" w16cid:durableId="1234044537">
    <w:abstractNumId w:val="2"/>
  </w:num>
  <w:num w:numId="22" w16cid:durableId="226258941">
    <w:abstractNumId w:val="1"/>
  </w:num>
  <w:num w:numId="23" w16cid:durableId="2066561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1">
      <v:textbox inset="5.85pt,.7pt,5.85pt,.7pt"/>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678"/>
    <w:rsid w:val="00013D1E"/>
    <w:rsid w:val="00026AC0"/>
    <w:rsid w:val="0005253F"/>
    <w:rsid w:val="000724FB"/>
    <w:rsid w:val="00093C1B"/>
    <w:rsid w:val="000C1B25"/>
    <w:rsid w:val="000E1EDA"/>
    <w:rsid w:val="00127752"/>
    <w:rsid w:val="00140520"/>
    <w:rsid w:val="001418C8"/>
    <w:rsid w:val="00151F63"/>
    <w:rsid w:val="00164C58"/>
    <w:rsid w:val="00173A11"/>
    <w:rsid w:val="00177180"/>
    <w:rsid w:val="001B0CD6"/>
    <w:rsid w:val="001E2393"/>
    <w:rsid w:val="00210627"/>
    <w:rsid w:val="00244AEE"/>
    <w:rsid w:val="00256E5F"/>
    <w:rsid w:val="0026556F"/>
    <w:rsid w:val="00281931"/>
    <w:rsid w:val="00296293"/>
    <w:rsid w:val="002B5979"/>
    <w:rsid w:val="002D46CC"/>
    <w:rsid w:val="00305A60"/>
    <w:rsid w:val="00312C21"/>
    <w:rsid w:val="003328E4"/>
    <w:rsid w:val="003407FB"/>
    <w:rsid w:val="00355DDD"/>
    <w:rsid w:val="003658F1"/>
    <w:rsid w:val="00365929"/>
    <w:rsid w:val="00392495"/>
    <w:rsid w:val="003C1639"/>
    <w:rsid w:val="00405228"/>
    <w:rsid w:val="00424844"/>
    <w:rsid w:val="0043029D"/>
    <w:rsid w:val="00437604"/>
    <w:rsid w:val="00453D20"/>
    <w:rsid w:val="00470259"/>
    <w:rsid w:val="004F406C"/>
    <w:rsid w:val="005041EC"/>
    <w:rsid w:val="005053C2"/>
    <w:rsid w:val="00516DD8"/>
    <w:rsid w:val="005212CA"/>
    <w:rsid w:val="005342AF"/>
    <w:rsid w:val="00541604"/>
    <w:rsid w:val="005537D1"/>
    <w:rsid w:val="0057389B"/>
    <w:rsid w:val="005E3CD2"/>
    <w:rsid w:val="00637D84"/>
    <w:rsid w:val="0067182A"/>
    <w:rsid w:val="00694D2D"/>
    <w:rsid w:val="006E2334"/>
    <w:rsid w:val="00792F07"/>
    <w:rsid w:val="007A518D"/>
    <w:rsid w:val="007B0B0E"/>
    <w:rsid w:val="007F4644"/>
    <w:rsid w:val="007F7B33"/>
    <w:rsid w:val="00801F01"/>
    <w:rsid w:val="008203F6"/>
    <w:rsid w:val="00861C5D"/>
    <w:rsid w:val="008929D7"/>
    <w:rsid w:val="008A2B05"/>
    <w:rsid w:val="008B1F6A"/>
    <w:rsid w:val="008E0C5F"/>
    <w:rsid w:val="008F3AD9"/>
    <w:rsid w:val="00925C6A"/>
    <w:rsid w:val="00933781"/>
    <w:rsid w:val="00957CB3"/>
    <w:rsid w:val="009618A6"/>
    <w:rsid w:val="00985C4A"/>
    <w:rsid w:val="009A176C"/>
    <w:rsid w:val="009A31CE"/>
    <w:rsid w:val="009B445B"/>
    <w:rsid w:val="009D7C33"/>
    <w:rsid w:val="009F5CBF"/>
    <w:rsid w:val="00A0155D"/>
    <w:rsid w:val="00A91307"/>
    <w:rsid w:val="00AB3506"/>
    <w:rsid w:val="00AD12A1"/>
    <w:rsid w:val="00AF150B"/>
    <w:rsid w:val="00B7251F"/>
    <w:rsid w:val="00B82850"/>
    <w:rsid w:val="00B969D9"/>
    <w:rsid w:val="00BB6867"/>
    <w:rsid w:val="00BC4005"/>
    <w:rsid w:val="00BC7DAC"/>
    <w:rsid w:val="00BD34DF"/>
    <w:rsid w:val="00BD609D"/>
    <w:rsid w:val="00C03D2D"/>
    <w:rsid w:val="00C22841"/>
    <w:rsid w:val="00C646B1"/>
    <w:rsid w:val="00C809D1"/>
    <w:rsid w:val="00C90CAF"/>
    <w:rsid w:val="00C91849"/>
    <w:rsid w:val="00C97586"/>
    <w:rsid w:val="00CA6730"/>
    <w:rsid w:val="00CB71D6"/>
    <w:rsid w:val="00CE02CB"/>
    <w:rsid w:val="00D10F7D"/>
    <w:rsid w:val="00D66026"/>
    <w:rsid w:val="00D661C5"/>
    <w:rsid w:val="00D7000A"/>
    <w:rsid w:val="00D75942"/>
    <w:rsid w:val="00DB45F4"/>
    <w:rsid w:val="00DD4459"/>
    <w:rsid w:val="00E24C98"/>
    <w:rsid w:val="00EA3C37"/>
    <w:rsid w:val="00EF3966"/>
    <w:rsid w:val="00F106E6"/>
    <w:rsid w:val="00F57620"/>
    <w:rsid w:val="00F6584F"/>
    <w:rsid w:val="00F8636A"/>
    <w:rsid w:val="00FC3678"/>
    <w:rsid w:val="00FD06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v:textbox inset="5.85pt,.7pt,5.85pt,.7pt"/>
    </o:shapedefaults>
    <o:shapelayout v:ext="edit">
      <o:idmap v:ext="edit" data="2"/>
    </o:shapelayout>
  </w:shapeDefaults>
  <w:decimalSymbol w:val="."/>
  <w:listSeparator w:val=","/>
  <w14:docId w14:val="7A5E63DD"/>
  <w15:chartTrackingRefBased/>
  <w15:docId w15:val="{8C7095B2-2BEC-4F12-B699-EFC0A4D96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F4644"/>
    <w:rPr>
      <w:sz w:val="24"/>
      <w:lang w:eastAsia="en-US"/>
    </w:rPr>
  </w:style>
  <w:style w:type="paragraph" w:styleId="1">
    <w:name w:val="heading 1"/>
    <w:basedOn w:val="a"/>
    <w:next w:val="a"/>
    <w:qFormat/>
    <w:rsid w:val="007F4644"/>
    <w:pPr>
      <w:keepNext/>
      <w:spacing w:line="360" w:lineRule="auto"/>
      <w:jc w:val="both"/>
      <w:outlineLvl w:val="0"/>
    </w:pPr>
  </w:style>
  <w:style w:type="paragraph" w:styleId="2">
    <w:name w:val="heading 2"/>
    <w:basedOn w:val="a"/>
    <w:next w:val="a"/>
    <w:qFormat/>
    <w:rsid w:val="007F4644"/>
    <w:pPr>
      <w:keepNext/>
      <w:outlineLvl w:val="1"/>
    </w:pPr>
    <w:rPr>
      <w:b/>
      <w:sz w:val="32"/>
    </w:rPr>
  </w:style>
  <w:style w:type="paragraph" w:styleId="3">
    <w:name w:val="heading 3"/>
    <w:basedOn w:val="a"/>
    <w:next w:val="a"/>
    <w:qFormat/>
    <w:rsid w:val="007F4644"/>
    <w:pPr>
      <w:keepNext/>
      <w:outlineLvl w:val="2"/>
    </w:pPr>
    <w:rPr>
      <w:b/>
      <w:i/>
      <w:sz w:val="32"/>
    </w:rPr>
  </w:style>
  <w:style w:type="paragraph" w:styleId="4">
    <w:name w:val="heading 4"/>
    <w:basedOn w:val="a"/>
    <w:next w:val="a"/>
    <w:qFormat/>
    <w:rsid w:val="007F4644"/>
    <w:pPr>
      <w:keepNext/>
      <w:outlineLvl w:val="3"/>
    </w:pPr>
    <w:rPr>
      <w:b/>
      <w:sz w:val="28"/>
    </w:rPr>
  </w:style>
  <w:style w:type="paragraph" w:styleId="5">
    <w:name w:val="heading 5"/>
    <w:basedOn w:val="a"/>
    <w:next w:val="a"/>
    <w:qFormat/>
    <w:rsid w:val="007F4644"/>
    <w:pPr>
      <w:keepNext/>
      <w:jc w:val="both"/>
      <w:outlineLvl w:val="4"/>
    </w:pPr>
    <w:rPr>
      <w:b/>
      <w:bCs/>
      <w:sz w:val="22"/>
    </w:rPr>
  </w:style>
  <w:style w:type="paragraph" w:styleId="6">
    <w:name w:val="heading 6"/>
    <w:basedOn w:val="a"/>
    <w:next w:val="a"/>
    <w:qFormat/>
    <w:rsid w:val="007F4644"/>
    <w:pPr>
      <w:keepNext/>
      <w:outlineLvl w:val="5"/>
    </w:pPr>
    <w:rPr>
      <w:b/>
      <w:i/>
      <w:sz w:val="26"/>
    </w:rPr>
  </w:style>
  <w:style w:type="paragraph" w:styleId="7">
    <w:name w:val="heading 7"/>
    <w:basedOn w:val="a"/>
    <w:next w:val="a"/>
    <w:qFormat/>
    <w:rsid w:val="007F4644"/>
    <w:pPr>
      <w:keepNext/>
      <w:outlineLvl w:val="6"/>
    </w:pPr>
    <w:rPr>
      <w:b/>
      <w:bCs/>
      <w:i/>
      <w:iCs/>
      <w:sz w:val="26"/>
    </w:rPr>
  </w:style>
  <w:style w:type="paragraph" w:styleId="8">
    <w:name w:val="heading 8"/>
    <w:basedOn w:val="a"/>
    <w:next w:val="a"/>
    <w:qFormat/>
    <w:rsid w:val="007F4644"/>
    <w:pPr>
      <w:keepNext/>
      <w:jc w:val="both"/>
      <w:outlineLvl w:val="7"/>
    </w:pPr>
    <w:rPr>
      <w:b/>
      <w:sz w:val="32"/>
    </w:rPr>
  </w:style>
  <w:style w:type="paragraph" w:styleId="9">
    <w:name w:val="heading 9"/>
    <w:basedOn w:val="a"/>
    <w:next w:val="a"/>
    <w:qFormat/>
    <w:rsid w:val="007F4644"/>
    <w:pPr>
      <w:keepNext/>
      <w:jc w:val="both"/>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semiHidden/>
    <w:rsid w:val="007F4644"/>
    <w:rPr>
      <w:sz w:val="20"/>
    </w:rPr>
  </w:style>
  <w:style w:type="character" w:styleId="a4">
    <w:name w:val="footnote reference"/>
    <w:semiHidden/>
    <w:rsid w:val="007F4644"/>
    <w:rPr>
      <w:vertAlign w:val="superscript"/>
    </w:rPr>
  </w:style>
  <w:style w:type="paragraph" w:styleId="20">
    <w:name w:val="Body Text 2"/>
    <w:basedOn w:val="a"/>
    <w:rsid w:val="007F4644"/>
    <w:rPr>
      <w:b/>
    </w:rPr>
  </w:style>
  <w:style w:type="paragraph" w:customStyle="1" w:styleId="JIEnormal-noindent">
    <w:name w:val="JIE normal - no indent"/>
    <w:basedOn w:val="a"/>
    <w:rsid w:val="007F4644"/>
    <w:pPr>
      <w:spacing w:line="480" w:lineRule="auto"/>
    </w:pPr>
    <w:rPr>
      <w:rFonts w:ascii="Garamond" w:hAnsi="Garamond"/>
    </w:rPr>
  </w:style>
  <w:style w:type="paragraph" w:customStyle="1" w:styleId="Feature">
    <w:name w:val="Feature"/>
    <w:basedOn w:val="2"/>
    <w:rsid w:val="007F4644"/>
    <w:rPr>
      <w:sz w:val="20"/>
    </w:rPr>
  </w:style>
  <w:style w:type="paragraph" w:styleId="a5">
    <w:name w:val="Block Text"/>
    <w:basedOn w:val="a"/>
    <w:rsid w:val="007F4644"/>
    <w:pPr>
      <w:ind w:left="720" w:right="720"/>
      <w:jc w:val="both"/>
    </w:pPr>
  </w:style>
  <w:style w:type="paragraph" w:styleId="a6">
    <w:name w:val="footer"/>
    <w:basedOn w:val="a"/>
    <w:rsid w:val="007F4644"/>
    <w:pPr>
      <w:tabs>
        <w:tab w:val="center" w:pos="4320"/>
        <w:tab w:val="right" w:pos="8640"/>
      </w:tabs>
    </w:pPr>
    <w:rPr>
      <w:lang w:val="en-GB"/>
    </w:rPr>
  </w:style>
  <w:style w:type="paragraph" w:styleId="a7">
    <w:name w:val="header"/>
    <w:basedOn w:val="a"/>
    <w:rsid w:val="007F4644"/>
    <w:pPr>
      <w:tabs>
        <w:tab w:val="center" w:pos="4320"/>
        <w:tab w:val="right" w:pos="8640"/>
      </w:tabs>
    </w:pPr>
  </w:style>
  <w:style w:type="paragraph" w:styleId="a8">
    <w:name w:val="Body Text"/>
    <w:basedOn w:val="a"/>
    <w:rsid w:val="007F4644"/>
    <w:pPr>
      <w:jc w:val="center"/>
    </w:pPr>
    <w:rPr>
      <w:b/>
      <w:sz w:val="32"/>
    </w:rPr>
  </w:style>
  <w:style w:type="paragraph" w:customStyle="1" w:styleId="MFAHeading">
    <w:name w:val="MFA Heading"/>
    <w:basedOn w:val="3"/>
    <w:rsid w:val="007F4644"/>
    <w:pPr>
      <w:keepNext w:val="0"/>
      <w:outlineLvl w:val="9"/>
    </w:pPr>
    <w:rPr>
      <w:i w:val="0"/>
      <w:sz w:val="30"/>
    </w:rPr>
  </w:style>
  <w:style w:type="character" w:styleId="a9">
    <w:name w:val="page number"/>
    <w:basedOn w:val="a0"/>
    <w:rsid w:val="007F4644"/>
  </w:style>
  <w:style w:type="character" w:styleId="aa">
    <w:name w:val="annotation reference"/>
    <w:semiHidden/>
    <w:rsid w:val="007F4644"/>
    <w:rPr>
      <w:sz w:val="16"/>
    </w:rPr>
  </w:style>
  <w:style w:type="paragraph" w:styleId="ab">
    <w:name w:val="annotation text"/>
    <w:basedOn w:val="a"/>
    <w:semiHidden/>
    <w:rsid w:val="007F4644"/>
  </w:style>
  <w:style w:type="paragraph" w:styleId="ac">
    <w:name w:val="Title"/>
    <w:basedOn w:val="a"/>
    <w:qFormat/>
    <w:rsid w:val="007F4644"/>
    <w:pPr>
      <w:jc w:val="center"/>
    </w:pPr>
    <w:rPr>
      <w:b/>
    </w:rPr>
  </w:style>
  <w:style w:type="paragraph" w:styleId="30">
    <w:name w:val="Body Text 3"/>
    <w:basedOn w:val="a"/>
    <w:rsid w:val="007F4644"/>
    <w:pPr>
      <w:spacing w:line="360" w:lineRule="auto"/>
      <w:jc w:val="both"/>
    </w:pPr>
  </w:style>
  <w:style w:type="paragraph" w:customStyle="1" w:styleId="JIEnormal">
    <w:name w:val="JIE normal"/>
    <w:basedOn w:val="a"/>
    <w:rsid w:val="007F4644"/>
    <w:pPr>
      <w:spacing w:line="480" w:lineRule="auto"/>
      <w:ind w:firstLine="720"/>
    </w:pPr>
    <w:rPr>
      <w:rFonts w:ascii="Garamond" w:hAnsi="Garamond"/>
    </w:rPr>
  </w:style>
  <w:style w:type="paragraph" w:customStyle="1" w:styleId="JIEreferencelist">
    <w:name w:val="JIE reference list"/>
    <w:basedOn w:val="a"/>
    <w:rsid w:val="007F4644"/>
    <w:pPr>
      <w:spacing w:line="360" w:lineRule="auto"/>
      <w:ind w:left="720" w:hanging="720"/>
    </w:pPr>
    <w:rPr>
      <w:rFonts w:ascii="Garamond" w:hAnsi="Garamond"/>
    </w:rPr>
  </w:style>
  <w:style w:type="character" w:styleId="ad">
    <w:name w:val="Hyperlink"/>
    <w:rsid w:val="007F4644"/>
    <w:rPr>
      <w:color w:val="0000FF"/>
      <w:u w:val="single"/>
    </w:rPr>
  </w:style>
  <w:style w:type="paragraph" w:customStyle="1" w:styleId="Bibentry2">
    <w:name w:val="Bib entry2"/>
    <w:basedOn w:val="a"/>
    <w:rsid w:val="007F4644"/>
    <w:pPr>
      <w:ind w:left="720" w:hanging="720"/>
    </w:pPr>
    <w:rPr>
      <w:szCs w:val="24"/>
    </w:rPr>
  </w:style>
  <w:style w:type="paragraph" w:styleId="ae">
    <w:name w:val="Body Text Indent"/>
    <w:basedOn w:val="a"/>
    <w:autoRedefine/>
    <w:rsid w:val="007F4644"/>
    <w:pPr>
      <w:spacing w:before="120" w:after="120" w:line="360" w:lineRule="auto"/>
      <w:ind w:left="720" w:hanging="720"/>
    </w:pPr>
    <w:rPr>
      <w:rFonts w:ascii="Garamond" w:hAnsi="Garamond"/>
    </w:rPr>
  </w:style>
  <w:style w:type="paragraph" w:customStyle="1" w:styleId="Default">
    <w:name w:val="Default"/>
    <w:rsid w:val="007F4644"/>
    <w:pPr>
      <w:autoSpaceDE w:val="0"/>
      <w:autoSpaceDN w:val="0"/>
      <w:adjustRightInd w:val="0"/>
    </w:pPr>
    <w:rPr>
      <w:rFonts w:ascii="Arial" w:eastAsia="Times New Roman" w:hAnsi="Arial" w:cs="Arial"/>
      <w:lang w:eastAsia="en-US"/>
    </w:rPr>
  </w:style>
  <w:style w:type="paragraph" w:styleId="21">
    <w:name w:val="Body Text Indent 2"/>
    <w:basedOn w:val="a"/>
    <w:rsid w:val="007F4644"/>
    <w:pPr>
      <w:autoSpaceDE w:val="0"/>
      <w:autoSpaceDN w:val="0"/>
      <w:adjustRightInd w:val="0"/>
      <w:ind w:left="540"/>
    </w:pPr>
    <w:rPr>
      <w:rFonts w:ascii="Arial" w:eastAsia="Times New Roman" w:hAnsi="Arial" w:cs="Arial"/>
      <w:sz w:val="20"/>
    </w:rPr>
  </w:style>
  <w:style w:type="character" w:styleId="af">
    <w:name w:val="FollowedHyperlink"/>
    <w:rsid w:val="007F4644"/>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hyperlink" Target="http://www.wileyonlinelibrary.com/journal/jie"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dc55989-3c9e-4466-8514-eac6f80f6373}" enabled="1" method="Privileged" siteId="{18a7fec8-652f-409b-8369-272d9ce80620}" contentBits="0" removed="0"/>
</clbl:labelList>
</file>

<file path=docProps/app.xml><?xml version="1.0" encoding="utf-8"?>
<Properties xmlns="http://schemas.openxmlformats.org/officeDocument/2006/extended-properties" xmlns:vt="http://schemas.openxmlformats.org/officeDocument/2006/docPropsVTypes">
  <Template>Normal</Template>
  <TotalTime>19</TotalTime>
  <Pages>9</Pages>
  <Words>812</Words>
  <Characters>4493</Characters>
  <Application>Microsoft Office Word</Application>
  <DocSecurity>0</DocSecurity>
  <Lines>104</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Application of Physical Economy Approaches</vt:lpstr>
      <vt:lpstr>Application of Physical Economy Approaches</vt:lpstr>
    </vt:vector>
  </TitlesOfParts>
  <Company>Griffith University</Company>
  <LinksUpToDate>false</LinksUpToDate>
  <CharactersWithSpaces>5302</CharactersWithSpaces>
  <SharedDoc>false</SharedDoc>
  <HLinks>
    <vt:vector size="12" baseType="variant">
      <vt:variant>
        <vt:i4>3604607</vt:i4>
      </vt:variant>
      <vt:variant>
        <vt:i4>0</vt:i4>
      </vt:variant>
      <vt:variant>
        <vt:i4>0</vt:i4>
      </vt:variant>
      <vt:variant>
        <vt:i4>5</vt:i4>
      </vt:variant>
      <vt:variant>
        <vt:lpwstr>http://jie.click/templates</vt:lpwstr>
      </vt:variant>
      <vt:variant>
        <vt:lpwstr/>
      </vt:variant>
      <vt:variant>
        <vt:i4>1441886</vt:i4>
      </vt:variant>
      <vt:variant>
        <vt:i4>0</vt:i4>
      </vt:variant>
      <vt:variant>
        <vt:i4>0</vt:i4>
      </vt:variant>
      <vt:variant>
        <vt:i4>5</vt:i4>
      </vt:variant>
      <vt:variant>
        <vt:lpwstr>http://www.wileyonlinelibrary.com/journal/jie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of Physical Economy Approaches</dc:title>
  <dc:subject/>
  <dc:creator>Peter Daniels</dc:creator>
  <cp:keywords/>
  <cp:lastModifiedBy>前野啓太郎</cp:lastModifiedBy>
  <cp:revision>26</cp:revision>
  <cp:lastPrinted>2011-02-03T06:37:00Z</cp:lastPrinted>
  <dcterms:created xsi:type="dcterms:W3CDTF">2026-04-20T03:10:00Z</dcterms:created>
  <dcterms:modified xsi:type="dcterms:W3CDTF">2026-04-20T05:42:00Z</dcterms:modified>
</cp:coreProperties>
</file>