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09A0F9" w14:textId="2B46DAC8" w:rsidR="002B5979" w:rsidRPr="007E7EE0" w:rsidRDefault="004D4AAD">
      <w:pPr>
        <w:pStyle w:val="Header"/>
        <w:rPr>
          <w:rFonts w:ascii="Arial" w:hAnsi="Arial"/>
          <w:b/>
          <w:bCs/>
          <w:sz w:val="28"/>
        </w:rPr>
      </w:pPr>
      <w:r w:rsidRPr="007E7EE0">
        <w:rPr>
          <w:rFonts w:ascii="Arial" w:hAnsi="Arial"/>
          <w:b/>
          <w:bCs/>
          <w:sz w:val="28"/>
        </w:rPr>
        <w:t>Supplementary Information</w:t>
      </w:r>
    </w:p>
    <w:p w14:paraId="7BC2AD9E" w14:textId="77777777" w:rsidR="004D4AAD" w:rsidRDefault="004D4AAD">
      <w:pPr>
        <w:pStyle w:val="Header"/>
        <w:rPr>
          <w:rFonts w:ascii="Arial" w:hAnsi="Arial"/>
          <w:sz w:val="28"/>
        </w:rPr>
      </w:pPr>
    </w:p>
    <w:p w14:paraId="1E713AA3" w14:textId="77777777" w:rsidR="00637D84" w:rsidRPr="008929D7" w:rsidRDefault="00CD7887" w:rsidP="008A2B05">
      <w:pPr>
        <w:pStyle w:val="Header"/>
        <w:rPr>
          <w:rFonts w:ascii="Arial" w:hAnsi="Arial"/>
          <w:b/>
          <w:sz w:val="28"/>
        </w:rPr>
      </w:pPr>
      <w:r>
        <w:rPr>
          <w:rFonts w:ascii="Arial" w:hAnsi="Arial"/>
          <w:sz w:val="28"/>
        </w:rPr>
        <w:t>El Geneidy</w:t>
      </w:r>
      <w:r w:rsidR="0067182A">
        <w:rPr>
          <w:rFonts w:ascii="Arial" w:hAnsi="Arial"/>
          <w:sz w:val="28"/>
        </w:rPr>
        <w:t xml:space="preserve">, </w:t>
      </w:r>
      <w:r>
        <w:rPr>
          <w:rFonts w:ascii="Arial" w:hAnsi="Arial"/>
          <w:sz w:val="28"/>
        </w:rPr>
        <w:t>S</w:t>
      </w:r>
      <w:r w:rsidR="008929D7">
        <w:rPr>
          <w:rFonts w:ascii="Arial" w:hAnsi="Arial"/>
          <w:sz w:val="28"/>
        </w:rPr>
        <w:t>.</w:t>
      </w:r>
      <w:r w:rsidR="00957CB3">
        <w:rPr>
          <w:rFonts w:ascii="Arial" w:hAnsi="Arial"/>
          <w:sz w:val="28"/>
        </w:rPr>
        <w:t xml:space="preserve">, </w:t>
      </w:r>
      <w:r>
        <w:rPr>
          <w:rFonts w:ascii="Arial" w:hAnsi="Arial"/>
          <w:sz w:val="28"/>
        </w:rPr>
        <w:t>Peura</w:t>
      </w:r>
      <w:r w:rsidR="00957CB3">
        <w:rPr>
          <w:rFonts w:ascii="Arial" w:hAnsi="Arial"/>
          <w:sz w:val="28"/>
        </w:rPr>
        <w:t>,</w:t>
      </w:r>
      <w:r w:rsidR="009F5CBF">
        <w:rPr>
          <w:rFonts w:ascii="Arial" w:hAnsi="Arial"/>
          <w:sz w:val="28"/>
        </w:rPr>
        <w:t xml:space="preserve"> </w:t>
      </w:r>
      <w:r>
        <w:rPr>
          <w:rFonts w:ascii="Arial" w:hAnsi="Arial"/>
          <w:sz w:val="28"/>
        </w:rPr>
        <w:t>M</w:t>
      </w:r>
      <w:r w:rsidR="00DB45F4">
        <w:rPr>
          <w:rFonts w:ascii="Arial" w:hAnsi="Arial"/>
          <w:sz w:val="28"/>
        </w:rPr>
        <w:t xml:space="preserve">. &amp; </w:t>
      </w:r>
      <w:r>
        <w:rPr>
          <w:rFonts w:ascii="Arial" w:hAnsi="Arial"/>
          <w:sz w:val="28"/>
        </w:rPr>
        <w:t>Aumanen</w:t>
      </w:r>
      <w:r w:rsidR="00DB45F4">
        <w:rPr>
          <w:rFonts w:ascii="Arial" w:hAnsi="Arial"/>
          <w:sz w:val="28"/>
        </w:rPr>
        <w:t xml:space="preserve">, </w:t>
      </w:r>
      <w:r>
        <w:rPr>
          <w:rFonts w:ascii="Arial" w:hAnsi="Arial"/>
          <w:sz w:val="28"/>
        </w:rPr>
        <w:t>V-M., Baumeister, S., Helimo, U., Vainio, V., Kotiaho, J.S.</w:t>
      </w:r>
      <w:r w:rsidR="00281931" w:rsidRPr="00281931">
        <w:t xml:space="preserve"> </w:t>
      </w:r>
      <w:r w:rsidR="00957CB3">
        <w:rPr>
          <w:rFonts w:ascii="Arial" w:hAnsi="Arial"/>
          <w:sz w:val="28"/>
        </w:rPr>
        <w:t xml:space="preserve">Article title: </w:t>
      </w:r>
      <w:r w:rsidRPr="00CD7887">
        <w:rPr>
          <w:rFonts w:ascii="Arial" w:hAnsi="Arial"/>
          <w:sz w:val="28"/>
        </w:rPr>
        <w:t>Value-transforming financial, carbon and biodiversity footprint accounting</w:t>
      </w:r>
      <w:r w:rsidR="0067182A">
        <w:rPr>
          <w:rFonts w:ascii="Arial" w:hAnsi="Arial"/>
          <w:sz w:val="28"/>
        </w:rPr>
        <w:t xml:space="preserve">. </w:t>
      </w:r>
      <w:r w:rsidR="0067182A" w:rsidRPr="0067182A">
        <w:rPr>
          <w:rFonts w:ascii="Arial" w:hAnsi="Arial"/>
          <w:i/>
          <w:sz w:val="28"/>
        </w:rPr>
        <w:t>Journal of Industrial Ecology.</w:t>
      </w:r>
    </w:p>
    <w:p w14:paraId="78E3524F" w14:textId="06B1225B" w:rsidR="00637D84" w:rsidRDefault="00637D84">
      <w:pPr>
        <w:pStyle w:val="Header"/>
        <w:rPr>
          <w:rFonts w:ascii="Garamond" w:hAnsi="Garamond"/>
          <w:sz w:val="20"/>
        </w:rPr>
      </w:pPr>
    </w:p>
    <w:p w14:paraId="54B9CBD2" w14:textId="77777777" w:rsidR="002E516E" w:rsidRDefault="002E516E" w:rsidP="002E516E">
      <w:pPr>
        <w:rPr>
          <w:b/>
        </w:rPr>
      </w:pPr>
      <w:r w:rsidRPr="00F13F17">
        <w:rPr>
          <w:b/>
        </w:rPr>
        <w:t xml:space="preserve">Corresponding Author: </w:t>
      </w:r>
    </w:p>
    <w:p w14:paraId="76CD1027" w14:textId="77777777" w:rsidR="002E516E" w:rsidRDefault="002E516E" w:rsidP="002E516E">
      <w:pPr>
        <w:rPr>
          <w:bCs/>
        </w:rPr>
      </w:pPr>
      <w:r>
        <w:rPr>
          <w:bCs/>
        </w:rPr>
        <w:t>Sami El Geneidy</w:t>
      </w:r>
    </w:p>
    <w:p w14:paraId="33F19258" w14:textId="0CB51578" w:rsidR="002E516E" w:rsidRDefault="002E516E" w:rsidP="002E516E">
      <w:pPr>
        <w:rPr>
          <w:bCs/>
        </w:rPr>
      </w:pPr>
      <w:r>
        <w:rPr>
          <w:bCs/>
        </w:rPr>
        <w:t xml:space="preserve">Address: </w:t>
      </w:r>
      <w:r w:rsidRPr="00333F28">
        <w:rPr>
          <w:bCs/>
        </w:rPr>
        <w:t>Seminaarinkatu 15</w:t>
      </w:r>
      <w:r>
        <w:rPr>
          <w:bCs/>
        </w:rPr>
        <w:t xml:space="preserve">, </w:t>
      </w:r>
      <w:r w:rsidRPr="00333F28">
        <w:rPr>
          <w:bCs/>
        </w:rPr>
        <w:t>University of Jyväskylä, P.O. Box 35, FIN-40014</w:t>
      </w:r>
      <w:r>
        <w:rPr>
          <w:bCs/>
        </w:rPr>
        <w:t>, Finland</w:t>
      </w:r>
    </w:p>
    <w:p w14:paraId="5587FC48" w14:textId="1FE9195E" w:rsidR="002E516E" w:rsidRPr="00E42382" w:rsidRDefault="002E516E" w:rsidP="002E516E">
      <w:pPr>
        <w:rPr>
          <w:b/>
        </w:rPr>
      </w:pPr>
      <w:r>
        <w:t xml:space="preserve">Email: </w:t>
      </w:r>
      <w:hyperlink r:id="rId10" w:history="1">
        <w:r w:rsidR="001E04F0" w:rsidRPr="00407FD2">
          <w:rPr>
            <w:rStyle w:val="Hyperlink"/>
          </w:rPr>
          <w:t>sami.s.elgeneidy@jyu.fi</w:t>
        </w:r>
      </w:hyperlink>
      <w:r>
        <w:t xml:space="preserve"> </w:t>
      </w:r>
    </w:p>
    <w:p w14:paraId="01EBF90E" w14:textId="77777777" w:rsidR="00E56547" w:rsidRDefault="00E56547">
      <w:pPr>
        <w:pStyle w:val="Header"/>
        <w:rPr>
          <w:rFonts w:ascii="Garamond" w:hAnsi="Garamond"/>
          <w:sz w:val="20"/>
        </w:rPr>
      </w:pPr>
    </w:p>
    <w:p w14:paraId="59BCCF02" w14:textId="77777777" w:rsidR="00E56547" w:rsidRDefault="00E56547" w:rsidP="00281931">
      <w:pPr>
        <w:rPr>
          <w:rFonts w:ascii="Arial" w:hAnsi="Arial"/>
          <w:sz w:val="22"/>
        </w:rPr>
      </w:pPr>
    </w:p>
    <w:p w14:paraId="3795206A" w14:textId="5A81841D" w:rsidR="00CD28C6" w:rsidRPr="00CD28C6" w:rsidRDefault="00CD28C6" w:rsidP="00281931">
      <w:pPr>
        <w:rPr>
          <w:rFonts w:ascii="Arial" w:hAnsi="Arial"/>
          <w:b/>
          <w:bCs/>
          <w:sz w:val="22"/>
        </w:rPr>
      </w:pPr>
      <w:r w:rsidRPr="00CD28C6">
        <w:rPr>
          <w:rFonts w:ascii="Arial" w:hAnsi="Arial"/>
          <w:b/>
          <w:bCs/>
          <w:sz w:val="22"/>
        </w:rPr>
        <w:t>Summary</w:t>
      </w:r>
      <w:r>
        <w:rPr>
          <w:rFonts w:ascii="Arial" w:hAnsi="Arial"/>
          <w:b/>
          <w:bCs/>
          <w:sz w:val="22"/>
        </w:rPr>
        <w:t>:</w:t>
      </w:r>
    </w:p>
    <w:p w14:paraId="43D98B66" w14:textId="676CB710" w:rsidR="00281931" w:rsidRDefault="009D1D97" w:rsidP="00281931">
      <w:pPr>
        <w:rPr>
          <w:rFonts w:ascii="Arial" w:hAnsi="Arial"/>
          <w:sz w:val="22"/>
        </w:rPr>
      </w:pPr>
      <w:r>
        <w:rPr>
          <w:rFonts w:ascii="Arial" w:hAnsi="Arial"/>
          <w:sz w:val="22"/>
        </w:rPr>
        <w:t>The</w:t>
      </w:r>
      <w:r w:rsidR="0067182A">
        <w:rPr>
          <w:rFonts w:ascii="Arial" w:hAnsi="Arial"/>
          <w:sz w:val="22"/>
        </w:rPr>
        <w:t xml:space="preserve"> </w:t>
      </w:r>
      <w:r w:rsidR="00B257DD">
        <w:rPr>
          <w:rFonts w:ascii="Arial" w:hAnsi="Arial"/>
          <w:sz w:val="22"/>
        </w:rPr>
        <w:t>supplementary</w:t>
      </w:r>
      <w:r w:rsidR="0067182A">
        <w:rPr>
          <w:rFonts w:ascii="Arial" w:hAnsi="Arial"/>
          <w:sz w:val="22"/>
        </w:rPr>
        <w:t xml:space="preserve"> information </w:t>
      </w:r>
      <w:r w:rsidR="00957CB3">
        <w:rPr>
          <w:rFonts w:ascii="Arial" w:hAnsi="Arial"/>
          <w:sz w:val="22"/>
        </w:rPr>
        <w:t>provides</w:t>
      </w:r>
      <w:r w:rsidR="00CD7887">
        <w:rPr>
          <w:rFonts w:ascii="Arial" w:hAnsi="Arial"/>
          <w:sz w:val="22"/>
        </w:rPr>
        <w:t xml:space="preserve"> </w:t>
      </w:r>
      <w:r w:rsidR="00B257DD">
        <w:rPr>
          <w:rFonts w:ascii="Arial" w:hAnsi="Arial"/>
          <w:sz w:val="22"/>
        </w:rPr>
        <w:t>supplementary</w:t>
      </w:r>
      <w:r w:rsidR="00CD7887">
        <w:rPr>
          <w:rFonts w:ascii="Arial" w:hAnsi="Arial"/>
          <w:sz w:val="22"/>
        </w:rPr>
        <w:t xml:space="preserve"> methods detailing the steps of the development of the </w:t>
      </w:r>
      <w:r w:rsidR="0084203D">
        <w:rPr>
          <w:rFonts w:ascii="Arial" w:hAnsi="Arial"/>
          <w:sz w:val="22"/>
        </w:rPr>
        <w:t>BIOVALENT database</w:t>
      </w:r>
      <w:r w:rsidR="00CD7887">
        <w:rPr>
          <w:rFonts w:ascii="Arial" w:hAnsi="Arial"/>
          <w:sz w:val="22"/>
        </w:rPr>
        <w:t xml:space="preserve"> </w:t>
      </w:r>
      <w:r>
        <w:rPr>
          <w:rFonts w:ascii="Arial" w:hAnsi="Arial"/>
          <w:sz w:val="22"/>
        </w:rPr>
        <w:t xml:space="preserve">as well as additional details </w:t>
      </w:r>
      <w:r w:rsidR="00CD7887">
        <w:rPr>
          <w:rFonts w:ascii="Arial" w:hAnsi="Arial"/>
          <w:sz w:val="22"/>
        </w:rPr>
        <w:t>to calculate the results presented in the main manuscript</w:t>
      </w:r>
      <w:r w:rsidR="009A31CE">
        <w:rPr>
          <w:rFonts w:ascii="Arial" w:hAnsi="Arial"/>
          <w:sz w:val="22"/>
        </w:rPr>
        <w:t>.</w:t>
      </w:r>
    </w:p>
    <w:p w14:paraId="0BC594B6" w14:textId="007A8DB3" w:rsidR="00637D84" w:rsidRDefault="00637D84" w:rsidP="00281931">
      <w:pPr>
        <w:jc w:val="right"/>
        <w:rPr>
          <w:rFonts w:ascii="Garamond" w:hAnsi="Garamond"/>
          <w:sz w:val="20"/>
        </w:rPr>
      </w:pPr>
    </w:p>
    <w:p w14:paraId="35E6B6A0" w14:textId="77777777" w:rsidR="00637D84" w:rsidRDefault="00637D84">
      <w:pPr>
        <w:pStyle w:val="Header"/>
        <w:rPr>
          <w:rFonts w:ascii="Garamond" w:hAnsi="Garamond"/>
          <w:sz w:val="20"/>
        </w:rPr>
      </w:pPr>
      <w:r>
        <w:rPr>
          <w:rFonts w:ascii="Garamond" w:hAnsi="Garamond"/>
          <w:sz w:val="22"/>
        </w:rPr>
        <w:t xml:space="preserve"> </w:t>
      </w:r>
    </w:p>
    <w:p w14:paraId="6EF8EDEA" w14:textId="01A5752D" w:rsidR="00CD7887" w:rsidRDefault="00B257DD" w:rsidP="00CD7887">
      <w:pPr>
        <w:pStyle w:val="SMSubheading"/>
        <w:rPr>
          <w:b/>
          <w:szCs w:val="24"/>
          <w:u w:val="none"/>
        </w:rPr>
      </w:pPr>
      <w:r>
        <w:rPr>
          <w:b/>
          <w:szCs w:val="24"/>
          <w:u w:val="none"/>
        </w:rPr>
        <w:t>Supplementary</w:t>
      </w:r>
      <w:r w:rsidR="00CD7887">
        <w:rPr>
          <w:b/>
          <w:szCs w:val="24"/>
          <w:u w:val="none"/>
        </w:rPr>
        <w:t xml:space="preserve"> </w:t>
      </w:r>
      <w:r w:rsidR="00CD7887" w:rsidRPr="00566C93">
        <w:rPr>
          <w:b/>
          <w:szCs w:val="24"/>
          <w:u w:val="none"/>
        </w:rPr>
        <w:t>Methods</w:t>
      </w:r>
    </w:p>
    <w:p w14:paraId="5ECC2962" w14:textId="77777777" w:rsidR="000E7E2A" w:rsidRDefault="000E7E2A" w:rsidP="00CD7887">
      <w:pPr>
        <w:pStyle w:val="SMSubheading"/>
        <w:rPr>
          <w:b/>
          <w:szCs w:val="24"/>
          <w:u w:val="none"/>
        </w:rPr>
      </w:pPr>
    </w:p>
    <w:p w14:paraId="77254AFA" w14:textId="77777777" w:rsidR="00B47667" w:rsidRDefault="005961F3" w:rsidP="000E7E2A">
      <w:pPr>
        <w:pStyle w:val="SMSubheading"/>
        <w:rPr>
          <w:b/>
          <w:bCs/>
        </w:rPr>
      </w:pPr>
      <w:r w:rsidRPr="00B92436">
        <w:rPr>
          <w:b/>
          <w:bCs/>
          <w:szCs w:val="24"/>
          <w:u w:val="none"/>
        </w:rPr>
        <w:t xml:space="preserve">STEP1: </w:t>
      </w:r>
      <w:r w:rsidR="00B47667" w:rsidRPr="00DD48D2">
        <w:rPr>
          <w:b/>
          <w:bCs/>
          <w:u w:val="none"/>
        </w:rPr>
        <w:t>Choose organizational activities to be assessed</w:t>
      </w:r>
    </w:p>
    <w:p w14:paraId="30CC3468" w14:textId="4CF42935" w:rsidR="00796E0B" w:rsidRDefault="005961F3" w:rsidP="000E7E2A">
      <w:pPr>
        <w:pStyle w:val="SMSubheading"/>
        <w:rPr>
          <w:szCs w:val="24"/>
          <w:u w:val="none"/>
        </w:rPr>
      </w:pPr>
      <w:r>
        <w:rPr>
          <w:szCs w:val="24"/>
          <w:u w:val="none"/>
        </w:rPr>
        <w:t>A key question in the initiation of footprint assessments</w:t>
      </w:r>
      <w:r w:rsidR="00971BFE">
        <w:rPr>
          <w:szCs w:val="24"/>
          <w:u w:val="none"/>
        </w:rPr>
        <w:t>, and in life cycle assessment</w:t>
      </w:r>
      <w:r w:rsidR="001E623E">
        <w:rPr>
          <w:szCs w:val="24"/>
          <w:u w:val="none"/>
        </w:rPr>
        <w:t xml:space="preserve"> (LCA)</w:t>
      </w:r>
      <w:r w:rsidR="00971BFE">
        <w:rPr>
          <w:szCs w:val="24"/>
          <w:u w:val="none"/>
        </w:rPr>
        <w:t xml:space="preserve"> in general,</w:t>
      </w:r>
      <w:r>
        <w:rPr>
          <w:szCs w:val="24"/>
          <w:u w:val="none"/>
        </w:rPr>
        <w:t xml:space="preserve"> is </w:t>
      </w:r>
      <w:r w:rsidR="00BC465D">
        <w:rPr>
          <w:szCs w:val="24"/>
          <w:u w:val="none"/>
        </w:rPr>
        <w:t xml:space="preserve">how the system boundaries </w:t>
      </w:r>
      <w:r w:rsidR="00971BFE">
        <w:rPr>
          <w:szCs w:val="24"/>
          <w:u w:val="none"/>
        </w:rPr>
        <w:t>of the assessment should be defined</w:t>
      </w:r>
      <w:r w:rsidR="001E623E">
        <w:rPr>
          <w:szCs w:val="24"/>
          <w:u w:val="none"/>
        </w:rPr>
        <w:t>, i.e. goal and scope definition in the LCA nomenclature</w:t>
      </w:r>
      <w:r w:rsidR="00971BFE">
        <w:rPr>
          <w:szCs w:val="24"/>
          <w:u w:val="none"/>
        </w:rPr>
        <w:t xml:space="preserve"> (</w:t>
      </w:r>
      <w:r w:rsidR="00C41CBC">
        <w:rPr>
          <w:szCs w:val="24"/>
          <w:u w:val="none"/>
        </w:rPr>
        <w:t>Hellweg &amp; Mil</w:t>
      </w:r>
      <w:r w:rsidR="00556DF9">
        <w:rPr>
          <w:szCs w:val="24"/>
          <w:u w:val="none"/>
        </w:rPr>
        <w:t>à i Canals</w:t>
      </w:r>
      <w:r w:rsidR="00875282">
        <w:rPr>
          <w:szCs w:val="24"/>
          <w:u w:val="none"/>
        </w:rPr>
        <w:t>, 2014</w:t>
      </w:r>
      <w:r w:rsidR="00971BFE">
        <w:rPr>
          <w:szCs w:val="24"/>
          <w:u w:val="none"/>
        </w:rPr>
        <w:t>)</w:t>
      </w:r>
      <w:r w:rsidR="00147DD0">
        <w:rPr>
          <w:szCs w:val="24"/>
          <w:u w:val="none"/>
        </w:rPr>
        <w:t xml:space="preserve">. Deciding the system boundaries of the assessment without prior knowledge on the relative importance of </w:t>
      </w:r>
      <w:r w:rsidR="0033542C">
        <w:rPr>
          <w:szCs w:val="24"/>
          <w:u w:val="none"/>
        </w:rPr>
        <w:t>the environmental impacts of the organization’s operations may be difficult</w:t>
      </w:r>
      <w:r w:rsidR="00CC762F">
        <w:rPr>
          <w:szCs w:val="24"/>
          <w:u w:val="none"/>
        </w:rPr>
        <w:t>.</w:t>
      </w:r>
      <w:r w:rsidR="004C569F">
        <w:rPr>
          <w:szCs w:val="24"/>
          <w:u w:val="none"/>
        </w:rPr>
        <w:t xml:space="preserve"> Still, i</w:t>
      </w:r>
      <w:r w:rsidR="004C569F" w:rsidRPr="004C569F">
        <w:rPr>
          <w:szCs w:val="24"/>
          <w:u w:val="none"/>
        </w:rPr>
        <w:t xml:space="preserve">f organizations are to make preliminary footprint assessments, they will have to </w:t>
      </w:r>
      <w:r w:rsidR="00082A55">
        <w:rPr>
          <w:szCs w:val="24"/>
          <w:u w:val="none"/>
        </w:rPr>
        <w:t>decide</w:t>
      </w:r>
      <w:r w:rsidR="004C569F" w:rsidRPr="004C569F">
        <w:rPr>
          <w:szCs w:val="24"/>
          <w:u w:val="none"/>
        </w:rPr>
        <w:t xml:space="preserve"> which </w:t>
      </w:r>
      <w:r w:rsidR="00F930AA">
        <w:rPr>
          <w:szCs w:val="24"/>
          <w:u w:val="none"/>
        </w:rPr>
        <w:t>activities</w:t>
      </w:r>
      <w:r w:rsidR="004C569F" w:rsidRPr="004C569F">
        <w:rPr>
          <w:szCs w:val="24"/>
          <w:u w:val="none"/>
        </w:rPr>
        <w:t xml:space="preserve"> they are looking to assess</w:t>
      </w:r>
      <w:r w:rsidR="00163872">
        <w:rPr>
          <w:szCs w:val="24"/>
          <w:u w:val="none"/>
        </w:rPr>
        <w:t>.</w:t>
      </w:r>
    </w:p>
    <w:p w14:paraId="5E83D530" w14:textId="0B041A1C" w:rsidR="00CC762F" w:rsidRDefault="00CC762F" w:rsidP="000E7E2A">
      <w:pPr>
        <w:pStyle w:val="SMSubheading"/>
        <w:rPr>
          <w:szCs w:val="24"/>
          <w:u w:val="none"/>
        </w:rPr>
      </w:pPr>
    </w:p>
    <w:p w14:paraId="62B89376" w14:textId="7389FF44" w:rsidR="00CC762F" w:rsidRDefault="00CC762F" w:rsidP="000E7E2A">
      <w:pPr>
        <w:pStyle w:val="SMSubheading"/>
        <w:rPr>
          <w:b/>
          <w:bCs/>
        </w:rPr>
      </w:pPr>
      <w:r>
        <w:rPr>
          <w:szCs w:val="24"/>
          <w:u w:val="none"/>
        </w:rPr>
        <w:t xml:space="preserve">We argue </w:t>
      </w:r>
      <w:r w:rsidR="004B653C">
        <w:rPr>
          <w:szCs w:val="24"/>
          <w:u w:val="none"/>
        </w:rPr>
        <w:t xml:space="preserve">that any footprint assessment is preceded by decisions where </w:t>
      </w:r>
      <w:r w:rsidR="00C56AB2">
        <w:rPr>
          <w:szCs w:val="24"/>
          <w:u w:val="none"/>
        </w:rPr>
        <w:t>the focus points of the assessment need to be chosen. Ideally, the financial accounts of the organization cover majority of the operations</w:t>
      </w:r>
      <w:r w:rsidR="00B01667">
        <w:rPr>
          <w:szCs w:val="24"/>
          <w:u w:val="none"/>
        </w:rPr>
        <w:t xml:space="preserve"> and can be used to identify focus points of the assessment</w:t>
      </w:r>
      <w:r w:rsidR="00221609">
        <w:rPr>
          <w:szCs w:val="24"/>
          <w:u w:val="none"/>
        </w:rPr>
        <w:t>. Nevertheless, important limitations remai</w:t>
      </w:r>
      <w:r w:rsidR="004A2A20">
        <w:rPr>
          <w:szCs w:val="24"/>
          <w:u w:val="none"/>
        </w:rPr>
        <w:t>n.</w:t>
      </w:r>
      <w:r w:rsidR="00221609">
        <w:rPr>
          <w:szCs w:val="24"/>
          <w:u w:val="none"/>
        </w:rPr>
        <w:t xml:space="preserve"> </w:t>
      </w:r>
      <w:r w:rsidR="004A2A20">
        <w:rPr>
          <w:szCs w:val="24"/>
          <w:u w:val="none"/>
        </w:rPr>
        <w:t>F</w:t>
      </w:r>
      <w:r w:rsidR="00221609">
        <w:rPr>
          <w:szCs w:val="24"/>
          <w:u w:val="none"/>
        </w:rPr>
        <w:t>or example</w:t>
      </w:r>
      <w:r w:rsidR="004A2A20">
        <w:rPr>
          <w:szCs w:val="24"/>
          <w:u w:val="none"/>
        </w:rPr>
        <w:t xml:space="preserve">, </w:t>
      </w:r>
      <w:r w:rsidR="00CE017C">
        <w:rPr>
          <w:szCs w:val="24"/>
          <w:u w:val="none"/>
        </w:rPr>
        <w:t xml:space="preserve">some </w:t>
      </w:r>
      <w:r w:rsidR="0032797F">
        <w:rPr>
          <w:szCs w:val="24"/>
          <w:u w:val="none"/>
        </w:rPr>
        <w:t>activities</w:t>
      </w:r>
      <w:r w:rsidR="00D9394D">
        <w:rPr>
          <w:szCs w:val="24"/>
          <w:u w:val="none"/>
        </w:rPr>
        <w:t xml:space="preserve"> of the organization</w:t>
      </w:r>
      <w:r w:rsidR="00CE017C">
        <w:rPr>
          <w:szCs w:val="24"/>
          <w:u w:val="none"/>
        </w:rPr>
        <w:t xml:space="preserve"> may have better data availability while other </w:t>
      </w:r>
      <w:r w:rsidR="00485BDA">
        <w:rPr>
          <w:szCs w:val="24"/>
          <w:u w:val="none"/>
        </w:rPr>
        <w:t>activities</w:t>
      </w:r>
      <w:r w:rsidR="009B378C">
        <w:rPr>
          <w:szCs w:val="24"/>
          <w:u w:val="none"/>
        </w:rPr>
        <w:t xml:space="preserve"> </w:t>
      </w:r>
      <w:r w:rsidR="00D9394D">
        <w:rPr>
          <w:szCs w:val="24"/>
          <w:u w:val="none"/>
        </w:rPr>
        <w:t>may have less developed</w:t>
      </w:r>
      <w:r w:rsidR="00F012C0">
        <w:rPr>
          <w:szCs w:val="24"/>
          <w:u w:val="none"/>
        </w:rPr>
        <w:t xml:space="preserve"> data</w:t>
      </w:r>
      <w:r w:rsidR="003C1EDD">
        <w:rPr>
          <w:szCs w:val="24"/>
          <w:u w:val="none"/>
        </w:rPr>
        <w:t>, and as such could be left out of the assessment</w:t>
      </w:r>
      <w:r w:rsidR="00F012C0">
        <w:rPr>
          <w:szCs w:val="24"/>
          <w:u w:val="none"/>
        </w:rPr>
        <w:t>. This can lead to bias and incomplete footprint assessments</w:t>
      </w:r>
      <w:r w:rsidR="00B366C6">
        <w:rPr>
          <w:szCs w:val="24"/>
          <w:u w:val="none"/>
        </w:rPr>
        <w:t>.</w:t>
      </w:r>
      <w:r w:rsidR="00CC4345">
        <w:rPr>
          <w:szCs w:val="24"/>
          <w:u w:val="none"/>
        </w:rPr>
        <w:t xml:space="preserve"> On the other hand, the framework and footprint assessment in general should be seen as an iterative process where data and results are constantly scrutinized</w:t>
      </w:r>
      <w:r w:rsidR="00A76BFE">
        <w:rPr>
          <w:szCs w:val="24"/>
          <w:u w:val="none"/>
        </w:rPr>
        <w:t xml:space="preserve"> </w:t>
      </w:r>
      <w:r w:rsidR="00EB3B53">
        <w:rPr>
          <w:szCs w:val="24"/>
          <w:u w:val="none"/>
        </w:rPr>
        <w:t>once methodologies improve and data about new issues become</w:t>
      </w:r>
      <w:r w:rsidR="001E29E8">
        <w:rPr>
          <w:szCs w:val="24"/>
          <w:u w:val="none"/>
        </w:rPr>
        <w:t xml:space="preserve"> </w:t>
      </w:r>
      <w:r w:rsidR="00EB3B53">
        <w:rPr>
          <w:szCs w:val="24"/>
          <w:u w:val="none"/>
        </w:rPr>
        <w:t>available.</w:t>
      </w:r>
    </w:p>
    <w:p w14:paraId="2501FF12" w14:textId="77777777" w:rsidR="00796E0B" w:rsidRDefault="00796E0B" w:rsidP="000E7E2A">
      <w:pPr>
        <w:pStyle w:val="SMSubheading"/>
        <w:rPr>
          <w:b/>
          <w:bCs/>
          <w:szCs w:val="24"/>
        </w:rPr>
      </w:pPr>
    </w:p>
    <w:p w14:paraId="595C8CB6" w14:textId="6FDBEEE5" w:rsidR="000E7E2A" w:rsidRPr="002F4C9E" w:rsidRDefault="000E7E2A" w:rsidP="000E7E2A">
      <w:pPr>
        <w:pStyle w:val="SMSubheading"/>
        <w:rPr>
          <w:b/>
          <w:bCs/>
          <w:szCs w:val="24"/>
          <w:u w:val="none"/>
        </w:rPr>
      </w:pPr>
      <w:r w:rsidRPr="002F4C9E">
        <w:rPr>
          <w:b/>
          <w:bCs/>
          <w:szCs w:val="24"/>
          <w:u w:val="none"/>
        </w:rPr>
        <w:t xml:space="preserve">STEP 2: Assess the </w:t>
      </w:r>
      <w:proofErr w:type="gramStart"/>
      <w:r w:rsidRPr="002F4C9E">
        <w:rPr>
          <w:b/>
          <w:bCs/>
          <w:szCs w:val="24"/>
          <w:u w:val="none"/>
        </w:rPr>
        <w:t>amount of the drivers</w:t>
      </w:r>
      <w:proofErr w:type="gramEnd"/>
      <w:r w:rsidRPr="002F4C9E">
        <w:rPr>
          <w:b/>
          <w:bCs/>
          <w:szCs w:val="24"/>
          <w:u w:val="none"/>
        </w:rPr>
        <w:t xml:space="preserve"> of biodiversity loss caused by the </w:t>
      </w:r>
      <w:r w:rsidR="007E13D0">
        <w:rPr>
          <w:b/>
          <w:bCs/>
          <w:szCs w:val="24"/>
          <w:u w:val="none"/>
        </w:rPr>
        <w:t>activities</w:t>
      </w:r>
    </w:p>
    <w:p w14:paraId="4E8F0279" w14:textId="639E56EC" w:rsidR="000E7E2A" w:rsidRPr="004A00B4" w:rsidRDefault="000E7E2A" w:rsidP="000E7E2A">
      <w:pPr>
        <w:pStyle w:val="SMSubheading"/>
        <w:rPr>
          <w:szCs w:val="24"/>
          <w:u w:val="none"/>
        </w:rPr>
      </w:pPr>
      <w:r w:rsidRPr="004A00B4">
        <w:rPr>
          <w:szCs w:val="24"/>
          <w:u w:val="none"/>
        </w:rPr>
        <w:t xml:space="preserve">The direct drivers of biodiversity loss can be estimated with two different methods: measurement and modelling. Measuring the direct drivers of biodiversity loss means that an organization would directly collect data on, for example, how much certain type of land is used due to the production of goods they purchase or how many kilograms of pollutants are emitted when the electricity they use is produced. While direct </w:t>
      </w:r>
      <w:r w:rsidRPr="004A00B4">
        <w:rPr>
          <w:szCs w:val="24"/>
          <w:u w:val="none"/>
        </w:rPr>
        <w:lastRenderedPageBreak/>
        <w:t xml:space="preserve">measurement of impacts can be more accurate, it can be challenging in many cases, especially when assessing the environmental impacts of value chains, where the original producer of the impact can be located far from the consumer of the goods and services produced (Lenzen et al., 2012; Marques et al., 2019; Wiebe &amp; Wilcove, 2025). Modelling on the other hand uses synthesized data and mathematical models to estimate the response of, for example different species to different drivers of biodiversity loss. For example, land use biodiversity impacts can be estimated by species-area relationship models (Chaudhary &amp; Brooks, 2018), which can further </w:t>
      </w:r>
      <w:proofErr w:type="gramStart"/>
      <w:r w:rsidRPr="004A00B4">
        <w:rPr>
          <w:szCs w:val="24"/>
          <w:u w:val="none"/>
        </w:rPr>
        <w:t>be connected with</w:t>
      </w:r>
      <w:proofErr w:type="gramEnd"/>
      <w:r w:rsidRPr="004A00B4">
        <w:rPr>
          <w:szCs w:val="24"/>
          <w:u w:val="none"/>
        </w:rPr>
        <w:t xml:space="preserve"> </w:t>
      </w:r>
      <w:r w:rsidR="001530E3">
        <w:rPr>
          <w:szCs w:val="24"/>
          <w:u w:val="none"/>
        </w:rPr>
        <w:t>organizational activity</w:t>
      </w:r>
      <w:r w:rsidR="001530E3" w:rsidRPr="004A00B4">
        <w:rPr>
          <w:szCs w:val="24"/>
          <w:u w:val="none"/>
        </w:rPr>
        <w:t xml:space="preserve"> </w:t>
      </w:r>
      <w:r w:rsidRPr="004A00B4">
        <w:rPr>
          <w:szCs w:val="24"/>
          <w:u w:val="none"/>
        </w:rPr>
        <w:t>data to estimate the amount of biodiversity impacts</w:t>
      </w:r>
      <w:r w:rsidR="0014200A">
        <w:rPr>
          <w:szCs w:val="24"/>
          <w:u w:val="none"/>
        </w:rPr>
        <w:t xml:space="preserve"> caused by the activities of the organization</w:t>
      </w:r>
      <w:r w:rsidRPr="004A00B4">
        <w:rPr>
          <w:szCs w:val="24"/>
          <w:u w:val="none"/>
        </w:rPr>
        <w:t xml:space="preserve">. In this paper we will focus on modelling the amount of </w:t>
      </w:r>
      <w:proofErr w:type="gramStart"/>
      <w:r w:rsidRPr="004A00B4">
        <w:rPr>
          <w:szCs w:val="24"/>
          <w:u w:val="none"/>
        </w:rPr>
        <w:t>the direct</w:t>
      </w:r>
      <w:proofErr w:type="gramEnd"/>
      <w:r w:rsidRPr="004A00B4">
        <w:rPr>
          <w:szCs w:val="24"/>
          <w:u w:val="none"/>
        </w:rPr>
        <w:t xml:space="preserve"> drivers of biodiversity loss, but the BIOVALENT method can be applied with measured data as well.</w:t>
      </w:r>
    </w:p>
    <w:p w14:paraId="5F5ECC6C" w14:textId="77777777" w:rsidR="000E7E2A" w:rsidRPr="004A00B4" w:rsidRDefault="000E7E2A" w:rsidP="000E7E2A">
      <w:pPr>
        <w:pStyle w:val="SMSubheading"/>
        <w:rPr>
          <w:szCs w:val="24"/>
          <w:u w:val="none"/>
        </w:rPr>
      </w:pPr>
    </w:p>
    <w:p w14:paraId="52D53DB9" w14:textId="4A799B36" w:rsidR="000E7E2A" w:rsidRPr="004A00B4" w:rsidRDefault="000E7E2A" w:rsidP="000E7E2A">
      <w:pPr>
        <w:pStyle w:val="SMSubheading"/>
        <w:rPr>
          <w:szCs w:val="24"/>
          <w:u w:val="none"/>
        </w:rPr>
      </w:pPr>
      <w:r w:rsidRPr="004A00B4">
        <w:rPr>
          <w:szCs w:val="24"/>
          <w:u w:val="none"/>
        </w:rPr>
        <w:t xml:space="preserve">Life cycle assessment (LCA) and environmentally extended input output assessment (EEIOA) are examples of methods that can be used to model the amount of the direct drivers of biodiversity loss caused by </w:t>
      </w:r>
      <w:r w:rsidR="007D2241">
        <w:rPr>
          <w:szCs w:val="24"/>
          <w:u w:val="none"/>
        </w:rPr>
        <w:t>organizational activities</w:t>
      </w:r>
      <w:r w:rsidR="007D2241" w:rsidRPr="004A00B4">
        <w:rPr>
          <w:szCs w:val="24"/>
          <w:u w:val="none"/>
        </w:rPr>
        <w:t xml:space="preserve"> </w:t>
      </w:r>
      <w:r w:rsidRPr="004A00B4">
        <w:rPr>
          <w:szCs w:val="24"/>
          <w:u w:val="none"/>
        </w:rPr>
        <w:t xml:space="preserve">(Hellweg et al., 2023; Hellweg &amp; Milà i Canals, 2014; Kitzes, 2013; Leontief, 1970; Marques et al., 2017). For this paper, it is enough to state that EEIOA connects the inputs an organization needs (measured as financial consumption revealed by the financial accounts) with the environmental impacts of those inputs upstream in the supply chain. For certain </w:t>
      </w:r>
      <w:r w:rsidR="00CF0215">
        <w:rPr>
          <w:szCs w:val="24"/>
          <w:u w:val="none"/>
        </w:rPr>
        <w:t>activities</w:t>
      </w:r>
      <w:r w:rsidRPr="004A00B4">
        <w:rPr>
          <w:szCs w:val="24"/>
          <w:u w:val="none"/>
        </w:rPr>
        <w:t>, such as energy and travel-related accounts, LCA can reveal the environmental impacts more accurately by utilizing process-based impact factors obtained from LCA databases, scientific literature or directly from service providers. Hybrid EEIO-LCA combines the strengths of EEIOA and LCA approaches (Crawford et al., 2018; El Geneidy et al., 2021; Larsen et al., 2013; Nakamura &amp; Nansai, 2016). BIOVALENT is a methodology utilizing the hybrid EEIO-LCA approach.</w:t>
      </w:r>
    </w:p>
    <w:p w14:paraId="59ADD106" w14:textId="77777777" w:rsidR="000E7E2A" w:rsidRPr="004A00B4" w:rsidRDefault="000E7E2A" w:rsidP="000E7E2A">
      <w:pPr>
        <w:pStyle w:val="SMSubheading"/>
        <w:rPr>
          <w:szCs w:val="24"/>
          <w:u w:val="none"/>
        </w:rPr>
      </w:pPr>
    </w:p>
    <w:p w14:paraId="7C38C5D1" w14:textId="0231AF84" w:rsidR="000E7E2A" w:rsidRPr="004A00B4" w:rsidRDefault="000E7E2A" w:rsidP="000E7E2A">
      <w:pPr>
        <w:pStyle w:val="SMSubheading"/>
        <w:rPr>
          <w:szCs w:val="24"/>
          <w:u w:val="none"/>
        </w:rPr>
      </w:pPr>
      <w:r w:rsidRPr="004A00B4">
        <w:rPr>
          <w:szCs w:val="24"/>
          <w:u w:val="none"/>
        </w:rPr>
        <w:t>Of the</w:t>
      </w:r>
      <w:r w:rsidRPr="004A00B4" w:rsidDel="00A81D66">
        <w:rPr>
          <w:szCs w:val="24"/>
          <w:u w:val="none"/>
        </w:rPr>
        <w:t xml:space="preserve"> </w:t>
      </w:r>
      <w:r w:rsidRPr="004A00B4">
        <w:rPr>
          <w:szCs w:val="24"/>
          <w:u w:val="none"/>
        </w:rPr>
        <w:t xml:space="preserve">drivers of biodiversity loss, the EEIOA and LCA databases generally cover land and water use (i.e. water stress), pollution, and greenhouse gas emissions (Damiani et al., 2023). There are several sub-categories within each of the </w:t>
      </w:r>
      <w:proofErr w:type="gramStart"/>
      <w:r w:rsidRPr="004A00B4">
        <w:rPr>
          <w:szCs w:val="24"/>
          <w:u w:val="none"/>
        </w:rPr>
        <w:t>included drivers</w:t>
      </w:r>
      <w:proofErr w:type="gramEnd"/>
      <w:r w:rsidRPr="004A00B4">
        <w:rPr>
          <w:szCs w:val="24"/>
          <w:u w:val="none"/>
        </w:rPr>
        <w:t xml:space="preserve"> in the databases. For example, land use is divided into different land use types, such as different types of pasture and cropland. As noted above, c</w:t>
      </w:r>
      <w:r w:rsidRPr="004A00B4" w:rsidDel="00FE288B">
        <w:rPr>
          <w:szCs w:val="24"/>
          <w:u w:val="none"/>
        </w:rPr>
        <w:t xml:space="preserve">limate change </w:t>
      </w:r>
      <w:r w:rsidRPr="004A00B4">
        <w:rPr>
          <w:szCs w:val="24"/>
          <w:u w:val="none"/>
        </w:rPr>
        <w:t>is one of the drivers of</w:t>
      </w:r>
      <w:r w:rsidRPr="004A00B4" w:rsidDel="00FE288B">
        <w:rPr>
          <w:szCs w:val="24"/>
          <w:u w:val="none"/>
        </w:rPr>
        <w:t xml:space="preserve"> biodiversity loss </w:t>
      </w:r>
      <w:r w:rsidRPr="004A00B4">
        <w:rPr>
          <w:szCs w:val="24"/>
          <w:u w:val="none"/>
        </w:rPr>
        <w:t>and assessing the carbon footprint becomes an obligatory intermediate step when assessing the biodiversity footprint. This is convenient, as it has been pointed out that climate change and biodiversity loss</w:t>
      </w:r>
      <w:r w:rsidRPr="004A00B4" w:rsidDel="00FE288B">
        <w:rPr>
          <w:szCs w:val="24"/>
          <w:u w:val="none"/>
        </w:rPr>
        <w:t xml:space="preserve"> should be solved together (IPBES, 2019; IPCC, 2022; Pörtner et al., 2021; Shin et al., 2022).</w:t>
      </w:r>
    </w:p>
    <w:p w14:paraId="2909DFAF" w14:textId="77777777" w:rsidR="000E7E2A" w:rsidRPr="004A00B4" w:rsidRDefault="000E7E2A" w:rsidP="00CD7887">
      <w:pPr>
        <w:pStyle w:val="SMSubheading"/>
        <w:rPr>
          <w:szCs w:val="24"/>
          <w:u w:val="none"/>
        </w:rPr>
      </w:pPr>
    </w:p>
    <w:p w14:paraId="7AD700AE" w14:textId="77777777" w:rsidR="00CD7887" w:rsidRDefault="00CD7887" w:rsidP="00CD7887">
      <w:pPr>
        <w:pStyle w:val="SMSubheading"/>
        <w:rPr>
          <w:szCs w:val="24"/>
        </w:rPr>
      </w:pPr>
    </w:p>
    <w:p w14:paraId="254217B0" w14:textId="7359C625" w:rsidR="00CD7887" w:rsidRPr="00CD3036" w:rsidRDefault="00597DBC" w:rsidP="00CD7887">
      <w:pPr>
        <w:jc w:val="both"/>
        <w:rPr>
          <w:b/>
          <w:bCs/>
          <w:sz w:val="22"/>
          <w:szCs w:val="18"/>
        </w:rPr>
      </w:pPr>
      <w:r>
        <w:rPr>
          <w:b/>
          <w:bCs/>
          <w:sz w:val="22"/>
          <w:szCs w:val="18"/>
        </w:rPr>
        <w:t>STEP 3a</w:t>
      </w:r>
      <w:r w:rsidR="00CD7887" w:rsidRPr="00CD3036">
        <w:rPr>
          <w:b/>
          <w:bCs/>
          <w:sz w:val="22"/>
          <w:szCs w:val="18"/>
        </w:rPr>
        <w:t xml:space="preserve">: Assess the location of the drivers of biodiversity loss </w:t>
      </w:r>
    </w:p>
    <w:p w14:paraId="7ACEA0DD" w14:textId="12984F65" w:rsidR="00CD7887" w:rsidRDefault="00CD7887" w:rsidP="00CD7887">
      <w:pPr>
        <w:jc w:val="both"/>
      </w:pPr>
      <w:r>
        <w:t>For EXIOBASE we used t</w:t>
      </w:r>
      <w:r w:rsidRPr="001E5071">
        <w:t xml:space="preserve">he open-source tool Pymrio </w:t>
      </w:r>
      <w:r>
        <w:t xml:space="preserve">that </w:t>
      </w:r>
      <w:r w:rsidRPr="001E5071">
        <w:t>can be used to assess the</w:t>
      </w:r>
      <w:r>
        <w:t xml:space="preserve"> supply chain composition and the origin of environmental impacts of </w:t>
      </w:r>
      <w:r w:rsidR="002D7C94">
        <w:t>the activities</w:t>
      </w:r>
      <w:r>
        <w:t xml:space="preserve"> of EEIO databases </w:t>
      </w:r>
      <w:r w:rsidRPr="00612B37">
        <w:t>(Stadler, 2021)</w:t>
      </w:r>
      <w:r w:rsidRPr="001E5071">
        <w:t>.</w:t>
      </w:r>
      <w:r>
        <w:t xml:space="preserve"> </w:t>
      </w:r>
      <w:r w:rsidRPr="001E5071">
        <w:t>Following the code provided in Pymrio</w:t>
      </w:r>
      <w:r>
        <w:t xml:space="preserve"> (detailed below)</w:t>
      </w:r>
      <w:r w:rsidRPr="001E5071">
        <w:t>, we first calculated a global matrix for the country of origin of a driver of biodiversity loss (</w:t>
      </w:r>
      <w:r w:rsidRPr="00FA23AD">
        <w:rPr>
          <w:i/>
        </w:rPr>
        <w:t>DR</w:t>
      </w:r>
      <w:r w:rsidRPr="00FA23AD">
        <w:rPr>
          <w:i/>
          <w:vertAlign w:val="subscript"/>
        </w:rPr>
        <w:t>origin</w:t>
      </w:r>
      <w:r w:rsidRPr="001E5071">
        <w:t>):</w:t>
      </w:r>
    </w:p>
    <w:p w14:paraId="63FE4860" w14:textId="77777777" w:rsidR="00CD7887" w:rsidRPr="00193566" w:rsidRDefault="00CD7887" w:rsidP="00CD7887">
      <w:pPr>
        <w:jc w:val="both"/>
      </w:pPr>
    </w:p>
    <w:p w14:paraId="2D2B8216" w14:textId="77777777" w:rsidR="00CD7887" w:rsidRPr="00193566" w:rsidRDefault="003B602A" w:rsidP="00CD7887">
      <w:pPr>
        <w:pStyle w:val="NormalWeb"/>
        <w:jc w:val="center"/>
      </w:pPr>
      <w:r>
        <w:rPr>
          <w:rFonts w:eastAsia="SimSun"/>
        </w:rPr>
        <w:lastRenderedPageBreak/>
        <w:pict w14:anchorId="0C15297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8.8pt;height:59.2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20&quot;/&gt;&lt;w:stylePaneFormatFilter w:val=&quot;3F01&quot;/&gt;&lt;w:defaultTabStop w:val=&quot;720&quot;/&gt;&lt;w:displayHorizontalDrawingGridEvery w:val=&quot;0&quot;/&gt;&lt;w:displayVerticalDrawingGridEvery w:val=&quot;0&quot;/&gt;&lt;w:useMarginsForDrawingGridOrigin/&gt;&lt;w:characterSpacingControl w:val=&quot;DontCompress&quot;/&gt;&lt;w:optimizeForBrowser/&gt;&lt;w:targetScreenSz w:val=&quot;800x600&quot;/&gt;&lt;w:validateAgainstSchema/&gt;&lt;w:saveInvalidXML w:val=&quot;off&quot;/&gt;&lt;w:ignoreMixedContent w:val=&quot;off&quot;/&gt;&lt;w:alwaysShowPlaceholderText w:val=&quot;off&quot;/&gt;&lt;w:compat&gt;&lt;w:footnoteLayoutLikeWW8/&gt;&lt;w:shapeLayoutLikeWW8/&gt;&lt;w:alignTablesRowByRow/&gt;&lt;w:forgetLastTabAlignment/&gt;&lt;w:doNotUseHTMLParagraphAutoSpacing/&gt;&lt;w:layoutRawTableWidth/&gt;&lt;w:layoutTableRowsApart/&gt;&lt;w:useWord97LineBreakingRules/&gt;&lt;w:dontAllowFieldEndSelect/&gt;&lt;w:useWord2002TableStyleRules/&gt;&lt;w:useFELayout/&gt;&lt;/w:compat&gt;&lt;wsp:rsids&gt;&lt;wsp:rsidRoot wsp:val=&quot;00FC3678&quot;/&gt;&lt;wsp:rsid wsp:val=&quot;00013D1E&quot;/&gt;&lt;wsp:rsid wsp:val=&quot;00026AC0&quot;/&gt;&lt;wsp:rsid wsp:val=&quot;0005253F&quot;/&gt;&lt;wsp:rsid wsp:val=&quot;000C1B25&quot;/&gt;&lt;wsp:rsid wsp:val=&quot;000E1EDA&quot;/&gt;&lt;wsp:rsid wsp:val=&quot;00127752&quot;/&gt;&lt;wsp:rsid wsp:val=&quot;00140520&quot;/&gt;&lt;wsp:rsid wsp:val=&quot;00151F63&quot;/&gt;&lt;wsp:rsid wsp:val=&quot;00164C58&quot;/&gt;&lt;wsp:rsid wsp:val=&quot;00177180&quot;/&gt;&lt;wsp:rsid wsp:val=&quot;001B0CD6&quot;/&gt;&lt;wsp:rsid wsp:val=&quot;001E2393&quot;/&gt;&lt;wsp:rsid wsp:val=&quot;00210627&quot;/&gt;&lt;wsp:rsid wsp:val=&quot;00244AEE&quot;/&gt;&lt;wsp:rsid wsp:val=&quot;0026556F&quot;/&gt;&lt;wsp:rsid wsp:val=&quot;00281931&quot;/&gt;&lt;wsp:rsid wsp:val=&quot;00296293&quot;/&gt;&lt;wsp:rsid wsp:val=&quot;002B5979&quot;/&gt;&lt;wsp:rsid wsp:val=&quot;002D46CC&quot;/&gt;&lt;wsp:rsid wsp:val=&quot;00305A60&quot;/&gt;&lt;wsp:rsid wsp:val=&quot;00312C21&quot;/&gt;&lt;wsp:rsid wsp:val=&quot;003328E4&quot;/&gt;&lt;wsp:rsid wsp:val=&quot;00355DDD&quot;/&gt;&lt;wsp:rsid wsp:val=&quot;00392495&quot;/&gt;&lt;wsp:rsid wsp:val=&quot;003C1639&quot;/&gt;&lt;wsp:rsid wsp:val=&quot;00405228&quot;/&gt;&lt;wsp:rsid wsp:val=&quot;0043029D&quot;/&gt;&lt;wsp:rsid wsp:val=&quot;00437604&quot;/&gt;&lt;wsp:rsid wsp:val=&quot;00470259&quot;/&gt;&lt;wsp:rsid wsp:val=&quot;004F406C&quot;/&gt;&lt;wsp:rsid wsp:val=&quot;005041EC&quot;/&gt;&lt;wsp:rsid wsp:val=&quot;005053C2&quot;/&gt;&lt;wsp:rsid wsp:val=&quot;00516DD8&quot;/&gt;&lt;wsp:rsid wsp:val=&quot;005212CA&quot;/&gt;&lt;wsp:rsid wsp:val=&quot;005342AF&quot;/&gt;&lt;wsp:rsid wsp:val=&quot;00541604&quot;/&gt;&lt;wsp:rsid wsp:val=&quot;005537D1&quot;/&gt;&lt;wsp:rsid wsp:val=&quot;00575E0A&quot;/&gt;&lt;wsp:rsid wsp:val=&quot;00637D84&quot;/&gt;&lt;wsp:rsid wsp:val=&quot;0067182A&quot;/&gt;&lt;wsp:rsid wsp:val=&quot;00694D2D&quot;/&gt;&lt;wsp:rsid wsp:val=&quot;006E2334&quot;/&gt;&lt;wsp:rsid wsp:val=&quot;00792F07&quot;/&gt;&lt;wsp:rsid wsp:val=&quot;007A518D&quot;/&gt;&lt;wsp:rsid wsp:val=&quot;007F4644&quot;/&gt;&lt;wsp:rsid wsp:val=&quot;007F7B33&quot;/&gt;&lt;wsp:rsid wsp:val=&quot;00861C5D&quot;/&gt;&lt;wsp:rsid wsp:val=&quot;008929D7&quot;/&gt;&lt;wsp:rsid wsp:val=&quot;008A2B05&quot;/&gt;&lt;wsp:rsid wsp:val=&quot;008B1F6A&quot;/&gt;&lt;wsp:rsid wsp:val=&quot;008E0C5F&quot;/&gt;&lt;wsp:rsid wsp:val=&quot;008F3AD9&quot;/&gt;&lt;wsp:rsid wsp:val=&quot;00925C6A&quot;/&gt;&lt;wsp:rsid wsp:val=&quot;00957CB3&quot;/&gt;&lt;wsp:rsid wsp:val=&quot;009618A6&quot;/&gt;&lt;wsp:rsid wsp:val=&quot;009A31CE&quot;/&gt;&lt;wsp:rsid wsp:val=&quot;009B445B&quot;/&gt;&lt;wsp:rsid wsp:val=&quot;009D7C33&quot;/&gt;&lt;wsp:rsid wsp:val=&quot;009E4E08&quot;/&gt;&lt;wsp:rsid wsp:val=&quot;009F5CBF&quot;/&gt;&lt;wsp:rsid wsp:val=&quot;00A0155D&quot;/&gt;&lt;wsp:rsid wsp:val=&quot;00A91307&quot;/&gt;&lt;wsp:rsid wsp:val=&quot;00AB3506&quot;/&gt;&lt;wsp:rsid wsp:val=&quot;00AD12A1&quot;/&gt;&lt;wsp:rsid wsp:val=&quot;00B7251F&quot;/&gt;&lt;wsp:rsid wsp:val=&quot;00B82850&quot;/&gt;&lt;wsp:rsid wsp:val=&quot;00BB6867&quot;/&gt;&lt;wsp:rsid wsp:val=&quot;00BC4005&quot;/&gt;&lt;wsp:rsid wsp:val=&quot;00BD34DF&quot;/&gt;&lt;wsp:rsid wsp:val=&quot;00C03D2D&quot;/&gt;&lt;wsp:rsid wsp:val=&quot;00C22841&quot;/&gt;&lt;wsp:rsid wsp:val=&quot;00C646B1&quot;/&gt;&lt;wsp:rsid wsp:val=&quot;00C90CAF&quot;/&gt;&lt;wsp:rsid wsp:val=&quot;00C97586&quot;/&gt;&lt;wsp:rsid wsp:val=&quot;00CA6730&quot;/&gt;&lt;wsp:rsid wsp:val=&quot;00CB71D6&quot;/&gt;&lt;wsp:rsid wsp:val=&quot;00CD7887&quot;/&gt;&lt;wsp:rsid wsp:val=&quot;00CE02CB&quot;/&gt;&lt;wsp:rsid wsp:val=&quot;00D66026&quot;/&gt;&lt;wsp:rsid wsp:val=&quot;00D661C5&quot;/&gt;&lt;wsp:rsid wsp:val=&quot;00D75942&quot;/&gt;&lt;wsp:rsid wsp:val=&quot;00DB45F4&quot;/&gt;&lt;wsp:rsid wsp:val=&quot;00EF3966&quot;/&gt;&lt;wsp:rsid wsp:val=&quot;00F106E6&quot;/&gt;&lt;wsp:rsid wsp:val=&quot;00F6584F&quot;/&gt;&lt;wsp:rsid wsp:val=&quot;00F8636A&quot;/&gt;&lt;wsp:rsid wsp:val=&quot;00FC3678&quot;/&gt;&lt;wsp:rsid wsp:val=&quot;00FD061F&quot;/&gt;&lt;/wsp:rsids&gt;&lt;/w:docPr&gt;&lt;w:body&gt;&lt;wx:sect&gt;&lt;w:p wsp:rsidR=&quot;009E4E08&quot; wsp:rsidRPr=&quot;009E4E08&quot; wsp:rsidRDefault=&quot;009E4E08&quot; wsp:rsidP=&quot;009E4E08&quot;&gt;&lt;m:oMathPara&gt;&lt;m:oMath&gt;&lt;m:sSub&gt;&lt;m:sSubPr&gt;&lt;m:ctrlPr&gt;&lt;w:rPr&gt;&lt;w:rFonts w:ascii=&quot;Cambria Math&quot; w:h-ansi=&quot;Cambria Math&quot;/&gt;&lt;wx:font wx:val=&quot;Cambria Math&quot;/&gt;&lt;/w:rPr&gt;&lt;/m:ctrlPr&gt;&lt;/m:sSubPr&gt;&lt;m:e&gt;&lt;m:r&gt;&lt;w:rPr&gt;&lt;w:rFonts w:ascii=&quot;Cambria Math&quot; w:h-ansi=&quot;Cambria Math&quot;/&gt;&lt;wx:font wx:val=&quot;Cambria Math&quot;/&gt;&lt;w:i/&gt;&lt;/w:rPr&gt;&lt;m:t&gt;DR&lt;/m:t&gt;&lt;/m:r&gt;&lt;/m:e&gt;&lt;m:sub&gt;&lt;m:r&gt;&lt;w:rPr&gt;&lt;w:rFonts w:ascii=&quot;Cambria Math&quot; w:h-ansi=&quot;Cambria Math&quot;/&gt;&lt;wx:font wx:val=&quot;Cambria Math&quot;/&gt;&lt;w:i/&gt;&lt;/w:rPr&gt;&lt;m:t&gt;origin&lt;/m:t&gt;&lt;/m:r&gt;&lt;/m:sub&gt;&lt;/m:sSub&gt;&lt;m:r&gt;&lt;m:rPr&gt;&lt;m:sty m:val=&quot;p&quot;/&gt;&lt;/m:rPr&gt;&lt;w:rPr&gt;&lt;w:rFonts w:ascii=&quot;Cambria Math&quot; w:h-ansi=&quot;Cambria Math&quot;/&gt;&lt;wx:font wx:val=&quot;Cambria Math&quot;/&gt;&lt;/w:rPr&gt;&lt;m:t&gt;= &lt;/m:t&gt;&lt;/m:r&gt;&lt;m:m&gt;&lt;m:mPr&gt;&lt;m:mcs&gt;&lt;m:mc&gt;&lt;m:mcPr&gt;&lt;m:count m:val=&quot;4&quot;/&gt;&lt;m:mcJc m:val=&quot;center&quot;/&gt;&lt;/m:mcPr&gt;&lt;/m:mc&gt;&lt;/m:mcs&gt;&lt;m:ctrlPr&gt;&lt;w:rPr&gt;&lt;w:rFonts w:ascii=&quot;Cambria Math&quot; w:h-ansi=&quot;Cambria Math&quot;/&gt;&lt;wx:font wx:val=&quot;Cambria Math&quot;/&gt;&lt;/w:rPr&gt;&lt;/m:ctrlPr&gt;&lt;/m:mPr&gt;&lt;m:mr&gt;&lt;m:e&gt;&lt;m:sSub&gt;&lt;m:sSubPr&gt;&lt;m:ctrlPr&gt;&lt;w:rPr&gt;&lt;w:rFonts w:ascii=&quot;Cambria Math&quot; w:h-ansi=&quot;Cambria Math&quot;/&gt;&lt;wx:font wx:val=&quot;Cambria Math&quot;/&gt;&lt;/w:rPr&gt;&lt;/m:ctrlPr&gt;&lt;/m:sSubPr&gt;&lt;m:e&gt;&lt;m:r&gt;&lt;w:rPr&gt;&lt;w:rFonts w:ascii=&quot;Cambria Math&quot; w:h-ansi=&quot;Cambria Math&quot;/&gt;&lt;wx:font wx:val=&quot;Cambria Math&quot;/&gt;&lt;w:i/&gt;&lt;/w:rPr&gt;&lt;m:t&gt;DR&lt;/m:t&gt;&lt;/m:r&gt;&lt;/m:e&gt;&lt;m:sub&gt;&lt;m:r&gt;&lt;m:rPr&gt;&lt;m:sty m:val=&quot;p&quot;/&gt;&lt;/m:rPr&gt;&lt;w:rPr&gt;&lt;w:rFonts w:ascii=&quot;Cambria Math&quot; w:h-ansi=&quot;Cambria Math&quot;/&gt;&lt;wx:font wx:val=&quot;Cambria Math&quot;/&gt;&lt;/w:rPr&gt;&lt;m:t&gt;1,1, 1&lt;/m:t&gt;&lt;/m:r&gt;&lt;/m:sub&gt;&lt;/m:sSub&gt;&lt;/m:e&gt;&lt;m:e&gt;&lt;m:sSub&gt;&lt;m:sSubPr&gt;&lt;m:ctrlPr&gt;&lt;w:rPr&gt;&lt;w:rFonts w:ascii=&quot;Cambria Math&quot; w:h-ansi=&quot;Cambria Math&quot;/&gt;&lt;wx:font wx:val=&quot;Cambria Math&quot;/&gt;&lt;/w:rPr&gt;&lt;/m:ctrlPr&gt;&lt;/m:sSubPr&gt;&lt;m:e&gt;&lt;m:r&gt;&lt;w:rPr&gt;&lt;w:rFonts w:ascii=&quot;Cambria Math&quot; w:h-ansi=&quot;Cambria Math&quot;/&gt;&lt;wx:font wx:val=&quot;Cambria Math&quot;/&gt;&lt;w:i/&gt;&lt;/w:rPr&gt;&lt;m:t&gt;DR&lt;/m:t&gt;&lt;/m:r&gt;&lt;/m:e&gt;&lt;m:sub&gt;&lt;m:r&gt;&lt;m:rPr&gt;&lt;m:sty m:val=&quot;p&quot;/&gt;&lt;/m:rPr&gt;&lt;w:rPr&gt;&lt;w:rFonts w:ascii=&quot;Cambria Math&quot; w:h-ansi=&quot;Cambria Math&quot;/&gt;&lt;wx:font wx:val=&quot;Cambria Math&quot;/&gt;&lt;/w:rPr&gt;&lt;m:t&gt;1,2, 2&lt;/m:t&gt;&lt;/m:r&gt;&lt;/m:sub&gt;&lt;/m:sSub&gt;&lt;/m:e&gt;&lt;m:e&gt;&lt;m:r&gt;&lt;m:rPr&gt;&lt;m:sty m:val=&quot;p&quot;/&gt;&lt;/m:rPr&gt;&lt;w:rPr&gt;&lt;w:rFonts w:ascii=&quot;Cambria Math&quot; w:h-ansi=&quot;Cambria Math&quot;/&gt;&lt;wx:font wx:val=&quot;Cambria Math&quot;/&gt;&lt;/w:rPr&gt;&lt;m:t&gt;â€¦&lt;/m:t&gt;&lt;/m:r&gt;&lt;m:ctrlPr&gt;&lt;w:rPr&gt;&lt;w:rFonts w:ascii=&quot;Cambria Math&quot; w:fareast=&quot;Cambria Math&quot; w:h-ansi=&quot;Cambria Math&quot;/&gt;&lt;wx:font wx:val=&quot;Cambria Math&quot;/&gt;&lt;/w:rPr&gt;&lt;/m:ctrlPr&gt;&lt;/m:e&gt;&lt;m:e&gt;&lt;m:sSub&gt;&lt;m:sSubPr&gt;&lt;m:ctrlPr&gt;&lt;w:rPr&gt;&lt;w:rFonts w:ascii=&quot;Cambria Math&quot; w:h-ansi=&quot;Cambria Math&quot;/&gt;&lt;wx:font wx:val=&quot;Cambria Math&quot;/&gt;&lt;/w:rPr&gt;&lt;/m:ctrlPr&gt;&lt;/m:sSubPr&gt;&lt;m:e&gt;&lt;m:r&gt;&lt;w:rPr&gt;&lt;w:rFonts w:ascii=&quot;Cambria Math&quot; w:h-ansi=&quot;Cambria Math&quot;/&gt;&lt;wx:font wx:val=&quot;Cambria Math&quot;/&gt;&lt;w:i/&gt;&lt;/w:rPr&gt;&lt;m:t&gt;DR&lt;/m:t&gt;&lt;/m:r&gt;&lt;/m:e&gt;&lt;m:sub&gt;&lt;m:r&gt;&lt;m:rPr&gt;&lt;m:sty m:val=&quot;p&quot;/&gt;&lt;/m:rPr&gt;&lt;w:rPr&gt;&lt;w:rFonts w:ascii=&quot;Cambria Math&quot; w:h-ansi=&quot;Cambria Math&quot;/&gt;&lt;wx:font wx:val=&quot;Cambria Math&quot;/&gt;&lt;/w:rPr&gt;&lt;m:t&gt;1,&lt;/m:t&gt;&lt;/m:r&gt;&lt;m:r&gt;&lt;w:rPr&gt;&lt;w:rFonts w:ascii=&quot;Cambria Math&quot; w:h-ansi=&quot;Cambria Math&quot;/&gt;&lt;wx:font wx:val=&quot;Cambria Math&quot;/&gt;&lt;w:i/&gt;&lt;/w:rPr&gt;&lt;m:t&gt;j&lt;/m:t&gt;&lt;/m:r&gt;&lt;m:r&gt;&lt;m:rPr&gt;&lt;m:sty m:val=&quot;p&quot;/&gt;&lt;/m:rPr&gt;&lt;w:rPr&gt;&lt;w:rFonts w:ascii=&quot;Cambria Math&quot; w:h-ansi=&quot;Cambria Math&quot;/&gt;&lt;wx:font wx:val=&quot;Cambria Math&quot;/&gt;&lt;/w:rPr&gt;&lt;m:t&gt;, &lt;/m:t&gt;&lt;/m:r&gt;&lt;m:r&gt;&lt;w:rPr&gt;&lt;w:rFonts w:ascii=&quot;Cambria Math&quot; w:h-ansi=&quot;Cambria Math&quot;/&gt;&lt;wx:font wx:val=&quot;Cambria Math&quot;/&gt;&lt;w:i/&gt;&lt;/w:rPr&gt;&lt;m:t&gt;k&lt;/m:t&gt;&lt;/m:r&gt;&lt;/m:sub&gt;&lt;/m:sSub&gt;&lt;m:ctrlPr&gt;&lt;w:rPr&gt;&lt;w:rFonts w:ascii=&quot;Cambria Math&quot; w:fareast=&quot;Cambria Math&quot; w:h-ansi=&quot;Cambria Math&quot;/&gt;&lt;wx:font wx:val=&quot;Cambria Math&quot;/&gt;&lt;/w:rPr&gt;&lt;/m:ctrlPr&gt;&lt;/m:e&gt;&lt;/m:mr&gt;&lt;m:mr&gt;&lt;m:e&gt;&lt;m:sSub&gt;&lt;m:sSubPr&gt;&lt;m:ctrlPr&gt;&lt;w:rPr&gt;&lt;w:rFonts w:ascii=&quot;Cambria Math&quot; w:h-ansi=&quot;Cambria Math&quot;/&gt;&lt;wx:font wx:val=&quot;Cambria Math&quot;/&gt;&lt;/w:rPr&gt;&lt;/m:ctrlPr&gt;&lt;/m:sSubPr&gt;&lt;m:e&gt;&lt;m:r&gt;&lt;w:rPr&gt;&lt;w:rFonts w:ascii=&quot;Cambria Math&quot; w:h-ansi=&quot;Cambria Math&quot;/&gt;&lt;wx:font wx:val=&quot;Cambria Math&quot;/&gt;&lt;w:i/&gt;&lt;/w:rPr&gt;&lt;m:t&gt;DR&lt;/m:t&gt;&lt;/m:r&gt;&lt;/m:e&gt;&lt;m:sub&gt;&lt;m:r&gt;&lt;m:rPr&gt;&lt;m:sty m:val=&quot;p&quot;/&gt;&lt;/m:rPr&gt;&lt;w:rPr&gt;&lt;w:rFonts w:ascii=&quot;Cambria Math&quot; w:h-ansi=&quot;Cambria Math&quot;/&gt;&lt;wx:font wx:val=&quot;Cambria Math&quot;/&gt;&lt;/w:rPr&gt;&lt;m:t&gt;2,1, 1&lt;/m:t&gt;&lt;/m:r&gt;&lt;/m:sub&gt;&lt;/m:sSub&gt;&lt;/m:e&gt;&lt;m:e&gt;&lt;m:sSub&gt;&lt;m:sSubPr&gt;&lt;m:ctrlPr&gt;&lt;w:rPr&gt;&lt;w:rFonts w:ascii=&quot;Cambria Math&quot; w:h-ansi=&quot;Cambria Math&quot;/&gt;&lt;wx:font wx:val=&quot;Cambria Math&quot;/&gt;&lt;/w:rPr&gt;&lt;/m:ctrlPr&gt;&lt;/m:sSubPr&gt;&lt;m:e&gt;&lt;m:r&gt;&lt;w:rPr&gt;&lt;w:rFonts w:ascii=&quot;Cambria Math&quot; w:h-ansi=&quot;Cambria Math&quot;/&gt;&lt;wx:font wx:val=&quot;Cambria Math&quot;/&gt;&lt;w:i/&gt;&lt;/w:rPr&gt;&lt;m:t&gt;DR&lt;/m:t&gt;&lt;/m:r&gt;&lt;/m:e&gt;&lt;m:sub&gt;&lt;m:r&gt;&lt;m:rPr&gt;&lt;m:sty m:val=&quot;p&quot;/&gt;&lt;/m:rPr&gt;&lt;w:rPr&gt;&lt;w:rFonts w:ascii=&quot;Cambria Math&quot; w:h-ansi=&quot;Cambria Math&quot;/&gt;&lt;wx:font wx:val=&quot;Cambria Math&quot;/&gt;&lt;/w:rPr&gt;&lt;m:t&gt;2,2, 2&lt;/m:t&gt;&lt;/m:r&gt;&lt;/m:sub&gt;&lt;/m:sSub&gt;&lt;/m:e&gt;&lt;m:e&gt;&lt;m:r&gt;&lt;m:rPr&gt;&lt;m:sty m:val=&quot;p&quot;/&gt;&lt;/m:rPr&gt;&lt;w:rPr&gt;&lt;w:rFonts w:ascii=&quot;Cambria Math&quot; w:h-ansi=&quot;Cambria Math&quot;/&gt;&lt;wx:font wx:val=&quot;Cambria Math&quot;/&gt;&lt;/w:rPr&gt;&lt;m:t&gt;â€¦&lt;/m:t&gt;&lt;/m:r&gt;&lt;m:ctrlPr&gt;&lt;w:rPr&gt;&lt;w:rFonts w:ascii=&quot;Cambria Math&quot; w:fareast=&quot;Cambria Math&quot; w:h-ansi=&quot;Cambria Math&quot;/&gt;&lt;wx:font wx:val=&quot;Cambria Math&quot;/&gt;&lt;/w:rPr&gt;&lt;/m:ctrlPr&gt;&lt;/m:e&gt;&lt;m:e&gt;&lt;m:sSub&gt;&lt;m:sSubPr&gt;&lt;m:ctrlPr&gt;&lt;w:rPr&gt;&lt;w:rFonts w:ascii=&quot;Cambria Math&quot; w:h-ansi=&quot;Cambria Math&quot;/&gt;&lt;wx:font wx:val=&quot;Cambria Math&quot;/&gt;&lt;/w:rPr&gt;&lt;/m:ctrlPr&gt;&lt;/m:sSubPr&gt;&lt;m:e&gt;&lt;m:r&gt;&lt;w:rPr&gt;&lt;w:rFonts w:ascii=&quot;Cambria Math&quot; w:h-ansi=&quot;Cambria Math&quot;/&gt;&lt;wx:font wx:val=&quot;Cambria Math&quot;/&gt;&lt;w:i/&gt;&lt;/w:rPr&gt;&lt;m:t&gt;DR&lt;/m:t&gt;&lt;/m:r&gt;&lt;/m:e&gt;&lt;m:sub&gt;&lt;m:r&gt;&lt;m:rPr&gt;&lt;m:sty m:val=&quot;p&quot;/&gt;&lt;/m:rPr&gt;&lt;w:rPr&gt;&lt;w:rFonts w:ascii=&quot;Cambria Math&quot; w:h-ansi=&quot;Cambria Math&quot;/&gt;&lt;wx:font wx:val=&quot;Cambria Math&quot;/&gt;&lt;/w:rPr&gt;&lt;m:t&gt;2,&lt;/m:t&gt;&lt;/m:r&gt;&lt;m:r&gt;&lt;w:rPr&gt;&lt;w:rFonts w:ascii=&quot;Cambria Math&quot; w:h-ansi=&quot;Cambria Math&quot;/&gt;&lt;wx:font wx:val=&quot;Cambria Math&quot;/&gt;&lt;w:i/&gt;&lt;/w:rPr&gt;&lt;m:t&gt;j&lt;/m:t&gt;&lt;/m:r&gt;&lt;m:r&gt;&lt;m:rPr&gt;&lt;m:sty m:val=&quot;p&quot;/&gt;&lt;/m:rPr&gt;&lt;w:rPr&gt;&lt;w:rFonts w:ascii=&quot;Cambria Math&quot; w:h-ansi=&quot;Cambria Math&quot;/&gt;&lt;wx:font wx:val=&quot;Cambria Math&quot;/&gt;&lt;/w:rPr&gt;&lt;m:t&gt;, &lt;/m:t&gt;&lt;/m:r&gt;&lt;m:r&gt;&lt;w:rPr&gt;&lt;w:rFonts w:ascii=&quot;Cambria Math&quot; w:h-ansi=&quot;Cambria Math&quot;/&gt;&lt;wx:font wx:val=&quot;Cambria Math&quot;/&gt;&lt;w:i/&gt;&lt;/w:rPr&gt;&lt;m:t&gt;k&lt;/m:t&gt;&lt;/m:r&gt;&lt;/m:sub&gt;&lt;/m:sSub&gt;&lt;m:ctrlPr&gt;&lt;w:rPr&gt;&lt;w:rFonts w:ascii=&quot;Cambria Math&quot; w:fareast=&quot;Cambria Math&quot; w:h-ansi=&quot;Cambria Math&quot;/&gt;&lt;wx:font wx:val=&quot;Cambria Math&quot;/&gt;&lt;/w:rPr&gt;&lt;/m:ctrlPr&gt;&lt;/m:e&gt;&lt;/m:mr&gt;&lt;m:mr&gt;&lt;m:e&gt;&lt;m:r&gt;&lt;m:rPr&gt;&lt;m:sty m:val=&quot;p&quot;/&gt;&lt;/m:rPr&gt;&lt;w:rPr&gt;&lt;w:rFonts w:ascii=&quot;Cambria Math&quot; w:h-ansi=&quot;Cambria Math&quot;/&gt;&lt;wx:font wx:val=&quot;Cambria Math&quot;/&gt;&lt;/w:rPr&gt;&lt;m:t&gt;â‹®&lt;/m:t&gt;&lt;/m:r&gt;&lt;/m:e&gt;&lt;m:e&gt;&lt;m:r&gt;&lt;m:rPr&gt;&lt;m:sty m:val=&quot;p&quot;/&gt;&lt;/m:rPr&gt;&lt;w:rPr&gt;&lt;w:rFonts w:ascii=&quot;Cambria Math&quot; w:h-ansi=&quot;Cambria Math&quot;/&gt;&lt;wx:font wx:val=&quot;Cambria Math&quot;/&gt;&lt;/w:rPr&gt;&lt;m:t&gt;â‹®&lt;/m:t&gt;&lt;/m:r&gt;&lt;m:ctrlPr&gt;&lt;w:rPr&gt;&lt;w:rFonts w:ascii=&quot;Cambria Math&quot; w:fareast=&quot;Cambria Math&quot; w:h-ansi=&quot;Cambria Math&quot;/&gt;&lt;wx:font wx:val=&quot;Cambria Math&quot;/&gt;&lt;/w:rPr&gt;&lt;/m:ctrlPr&gt;&lt;/m:e&gt;&lt;m:e&gt;&lt;m:r&gt;&lt;m:rPr&gt;&lt;m:sty m:val=&quot;p&quot;/&gt;&lt;/m:rPr&gt;&lt;w:rPr&gt;&lt;w:rFonts w:ascii=&quot;Cambria Math&quot; w:fareast=&quot;Cambria Math&quot; w:h-ansi=&quot;Cambria Math&quot;/&gt;&lt;wx:font wx:val=&quot;Cambria Math&quot;/&gt;&lt;/w:rPr&gt;&lt;m:t&gt;â‹±&lt;/m:t&gt;&lt;/m:r&gt;&lt;m:ctrlPr&gt;&lt;w:rPr&gt;&lt;w:rFonts w:ascii=&quot;Cambria Math&quot; w:fareast=&quot;Cambria Math&quot; w:h-ansi=&quot;Cambria Math&quot;/&gt;&lt;wx:font wx:val=&quot;Cambria Math&quot;/&gt;&lt;/w:rPr&gt;&lt;/m:ctrlPr&gt;&lt;/m:e&gt;&lt;m:e&gt;&lt;m:r&gt;&lt;m:rPr&gt;&lt;m:sty m:val=&quot;p&quot;/&gt;&lt;/m:rPr&gt;&lt;w:rPr&gt;&lt;w:rFonts w:ascii=&quot;Cambria Math&quot; w:h-ansi=&quot;Cambria Math&quot;/&gt;&lt;wx:font wx:val=&quot;Cambria Math&quot;/&gt;&lt;/w:rPr&gt;&lt;m:t&gt;â‹®&lt;/m:t&gt;&lt;/m:r&gt;&lt;m:ctrlPr&gt;&lt;w:rPr&gt;&lt;w:rFonts w:ascii=&quot;Cambria Math&quot; w:fareast=&quot;Cambria Math&quot; w:h-ansi=&quot;Cambria Math&quot;/&gt;&lt;wx:font wx:val=&quot;Cambria Math&quot;/&gt;&lt;/w:rPr&gt;&lt;/m:ctrlPr&gt;&lt;/m:e&gt;&lt;/m:mr&gt;&lt;m:mr&gt;&lt;m:e&gt;&lt;m:sSub&gt;&lt;m:sSubPr&gt;&lt;m:ctrlPr&gt;&lt;w:rPr&gt;&lt;w:rFonts w:ascii=&quot;Cambria Math&quot; w:h-ansi=&quot;Cambria Math&quot;/&gt;&lt;wx:font wx:val=&quot;Cambria Math&quot;/&gt;&lt;/w:rPr&gt;&lt;/m:ctrlPr&gt;&lt;/m:sSubPr&gt;&lt;m:e&gt;&lt;m:r&gt;&lt;w:rPr&gt;&lt;w:rFonts w:ascii=&quot;Cambria Math&quot; w:h-ansi=&quot;Cambria Math&quot;/&gt;&lt;wx:font wx:val=&quot;Cambria Math&quot;/&gt;&lt;w:i/&gt;&lt;/w:rPr&gt;&lt;m:t&gt;DR&lt;/m:t&gt;&lt;/m:r&gt;&lt;/m:e&gt;&lt;m:sub&gt;&lt;m:r&gt;&lt;w:rPr&gt;&lt;w:rFonts w:ascii=&quot;Cambria Math&quot; w:h-ansi=&quot;Cambria Math&quot;/&gt;&lt;wx:font wx:val=&quot;Cambria Math&quot;/&gt;&lt;w:i/&gt;&lt;/w:rPr&gt;&lt;m:t&gt;i&lt;/m:t&gt;&lt;/m:r&gt;&lt;m:r&gt;&lt;m:rPr&gt;&lt;m:sty m:val=&quot;p&quot;/&gt;&lt;/m:rPr&gt;&lt;w:rPr&gt;&lt;w:rFonts w:ascii=&quot;Cambria Math&quot; w:h-ansi=&quot;Cambria Math&quot;/&gt;&lt;wx:font wx:val=&quot;Cambria Math&quot;/&gt;&lt;/w:rPr&gt;&lt;m:t&gt;,1, 1&lt;/m:t&gt;&lt;/m:r&gt;&lt;/m:sub&gt;&lt;/m:sSub&gt;&lt;m:ctrlPr&gt;&lt;w:rPr&gt;&lt;w:rFonts w:ascii=&quot;Cambria Math&quot; w:fareast=&quot;Cambria Math&quot; w:h-ansi=&quot;Cambria Math&quot;/&gt;&lt;wx:font wx:val=&quot;Cambria Math&quot;/&gt;&lt;/w:rPr&gt;&lt;/m:ctrlPr&gt;&lt;/m:e&gt;&lt;m:e&gt;&lt;m:sSub&gt;&lt;m:sSubPr&gt;&lt;m:ctrlPr&gt;&lt;w:rPr&gt;&lt;w:rFonts w:ascii=&quot;Cambria Math&quot; w:h-ansi=&quot;Cambria Math&quot;/&gt;&lt;wx:font wx:val=&quot;Cambria Math&quot;/&gt;&lt;/w:rPr&gt;&lt;/m:ctrlPr&gt;&lt;/m:sSubPr&gt;&lt;m:e&gt;&lt;m:r&gt;&lt;w:rPr&gt;&lt;w:rFonts w:ascii=&quot;Cambria Math&quot; w:h-ansi=&quot;Cambria Math&quot;/&gt;&lt;wx:font wx:val=&quot;Cambria Math&quot;/&gt;&lt;w:i/&gt;&lt;/w:rPr&gt;&lt;m:t&gt;DR&lt;/m:t&gt;&lt;/m:r&gt;&lt;/m:e&gt;&lt;m:sub&gt;&lt;m:r&gt;&lt;w:rPr&gt;&lt;w:rFonts w:ascii=&quot;Cambria Math&quot; w:h-ansi=&quot;Cambria Math&quot;/&gt;&lt;wx:font wx:val=&quot;Cambria Math&quot;/&gt;&lt;w:i/&gt;&lt;/w:rPr&gt;&lt;m:t&gt;i&lt;/m:t&gt;&lt;/m:r&gt;&lt;m:r&gt;&lt;m:rPr&gt;&lt;m:sty m:val=&quot;p&quot;/&gt;&lt;/m:rPr&gt;&lt;w:rPr&gt;&lt;w:rFonts w:ascii=&quot;Cambria Math&quot; w:h-ansi=&quot;Cambria Math&quot;/&gt;&lt;wx:font wx:val=&quot;Cambria Math&quot;/&gt;&lt;/w:rPr&gt;&lt;m:t&gt;,2, 2&lt;/m:t&gt;&lt;/m:r&gt;&lt;/m:sub&gt;&lt;/m:sSub&gt;&lt;m:ctrlPr&gt;&lt;w:rPr&gt;&lt;w:rFonts w:ascii=&quot;Cambria Math&quot; w:fareast=&quot;Cambria Math&quot; w:h-ansi=&quot;Cambria Math&quot;/&gt;&lt;wx:font wx:val=&quot;Cambria Math&quot;/&gt;&lt;/w:rPr&gt;&lt;/m:ctrlPr&gt;&lt;/m:e&gt;&lt;m:e&gt;&lt;m:r&gt;&lt;m:rPr&gt;&lt;m:sty m:val=&quot;p&quot;/&gt;&lt;/m:rPr&gt;&lt;w:rPr&gt;&lt;w:rFonts w:ascii=&quot;Cambria Math&quot; w:fareast=&quot;Cambria Math&quot; w:h-ansi=&quot;Cambria Math&quot;/&gt;&lt;wx:font wx:val=&quot;Cambria Math&quot;/&gt;&lt;/w:rPr&gt;&lt;m:t&gt;â€¦&lt;/m:t&gt;&lt;/m:r&gt;&lt;m:ctrlPr&gt;&lt;w:rPr&gt;&lt;w:rFonts w:ascii=&quot;Cambria Math&quot; w:fareast=&quot;Cambria Math&quot; w:h-ansi=&quot;Cambria Math&quot;/&gt;&lt;wx:font wx:val=&quot;Cambria Math&quot;/&gt;&lt;/w:rPr&gt;&lt;/m:ctrlPr&gt;&lt;/m:e&gt;&lt;m:e&gt;&lt;m:sSub&gt;&lt;m:sSubPr&gt;&lt;m:ctrlPr&gt;&lt;w:rPr&gt;&lt;w:rFonts w:ascii=&quot;Cambria Math&quot; w:h-ansi=&quot;Cambria Math&quot;/&gt;&lt;wx:font wx:val=&quot;Cambria Math&quot;/&gt;&lt;/w:rPr&gt;&lt;/m:ctrlPr&gt;&lt;/m:sSubPr&gt;&lt;m:e&gt;&lt;m:r&gt;&lt;w:rPr&gt;&lt;w:rFonts w:ascii=&quot;Cambria Math&quot; w:h-ansi=&quot;Cambria Math&quot;/&gt;&lt;wx:font wx:val=&quot;Cambria Math&quot;/&gt;&lt;w:i/&gt;&lt;/w:rPr&gt;&lt;m:t&gt;DR&lt;/m:t&gt;&lt;/m:r&gt;&lt;/m:e&gt;&lt;m:sub&gt;&lt;m:r&gt;&lt;w:rPr&gt;&lt;w:rFonts w:ascii=&quot;Cambria Math&quot; w:h-ansi=&quot;Cambria Math&quot;/&gt;&lt;wx:font wx:val=&quot;Cambria Math&quot;/&gt;&lt;w:i/&gt;&lt;/w:rPr&gt;&lt;m:t&gt;i&lt;/m:t&gt;&lt;/m:r&gt;&lt;m:r&gt;&lt;m:rPr&gt;&lt;m:sty m:val=&quot;p&quot;/&gt;&lt;/m:rPr&gt;&lt;w:rPr&gt;&lt;w:rFonts w:ascii=&quot;Cambria Math&quot; w:h-ansi=&quot;Cambria Math&quot;/&gt;&lt;wx:font wx:val=&quot;Cambria Math&quot;/&gt;&lt;/w:rPr&gt;&lt;m:t&gt;,&lt;/m:t&gt;&lt;/m:r&gt;&lt;m:r&gt;&lt;w:rPr&gt;&lt;w:rFonts w:ascii=&quot;Cambria Math&quot; w:h-ansi=&quot;Cambria Math&quot;/&gt;&lt;wx:font wx:val=&quot;Cambria Math&quot;/&gt;&lt;w:i/&gt;&lt;/w:rPr&gt;&lt;m:t&gt;j&lt;/m:t&gt;&lt;/m:r&gt;&lt;m:r&gt;&lt;m:rPr&gt;&lt;m:sty m:val=&quot;p&quot;/&gt;&lt;/m:rPr&gt;&lt;w:rPr&gt;&lt;w:rFonts w:ascii=&quot;Cambria Math&quot; w:h-ansi=&quot;Cambria Math&quot;/&gt;&lt;wx:font wx:val=&quot;Cambria Math&quot;/&gt;&lt;/w:rPr&gt;&lt;m:t&gt;, &lt;/m:t&gt;&lt;/m:r&gt;&lt;m:r&gt;&lt;w:rPr&gt;&lt;w:rFonts w:ascii=&quot;Cambria Math&quot; w:h-ansi=&quot;Cambria Math&quot;/&gt;&lt;wx:font wx:val=&quot;Cambria Math&quot;/&gt;&lt;w:i/&gt;&lt;/w:rPr&gt;&lt;m:t&gt;k&lt;/m:t&gt;&lt;/m:r&gt;&lt;/m:sub&gt;&lt;/m:sSub&gt;&lt;/m:e&gt;&lt;/m:mr&gt;&lt;/m:m&gt;&lt;/m:oMath&gt;&lt;/m:oMathPara&gt;&lt;/w:p&gt;&lt;w:sectPr wsp:rsidR=&quot;00000000&quot; wsp:rsidRPr=&quot;009E4E08&quot;&gt;&lt;w:pgSz w:w=&quot;12240&quot; w:h=&quot;15840&quot;/&gt;&lt;w:pgMar w:top=&quot;1440&quot; w:right=&quot;1440&quot; w:bottom=&quot;1440&quot; w:left=&quot;1440&quot; w:header=&quot;708&quot; w:footer=&quot;708&quot; w:gutter=&quot;0&quot;/&gt;&lt;w:cols w:space=&quot;708&quot;/&gt;&lt;/w:sectPr&gt;&lt;/wx:sect&gt;&lt;/w:body&gt;&lt;/w:wordDocument&gt;">
            <v:imagedata r:id="rId11" o:title="" chromakey="white"/>
          </v:shape>
        </w:pict>
      </w:r>
    </w:p>
    <w:p w14:paraId="792A5F74" w14:textId="77777777" w:rsidR="00CD7887" w:rsidRDefault="00CD7887" w:rsidP="00CD7887">
      <w:pPr>
        <w:jc w:val="both"/>
      </w:pPr>
    </w:p>
    <w:p w14:paraId="699CE0B2" w14:textId="00BD1654" w:rsidR="00CD7887" w:rsidRPr="00E646F2" w:rsidRDefault="00CD7887" w:rsidP="00CD7887">
      <w:pPr>
        <w:jc w:val="both"/>
      </w:pPr>
      <w:r w:rsidRPr="001E5071">
        <w:t xml:space="preserve">Each cell of the matrix describes the amount of the driver of biodiversity loss (DR) that occurs in region </w:t>
      </w:r>
      <w:r w:rsidRPr="00DA4213">
        <w:rPr>
          <w:i/>
          <w:iCs/>
        </w:rPr>
        <w:t>i</w:t>
      </w:r>
      <w:r w:rsidRPr="001E5071">
        <w:t xml:space="preserve"> (referred to as impact region) and is driven by </w:t>
      </w:r>
      <w:r w:rsidR="007E45D5">
        <w:t>activities</w:t>
      </w:r>
      <w:r w:rsidR="007E45D5" w:rsidRPr="001E5071">
        <w:t xml:space="preserve"> </w:t>
      </w:r>
      <w:r w:rsidRPr="001E5071">
        <w:t xml:space="preserve">in region </w:t>
      </w:r>
      <w:r w:rsidRPr="00DA4213">
        <w:rPr>
          <w:i/>
          <w:iCs/>
        </w:rPr>
        <w:t>j</w:t>
      </w:r>
      <w:r w:rsidRPr="001E5071">
        <w:t xml:space="preserve"> (referred to as </w:t>
      </w:r>
      <w:r w:rsidR="003B3DDF">
        <w:t>activity</w:t>
      </w:r>
      <w:r w:rsidR="003B3DDF" w:rsidRPr="001E5071">
        <w:t xml:space="preserve"> </w:t>
      </w:r>
      <w:r w:rsidRPr="001E5071">
        <w:t xml:space="preserve">region), </w:t>
      </w:r>
      <w:r w:rsidR="00B32974">
        <w:t>activity</w:t>
      </w:r>
      <w:r w:rsidRPr="001E5071">
        <w:t xml:space="preserve"> </w:t>
      </w:r>
      <w:r w:rsidRPr="00DA4213">
        <w:rPr>
          <w:i/>
          <w:iCs/>
        </w:rPr>
        <w:t>k</w:t>
      </w:r>
      <w:r>
        <w:t xml:space="preserve"> (</w:t>
      </w:r>
      <w:r w:rsidRPr="00282968">
        <w:t>for further clarification see SI Table S1</w:t>
      </w:r>
      <w:r w:rsidRPr="00E646F2">
        <w:t>). The data</w:t>
      </w:r>
      <w:r>
        <w:t xml:space="preserve"> used to analyse the country of origin</w:t>
      </w:r>
      <w:r w:rsidRPr="00E646F2">
        <w:t xml:space="preserve"> is from 2011 because running the analysis on data from more recent years, for example 2019, provided non-sensible results, especially in terms of pollution. This might be due to errors in the EXIOBASE satellite account datasets. However, impact factors (impact/euro) from</w:t>
      </w:r>
      <w:r>
        <w:t xml:space="preserve"> the latest year</w:t>
      </w:r>
      <w:r w:rsidRPr="00E646F2">
        <w:t xml:space="preserve"> 2019 were used.</w:t>
      </w:r>
    </w:p>
    <w:p w14:paraId="4264FABC" w14:textId="77777777" w:rsidR="00CD7887" w:rsidRDefault="00CD7887" w:rsidP="00CD7887">
      <w:pPr>
        <w:jc w:val="both"/>
      </w:pPr>
    </w:p>
    <w:p w14:paraId="36F3D19E" w14:textId="77777777" w:rsidR="00CD7887" w:rsidRPr="00193566" w:rsidRDefault="00CD7887" w:rsidP="00CD7887">
      <w:pPr>
        <w:jc w:val="both"/>
      </w:pPr>
      <w:r w:rsidRPr="00E646F2">
        <w:t>For the biodiversity footprint assessment, we do not identify the country of origin for climate change because there is no regionalized biodiversity impact data in LC-IMPACT for climate change</w:t>
      </w:r>
      <w:r>
        <w:t xml:space="preserve"> </w:t>
      </w:r>
      <w:r w:rsidRPr="00612B37">
        <w:t>(Verones et al., 2020)</w:t>
      </w:r>
      <w:r w:rsidRPr="00E646F2">
        <w:t>.</w:t>
      </w:r>
      <w:r>
        <w:t xml:space="preserve"> </w:t>
      </w:r>
      <w:r w:rsidRPr="001E5071">
        <w:t>The several blue water consumption (water stress) accounts in EXIOBASE were aggregated using the aggregation function in Pymrio. We use the general version of EXIOBASE</w:t>
      </w:r>
      <w:r>
        <w:t>,</w:t>
      </w:r>
      <w:r w:rsidRPr="001E5071">
        <w:t xml:space="preserve"> with limited land use types and country resolution</w:t>
      </w:r>
      <w:r>
        <w:t>,</w:t>
      </w:r>
      <w:r w:rsidRPr="001E5071">
        <w:t xml:space="preserve"> rather than the higher-resolution data as it allowed us to include climate change and pollution as biodiversity pressures alongside land use. This somewhat limits the accuracy of the analyses, since it increases the use of averages when connecting EXIOBASE with LC-IMPACT, especially in terms of regional level of detail.</w:t>
      </w:r>
    </w:p>
    <w:p w14:paraId="42BD73A3" w14:textId="77777777" w:rsidR="00CD7887" w:rsidRDefault="00CD7887" w:rsidP="00CD7887">
      <w:pPr>
        <w:jc w:val="both"/>
      </w:pPr>
    </w:p>
    <w:p w14:paraId="790A1ADD" w14:textId="1CF42F33" w:rsidR="00CD7887" w:rsidRDefault="00CD7887" w:rsidP="00CD7887">
      <w:pPr>
        <w:jc w:val="both"/>
      </w:pPr>
      <w:r>
        <w:t xml:space="preserve">When the </w:t>
      </w:r>
      <w:r w:rsidRPr="001E5071">
        <w:t xml:space="preserve">impact and </w:t>
      </w:r>
      <w:r w:rsidR="001E7CEE">
        <w:t>activity</w:t>
      </w:r>
      <w:r w:rsidR="001E7CEE" w:rsidRPr="001E5071">
        <w:t xml:space="preserve"> </w:t>
      </w:r>
      <w:r w:rsidRPr="001E5071">
        <w:t>region of each driver of biodiversity loss</w:t>
      </w:r>
      <w:r>
        <w:t xml:space="preserve"> is known</w:t>
      </w:r>
      <w:r w:rsidRPr="001E5071">
        <w:t>,</w:t>
      </w:r>
      <w:r>
        <w:t xml:space="preserve"> </w:t>
      </w:r>
      <w:r w:rsidRPr="001E5071">
        <w:t xml:space="preserve">we </w:t>
      </w:r>
      <w:r>
        <w:t xml:space="preserve">can </w:t>
      </w:r>
      <w:r w:rsidRPr="001E5071">
        <w:t>then identify the share of a driver of biodiversity loss in each region (</w:t>
      </w:r>
      <w:r w:rsidRPr="00FA23AD">
        <w:rPr>
          <w:i/>
        </w:rPr>
        <w:t>DR</w:t>
      </w:r>
      <w:r w:rsidRPr="00FA23AD">
        <w:rPr>
          <w:i/>
          <w:vertAlign w:val="subscript"/>
        </w:rPr>
        <w:t>share</w:t>
      </w:r>
      <w:r w:rsidRPr="001E5071">
        <w:t>):</w:t>
      </w:r>
    </w:p>
    <w:p w14:paraId="13B58AA5" w14:textId="77777777" w:rsidR="00CD7887" w:rsidRPr="00193566" w:rsidRDefault="00CD7887" w:rsidP="00CD7887">
      <w:pPr>
        <w:jc w:val="both"/>
      </w:pPr>
    </w:p>
    <w:p w14:paraId="3694A73F" w14:textId="77777777" w:rsidR="00CD7887" w:rsidRPr="00DD335A" w:rsidRDefault="003B602A" w:rsidP="00CD7887">
      <w:pPr>
        <w:pStyle w:val="NormalWeb"/>
        <w:jc w:val="center"/>
        <w:rPr>
          <w:rFonts w:ascii="Calibri" w:hAnsi="Calibri"/>
        </w:rPr>
      </w:pPr>
      <w:r>
        <w:rPr>
          <w:rFonts w:eastAsia="SimSun"/>
        </w:rPr>
        <w:pict w14:anchorId="22E45F79">
          <v:shape id="_x0000_i1026" type="#_x0000_t75" style="width:113.55pt;height:31.5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20&quot;/&gt;&lt;w:stylePaneFormatFilter w:val=&quot;3F01&quot;/&gt;&lt;w:defaultTabStop w:val=&quot;720&quot;/&gt;&lt;w:displayHorizontalDrawingGridEvery w:val=&quot;0&quot;/&gt;&lt;w:displayVerticalDrawingGridEvery w:val=&quot;0&quot;/&gt;&lt;w:useMarginsForDrawingGridOrigin/&gt;&lt;w:characterSpacingControl w:val=&quot;DontCompress&quot;/&gt;&lt;w:optimizeForBrowser/&gt;&lt;w:targetScreenSz w:val=&quot;800x600&quot;/&gt;&lt;w:validateAgainstSchema/&gt;&lt;w:saveInvalidXML w:val=&quot;off&quot;/&gt;&lt;w:ignoreMixedContent w:val=&quot;off&quot;/&gt;&lt;w:alwaysShowPlaceholderText w:val=&quot;off&quot;/&gt;&lt;w:compat&gt;&lt;w:footnoteLayoutLikeWW8/&gt;&lt;w:shapeLayoutLikeWW8/&gt;&lt;w:alignTablesRowByRow/&gt;&lt;w:forgetLastTabAlignment/&gt;&lt;w:doNotUseHTMLParagraphAutoSpacing/&gt;&lt;w:layoutRawTableWidth/&gt;&lt;w:layoutTableRowsApart/&gt;&lt;w:useWord97LineBreakingRules/&gt;&lt;w:dontAllowFieldEndSelect/&gt;&lt;w:useWord2002TableStyleRules/&gt;&lt;w:useFELayout/&gt;&lt;/w:compat&gt;&lt;wsp:rsids&gt;&lt;wsp:rsidRoot wsp:val=&quot;00FC3678&quot;/&gt;&lt;wsp:rsid wsp:val=&quot;00013D1E&quot;/&gt;&lt;wsp:rsid wsp:val=&quot;00026AC0&quot;/&gt;&lt;wsp:rsid wsp:val=&quot;0005253F&quot;/&gt;&lt;wsp:rsid wsp:val=&quot;000C1B25&quot;/&gt;&lt;wsp:rsid wsp:val=&quot;000E1EDA&quot;/&gt;&lt;wsp:rsid wsp:val=&quot;00127752&quot;/&gt;&lt;wsp:rsid wsp:val=&quot;00140520&quot;/&gt;&lt;wsp:rsid wsp:val=&quot;00151F63&quot;/&gt;&lt;wsp:rsid wsp:val=&quot;00164C58&quot;/&gt;&lt;wsp:rsid wsp:val=&quot;00177180&quot;/&gt;&lt;wsp:rsid wsp:val=&quot;001B0CD6&quot;/&gt;&lt;wsp:rsid wsp:val=&quot;001E2393&quot;/&gt;&lt;wsp:rsid wsp:val=&quot;00210627&quot;/&gt;&lt;wsp:rsid wsp:val=&quot;00244AEE&quot;/&gt;&lt;wsp:rsid wsp:val=&quot;0026556F&quot;/&gt;&lt;wsp:rsid wsp:val=&quot;00281931&quot;/&gt;&lt;wsp:rsid wsp:val=&quot;00296293&quot;/&gt;&lt;wsp:rsid wsp:val=&quot;002B5979&quot;/&gt;&lt;wsp:rsid wsp:val=&quot;002D46CC&quot;/&gt;&lt;wsp:rsid wsp:val=&quot;00305A60&quot;/&gt;&lt;wsp:rsid wsp:val=&quot;00312C21&quot;/&gt;&lt;wsp:rsid wsp:val=&quot;003328E4&quot;/&gt;&lt;wsp:rsid wsp:val=&quot;00355DDD&quot;/&gt;&lt;wsp:rsid wsp:val=&quot;00392495&quot;/&gt;&lt;wsp:rsid wsp:val=&quot;003C1639&quot;/&gt;&lt;wsp:rsid wsp:val=&quot;00405228&quot;/&gt;&lt;wsp:rsid wsp:val=&quot;0043029D&quot;/&gt;&lt;wsp:rsid wsp:val=&quot;00437604&quot;/&gt;&lt;wsp:rsid wsp:val=&quot;00470259&quot;/&gt;&lt;wsp:rsid wsp:val=&quot;004F406C&quot;/&gt;&lt;wsp:rsid wsp:val=&quot;005041EC&quot;/&gt;&lt;wsp:rsid wsp:val=&quot;005053C2&quot;/&gt;&lt;wsp:rsid wsp:val=&quot;00516DD8&quot;/&gt;&lt;wsp:rsid wsp:val=&quot;005212CA&quot;/&gt;&lt;wsp:rsid wsp:val=&quot;005342AF&quot;/&gt;&lt;wsp:rsid wsp:val=&quot;00541604&quot;/&gt;&lt;wsp:rsid wsp:val=&quot;005537D1&quot;/&gt;&lt;wsp:rsid wsp:val=&quot;00575E0A&quot;/&gt;&lt;wsp:rsid wsp:val=&quot;00637D84&quot;/&gt;&lt;wsp:rsid wsp:val=&quot;0067182A&quot;/&gt;&lt;wsp:rsid wsp:val=&quot;00694D2D&quot;/&gt;&lt;wsp:rsid wsp:val=&quot;006E2334&quot;/&gt;&lt;wsp:rsid wsp:val=&quot;00792F07&quot;/&gt;&lt;wsp:rsid wsp:val=&quot;007A518D&quot;/&gt;&lt;wsp:rsid wsp:val=&quot;007F4644&quot;/&gt;&lt;wsp:rsid wsp:val=&quot;007F7B33&quot;/&gt;&lt;wsp:rsid wsp:val=&quot;00861C5D&quot;/&gt;&lt;wsp:rsid wsp:val=&quot;008929D7&quot;/&gt;&lt;wsp:rsid wsp:val=&quot;008A2B05&quot;/&gt;&lt;wsp:rsid wsp:val=&quot;008B1F6A&quot;/&gt;&lt;wsp:rsid wsp:val=&quot;008E0C5F&quot;/&gt;&lt;wsp:rsid wsp:val=&quot;008F3AD9&quot;/&gt;&lt;wsp:rsid wsp:val=&quot;00925C6A&quot;/&gt;&lt;wsp:rsid wsp:val=&quot;00957CB3&quot;/&gt;&lt;wsp:rsid wsp:val=&quot;009618A6&quot;/&gt;&lt;wsp:rsid wsp:val=&quot;009A31CE&quot;/&gt;&lt;wsp:rsid wsp:val=&quot;009B445B&quot;/&gt;&lt;wsp:rsid wsp:val=&quot;009D1EFF&quot;/&gt;&lt;wsp:rsid wsp:val=&quot;009D7C33&quot;/&gt;&lt;wsp:rsid wsp:val=&quot;009F5CBF&quot;/&gt;&lt;wsp:rsid wsp:val=&quot;00A0155D&quot;/&gt;&lt;wsp:rsid wsp:val=&quot;00A91307&quot;/&gt;&lt;wsp:rsid wsp:val=&quot;00AB3506&quot;/&gt;&lt;wsp:rsid wsp:val=&quot;00AD12A1&quot;/&gt;&lt;wsp:rsid wsp:val=&quot;00B7251F&quot;/&gt;&lt;wsp:rsid wsp:val=&quot;00B82850&quot;/&gt;&lt;wsp:rsid wsp:val=&quot;00BB6867&quot;/&gt;&lt;wsp:rsid wsp:val=&quot;00BC4005&quot;/&gt;&lt;wsp:rsid wsp:val=&quot;00BD34DF&quot;/&gt;&lt;wsp:rsid wsp:val=&quot;00C03D2D&quot;/&gt;&lt;wsp:rsid wsp:val=&quot;00C22841&quot;/&gt;&lt;wsp:rsid wsp:val=&quot;00C646B1&quot;/&gt;&lt;wsp:rsid wsp:val=&quot;00C90CAF&quot;/&gt;&lt;wsp:rsid wsp:val=&quot;00C97586&quot;/&gt;&lt;wsp:rsid wsp:val=&quot;00CA6730&quot;/&gt;&lt;wsp:rsid wsp:val=&quot;00CB71D6&quot;/&gt;&lt;wsp:rsid wsp:val=&quot;00CD7887&quot;/&gt;&lt;wsp:rsid wsp:val=&quot;00CE02CB&quot;/&gt;&lt;wsp:rsid wsp:val=&quot;00D66026&quot;/&gt;&lt;wsp:rsid wsp:val=&quot;00D661C5&quot;/&gt;&lt;wsp:rsid wsp:val=&quot;00D75942&quot;/&gt;&lt;wsp:rsid wsp:val=&quot;00DB45F4&quot;/&gt;&lt;wsp:rsid wsp:val=&quot;00EF3966&quot;/&gt;&lt;wsp:rsid wsp:val=&quot;00F106E6&quot;/&gt;&lt;wsp:rsid wsp:val=&quot;00F6584F&quot;/&gt;&lt;wsp:rsid wsp:val=&quot;00F8636A&quot;/&gt;&lt;wsp:rsid wsp:val=&quot;00FC3678&quot;/&gt;&lt;wsp:rsid wsp:val=&quot;00FD061F&quot;/&gt;&lt;/wsp:rsids&gt;&lt;/w:docPr&gt;&lt;w:body&gt;&lt;wx:sect&gt;&lt;w:p wsp:rsidR=&quot;009D1EFF&quot; wsp:rsidRPr=&quot;009D1EFF&quot; wsp:rsidRDefault=&quot;009D1EFF&quot; wsp:rsidP=&quot;009D1EFF&quot;&gt;&lt;m:oMathPara&gt;&lt;m:oMath&gt;&lt;m:sSub&gt;&lt;m:sSubPr&gt;&lt;m:ctrlPr&gt;&lt;w:rPr&gt;&lt;w:rFonts w:ascii=&quot;Cambria Math&quot; w:h-ansi=&quot;Cambria Math&quot;/&gt;&lt;wx:font wx:val=&quot;Cambria Math&quot;/&gt;&lt;/w:rPr&gt;&lt;/m:ctrlPr&gt;&lt;/m:sSubPr&gt;&lt;m:e&gt;&lt;m:r&gt;&lt;w:rPr&gt;&lt;w:rFonts w:ascii=&quot;Cambria Math&quot; w:h-ansi=&quot;Cambria Math&quot;/&gt;&lt;wx:font wx:val=&quot;Cambria Math&quot;/&gt;&lt;w:i/&gt;&lt;/w:rPr&gt;&lt;m:t&gt;DR&lt;/m:t&gt;&lt;/m:r&gt;&lt;/m:e&gt;&lt;m:sub&gt;&lt;m:r&gt;&lt;w:rPr&gt;&lt;w:rFonts w:ascii=&quot;Cambria Math&quot; w:h-ansi=&quot;Cambria Math&quot;/&gt;&lt;wx:font wx:val=&quot;Cambria Math&quot;/&gt;&lt;w:i/&gt;&lt;/w:rPr&gt;&lt;m:t&gt;share&lt;/m:t&gt;&lt;/m:r&gt;&lt;/m:sub&gt;&lt;/m:sSub&gt;&lt;m:r&gt;&lt;m:rPr&gt;&lt;m:sty m:val=&quot;p&quot;/&gt;&lt;/m:rPr&gt;&lt;w:rPr&gt;&lt;w:rFonts w:ascii=&quot;Cambria Math&quot; w:h-ansi=&quot;Cambria Math&quot;/&gt;&lt;wx:font wx:val=&quot;Cambria Math&quot;/&gt;&lt;/w:rPr&gt;&lt;m:t&gt;=&lt;/m:t&gt;&lt;/m:r&gt;&lt;m:f&gt;&lt;m:fPr&gt;&lt;m:ctrlPr&gt;&lt;w:rPr&gt;&lt;w:rFonts w:ascii=&quot;Cambria Math&quot; w:h-ansi=&quot;Cambria Math&quot;/&gt;&lt;wx:font wx:val=&quot;Cambria Math&quot;/&gt;&lt;/w:rPr&gt;&lt;/m:ctrlPr&gt;&lt;/m:fPr&gt;&lt;m:num&gt;&lt;m:sSub&gt;&lt;m:sSubPr&gt;&lt;m:ctrlPr&gt;&lt;w:rPr&gt;&lt;w:rFonts w:ascii=&quot;Cambria Math&quot; w:h-ansi=&quot;Cambria Math&quot;/&gt;&lt;wx:font wx:val=&quot;Cambria Math&quot;/&gt;&lt;/w:rPr&gt;&lt;/m:ctrlPr&gt;&lt;/m:sSubPr&gt;&lt;m:e&gt;&lt;m:r&gt;&lt;w:rPr&gt;&lt;w:rFonts w:ascii=&quot;Cambria Math&quot; w:h-ansi=&quot;Cambria Math&quot;/&gt;&lt;wx:font wx:val=&quot;Cambria Math&quot;/&gt;&lt;w:i/&gt;&lt;/w:rPr&gt;&lt;m:t&gt;DR&lt;/m:t&gt;&lt;/m:r&gt;&lt;/m:e&gt;&lt;m:sub&gt;&lt;m:r&gt;&lt;w:rPr&gt;&lt;w:rFonts w:ascii=&quot;Cambria Math&quot; w:h-ansi=&quot;Cambria Math&quot;/&gt;&lt;wx:font wx:val=&quot;Cambria Math&quot;/&gt;&lt;w:i/&gt;&lt;/w:rPr&gt;&lt;m:t&gt;origin&lt;/m:t&gt;&lt;/m:r&gt;&lt;/m:sub&gt;&lt;/m:sSub&gt;&lt;/m:num&gt;&lt;m:den&gt;&lt;m:nary&gt;&lt;m:naryPr&gt;&lt;m:chr m:val=&quot;âˆ‘&quot;/&gt;&lt;m:limLoc m:val=&quot;undOvr&quot;/&gt;&lt;m:ctrlPr&gt;&lt;w:rPr&gt;&lt;w:rFonts w:ascii=&quot;Cambria Math&quot; w:h-ansi=&quot;Cambria Math&quot;/&gt;&lt;wx:font wx:val=&quot;Cambria Math&quot;/&gt;&lt;/w:rPr&gt;&lt;/m:ctrlPr&gt;&lt;/m:naryPr&gt;&lt;m:sub&gt;&lt;m:r&gt;&lt;w:rPr&gt;&lt;w:rFonts w:ascii=&quot;Cambria Math&quot; w:h-ansi=&quot;Cambria Math&quot;/&gt;&lt;wx:font wx:val=&quot;Cambria Math&quot;/&gt;&lt;w:i/&gt;&lt;/w:rPr&gt;&lt;m:t&gt;i&lt;/m:t&gt;&lt;/m:r&gt;&lt;m:r&gt;&lt;m:rPr&gt;&lt;m:sty m:val=&quot;p&quot;/&gt;&lt;/m:rPr&gt;&lt;w:rPr&gt;&lt;w:rFonts w:ascii=&quot;Cambria Math&quot; w:h-ansi=&quot;Cambria Math&quot;/&gt;&lt;wx:font wx:val=&quot;Cambria Math&quot;/&gt;&lt;/w:rPr&gt;&lt;m:t&gt;=1&lt;/m:t&gt;&lt;/m:r&gt;&lt;/m:sub&gt;&lt;m:sup&gt;&lt;m:r&gt;&lt;w:rPr&gt;&lt;w:rFonts w:ascii=&quot;Cambria Math&quot; w:h-ansi=&quot;Cambria Math&quot;/&gt;&lt;wx:font wx:val=&quot;Cambria Math&quot;/&gt;&lt;w:i/&gt;&lt;/w:rPr&gt;&lt;m:t&gt;n&lt;/m:t&gt;&lt;/m:r&gt;&lt;/m:sup&gt;&lt;m:e&gt;&lt;m:sSub&gt;&lt;m:sSubPr&gt;&lt;m:ctrlPr&gt;&lt;w:rPr&gt;&lt;w:rFonts w:ascii=&quot;Cambria Math&quot; w:h-ansi=&quot;Cambria Math&quot;/&gt;&lt;wx:font wx:val=&quot;Cambria Math&quot;/&gt;&lt;/w:rPr&gt;&lt;/m:ctrlPr&gt;&lt;/m:sSubPr&gt;&lt;m:e&gt;&lt;m:r&gt;&lt;w:rPr&gt;&lt;w:rFonts w:ascii=&quot;Cambria Math&quot; w:h-ansi=&quot;Cambria Math&quot;/&gt;&lt;wx:font wx:val=&quot;Cambria Math&quot;/&gt;&lt;w:i/&gt;&lt;/w:rPr&gt;&lt;m:t&gt;DR&lt;/m:t&gt;&lt;/m:r&gt;&lt;/m:e&gt;&lt;m:sub&gt;&lt;m:r&gt;&lt;w:rPr&gt;&lt;w:rFonts w:ascii=&quot;Cambria Math&quot; w:h-ansi=&quot;Cambria Math&quot;/&gt;&lt;wx:font wx:val=&quot;Cambria Math&quot;/&gt;&lt;w:i/&gt;&lt;/w:rPr&gt;&lt;m:t&gt;i&lt;/m:t&gt;&lt;/m:r&gt;&lt;m:r&gt;&lt;m:rPr&gt;&lt;m:sty m:val=&quot;p&quot;/&gt;&lt;/m:rPr&gt;&lt;w:rPr&gt;&lt;w:rFonts w:ascii=&quot;Cambria Math&quot; w:h-ansi=&quot;Cambria Math&quot;/&gt;&lt;wx:font wx:val=&quot;Cambria Math&quot;/&gt;&lt;/w:rPr&gt;&lt;m:t&gt;,&lt;/m:t&gt;&lt;/m:r&gt;&lt;m:r&gt;&lt;w:rPr&gt;&lt;w:rFonts w:ascii=&quot;Cambria Math&quot; w:h-ansi=&quot;Cambria Math&quot;/&gt;&lt;wx:font wx:val=&quot;Cambria Math&quot;/&gt;&lt;w:i/&gt;&lt;/w:rPr&gt;&lt;m:t&gt;j&lt;/m:t&gt;&lt;/m:r&gt;&lt;m:r&gt;&lt;m:rPr&gt;&lt;m:sty m:val=&quot;p&quot;/&gt;&lt;/m:rPr&gt;&lt;w:rPr&gt;&lt;w:rFonts w:ascii=&quot;Cambria Math&quot; w:h-ansi=&quot;Cambria Math&quot;/&gt;&lt;wx:font wx:val=&quot;Cambria Math&quot;/&gt;&lt;/w:rPr&gt;&lt;m:t&gt;,&lt;/m:t&gt;&lt;/m:r&gt;&lt;m:r&gt;&lt;w:rPr&gt;&lt;w:rFonts w:ascii=&quot;Cambria Math&quot; w:h-ansi=&quot;Cambria Math&quot;/&gt;&lt;wx:font wx:val=&quot;Cambria Math&quot;/&gt;&lt;w:i/&gt;&lt;/w:rPr&gt;&lt;m:t&gt;k&lt;/m:t&gt;&lt;/m:r&gt;&lt;/m:sub&gt;&lt;/m:sSub&gt;&lt;/m:e&gt;&lt;/m:nary&gt;&lt;/m:den&gt;&lt;/m:f&gt;&lt;/m:oMath&gt;&lt;/m:oMathPara&gt;&lt;/w:p&gt;&lt;w:sectPr wsp:rsidR=&quot;00000000&quot; wsp:rsidRPr=&quot;009D1EFF&quot;&gt;&lt;w:pgSz w:w=&quot;12240&quot; w:h=&quot;15840&quot;/&gt;&lt;w:pgMar w:top=&quot;1440&quot; w:right=&quot;1440&quot; w:bottom=&quot;1440&quot; w:left=&quot;1440&quot; w:header=&quot;708&quot; w:footer=&quot;708&quot; w:gutter=&quot;0&quot;/&gt;&lt;w:cols w:space=&quot;708&quot;/&gt;&lt;/w:sectPr&gt;&lt;/wx:sect&gt;&lt;/w:body&gt;&lt;/w:wordDocument&gt;">
            <v:imagedata r:id="rId12" o:title="" chromakey="white"/>
          </v:shape>
        </w:pict>
      </w:r>
    </w:p>
    <w:p w14:paraId="7FE0E46A" w14:textId="77777777" w:rsidR="00CD7887" w:rsidRDefault="00CD7887" w:rsidP="00CD7887">
      <w:pPr>
        <w:jc w:val="both"/>
      </w:pPr>
    </w:p>
    <w:p w14:paraId="71A7B01D" w14:textId="1D61F89A" w:rsidR="00CD7887" w:rsidRDefault="00CD7887" w:rsidP="00CD7887">
      <w:pPr>
        <w:jc w:val="both"/>
      </w:pPr>
      <w:r w:rsidRPr="00193566">
        <w:t xml:space="preserve">The cells of the new matrix contain the share of the </w:t>
      </w:r>
      <w:proofErr w:type="gramStart"/>
      <w:r>
        <w:t>driver of biodiversity</w:t>
      </w:r>
      <w:proofErr w:type="gramEnd"/>
      <w:r>
        <w:t xml:space="preserve"> loss</w:t>
      </w:r>
      <w:r w:rsidRPr="00193566">
        <w:t xml:space="preserve"> (</w:t>
      </w:r>
      <w:r w:rsidRPr="00FA23AD">
        <w:rPr>
          <w:i/>
        </w:rPr>
        <w:t>DR</w:t>
      </w:r>
      <w:r w:rsidRPr="00193566">
        <w:t xml:space="preserve">) in impact region </w:t>
      </w:r>
      <w:r w:rsidRPr="00FA23AD">
        <w:rPr>
          <w:i/>
        </w:rPr>
        <w:t>i</w:t>
      </w:r>
      <w:r w:rsidRPr="00193566">
        <w:t xml:space="preserve"> from the total </w:t>
      </w:r>
      <w:r>
        <w:t xml:space="preserve">amount of the driver that is </w:t>
      </w:r>
      <w:r w:rsidRPr="00193566">
        <w:t xml:space="preserve">driven by </w:t>
      </w:r>
      <w:r w:rsidR="000C0DFB">
        <w:t>activities</w:t>
      </w:r>
      <w:r w:rsidR="000C0DFB" w:rsidRPr="00193566">
        <w:t xml:space="preserve"> </w:t>
      </w:r>
      <w:r w:rsidRPr="00193566">
        <w:t xml:space="preserve">in </w:t>
      </w:r>
      <w:r w:rsidR="00DE1AF7">
        <w:t>activity</w:t>
      </w:r>
      <w:r w:rsidR="00DE1AF7" w:rsidRPr="00193566">
        <w:t xml:space="preserve"> </w:t>
      </w:r>
      <w:r w:rsidRPr="00193566">
        <w:t xml:space="preserve">region </w:t>
      </w:r>
      <w:r w:rsidRPr="00FA23AD">
        <w:rPr>
          <w:i/>
        </w:rPr>
        <w:t>j</w:t>
      </w:r>
      <w:r w:rsidRPr="00193566">
        <w:t xml:space="preserve">, </w:t>
      </w:r>
      <w:r w:rsidR="00AF5556">
        <w:t>activity</w:t>
      </w:r>
      <w:r w:rsidRPr="00193566">
        <w:t xml:space="preserve"> </w:t>
      </w:r>
      <w:r w:rsidRPr="00FA23AD">
        <w:rPr>
          <w:i/>
        </w:rPr>
        <w:t>k</w:t>
      </w:r>
      <w:r w:rsidRPr="00193566">
        <w:t xml:space="preserve">. </w:t>
      </w:r>
    </w:p>
    <w:p w14:paraId="491C413F" w14:textId="77777777" w:rsidR="00CD7887" w:rsidRPr="00193566" w:rsidRDefault="00CD7887" w:rsidP="00CD7887">
      <w:pPr>
        <w:jc w:val="both"/>
      </w:pPr>
    </w:p>
    <w:p w14:paraId="5BFFD957" w14:textId="77777777" w:rsidR="00CD7887" w:rsidRPr="002411EF" w:rsidRDefault="00CD7887" w:rsidP="00CD7887">
      <w:pPr>
        <w:jc w:val="both"/>
      </w:pPr>
      <w:r>
        <w:t xml:space="preserve">Next, the regional classification between EXIOBASE and LC-IMPACT needs to be harmonized. EXIOBASE contains 44 countries and five ‘rest of the </w:t>
      </w:r>
      <w:proofErr w:type="gramStart"/>
      <w:r>
        <w:t>world’</w:t>
      </w:r>
      <w:proofErr w:type="gramEnd"/>
      <w:r>
        <w:t xml:space="preserve"> regions </w:t>
      </w:r>
      <w:r w:rsidRPr="00612B37">
        <w:t>(Stadler et al., 2018)</w:t>
      </w:r>
      <w:r>
        <w:t xml:space="preserve">, while LC-IMPACT contains a highly detailed list of the world’s countries. The missing countries from EXIOBASE can be harmonized by using the five ‘rest of the </w:t>
      </w:r>
      <w:proofErr w:type="gramStart"/>
      <w:r>
        <w:t>world’</w:t>
      </w:r>
      <w:proofErr w:type="gramEnd"/>
      <w:r>
        <w:t xml:space="preserve"> regions. Once the harmonization is done, the share of the driver of biodiversity loss (</w:t>
      </w:r>
      <w:r w:rsidRPr="002411EF">
        <w:rPr>
          <w:i/>
        </w:rPr>
        <w:t>DR</w:t>
      </w:r>
      <w:r w:rsidRPr="002411EF">
        <w:rPr>
          <w:i/>
          <w:vertAlign w:val="subscript"/>
        </w:rPr>
        <w:t>share</w:t>
      </w:r>
      <w:r>
        <w:t>) can be allocated to each respective region. Then one can assess how one unit of a driver of biodiversity loss (</w:t>
      </w:r>
      <w:r w:rsidRPr="002411EF">
        <w:rPr>
          <w:i/>
        </w:rPr>
        <w:t>DR</w:t>
      </w:r>
      <w:r w:rsidRPr="002411EF">
        <w:rPr>
          <w:i/>
          <w:vertAlign w:val="subscript"/>
        </w:rPr>
        <w:t>unit</w:t>
      </w:r>
      <w:r>
        <w:t>, e.g., 1 kg or 1 m</w:t>
      </w:r>
      <w:r w:rsidRPr="464B3A3E">
        <w:rPr>
          <w:vertAlign w:val="superscript"/>
        </w:rPr>
        <w:t>2</w:t>
      </w:r>
      <w:r>
        <w:t xml:space="preserve">) is divided between each impact region </w:t>
      </w:r>
      <w:r w:rsidRPr="002411EF">
        <w:rPr>
          <w:i/>
        </w:rPr>
        <w:t>i</w:t>
      </w:r>
      <w:r>
        <w:t xml:space="preserve">: </w:t>
      </w:r>
    </w:p>
    <w:p w14:paraId="0141B514" w14:textId="77777777" w:rsidR="00CD7887" w:rsidRDefault="00CD7887" w:rsidP="00CD7887">
      <w:pPr>
        <w:jc w:val="center"/>
        <w:rPr>
          <w:vertAlign w:val="subscript"/>
        </w:rPr>
      </w:pPr>
      <w:r w:rsidRPr="002411EF">
        <w:t>DR</w:t>
      </w:r>
      <w:r w:rsidRPr="002411EF">
        <w:rPr>
          <w:vertAlign w:val="subscript"/>
        </w:rPr>
        <w:t>unit</w:t>
      </w:r>
      <w:r w:rsidRPr="002411EF">
        <w:t xml:space="preserve"> = </w:t>
      </w:r>
      <w:proofErr w:type="gramStart"/>
      <w:r w:rsidRPr="002411EF">
        <w:t>DR</w:t>
      </w:r>
      <w:r w:rsidRPr="002411EF">
        <w:rPr>
          <w:vertAlign w:val="subscript"/>
        </w:rPr>
        <w:t>share,i</w:t>
      </w:r>
      <w:proofErr w:type="gramEnd"/>
      <w:r w:rsidRPr="002411EF">
        <w:rPr>
          <w:vertAlign w:val="subscript"/>
        </w:rPr>
        <w:t>,</w:t>
      </w:r>
      <w:proofErr w:type="gramStart"/>
      <w:r w:rsidRPr="002411EF">
        <w:rPr>
          <w:vertAlign w:val="subscript"/>
        </w:rPr>
        <w:t>j,k</w:t>
      </w:r>
      <w:proofErr w:type="gramEnd"/>
      <w:r w:rsidRPr="002411EF">
        <w:t xml:space="preserve"> / R</w:t>
      </w:r>
      <w:r w:rsidRPr="002411EF">
        <w:rPr>
          <w:vertAlign w:val="subscript"/>
        </w:rPr>
        <w:t>i</w:t>
      </w:r>
    </w:p>
    <w:p w14:paraId="50CC64E8" w14:textId="77777777" w:rsidR="00CD7887" w:rsidRPr="002411EF" w:rsidRDefault="00CD7887" w:rsidP="00CD7887">
      <w:pPr>
        <w:jc w:val="both"/>
        <w:rPr>
          <w:vertAlign w:val="subscript"/>
        </w:rPr>
      </w:pPr>
    </w:p>
    <w:p w14:paraId="4C47EB4D" w14:textId="77777777" w:rsidR="00CD7887" w:rsidRDefault="00CD7887" w:rsidP="00CD7887">
      <w:pPr>
        <w:jc w:val="both"/>
      </w:pPr>
      <w:r w:rsidRPr="002411EF">
        <w:t xml:space="preserve">Here </w:t>
      </w:r>
      <w:r w:rsidRPr="002411EF">
        <w:rPr>
          <w:i/>
        </w:rPr>
        <w:t>R</w:t>
      </w:r>
      <w:r w:rsidRPr="002411EF">
        <w:t xml:space="preserve"> represents the frequency of the impact region </w:t>
      </w:r>
      <w:r w:rsidRPr="002411EF">
        <w:rPr>
          <w:i/>
        </w:rPr>
        <w:t>i</w:t>
      </w:r>
      <w:r w:rsidRPr="002411EF">
        <w:t xml:space="preserve"> after harmonization with LC-IMPACT (e.g. EXIOBASE region ‘Rest of the World Europe’ has been allocated to 23 countries in LC-IMPACT). Given the lack of information on ‘rest of the world’ regions, </w:t>
      </w:r>
      <w:r w:rsidRPr="002411EF">
        <w:lastRenderedPageBreak/>
        <w:t>we were forced to assume that the drivers of biodiversity loss were shared equally between all countries representing those regions.</w:t>
      </w:r>
    </w:p>
    <w:p w14:paraId="7E1AD82A" w14:textId="77777777" w:rsidR="00CD7887" w:rsidRPr="00193566" w:rsidRDefault="00CD7887" w:rsidP="00CD7887">
      <w:pPr>
        <w:jc w:val="both"/>
      </w:pPr>
    </w:p>
    <w:p w14:paraId="66E3B260" w14:textId="66375465" w:rsidR="00CD7887" w:rsidRDefault="00CD7887" w:rsidP="00CD7887">
      <w:pPr>
        <w:jc w:val="both"/>
      </w:pPr>
      <w:r w:rsidRPr="00193566">
        <w:t>At this stage we calculate</w:t>
      </w:r>
      <w:r>
        <w:t>d</w:t>
      </w:r>
      <w:r w:rsidRPr="00193566">
        <w:t xml:space="preserve"> the impact factors</w:t>
      </w:r>
      <w:r>
        <w:t xml:space="preserve"> of the driver of biodiversity loss</w:t>
      </w:r>
      <w:r w:rsidRPr="00193566">
        <w:t xml:space="preserve"> (</w:t>
      </w:r>
      <w:r w:rsidRPr="00FA23AD">
        <w:rPr>
          <w:i/>
        </w:rPr>
        <w:t>DR</w:t>
      </w:r>
      <w:r w:rsidRPr="00FA23AD">
        <w:rPr>
          <w:i/>
          <w:vertAlign w:val="subscript"/>
        </w:rPr>
        <w:t>factor</w:t>
      </w:r>
      <w:r w:rsidRPr="00193566">
        <w:t xml:space="preserve">) for each impact region </w:t>
      </w:r>
      <w:r w:rsidRPr="00FA23AD">
        <w:rPr>
          <w:i/>
        </w:rPr>
        <w:t>i</w:t>
      </w:r>
      <w:r w:rsidRPr="00193566">
        <w:t xml:space="preserve"> driven by </w:t>
      </w:r>
      <w:r w:rsidR="001C1A2A">
        <w:t>activities</w:t>
      </w:r>
      <w:r w:rsidR="001C1A2A" w:rsidRPr="00193566">
        <w:t xml:space="preserve"> </w:t>
      </w:r>
      <w:r w:rsidRPr="00193566">
        <w:t xml:space="preserve">in </w:t>
      </w:r>
      <w:r w:rsidR="00841417">
        <w:t>activity</w:t>
      </w:r>
      <w:r w:rsidR="00841417" w:rsidRPr="00193566">
        <w:t xml:space="preserve"> </w:t>
      </w:r>
      <w:r w:rsidRPr="00193566">
        <w:t xml:space="preserve">region </w:t>
      </w:r>
      <w:r w:rsidRPr="00FA23AD">
        <w:rPr>
          <w:i/>
        </w:rPr>
        <w:t>j</w:t>
      </w:r>
      <w:r w:rsidRPr="00193566">
        <w:t xml:space="preserve">, </w:t>
      </w:r>
      <w:r w:rsidR="009F3B3E">
        <w:t>activity</w:t>
      </w:r>
      <w:r w:rsidRPr="00193566">
        <w:t xml:space="preserve"> </w:t>
      </w:r>
      <w:r w:rsidRPr="00FA23AD">
        <w:rPr>
          <w:i/>
        </w:rPr>
        <w:t>k</w:t>
      </w:r>
      <w:r w:rsidRPr="00193566">
        <w:t>:</w:t>
      </w:r>
    </w:p>
    <w:p w14:paraId="483EF51A" w14:textId="77777777" w:rsidR="00CD7887" w:rsidRPr="00193566" w:rsidRDefault="00CD7887" w:rsidP="00CD7887">
      <w:pPr>
        <w:jc w:val="both"/>
      </w:pPr>
    </w:p>
    <w:p w14:paraId="324DB353" w14:textId="77777777" w:rsidR="00CD7887" w:rsidRDefault="00CD7887" w:rsidP="00CD7887">
      <w:pPr>
        <w:jc w:val="center"/>
        <w:rPr>
          <w:vertAlign w:val="subscript"/>
        </w:rPr>
      </w:pPr>
      <w:proofErr w:type="gramStart"/>
      <w:r>
        <w:t>DR</w:t>
      </w:r>
      <w:r>
        <w:rPr>
          <w:vertAlign w:val="subscript"/>
        </w:rPr>
        <w:t>factor,i</w:t>
      </w:r>
      <w:proofErr w:type="gramEnd"/>
      <w:r>
        <w:rPr>
          <w:vertAlign w:val="subscript"/>
        </w:rPr>
        <w:t>,</w:t>
      </w:r>
      <w:proofErr w:type="gramStart"/>
      <w:r>
        <w:rPr>
          <w:vertAlign w:val="subscript"/>
        </w:rPr>
        <w:t>j,k</w:t>
      </w:r>
      <w:proofErr w:type="gramEnd"/>
      <w:r>
        <w:t xml:space="preserve"> = </w:t>
      </w:r>
      <w:proofErr w:type="gramStart"/>
      <w:r>
        <w:t>DR</w:t>
      </w:r>
      <w:r>
        <w:rPr>
          <w:vertAlign w:val="subscript"/>
        </w:rPr>
        <w:t>unit,i</w:t>
      </w:r>
      <w:proofErr w:type="gramEnd"/>
      <w:r>
        <w:rPr>
          <w:vertAlign w:val="subscript"/>
        </w:rPr>
        <w:t>,</w:t>
      </w:r>
      <w:proofErr w:type="gramStart"/>
      <w:r>
        <w:rPr>
          <w:vertAlign w:val="subscript"/>
        </w:rPr>
        <w:t>j,k</w:t>
      </w:r>
      <w:proofErr w:type="gramEnd"/>
      <w:r>
        <w:t xml:space="preserve"> × </w:t>
      </w:r>
      <w:proofErr w:type="gramStart"/>
      <w:r>
        <w:t>DR</w:t>
      </w:r>
      <w:r>
        <w:rPr>
          <w:vertAlign w:val="subscript"/>
        </w:rPr>
        <w:t>exiobase,j</w:t>
      </w:r>
      <w:proofErr w:type="gramEnd"/>
      <w:r>
        <w:rPr>
          <w:vertAlign w:val="subscript"/>
        </w:rPr>
        <w:t>,k</w:t>
      </w:r>
    </w:p>
    <w:p w14:paraId="69E53890" w14:textId="77777777" w:rsidR="00CD7887" w:rsidRPr="005334E4" w:rsidRDefault="00CD7887" w:rsidP="00CD7887">
      <w:pPr>
        <w:jc w:val="both"/>
      </w:pPr>
    </w:p>
    <w:p w14:paraId="19B7DC1C" w14:textId="495896F4" w:rsidR="00CD7887" w:rsidRDefault="00CD7887" w:rsidP="00CD7887">
      <w:pPr>
        <w:jc w:val="both"/>
      </w:pPr>
      <w:r w:rsidRPr="00FA23AD">
        <w:rPr>
          <w:i/>
        </w:rPr>
        <w:t>DR</w:t>
      </w:r>
      <w:r w:rsidRPr="00FA23AD">
        <w:rPr>
          <w:i/>
          <w:vertAlign w:val="subscript"/>
        </w:rPr>
        <w:t>exiobase</w:t>
      </w:r>
      <w:r w:rsidRPr="001E5071">
        <w:t xml:space="preserve"> represents the monetary impact factors of the driver of biodiversity loss (impact per euro) from EXIOBASE for </w:t>
      </w:r>
      <w:r w:rsidR="00AB63C3">
        <w:t>activity</w:t>
      </w:r>
      <w:r w:rsidR="00AB63C3" w:rsidRPr="001E5071">
        <w:t xml:space="preserve"> </w:t>
      </w:r>
      <w:r w:rsidRPr="001E5071">
        <w:t xml:space="preserve">region </w:t>
      </w:r>
      <w:r w:rsidRPr="00FA23AD">
        <w:rPr>
          <w:i/>
        </w:rPr>
        <w:t>j</w:t>
      </w:r>
      <w:r w:rsidRPr="001E5071">
        <w:t xml:space="preserve">, </w:t>
      </w:r>
      <w:r w:rsidR="000233BB">
        <w:t>activity</w:t>
      </w:r>
      <w:r w:rsidRPr="001E5071">
        <w:t xml:space="preserve"> </w:t>
      </w:r>
      <w:r w:rsidRPr="00FA23AD">
        <w:rPr>
          <w:i/>
        </w:rPr>
        <w:t>k</w:t>
      </w:r>
      <w:r w:rsidRPr="001E5071">
        <w:t xml:space="preserve">. </w:t>
      </w:r>
    </w:p>
    <w:p w14:paraId="3D83D1F3" w14:textId="77777777" w:rsidR="00CD7887" w:rsidRDefault="00CD7887" w:rsidP="00CD7887">
      <w:pPr>
        <w:jc w:val="both"/>
      </w:pPr>
    </w:p>
    <w:p w14:paraId="051A1E77" w14:textId="77777777" w:rsidR="00C601C3" w:rsidRPr="00C601C3" w:rsidRDefault="00CD7887" w:rsidP="00CD7887">
      <w:pPr>
        <w:jc w:val="both"/>
      </w:pPr>
      <w:r>
        <w:t>In ecoinvent we simply used the regionalized calculation method in openLCA to derive the location of the different drivers of biodiversity loss. A</w:t>
      </w:r>
      <w:r w:rsidRPr="002411EF">
        <w:t xml:space="preserve"> similar harmonization</w:t>
      </w:r>
      <w:r>
        <w:t xml:space="preserve"> of regional classification is necessary. C</w:t>
      </w:r>
      <w:r w:rsidRPr="002411EF">
        <w:t>ontinental and global average values from LC-IMPACT can be used for entries that do not contain specific country information but only a global or continental value</w:t>
      </w:r>
      <w:r>
        <w:t>.</w:t>
      </w:r>
    </w:p>
    <w:p w14:paraId="560F5DC5" w14:textId="77777777" w:rsidR="00C601C3" w:rsidRDefault="00C601C3" w:rsidP="00CD7887"/>
    <w:p w14:paraId="268D44A8" w14:textId="77777777" w:rsidR="00B1200F" w:rsidRDefault="00B1200F" w:rsidP="00CD7887">
      <w:pPr>
        <w:rPr>
          <w:b/>
          <w:bCs/>
          <w:sz w:val="22"/>
          <w:szCs w:val="18"/>
        </w:rPr>
      </w:pPr>
    </w:p>
    <w:p w14:paraId="148F9EB3" w14:textId="7C9B2656" w:rsidR="00B1200F" w:rsidRDefault="000B5417" w:rsidP="00CD7887">
      <w:pPr>
        <w:rPr>
          <w:b/>
          <w:bCs/>
          <w:sz w:val="22"/>
          <w:szCs w:val="18"/>
        </w:rPr>
      </w:pPr>
      <w:r>
        <w:rPr>
          <w:b/>
          <w:bCs/>
          <w:sz w:val="22"/>
          <w:szCs w:val="18"/>
        </w:rPr>
        <w:t xml:space="preserve">STEP 4: </w:t>
      </w:r>
      <w:r w:rsidRPr="000B5417">
        <w:rPr>
          <w:b/>
          <w:bCs/>
          <w:sz w:val="22"/>
          <w:szCs w:val="18"/>
        </w:rPr>
        <w:t xml:space="preserve">Harmonize </w:t>
      </w:r>
      <w:r w:rsidR="009E0DC1">
        <w:rPr>
          <w:b/>
          <w:bCs/>
          <w:sz w:val="22"/>
          <w:szCs w:val="18"/>
        </w:rPr>
        <w:t>organizational activity data</w:t>
      </w:r>
      <w:r w:rsidRPr="000B5417">
        <w:rPr>
          <w:b/>
          <w:bCs/>
          <w:sz w:val="22"/>
          <w:szCs w:val="18"/>
        </w:rPr>
        <w:t xml:space="preserve"> with biodiversity impact factors</w:t>
      </w:r>
    </w:p>
    <w:p w14:paraId="64C7FF4F" w14:textId="4864A87F" w:rsidR="000B5417" w:rsidRDefault="000B5417" w:rsidP="000B5417">
      <w:r w:rsidRPr="001E5071">
        <w:t xml:space="preserve">There are generally two key </w:t>
      </w:r>
      <w:r>
        <w:t>adjustments</w:t>
      </w:r>
      <w:r w:rsidRPr="001E5071">
        <w:t xml:space="preserve"> needed</w:t>
      </w:r>
      <w:r w:rsidR="00CB3B40">
        <w:t xml:space="preserve"> to harmonize </w:t>
      </w:r>
      <w:r w:rsidR="000550B0">
        <w:t>organizational activity data</w:t>
      </w:r>
      <w:r w:rsidR="00CB3B40">
        <w:t xml:space="preserve"> with EEIOA </w:t>
      </w:r>
      <w:r w:rsidR="000550B0">
        <w:t>activities</w:t>
      </w:r>
      <w:r w:rsidRPr="001E5071">
        <w:t>: inflation adjustment and conversion of the purchaser prices in the financial accounts of the organization to the basic prices in the EEIO</w:t>
      </w:r>
      <w:r>
        <w:t>A</w:t>
      </w:r>
      <w:r w:rsidRPr="001E5071">
        <w:t xml:space="preserve"> databases.</w:t>
      </w:r>
      <w:r>
        <w:t xml:space="preserve"> Inflation adjustment is needed due to o</w:t>
      </w:r>
      <w:r w:rsidRPr="001E5071">
        <w:t>ne of the inevitable limitations of using EEIO</w:t>
      </w:r>
      <w:r>
        <w:t>A</w:t>
      </w:r>
      <w:r w:rsidRPr="001E5071">
        <w:t xml:space="preserve"> data</w:t>
      </w:r>
      <w:r>
        <w:t>: r</w:t>
      </w:r>
      <w:r w:rsidRPr="001E5071">
        <w:t>etroactiv</w:t>
      </w:r>
      <w:r>
        <w:t>e accumulation of data</w:t>
      </w:r>
      <w:r w:rsidRPr="001E5071">
        <w:t xml:space="preserve">. </w:t>
      </w:r>
      <w:r>
        <w:t>Thus, i</w:t>
      </w:r>
      <w:r w:rsidRPr="001E5071">
        <w:t>nflation between the baseline year of the EEIO</w:t>
      </w:r>
      <w:r>
        <w:t>A</w:t>
      </w:r>
      <w:r w:rsidRPr="001E5071">
        <w:t xml:space="preserve"> database and the financial account data need</w:t>
      </w:r>
      <w:r>
        <w:t>s</w:t>
      </w:r>
      <w:r w:rsidRPr="001E5071">
        <w:t xml:space="preserve"> to be </w:t>
      </w:r>
      <w:proofErr w:type="gramStart"/>
      <w:r w:rsidRPr="001E5071">
        <w:t>taken into account</w:t>
      </w:r>
      <w:proofErr w:type="gramEnd"/>
      <w:r w:rsidRPr="001E5071">
        <w:t>.</w:t>
      </w:r>
      <w:r>
        <w:t xml:space="preserve"> </w:t>
      </w:r>
      <w:r w:rsidRPr="001E5071">
        <w:t>Prices can be adjusted by using national Consumer Price Index data</w:t>
      </w:r>
      <w:r>
        <w:t xml:space="preserve"> </w:t>
      </w:r>
      <w:r w:rsidRPr="00B63543">
        <w:t>(in this case Statistics Finland,</w:t>
      </w:r>
      <w:r w:rsidR="00C33EAC">
        <w:t xml:space="preserve"> n.d.</w:t>
      </w:r>
      <w:r w:rsidRPr="00B63543">
        <w:t>)</w:t>
      </w:r>
      <w:r w:rsidRPr="001E5071">
        <w:t xml:space="preserve">, showing the relative increase of inflation </w:t>
      </w:r>
      <w:proofErr w:type="gramStart"/>
      <w:r w:rsidRPr="001E5071">
        <w:t>in a given year</w:t>
      </w:r>
      <w:proofErr w:type="gramEnd"/>
      <w:r w:rsidRPr="001E5071">
        <w:t xml:space="preserve"> </w:t>
      </w:r>
      <w:r>
        <w:t>relative</w:t>
      </w:r>
      <w:r w:rsidRPr="001E5071">
        <w:t xml:space="preserve"> to a baseline year (i.e. Inflation factor)</w:t>
      </w:r>
      <w:r>
        <w:t xml:space="preserve">. A global database of inflation rates can be found from the World Bank </w:t>
      </w:r>
      <w:r w:rsidRPr="0024285F">
        <w:t>(2025)</w:t>
      </w:r>
      <w:r>
        <w:t xml:space="preserve">. </w:t>
      </w:r>
      <w:r w:rsidRPr="001E5071">
        <w:t xml:space="preserve">Furthermore, </w:t>
      </w:r>
      <w:proofErr w:type="gramStart"/>
      <w:r w:rsidRPr="001E5071">
        <w:t>in order to</w:t>
      </w:r>
      <w:proofErr w:type="gramEnd"/>
      <w:r w:rsidRPr="001E5071">
        <w:t xml:space="preserve"> use the impact factors </w:t>
      </w:r>
      <w:r>
        <w:t>determining the amount of the drivers of biodiversity loss from</w:t>
      </w:r>
      <w:r w:rsidRPr="001E5071">
        <w:t xml:space="preserve"> the EEIO</w:t>
      </w:r>
      <w:r>
        <w:t>A</w:t>
      </w:r>
      <w:r w:rsidRPr="001E5071">
        <w:t xml:space="preserve"> database, financial account prices (i.e. purchaser prices) need to be converted to basic prices</w:t>
      </w:r>
      <w:r>
        <w:t xml:space="preserve"> </w:t>
      </w:r>
      <w:r w:rsidRPr="000502BD">
        <w:t>(European Commission et al., n.d.)</w:t>
      </w:r>
      <w:r w:rsidRPr="001E5071">
        <w:t xml:space="preserve">, </w:t>
      </w:r>
      <w:r>
        <w:t>which is the</w:t>
      </w:r>
      <w:r w:rsidRPr="001E5071">
        <w:t xml:space="preserve"> general unit used in EEIO</w:t>
      </w:r>
      <w:r>
        <w:t>A</w:t>
      </w:r>
      <w:r w:rsidRPr="001E5071">
        <w:t xml:space="preserve"> databases.</w:t>
      </w:r>
      <w:r>
        <w:t xml:space="preserve"> </w:t>
      </w:r>
      <w:proofErr w:type="gramStart"/>
      <w:r>
        <w:t>Formulae</w:t>
      </w:r>
      <w:proofErr w:type="gramEnd"/>
      <w:r>
        <w:t xml:space="preserve"> for the adjustments are summarized in SI Table S4.</w:t>
      </w:r>
    </w:p>
    <w:p w14:paraId="679A6212" w14:textId="77777777" w:rsidR="00B1200F" w:rsidRDefault="00B1200F" w:rsidP="00CD7887">
      <w:pPr>
        <w:rPr>
          <w:b/>
          <w:bCs/>
          <w:sz w:val="22"/>
          <w:szCs w:val="18"/>
        </w:rPr>
      </w:pPr>
    </w:p>
    <w:p w14:paraId="7EBEFEA2" w14:textId="164D3623" w:rsidR="00E7717D" w:rsidRDefault="00C037EA" w:rsidP="00CD7887">
      <w:pPr>
        <w:rPr>
          <w:b/>
          <w:bCs/>
        </w:rPr>
      </w:pPr>
      <w:r w:rsidRPr="00E20EDD">
        <w:rPr>
          <w:b/>
          <w:bCs/>
        </w:rPr>
        <w:t>STEP 6: Assemble the value-transforming financial-environmental impact statement</w:t>
      </w:r>
    </w:p>
    <w:p w14:paraId="0FE02ECF" w14:textId="10CE120E" w:rsidR="00B63CC3" w:rsidRDefault="00B63CC3" w:rsidP="00B63CC3">
      <w:pPr>
        <w:rPr>
          <w:sz w:val="22"/>
          <w:szCs w:val="18"/>
          <w:lang w:val="en-GB"/>
        </w:rPr>
      </w:pPr>
      <w:r w:rsidRPr="00B92436">
        <w:rPr>
          <w:sz w:val="22"/>
          <w:szCs w:val="18"/>
          <w:lang w:val="en-GB"/>
        </w:rPr>
        <w:t xml:space="preserve">Financial accounting </w:t>
      </w:r>
      <w:r>
        <w:rPr>
          <w:sz w:val="22"/>
          <w:szCs w:val="18"/>
          <w:lang w:val="en-GB"/>
        </w:rPr>
        <w:t>has</w:t>
      </w:r>
      <w:r w:rsidRPr="00B92436">
        <w:rPr>
          <w:sz w:val="22"/>
          <w:szCs w:val="18"/>
          <w:lang w:val="en-GB"/>
        </w:rPr>
        <w:t xml:space="preserve"> been identified as </w:t>
      </w:r>
      <w:r>
        <w:rPr>
          <w:sz w:val="22"/>
          <w:szCs w:val="18"/>
          <w:lang w:val="en-GB"/>
        </w:rPr>
        <w:t xml:space="preserve">a </w:t>
      </w:r>
      <w:r w:rsidRPr="00B92436">
        <w:rPr>
          <w:sz w:val="22"/>
          <w:szCs w:val="18"/>
          <w:lang w:val="en-GB"/>
        </w:rPr>
        <w:t xml:space="preserve">powerful mechanism shaping organizational operations by determining what is recognized and valued (Burchell et al., 1980; Miller &amp; Power, 2013). However, </w:t>
      </w:r>
      <w:r w:rsidR="00757870">
        <w:rPr>
          <w:sz w:val="22"/>
          <w:szCs w:val="18"/>
          <w:lang w:val="en-GB"/>
        </w:rPr>
        <w:t>it</w:t>
      </w:r>
      <w:r w:rsidRPr="00B92436">
        <w:rPr>
          <w:sz w:val="22"/>
          <w:szCs w:val="18"/>
          <w:lang w:val="en-GB"/>
        </w:rPr>
        <w:t xml:space="preserve"> </w:t>
      </w:r>
      <w:r w:rsidR="00757870">
        <w:rPr>
          <w:sz w:val="22"/>
          <w:szCs w:val="18"/>
          <w:lang w:val="en-GB"/>
        </w:rPr>
        <w:t>has</w:t>
      </w:r>
      <w:r w:rsidRPr="00B92436">
        <w:rPr>
          <w:sz w:val="22"/>
          <w:szCs w:val="18"/>
          <w:lang w:val="en-GB"/>
        </w:rPr>
        <w:t xml:space="preserve"> been widely criticized for neglecting environmental values and impacts (Gray, 1992; Maunders &amp; Burritt, 1991; Milne, 1996; Nedopil, 2023).</w:t>
      </w:r>
    </w:p>
    <w:p w14:paraId="38D41901" w14:textId="77777777" w:rsidR="00757870" w:rsidRPr="00B92436" w:rsidRDefault="00757870" w:rsidP="00B63CC3">
      <w:pPr>
        <w:rPr>
          <w:sz w:val="22"/>
          <w:szCs w:val="18"/>
          <w:lang w:val="en-GB"/>
        </w:rPr>
      </w:pPr>
    </w:p>
    <w:p w14:paraId="26708647" w14:textId="77777777" w:rsidR="00B63CC3" w:rsidRDefault="00B63CC3" w:rsidP="00B63CC3">
      <w:pPr>
        <w:rPr>
          <w:sz w:val="22"/>
          <w:szCs w:val="18"/>
          <w:lang w:val="en-GB"/>
        </w:rPr>
      </w:pPr>
      <w:r w:rsidRPr="00B92436">
        <w:rPr>
          <w:sz w:val="22"/>
          <w:szCs w:val="18"/>
          <w:lang w:val="en-GB"/>
        </w:rPr>
        <w:t>Efforts to integrate financial and environmental accounting have emerged at both conceptual (Maas et al., 2016; Nicholls, 2020; Veldman &amp; Jansson, 2020) and practical levels (Alvarez et al., 2014; Houdet et al., 2020; Larsen et al., 2013; Thurston &amp; Eckelman, 2011). Environmental management accounting has traditionally focused on quantifying environmental information alongside direct costs, earnings, and savings, but it largely excludes indirect economic consequences occurring beyond organizational boundaries (Burritt et al., 2002; Jasch, 2003; Jasinski et al., 2015; Schaltegger &amp; Burritt, 2000).</w:t>
      </w:r>
    </w:p>
    <w:p w14:paraId="0AB6B666" w14:textId="77777777" w:rsidR="00757870" w:rsidRPr="00B92436" w:rsidRDefault="00757870" w:rsidP="00B63CC3">
      <w:pPr>
        <w:rPr>
          <w:sz w:val="22"/>
          <w:szCs w:val="18"/>
          <w:lang w:val="en-GB"/>
        </w:rPr>
      </w:pPr>
    </w:p>
    <w:p w14:paraId="45DC2BC8" w14:textId="3151E2A9" w:rsidR="00B63CC3" w:rsidRDefault="00B63CC3" w:rsidP="00B63CC3">
      <w:pPr>
        <w:rPr>
          <w:sz w:val="22"/>
          <w:szCs w:val="18"/>
          <w:lang w:val="en-GB"/>
        </w:rPr>
      </w:pPr>
      <w:r w:rsidRPr="00B92436">
        <w:rPr>
          <w:sz w:val="22"/>
          <w:szCs w:val="18"/>
          <w:lang w:val="en-GB"/>
        </w:rPr>
        <w:t>Advancing the monetisation of environmental impacts, full cost accounting—also termed full environmental cost accounting, total cost accounting, or total cost assessment—aims to capture both direct impacts and indirect consequences affecting external stakeholders (Bebbington et al., 2001; Jasinski et al., 2015). Similarly, environmental profit and loss accounting reports estimated indirect environmental gains and losses alongside financial outcomes (Arena et al., 2015; Jørgensen et al., 2014; Schmidt &amp; de Saxcé, 2016).</w:t>
      </w:r>
    </w:p>
    <w:p w14:paraId="06D6F1CC" w14:textId="77777777" w:rsidR="0057443F" w:rsidRPr="00B92436" w:rsidRDefault="0057443F" w:rsidP="00B63CC3">
      <w:pPr>
        <w:rPr>
          <w:sz w:val="22"/>
          <w:szCs w:val="18"/>
          <w:lang w:val="en-GB"/>
        </w:rPr>
      </w:pPr>
    </w:p>
    <w:p w14:paraId="4A7849E4" w14:textId="0A2309F7" w:rsidR="00B94DDD" w:rsidRDefault="00B63CC3" w:rsidP="005A78AA">
      <w:pPr>
        <w:rPr>
          <w:sz w:val="22"/>
          <w:szCs w:val="18"/>
          <w:lang w:val="en-GB"/>
        </w:rPr>
      </w:pPr>
      <w:r w:rsidRPr="00B92436">
        <w:rPr>
          <w:sz w:val="22"/>
          <w:szCs w:val="18"/>
          <w:lang w:val="en-GB"/>
        </w:rPr>
        <w:t>Despite these developments, scholarly efforts toward transformative integration appear to have declined (Russell et al., 2017). Moreover, monetisation approaches have attracted substantial critique, including concerns over the appropriation and commodification of common resources (e.g., forests, rivers, and the atmosphere) and the privileging of financial over non-financial values (Russell et al., 2017). Economic valuation of nature is also contested for its limited capacity to address issues of social and environmental justice (Matulis, 2014).</w:t>
      </w:r>
    </w:p>
    <w:p w14:paraId="0F273317" w14:textId="77777777" w:rsidR="00B92436" w:rsidRDefault="00B92436" w:rsidP="005A78AA">
      <w:pPr>
        <w:rPr>
          <w:sz w:val="22"/>
          <w:szCs w:val="18"/>
          <w:lang w:val="en-GB"/>
        </w:rPr>
      </w:pPr>
    </w:p>
    <w:p w14:paraId="54E84BAE" w14:textId="290CEF7C" w:rsidR="00B94DDD" w:rsidRPr="00B92436" w:rsidRDefault="00B94DDD" w:rsidP="005A78AA">
      <w:pPr>
        <w:rPr>
          <w:sz w:val="22"/>
          <w:szCs w:val="18"/>
          <w:lang w:val="en-GB"/>
        </w:rPr>
      </w:pPr>
      <w:r>
        <w:rPr>
          <w:sz w:val="22"/>
          <w:szCs w:val="18"/>
          <w:lang w:val="en-GB"/>
        </w:rPr>
        <w:t xml:space="preserve">Although our aim is not to provide a theoretical contribution to the debate around the integration of financial and environmental accounting, we argue that the example provided in the manuscript </w:t>
      </w:r>
      <w:r w:rsidR="00B54B7C">
        <w:rPr>
          <w:sz w:val="22"/>
          <w:szCs w:val="18"/>
          <w:lang w:val="en-GB"/>
        </w:rPr>
        <w:t>serves as a starting point for discussion especially around how</w:t>
      </w:r>
      <w:r w:rsidR="00796683">
        <w:rPr>
          <w:sz w:val="22"/>
          <w:szCs w:val="18"/>
          <w:lang w:val="en-GB"/>
        </w:rPr>
        <w:t xml:space="preserve"> biodiversity footprints may be monetized and how</w:t>
      </w:r>
      <w:r w:rsidR="00732EAC">
        <w:rPr>
          <w:sz w:val="22"/>
          <w:szCs w:val="18"/>
          <w:lang w:val="en-GB"/>
        </w:rPr>
        <w:t xml:space="preserve"> the proposed indicator,</w:t>
      </w:r>
      <w:r w:rsidR="00796683">
        <w:rPr>
          <w:sz w:val="22"/>
          <w:szCs w:val="18"/>
          <w:lang w:val="en-GB"/>
        </w:rPr>
        <w:t xml:space="preserve"> biodiversity equivalent</w:t>
      </w:r>
      <w:r w:rsidR="00732EAC">
        <w:rPr>
          <w:sz w:val="22"/>
          <w:szCs w:val="18"/>
          <w:lang w:val="en-GB"/>
        </w:rPr>
        <w:t>, may be used to offset global biodiversity footprints of the value chain.</w:t>
      </w:r>
    </w:p>
    <w:p w14:paraId="28B14DB8" w14:textId="77777777" w:rsidR="00B1200F" w:rsidRPr="00B92436" w:rsidRDefault="00B1200F" w:rsidP="00CD7887">
      <w:pPr>
        <w:rPr>
          <w:b/>
          <w:bCs/>
          <w:sz w:val="22"/>
          <w:szCs w:val="18"/>
          <w:lang w:val="en-GB"/>
        </w:rPr>
      </w:pPr>
    </w:p>
    <w:p w14:paraId="34FF4504" w14:textId="1FB11099" w:rsidR="00B1200F" w:rsidRDefault="00B257DD" w:rsidP="00B1200F">
      <w:pPr>
        <w:pStyle w:val="SMSubheading"/>
        <w:rPr>
          <w:szCs w:val="24"/>
        </w:rPr>
      </w:pPr>
      <w:r>
        <w:rPr>
          <w:b/>
          <w:szCs w:val="24"/>
          <w:u w:val="none"/>
        </w:rPr>
        <w:t>Supplementary</w:t>
      </w:r>
      <w:r w:rsidR="00B1200F">
        <w:rPr>
          <w:b/>
          <w:szCs w:val="24"/>
          <w:u w:val="none"/>
        </w:rPr>
        <w:t xml:space="preserve"> Results</w:t>
      </w:r>
    </w:p>
    <w:p w14:paraId="400774A2" w14:textId="77777777" w:rsidR="00B1200F" w:rsidRDefault="00B1200F" w:rsidP="00CD7887">
      <w:pPr>
        <w:rPr>
          <w:b/>
          <w:bCs/>
          <w:sz w:val="22"/>
          <w:szCs w:val="18"/>
        </w:rPr>
      </w:pPr>
    </w:p>
    <w:p w14:paraId="79123DF2" w14:textId="77777777" w:rsidR="00CD7887" w:rsidRDefault="00B1200F" w:rsidP="00CD7887">
      <w:r>
        <w:t>Here we provide a step-by-step explanation on how the steps in the BIOVALENT method were used to calculate the example results of the University of Jyväskylä.</w:t>
      </w:r>
    </w:p>
    <w:p w14:paraId="4BDF579D" w14:textId="77777777" w:rsidR="00B1200F" w:rsidRDefault="00B1200F" w:rsidP="00CD7887"/>
    <w:p w14:paraId="5230EEB0" w14:textId="5D721714" w:rsidR="00B1200F" w:rsidRPr="006E5A8C" w:rsidRDefault="00B1200F" w:rsidP="00CD7887">
      <w:pPr>
        <w:rPr>
          <w:b/>
          <w:bCs/>
          <w:szCs w:val="24"/>
        </w:rPr>
      </w:pPr>
      <w:r w:rsidRPr="006A38FD">
        <w:rPr>
          <w:b/>
          <w:bCs/>
          <w:szCs w:val="24"/>
        </w:rPr>
        <w:t xml:space="preserve">STEP 1: Choose </w:t>
      </w:r>
      <w:r w:rsidR="002D62B2">
        <w:rPr>
          <w:b/>
          <w:bCs/>
          <w:szCs w:val="24"/>
        </w:rPr>
        <w:t>organizational activities to be assessed</w:t>
      </w:r>
    </w:p>
    <w:p w14:paraId="3A41A8CF" w14:textId="53EBAE49" w:rsidR="00B1200F" w:rsidRDefault="00E932C2" w:rsidP="006961B4">
      <w:pPr>
        <w:jc w:val="both"/>
      </w:pPr>
      <w:r w:rsidRPr="006A38FD">
        <w:t xml:space="preserve">We selected a financial report containing different expense accounts and conducted the analysis separately for </w:t>
      </w:r>
      <w:r>
        <w:t>five</w:t>
      </w:r>
      <w:r w:rsidRPr="006A38FD">
        <w:t xml:space="preserve"> consecutive years 2019–202</w:t>
      </w:r>
      <w:r>
        <w:t>3</w:t>
      </w:r>
      <w:r w:rsidRPr="006A38FD">
        <w:t xml:space="preserve">. The reports </w:t>
      </w:r>
      <w:proofErr w:type="gramStart"/>
      <w:r w:rsidRPr="006A38FD">
        <w:t>of</w:t>
      </w:r>
      <w:proofErr w:type="gramEnd"/>
      <w:r w:rsidRPr="006A38FD">
        <w:t xml:space="preserve"> the financial accounts were procured from the university administration.</w:t>
      </w:r>
      <w:r w:rsidR="00675A6E">
        <w:t xml:space="preserve"> We gained additional </w:t>
      </w:r>
      <w:r w:rsidR="009807DC">
        <w:t>activity data</w:t>
      </w:r>
      <w:r w:rsidR="00675A6E">
        <w:t xml:space="preserve"> </w:t>
      </w:r>
      <w:r w:rsidR="00140C6D">
        <w:t>regarding heat, electricity and water consumption, as well as business travel and university car fleet</w:t>
      </w:r>
      <w:r w:rsidR="001C0C10">
        <w:t xml:space="preserve"> use</w:t>
      </w:r>
      <w:r w:rsidR="00140C6D">
        <w:t xml:space="preserve">. </w:t>
      </w:r>
      <w:r w:rsidR="006961B4">
        <w:t>Business travel data was not available for 2019.</w:t>
      </w:r>
      <w:r w:rsidR="00E96C57">
        <w:t xml:space="preserve"> </w:t>
      </w:r>
      <w:r w:rsidR="00102AB8">
        <w:t>We</w:t>
      </w:r>
      <w:r w:rsidR="00E96C57">
        <w:t xml:space="preserve"> decided to exclude the local onsite biodiversity footprint of the university</w:t>
      </w:r>
      <w:r w:rsidR="00102AB8">
        <w:t xml:space="preserve"> and focus on the </w:t>
      </w:r>
      <w:r w:rsidR="00225A4D">
        <w:t xml:space="preserve">value </w:t>
      </w:r>
      <w:proofErr w:type="gramStart"/>
      <w:r w:rsidR="00225A4D">
        <w:t>chain activities</w:t>
      </w:r>
      <w:proofErr w:type="gramEnd"/>
      <w:r w:rsidR="00102AB8">
        <w:t xml:space="preserve"> approach readily provided by the BIOVALENT method.</w:t>
      </w:r>
      <w:r w:rsidR="00761DA3">
        <w:t xml:space="preserve"> The compiled accounts are provided in </w:t>
      </w:r>
      <w:r w:rsidR="00B257DD">
        <w:t>Supplementary</w:t>
      </w:r>
      <w:r w:rsidR="00761DA3">
        <w:t xml:space="preserve"> Data.</w:t>
      </w:r>
    </w:p>
    <w:p w14:paraId="03F5E2FF" w14:textId="77777777" w:rsidR="004C38A9" w:rsidRDefault="004C38A9" w:rsidP="006961B4">
      <w:pPr>
        <w:jc w:val="both"/>
      </w:pPr>
    </w:p>
    <w:p w14:paraId="0B12034B" w14:textId="0F09422A" w:rsidR="006E5A8C" w:rsidRPr="006A38FD" w:rsidRDefault="006E5A8C" w:rsidP="006961B4">
      <w:pPr>
        <w:jc w:val="both"/>
        <w:rPr>
          <w:b/>
          <w:bCs/>
        </w:rPr>
      </w:pPr>
      <w:r w:rsidRPr="006A38FD">
        <w:rPr>
          <w:b/>
          <w:bCs/>
        </w:rPr>
        <w:t xml:space="preserve">STEP 2: Assess the </w:t>
      </w:r>
      <w:proofErr w:type="gramStart"/>
      <w:r w:rsidRPr="006A38FD">
        <w:rPr>
          <w:b/>
          <w:bCs/>
        </w:rPr>
        <w:t>amount of the drivers</w:t>
      </w:r>
      <w:proofErr w:type="gramEnd"/>
      <w:r w:rsidRPr="006A38FD">
        <w:rPr>
          <w:b/>
          <w:bCs/>
        </w:rPr>
        <w:t xml:space="preserve"> of biodiversity loss caused by the </w:t>
      </w:r>
      <w:r w:rsidR="00442FF0">
        <w:rPr>
          <w:b/>
          <w:bCs/>
        </w:rPr>
        <w:t>activities</w:t>
      </w:r>
    </w:p>
    <w:p w14:paraId="399FA3D9" w14:textId="0C9BF867" w:rsidR="0057099E" w:rsidRPr="006A38FD" w:rsidRDefault="00761DA3" w:rsidP="006A38FD">
      <w:pPr>
        <w:jc w:val="both"/>
      </w:pPr>
      <w:r w:rsidRPr="00761DA3">
        <w:t xml:space="preserve">In the case study we used the EEIO database EXIOBASE (Stadler et al., 2018) to calculate </w:t>
      </w:r>
      <w:r w:rsidR="00483B48">
        <w:t>the amount of the drivers of biodiversity loss from</w:t>
      </w:r>
      <w:r w:rsidRPr="00761DA3">
        <w:t xml:space="preserve"> financial consumption. EXIOBASE is suitable for assessing the financial accounts of organizations (as presented before by Larsen et al., </w:t>
      </w:r>
      <w:r w:rsidR="004648A0">
        <w:t>(</w:t>
      </w:r>
      <w:r w:rsidRPr="00761DA3">
        <w:t xml:space="preserve">2013) because it has relatively high detail, namely, 200 different </w:t>
      </w:r>
      <w:r w:rsidR="00D80581">
        <w:t>activity</w:t>
      </w:r>
      <w:r w:rsidR="00D80581" w:rsidRPr="00761DA3">
        <w:t xml:space="preserve"> </w:t>
      </w:r>
      <w:r w:rsidRPr="00761DA3">
        <w:t xml:space="preserve">categories (an advantage when harmonizing EEIO categories with financial accounts), and because it is open access. </w:t>
      </w:r>
      <w:r w:rsidR="0019716F">
        <w:t xml:space="preserve">We used </w:t>
      </w:r>
      <w:r w:rsidR="009D532C">
        <w:t>version</w:t>
      </w:r>
      <w:r w:rsidRPr="00761DA3">
        <w:t xml:space="preserve"> 3.8.2 (Stadler et al., 2021).</w:t>
      </w:r>
      <w:r w:rsidR="00F30C0A">
        <w:t xml:space="preserve"> T</w:t>
      </w:r>
      <w:r w:rsidRPr="00761DA3">
        <w:t>he data utilized is derived from the year 2019 in terms of impact factors and 2011 in terms of the location of the drivers of biodiversity loss. One of the currently unavoidable downsides of EEIO databases is that the data is accumulating retroactively.</w:t>
      </w:r>
      <w:r w:rsidR="0037709E">
        <w:t xml:space="preserve"> </w:t>
      </w:r>
      <w:r w:rsidR="00F15923" w:rsidRPr="00F15923">
        <w:t xml:space="preserve">For the carbon footprint of financial consumption, we use the indicator recommended by The International Reference Life Cycle Data System (ILCD) (Fazio et al., 2018), global </w:t>
      </w:r>
      <w:r w:rsidR="00F15923" w:rsidRPr="00F15923">
        <w:lastRenderedPageBreak/>
        <w:t>warming potential during a period of 100 years, which is readily available in EXIOBASE.</w:t>
      </w:r>
      <w:r w:rsidR="00F15923">
        <w:t xml:space="preserve"> </w:t>
      </w:r>
      <w:r w:rsidR="0057099E">
        <w:t>For energy and water consumption, and business travel, we used the LCA database ecoinvent</w:t>
      </w:r>
      <w:r w:rsidR="0015470B">
        <w:t xml:space="preserve"> version 3.10</w:t>
      </w:r>
      <w:r w:rsidR="0057099E">
        <w:t xml:space="preserve"> (Wernet et al., 2016).</w:t>
      </w:r>
    </w:p>
    <w:p w14:paraId="3C5D85F0" w14:textId="77777777" w:rsidR="00B1200F" w:rsidRDefault="00B1200F" w:rsidP="00CD7887">
      <w:pPr>
        <w:rPr>
          <w:b/>
          <w:bCs/>
        </w:rPr>
      </w:pPr>
    </w:p>
    <w:p w14:paraId="6AE81450" w14:textId="77777777" w:rsidR="00CC1DB0" w:rsidRDefault="00CC1DB0" w:rsidP="00CD7887">
      <w:pPr>
        <w:rPr>
          <w:b/>
          <w:bCs/>
        </w:rPr>
      </w:pPr>
      <w:r w:rsidRPr="00CC1DB0">
        <w:rPr>
          <w:b/>
          <w:bCs/>
        </w:rPr>
        <w:t>STEP 3: Assess the biodiversity impact caused by the drivers of biodiversity loss</w:t>
      </w:r>
    </w:p>
    <w:p w14:paraId="64602FE1" w14:textId="78CE8B01" w:rsidR="00CC1DB0" w:rsidRDefault="0069353E" w:rsidP="00021E70">
      <w:pPr>
        <w:jc w:val="both"/>
      </w:pPr>
      <w:r w:rsidRPr="0069353E">
        <w:t>We built the biodiversity footprint assessment on estimating the impact of the direct drivers of biodiversity loss, including land use, direct exploitation (water stress), climate change and pollution. We combined indicators of direct drivers of biodiversity loss from EXIOBASE (Stadler et al., 2018) with the LC-IMPACT (Verones, 2021; Verones et al., 2020)</w:t>
      </w:r>
      <w:r w:rsidR="008B3D14">
        <w:t xml:space="preserve">. </w:t>
      </w:r>
      <w:r w:rsidR="00362F56" w:rsidRPr="00362F56">
        <w:t xml:space="preserve">The EXIOBASE datasets can be extracted from the Zenodo repository (Stadler et al., 2021). The impact factors can be found in the satellite accounts folder and multipliers datasheet. However, to determine the share of the world’s species that potentially will go extinct globally associated with the direct drivers of biodiversity loss that are driven by </w:t>
      </w:r>
      <w:r w:rsidR="00E75A32">
        <w:t>organizational activities</w:t>
      </w:r>
      <w:r w:rsidR="00362F56" w:rsidRPr="00362F56">
        <w:t>, the countries of origin where the land use and pollution occur need to be identified. The open-source tool Pymrio can be used to assess the country of origin in the EEIO databases (Stadler, 202</w:t>
      </w:r>
      <w:r w:rsidR="00CE562B">
        <w:t>1</w:t>
      </w:r>
      <w:r w:rsidR="00362F56" w:rsidRPr="00362F56">
        <w:t>)</w:t>
      </w:r>
      <w:r w:rsidR="000A418F">
        <w:t xml:space="preserve">, which is explained in </w:t>
      </w:r>
      <w:r w:rsidR="00B257DD">
        <w:t>Supplementary</w:t>
      </w:r>
      <w:r w:rsidR="000A418F">
        <w:t xml:space="preserve"> Methods</w:t>
      </w:r>
      <w:r w:rsidR="00362F56" w:rsidRPr="00362F56">
        <w:t>.</w:t>
      </w:r>
    </w:p>
    <w:p w14:paraId="5919BD74" w14:textId="77777777" w:rsidR="00B46A8C" w:rsidRDefault="00B46A8C" w:rsidP="00021E70">
      <w:pPr>
        <w:jc w:val="both"/>
      </w:pPr>
    </w:p>
    <w:p w14:paraId="4B85E880" w14:textId="77777777" w:rsidR="00515CDE" w:rsidRDefault="00515CDE" w:rsidP="00021E70">
      <w:pPr>
        <w:jc w:val="both"/>
      </w:pPr>
    </w:p>
    <w:p w14:paraId="6B355CC6" w14:textId="1B5AE4AD" w:rsidR="00515CDE" w:rsidRDefault="00515CDE" w:rsidP="00021E70">
      <w:pPr>
        <w:jc w:val="both"/>
        <w:rPr>
          <w:b/>
          <w:bCs/>
        </w:rPr>
      </w:pPr>
      <w:r w:rsidRPr="006A38FD">
        <w:rPr>
          <w:b/>
          <w:bCs/>
        </w:rPr>
        <w:t xml:space="preserve">STEP 4: Harmonize </w:t>
      </w:r>
      <w:r w:rsidR="00C70938">
        <w:rPr>
          <w:b/>
          <w:bCs/>
        </w:rPr>
        <w:t>organizational activity data</w:t>
      </w:r>
      <w:r w:rsidRPr="006A38FD">
        <w:rPr>
          <w:b/>
          <w:bCs/>
        </w:rPr>
        <w:t xml:space="preserve"> with biodiversity impact factors</w:t>
      </w:r>
    </w:p>
    <w:p w14:paraId="793515CE" w14:textId="25D88960" w:rsidR="00267A43" w:rsidRDefault="00267A43" w:rsidP="00267A43">
      <w:pPr>
        <w:jc w:val="both"/>
      </w:pPr>
      <w:r w:rsidRPr="006A38FD">
        <w:t>EXIOBASE product classification is based on the Statistical Classification of Economic Activities in the European Community (eurostat, 2008; Stadler et al., 2018). The financial accounts of the University of Jyväskylä were harmonized with EXIOBASE (</w:t>
      </w:r>
      <w:r w:rsidR="00B257DD">
        <w:t>Supplementary</w:t>
      </w:r>
      <w:r w:rsidRPr="006A38FD">
        <w:t xml:space="preserve"> Data).</w:t>
      </w:r>
      <w:r w:rsidR="00B57462">
        <w:t xml:space="preserve"> Some accounts were calculated with average impact factors, since it was not directly clear what kind of activities the accounts included. In addition, some accounts were excluded from the analysis, since</w:t>
      </w:r>
      <w:r w:rsidRPr="006A38FD">
        <w:t xml:space="preserve"> it was not possible to identify their environmental impacts with the current methodologies (e.g. tax-related accounts). Regarding rental accounts, we excluded some space rentals to avoid double-counting of the energy-related </w:t>
      </w:r>
      <w:r w:rsidR="00976B1B">
        <w:t>activities</w:t>
      </w:r>
      <w:r w:rsidRPr="006A38FD">
        <w:t>.</w:t>
      </w:r>
    </w:p>
    <w:p w14:paraId="04928609" w14:textId="77777777" w:rsidR="009E415B" w:rsidRPr="006A38FD" w:rsidRDefault="009E415B" w:rsidP="00267A43">
      <w:pPr>
        <w:jc w:val="both"/>
      </w:pPr>
    </w:p>
    <w:p w14:paraId="042CC70A" w14:textId="77777777" w:rsidR="00B46A8C" w:rsidRDefault="00267A43" w:rsidP="00267A43">
      <w:pPr>
        <w:jc w:val="both"/>
      </w:pPr>
      <w:r w:rsidRPr="006A38FD">
        <w:t>In the case study, price adjustment due to inflation had to be made</w:t>
      </w:r>
      <w:r w:rsidR="00687AB5">
        <w:t xml:space="preserve">. </w:t>
      </w:r>
      <w:r w:rsidRPr="006A38FD">
        <w:t>Prices were adjusted by using the Consumer Price Index from Statistics Finland (</w:t>
      </w:r>
      <w:r w:rsidR="00075ABF">
        <w:t>n.d.</w:t>
      </w:r>
      <w:r w:rsidRPr="006A38FD">
        <w:t>). For the basic price conversion factors, we used EXIOBASE supply and use tables (Stadler et al., 2021) for the Finnish economy in the year 2019 (data is nowcasted based on 2016 data points)</w:t>
      </w:r>
      <w:r w:rsidR="009C446B">
        <w:t xml:space="preserve"> (JYU.Wisdom Biodiversity Footprint Team, 2026)</w:t>
      </w:r>
      <w:r w:rsidRPr="006A38FD">
        <w:t xml:space="preserve">. Value-added tax (VAT) was excluded from calculations because it is invoiced separately in the university accounts (as it is in most Finnish organizations) and thus has already been deducted from the purchaser price. However, if VAT were to be included in the financial account prices, it should be </w:t>
      </w:r>
      <w:r w:rsidR="00CF4B6C" w:rsidRPr="00CF4B6C">
        <w:t>reduced</w:t>
      </w:r>
      <w:r w:rsidRPr="006A38FD">
        <w:t xml:space="preserve"> as shown by the formulae </w:t>
      </w:r>
      <w:r w:rsidR="00EC2843">
        <w:t>Table S4</w:t>
      </w:r>
      <w:r w:rsidRPr="006A38FD">
        <w:t>.</w:t>
      </w:r>
    </w:p>
    <w:p w14:paraId="44DC6DD9" w14:textId="77777777" w:rsidR="004F47DC" w:rsidRDefault="004F47DC" w:rsidP="00267A43">
      <w:pPr>
        <w:jc w:val="both"/>
      </w:pPr>
    </w:p>
    <w:p w14:paraId="576F05E8" w14:textId="77777777" w:rsidR="004F47DC" w:rsidRPr="006A38FD" w:rsidRDefault="004F47DC" w:rsidP="006A38FD">
      <w:pPr>
        <w:jc w:val="both"/>
        <w:rPr>
          <w:b/>
          <w:bCs/>
        </w:rPr>
      </w:pPr>
      <w:r w:rsidRPr="006A38FD">
        <w:rPr>
          <w:b/>
          <w:bCs/>
        </w:rPr>
        <w:t>STEP 5: Calculate the biodiversity footprints</w:t>
      </w:r>
    </w:p>
    <w:p w14:paraId="59427A95" w14:textId="77777777" w:rsidR="00B1200F" w:rsidRDefault="006469E3" w:rsidP="00A21507">
      <w:pPr>
        <w:jc w:val="both"/>
      </w:pPr>
      <w:r w:rsidRPr="006469E3">
        <w:t xml:space="preserve">We calculated biodiversity footprint results for each </w:t>
      </w:r>
      <w:r w:rsidR="00061208">
        <w:t>driver of biodiversity loss</w:t>
      </w:r>
      <w:r w:rsidRPr="006469E3">
        <w:t xml:space="preserve"> </w:t>
      </w:r>
      <w:r w:rsidR="00F96DD5" w:rsidRPr="006469E3">
        <w:t>individually</w:t>
      </w:r>
      <w:r w:rsidRPr="006469E3">
        <w:t xml:space="preserve"> and then merged the results into three impacted ecosystem types: terrestrial, freshwater and marine ecosystems. We then combined the biodiversity footprints of the three ecosystem types by taking a weighted average of biodiversity footprints over ecosystem types. As weights we used the estimated share of all plant and animal species </w:t>
      </w:r>
      <w:r w:rsidRPr="006469E3">
        <w:lastRenderedPageBreak/>
        <w:t>that exist in each habitat type (Román-Palacios et al., 2022).</w:t>
      </w:r>
      <w:r w:rsidR="00AC272A">
        <w:t xml:space="preserve"> The resulting biodiversity equivalent was then converted to the </w:t>
      </w:r>
      <w:r w:rsidR="00162046">
        <w:t>nano biodiversity equivalent format to ease presentation of results.</w:t>
      </w:r>
    </w:p>
    <w:p w14:paraId="66659625" w14:textId="77777777" w:rsidR="00586489" w:rsidRDefault="00586489" w:rsidP="00A21507">
      <w:pPr>
        <w:jc w:val="both"/>
      </w:pPr>
    </w:p>
    <w:p w14:paraId="623DF87C" w14:textId="77777777" w:rsidR="00460CC0" w:rsidRDefault="00460CC0" w:rsidP="00586489">
      <w:r w:rsidRPr="00D41CD6">
        <w:t xml:space="preserve">From </w:t>
      </w:r>
      <w:r>
        <w:t xml:space="preserve">Figure 4 of the main </w:t>
      </w:r>
      <w:r w:rsidR="00DC70A7">
        <w:t>text,</w:t>
      </w:r>
      <w:r>
        <w:t xml:space="preserve"> one</w:t>
      </w:r>
      <w:r w:rsidRPr="00D41CD6">
        <w:t xml:space="preserve"> can see that</w:t>
      </w:r>
      <w:r>
        <w:t xml:space="preserve"> heat</w:t>
      </w:r>
      <w:r w:rsidRPr="00D41CD6">
        <w:t xml:space="preserve"> consumption </w:t>
      </w:r>
      <w:r>
        <w:t>and</w:t>
      </w:r>
      <w:r w:rsidRPr="00D41CD6">
        <w:t xml:space="preserve"> IT supplies, licenses and services had the highest overall biodiversity</w:t>
      </w:r>
      <w:r>
        <w:t xml:space="preserve"> and carbon</w:t>
      </w:r>
      <w:r w:rsidRPr="00D41CD6">
        <w:t xml:space="preserve"> footprints. As the </w:t>
      </w:r>
      <w:r>
        <w:t xml:space="preserve">analysed </w:t>
      </w:r>
      <w:r w:rsidRPr="00D41CD6">
        <w:t>time interval coincides with the outbreak of the COVID-19 pandemic, some of the greatest annual variations are likely signatures of the pandemic</w:t>
      </w:r>
      <w:r>
        <w:t>, such as the</w:t>
      </w:r>
      <w:r w:rsidRPr="00D41CD6">
        <w:t xml:space="preserve"> </w:t>
      </w:r>
      <w:r>
        <w:t>low share</w:t>
      </w:r>
      <w:r w:rsidRPr="00D41CD6">
        <w:t xml:space="preserve"> of the biodiversity </w:t>
      </w:r>
      <w:r>
        <w:t xml:space="preserve">and carbon </w:t>
      </w:r>
      <w:r w:rsidRPr="00D41CD6">
        <w:t xml:space="preserve">footprints attributable to business travel </w:t>
      </w:r>
      <w:r>
        <w:t>in 2020 (data from 2019 was not available)</w:t>
      </w:r>
      <w:r w:rsidRPr="00D41CD6">
        <w:t>. Other clear changes are the increased footprints due to</w:t>
      </w:r>
      <w:r>
        <w:t xml:space="preserve"> increased consumption of</w:t>
      </w:r>
      <w:r w:rsidRPr="00D41CD6">
        <w:t xml:space="preserve"> IT supplies and </w:t>
      </w:r>
      <w:r>
        <w:t>food and related services after the pandemic</w:t>
      </w:r>
      <w:r w:rsidRPr="00D41CD6">
        <w:t>.</w:t>
      </w:r>
    </w:p>
    <w:p w14:paraId="7E728E3A" w14:textId="77777777" w:rsidR="00460CC0" w:rsidRDefault="00460CC0" w:rsidP="00586489"/>
    <w:p w14:paraId="0BC73777" w14:textId="3962A81D" w:rsidR="00586489" w:rsidRDefault="00586489" w:rsidP="00586489">
      <w:r>
        <w:t>To illustrate where meaningful mitigation action should be directed in the biodiversity and carbon footprints, we created something we call the quadrant of opportunities (Figure S1). The quadrant of opportunities illustrates where the greatest mitigation potential may lie</w:t>
      </w:r>
      <w:r w:rsidR="008375D1">
        <w:t>.</w:t>
      </w:r>
      <w:r>
        <w:t xml:space="preserve"> </w:t>
      </w:r>
      <w:r w:rsidR="008375D1">
        <w:t>For example</w:t>
      </w:r>
      <w:r w:rsidR="00E8220E">
        <w:t>,</w:t>
      </w:r>
      <w:r w:rsidDel="002063F4">
        <w:t xml:space="preserve"> </w:t>
      </w:r>
      <w:r w:rsidR="00E8220E">
        <w:t>activities</w:t>
      </w:r>
      <w:r>
        <w:t xml:space="preserve"> that have a higher amount of consumption and greater footprint intensity than the median values among </w:t>
      </w:r>
      <w:r w:rsidR="00365A8B">
        <w:t>activities</w:t>
      </w:r>
      <w:r>
        <w:t xml:space="preserve"> in the focal organization (upper right corner). Such </w:t>
      </w:r>
      <w:r w:rsidR="007C286A">
        <w:t>activities</w:t>
      </w:r>
      <w:r w:rsidR="007C286A">
        <w:t xml:space="preserve"> </w:t>
      </w:r>
      <w:r>
        <w:t xml:space="preserve">include heat, business travel, machinery and supplies, and IT supplies and services. Mitigation potential may also be found from </w:t>
      </w:r>
      <w:r w:rsidR="008222B8">
        <w:t>activities</w:t>
      </w:r>
      <w:r w:rsidR="008222B8">
        <w:t xml:space="preserve"> </w:t>
      </w:r>
      <w:r>
        <w:t xml:space="preserve">that have either a higher than median footprint intensity (upper left corner), in which case changing the </w:t>
      </w:r>
      <w:r w:rsidR="00B31083">
        <w:t>activity</w:t>
      </w:r>
      <w:r w:rsidR="00B31083">
        <w:t xml:space="preserve"> </w:t>
      </w:r>
      <w:r>
        <w:t>can help in mitigating the impacts, or higher than median consumption (lower right corner), in which case reducing the consumption may help in mitigating the impacts</w:t>
      </w:r>
      <w:r w:rsidDel="006D3A3E">
        <w:t>.</w:t>
      </w:r>
      <w:r>
        <w:t xml:space="preserve"> The dashed lines show how large share a certain point in the graph amounts of the total footprint of the focal organization. For example, categories to the left and below the 5% line each have a footprint lower than 5% of the total footprint. Categories to the right and above the line would then each have a footprint of over 5% of the total footprint. Thus, one can </w:t>
      </w:r>
      <w:proofErr w:type="gramStart"/>
      <w:r>
        <w:t>see,</w:t>
      </w:r>
      <w:proofErr w:type="gramEnd"/>
      <w:r>
        <w:t xml:space="preserve"> that even though certain </w:t>
      </w:r>
      <w:r w:rsidR="00DB507F">
        <w:t>activities</w:t>
      </w:r>
      <w:r>
        <w:t>, such as electricity and water have a high consumption, their overall footprint is low due to the relatively low footprint intensity (impact per unit of consumption).</w:t>
      </w:r>
    </w:p>
    <w:p w14:paraId="74A79563" w14:textId="77777777" w:rsidR="0069353E" w:rsidRDefault="0069353E" w:rsidP="00CD7887"/>
    <w:p w14:paraId="5C1AE9E7" w14:textId="77777777" w:rsidR="00B1200F" w:rsidRPr="006A38FD" w:rsidRDefault="00515CDE" w:rsidP="00CD7887">
      <w:pPr>
        <w:rPr>
          <w:b/>
          <w:bCs/>
          <w:szCs w:val="24"/>
        </w:rPr>
      </w:pPr>
      <w:r>
        <w:rPr>
          <w:b/>
          <w:bCs/>
          <w:szCs w:val="24"/>
        </w:rPr>
        <w:t>STEP</w:t>
      </w:r>
      <w:r w:rsidR="00B1200F" w:rsidRPr="006A38FD">
        <w:rPr>
          <w:b/>
          <w:bCs/>
          <w:szCs w:val="24"/>
        </w:rPr>
        <w:t xml:space="preserve"> 6: Assemble the value-transforming financial-environmental impact statement</w:t>
      </w:r>
    </w:p>
    <w:p w14:paraId="0F8C3556" w14:textId="77777777" w:rsidR="00CD7887" w:rsidRDefault="00CD7887" w:rsidP="00CD7887">
      <w:pPr>
        <w:jc w:val="both"/>
      </w:pPr>
      <w:r>
        <w:t xml:space="preserve">We start the biodiversity offsetting calculation by assessing the potential biodiversity gains received over time. We assume that the starting condition is the biodiversity impact factor of intensive forestry per unit of land use in each country. Furthermore, by assuming that the recovery of the ecosystem is linear and that the recovery time is 100 years </w:t>
      </w:r>
      <w:r w:rsidRPr="00612B37">
        <w:t>(Verones et al., 2020)</w:t>
      </w:r>
      <w:r>
        <w:t>, we calculate the gains received per year:</w:t>
      </w:r>
    </w:p>
    <w:p w14:paraId="10E6E5BC" w14:textId="77777777" w:rsidR="00CD7887" w:rsidRDefault="00CD7887" w:rsidP="00CD7887"/>
    <w:p w14:paraId="05080756" w14:textId="77777777" w:rsidR="00CD7887" w:rsidRDefault="00CD7887" w:rsidP="00CD7887"/>
    <w:p w14:paraId="200E1DE6" w14:textId="77777777" w:rsidR="00CD7887" w:rsidRDefault="003B602A" w:rsidP="00CD7887">
      <w:pPr>
        <w:jc w:val="center"/>
      </w:pPr>
      <w:r>
        <w:pict w14:anchorId="0A059CE1">
          <v:shape id="_x0000_i1027" type="#_x0000_t75" style="width:162.85pt;height:28.2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20&quot;/&gt;&lt;w:stylePaneFormatFilter w:val=&quot;3F01&quot;/&gt;&lt;w:defaultTabStop w:val=&quot;720&quot;/&gt;&lt;w:displayHorizontalDrawingGridEvery w:val=&quot;0&quot;/&gt;&lt;w:displayVerticalDrawingGridEvery w:val=&quot;0&quot;/&gt;&lt;w:useMarginsForDrawingGridOrigin/&gt;&lt;w:characterSpacingControl w:val=&quot;DontCompress&quot;/&gt;&lt;w:optimizeForBrowser/&gt;&lt;w:targetScreenSz w:val=&quot;800x600&quot;/&gt;&lt;w:validateAgainstSchema/&gt;&lt;w:saveInvalidXML w:val=&quot;off&quot;/&gt;&lt;w:ignoreMixedContent w:val=&quot;off&quot;/&gt;&lt;w:alwaysShowPlaceholderText w:val=&quot;off&quot;/&gt;&lt;w:compat&gt;&lt;w:footnoteLayoutLikeWW8/&gt;&lt;w:shapeLayoutLikeWW8/&gt;&lt;w:alignTablesRowByRow/&gt;&lt;w:forgetLastTabAlignment/&gt;&lt;w:doNotUseHTMLParagraphAutoSpacing/&gt;&lt;w:layoutRawTableWidth/&gt;&lt;w:layoutTableRowsApart/&gt;&lt;w:useWord97LineBreakingRules/&gt;&lt;w:dontAllowFieldEndSelect/&gt;&lt;w:useWord2002TableStyleRules/&gt;&lt;w:useFELayout/&gt;&lt;/w:compat&gt;&lt;wsp:rsids&gt;&lt;wsp:rsidRoot wsp:val=&quot;00FC3678&quot;/&gt;&lt;wsp:rsid wsp:val=&quot;00013D1E&quot;/&gt;&lt;wsp:rsid wsp:val=&quot;00026AC0&quot;/&gt;&lt;wsp:rsid wsp:val=&quot;0005253F&quot;/&gt;&lt;wsp:rsid wsp:val=&quot;000C1B25&quot;/&gt;&lt;wsp:rsid wsp:val=&quot;000E1EDA&quot;/&gt;&lt;wsp:rsid wsp:val=&quot;00127752&quot;/&gt;&lt;wsp:rsid wsp:val=&quot;00140520&quot;/&gt;&lt;wsp:rsid wsp:val=&quot;00151F63&quot;/&gt;&lt;wsp:rsid wsp:val=&quot;00164C58&quot;/&gt;&lt;wsp:rsid wsp:val=&quot;00177180&quot;/&gt;&lt;wsp:rsid wsp:val=&quot;001B0CD6&quot;/&gt;&lt;wsp:rsid wsp:val=&quot;001E2393&quot;/&gt;&lt;wsp:rsid wsp:val=&quot;00210627&quot;/&gt;&lt;wsp:rsid wsp:val=&quot;00244AEE&quot;/&gt;&lt;wsp:rsid wsp:val=&quot;0026556F&quot;/&gt;&lt;wsp:rsid wsp:val=&quot;00281931&quot;/&gt;&lt;wsp:rsid wsp:val=&quot;00296293&quot;/&gt;&lt;wsp:rsid wsp:val=&quot;002B5979&quot;/&gt;&lt;wsp:rsid wsp:val=&quot;002D46CC&quot;/&gt;&lt;wsp:rsid wsp:val=&quot;00305A60&quot;/&gt;&lt;wsp:rsid wsp:val=&quot;00312C21&quot;/&gt;&lt;wsp:rsid wsp:val=&quot;003328E4&quot;/&gt;&lt;wsp:rsid wsp:val=&quot;00355DDD&quot;/&gt;&lt;wsp:rsid wsp:val=&quot;00392495&quot;/&gt;&lt;wsp:rsid wsp:val=&quot;003C1639&quot;/&gt;&lt;wsp:rsid wsp:val=&quot;00405228&quot;/&gt;&lt;wsp:rsid wsp:val=&quot;0043029D&quot;/&gt;&lt;wsp:rsid wsp:val=&quot;00437604&quot;/&gt;&lt;wsp:rsid wsp:val=&quot;00470259&quot;/&gt;&lt;wsp:rsid wsp:val=&quot;004F406C&quot;/&gt;&lt;wsp:rsid wsp:val=&quot;005041EC&quot;/&gt;&lt;wsp:rsid wsp:val=&quot;005053C2&quot;/&gt;&lt;wsp:rsid wsp:val=&quot;00516DD8&quot;/&gt;&lt;wsp:rsid wsp:val=&quot;005212CA&quot;/&gt;&lt;wsp:rsid wsp:val=&quot;005342AF&quot;/&gt;&lt;wsp:rsid wsp:val=&quot;00541604&quot;/&gt;&lt;wsp:rsid wsp:val=&quot;005537D1&quot;/&gt;&lt;wsp:rsid wsp:val=&quot;00575E0A&quot;/&gt;&lt;wsp:rsid wsp:val=&quot;00637D84&quot;/&gt;&lt;wsp:rsid wsp:val=&quot;0067182A&quot;/&gt;&lt;wsp:rsid wsp:val=&quot;00694D2D&quot;/&gt;&lt;wsp:rsid wsp:val=&quot;006E2334&quot;/&gt;&lt;wsp:rsid wsp:val=&quot;00792F07&quot;/&gt;&lt;wsp:rsid wsp:val=&quot;007A518D&quot;/&gt;&lt;wsp:rsid wsp:val=&quot;007F4644&quot;/&gt;&lt;wsp:rsid wsp:val=&quot;007F7B33&quot;/&gt;&lt;wsp:rsid wsp:val=&quot;00861C5D&quot;/&gt;&lt;wsp:rsid wsp:val=&quot;008929D7&quot;/&gt;&lt;wsp:rsid wsp:val=&quot;008A2B05&quot;/&gt;&lt;wsp:rsid wsp:val=&quot;008B1F6A&quot;/&gt;&lt;wsp:rsid wsp:val=&quot;008E0C5F&quot;/&gt;&lt;wsp:rsid wsp:val=&quot;008F3AD9&quot;/&gt;&lt;wsp:rsid wsp:val=&quot;00925C6A&quot;/&gt;&lt;wsp:rsid wsp:val=&quot;00957CB3&quot;/&gt;&lt;wsp:rsid wsp:val=&quot;009618A6&quot;/&gt;&lt;wsp:rsid wsp:val=&quot;009A31CE&quot;/&gt;&lt;wsp:rsid wsp:val=&quot;009B445B&quot;/&gt;&lt;wsp:rsid wsp:val=&quot;009D7C33&quot;/&gt;&lt;wsp:rsid wsp:val=&quot;009F5CBF&quot;/&gt;&lt;wsp:rsid wsp:val=&quot;00A0155D&quot;/&gt;&lt;wsp:rsid wsp:val=&quot;00A91307&quot;/&gt;&lt;wsp:rsid wsp:val=&quot;00AB3506&quot;/&gt;&lt;wsp:rsid wsp:val=&quot;00AD12A1&quot;/&gt;&lt;wsp:rsid wsp:val=&quot;00B7251F&quot;/&gt;&lt;wsp:rsid wsp:val=&quot;00B82850&quot;/&gt;&lt;wsp:rsid wsp:val=&quot;00BB6867&quot;/&gt;&lt;wsp:rsid wsp:val=&quot;00BC4005&quot;/&gt;&lt;wsp:rsid wsp:val=&quot;00BD34DF&quot;/&gt;&lt;wsp:rsid wsp:val=&quot;00C03D2D&quot;/&gt;&lt;wsp:rsid wsp:val=&quot;00C22841&quot;/&gt;&lt;wsp:rsid wsp:val=&quot;00C646B1&quot;/&gt;&lt;wsp:rsid wsp:val=&quot;00C90CAF&quot;/&gt;&lt;wsp:rsid wsp:val=&quot;00C97586&quot;/&gt;&lt;wsp:rsid wsp:val=&quot;00CA6730&quot;/&gt;&lt;wsp:rsid wsp:val=&quot;00CB71D6&quot;/&gt;&lt;wsp:rsid wsp:val=&quot;00CD7887&quot;/&gt;&lt;wsp:rsid wsp:val=&quot;00CE02CB&quot;/&gt;&lt;wsp:rsid wsp:val=&quot;00D66026&quot;/&gt;&lt;wsp:rsid wsp:val=&quot;00D661C5&quot;/&gt;&lt;wsp:rsid wsp:val=&quot;00D75942&quot;/&gt;&lt;wsp:rsid wsp:val=&quot;00DB45F4&quot;/&gt;&lt;wsp:rsid wsp:val=&quot;00EF3966&quot;/&gt;&lt;wsp:rsid wsp:val=&quot;00F106E6&quot;/&gt;&lt;wsp:rsid wsp:val=&quot;00F1654C&quot;/&gt;&lt;wsp:rsid wsp:val=&quot;00F6584F&quot;/&gt;&lt;wsp:rsid wsp:val=&quot;00F8636A&quot;/&gt;&lt;wsp:rsid wsp:val=&quot;00FC3678&quot;/&gt;&lt;wsp:rsid wsp:val=&quot;00FD061F&quot;/&gt;&lt;/wsp:rsids&gt;&lt;/w:docPr&gt;&lt;w:body&gt;&lt;wx:sect&gt;&lt;w:p wsp:rsidR=&quot;00F1654C&quot; wsp:rsidRPr=&quot;00F1654C&quot; wsp:rsidRDefault=&quot;00F1654C&quot; wsp:rsidP=&quot;00F1654C&quot;&gt;&lt;m:oMathPara&gt;&lt;m:oMath&gt;&lt;m:sSub&gt;&lt;m:sSubPr&gt;&lt;m:ctrlPr&gt;&lt;w:rPr&gt;&lt;w:rFonts w:ascii=&quot;Cambria Math&quot; w:h-ansi=&quot;Cambria Math&quot;/&gt;&lt;wx:font wx:val=&quot;Cambria Math&quot;/&gt;&lt;w:i/&gt;&lt;/w:rPr&gt;&lt;/m:ctrlPr&gt;&lt;/m:sSubPr&gt;&lt;m:e&gt;&lt;m:r&gt;&lt;w:rPr&gt;&lt;w:rFonts w:ascii=&quot;Cambria Math&quot; w:h-ansi=&quot;Cambria Math&quot;/&gt;&lt;wx:font wx:val=&quot;Cambria Math&quot;/&gt;&lt;w:i/&gt;&lt;/w:rPr&gt;&lt;m:t&gt;Gain&lt;/m:t&gt;&lt;/m:r&gt;&lt;/m:e&gt;&lt;m:sub&gt;&lt;m:r&gt;&lt;w:rPr&gt;&lt;w:rFonts w:ascii=&quot;Cambria Math&quot; w:h-ansi=&quot;Cambria Math&quot;/&gt;&lt;wx:font wx:val=&quot;Cambria Math&quot;/&gt;&lt;w:i/&gt;&lt;/w:rPr&gt;&lt;m:t&gt;i,j&lt;/m:t&gt;&lt;/m:r&gt;&lt;/m:sub&gt;&lt;/m:sSub&gt;&lt;m:r&gt;&lt;w:rPr&gt;&lt;w:rFonts w:ascii=&quot;Cambria Math&quot; w:h-ansi=&quot;Cambria Math&quot;/&gt;&lt;wx:font wx:val=&quot;Cambria Math&quot;/&gt;&lt;w:i/&gt;&lt;/w:rPr&gt;&lt;m:t&gt;=&lt;/m:t&gt;&lt;/m:r&gt;&lt;m:sSub&gt;&lt;m:sSubPr&gt;&lt;m:ctrlPr&gt;&lt;w:rPr&gt;&lt;w:rFonts w:ascii=&quot;Cambria Math&quot; w:h-ansi=&quot;Cambria Math&quot;/&gt;&lt;wx:font wx:val=&quot;Cambria Math&quot;/&gt;&lt;w:i/&gt;&lt;/w:rPr&gt;&lt;/m:ctrlPr&gt;&lt;/m:sSubPr&gt;&lt;m:e&gt;&lt;m:r&gt;&lt;w:rPr&gt;&lt;w:rFonts w:ascii=&quot;Cambria Math&quot; w:h-ansi=&quot;Cambria Math&quot;/&gt;&lt;wx:font wx:val=&quot;Cambria Math&quot;/&gt;&lt;w:i/&gt;&lt;/w:rPr&gt;&lt;m:t&gt;c&lt;/m:t&gt;&lt;/m:r&gt;&lt;/m:e&gt;&lt;m:sub&gt;&lt;m:r&gt;&lt;w:rPr&gt;&lt;w:rFonts w:ascii=&quot;Cambria Math&quot; w:h-ansi=&quot;Cambria Math&quot;/&gt;&lt;wx:font wx:val=&quot;Cambria Math&quot;/&gt;&lt;w:i/&gt;&lt;/w:rPr&gt;&lt;m:t&gt;0&lt;/m:t&gt;&lt;/m:r&gt;&lt;/m:sub&gt;&lt;/m:sSub&gt;&lt;m:r&gt;&lt;w:rPr&gt;&lt;w:rFonts w:ascii=&quot;Cambria Math&quot; w:h-ansi=&quot;Cambria Math&quot;/&gt;&lt;wx:font wx:val=&quot;Cambria Math&quot;/&gt;&lt;w:i/&gt;&lt;/w:rPr&gt;&lt;m:t&gt;-(&lt;/m:t&gt;&lt;/m:r&gt;&lt;m:sSub&gt;&lt;m:sSubPr&gt;&lt;m:ctrlPr&gt;&lt;w:rPr&gt;&lt;w:rFonts w:ascii=&quot;Cambria Math&quot; w:fareast=&quot;Times New Roman&quot; w:h-ansi=&quot;Cambria Math&quot;/&gt;&lt;wx:font wx:val=&quot;Cambria Math&quot;/&gt;&lt;w:i/&gt;&lt;/w:rPr&gt;&lt;/m:ctrlPr&gt;&lt;/m:sSubPr&gt;&lt;m:e&gt;&lt;m:r&gt;&lt;w:rPr&gt;&lt;w:rFonts w:ascii=&quot;Cambria Math&quot; w:fareast=&quot;Times New Roman&quot; w:h-ansi=&quot;Cambria Math&quot;/&gt;&lt;wx:font wx:val=&quot;Cambria Math&quot;/&gt;&lt;w:i/&gt;&lt;/w:rPr&gt;&lt;m:t&gt;c&lt;/m:t&gt;&lt;/m:r&gt;&lt;/m:e&gt;&lt;m:sub&gt;&lt;m:r&gt;&lt;w:rPr&gt;&lt;w:rFonts w:ascii=&quot;Cambria Math&quot; w:fareast=&quot;Times New Roman&quot; w:h-ansi=&quot;Cambria Math&quot;/&gt;&lt;wx:font wx:val=&quot;Cambria Math&quot;/&gt;&lt;w:i/&gt;&lt;/w:rPr&gt;&lt;m:t&gt;0&lt;/m:t&gt;&lt;/m:r&gt;&lt;/m:sub&gt;&lt;/m:sSub&gt;&lt;m:r&gt;&lt;w:rPr&gt;&lt;w:rFonts w:ascii=&quot;Cambria Math&quot; w:fareast=&quot;Times New Roman&quot; w:h-ansi=&quot;Cambria Math&quot;/&gt;&lt;wx:font wx:val=&quot;Cambria Math&quot;/&gt;&lt;w:i/&gt;&lt;/w:rPr&gt;&lt;m:t&gt;Ã—&lt;/m:t&gt;&lt;/m:r&gt;&lt;m:d&gt;&lt;m:dPr&gt;&lt;m:ctrlPr&gt;&lt;w:rPr&gt;&lt;w:rFonts w:ascii=&quot;Cambria Math&quot; w:fareast=&quot;Times New Roman&quot; w:h-ansi=&quot;Cambria Math&quot;/&gt;&lt;wx:font wx:val=&quot;Cambria Math&quot;/&gt;&lt;w:i/&gt;&lt;/w:rPr&gt;&lt;/m:ctrlPr&gt;&lt;/m:dPr&gt;&lt;m:e&gt;&lt;m:f&gt;&lt;m:fPr&gt;&lt;m:ctrlPr&gt;&lt;w:rPr&gt;&lt;w:rFonts w:ascii=&quot;Cambria Math&quot; w:fareast=&quot;Times New Roman&quot; w:h-ansi=&quot;Cambria Math&quot;/&gt;&lt;wx:font wx:val=&quot;Cambria Math&quot;/&gt;&lt;w:i/&gt;&lt;/w:rPr&gt;&lt;/m:ctrlPr&gt;&lt;/m:fPr&gt;&lt;m:num&gt;&lt;m:sSub&gt;&lt;m:sSubPr&gt;&lt;m:ctrlPr&gt;&lt;w:rPr&gt;&lt;w:rFonts w:ascii=&quot;Cambria Math&quot; w:fareast=&quot;Times New Roman&quot; w:h-ansi=&quot;Cambria Math&quot;/&gt;&lt;wx:font wx:val=&quot;Cambria Math&quot;/&gt;&lt;w:i/&gt;&lt;/w:rPr&gt;&lt;/m:ctrlPr&gt;&lt;/m:sSubPr&gt;&lt;m:e&gt;&lt;m:r&gt;&lt;w:rPr&gt;&lt;w:rFonts w:ascii=&quot;Cambria Math&quot; w:fareast=&quot;Times New Roman&quot; w:h-ansi=&quot;Cambria Math&quot;/&gt;&lt;wx:font wx:val=&quot;Cambria Math&quot;/&gt;&lt;w:i/&gt;&lt;/w:rPr&gt;&lt;m:t&gt;t&lt;/m:t&gt;&lt;/m:r&gt;&lt;/m:e&gt;&lt;m:sub&gt;&lt;m:r&gt;&lt;w:rPr&gt;&lt;w:rFonts w:ascii=&quot;Cambria Math&quot; w:fareast=&quot;Times New Roman&quot; w:h-ansi=&quot;Cambria Math&quot;/&gt;&lt;wx:font wx:val=&quot;Cambria Math&quot;/&gt;&lt;w:i/&gt;&lt;/w:rPr&gt;&lt;m:t&gt;rec&lt;/m:t&gt;&lt;/m:r&gt;&lt;/m:sub&gt;&lt;/m:sSub&gt;&lt;m:r&gt;&lt;w:rPr&gt;&lt;w:rFonts w:ascii=&quot;Cambria Math&quot; w:fareast=&quot;Times New Roman&quot; w:h-ansi=&quot;Cambria Math&quot;/&gt;&lt;wx:font wx:val=&quot;Cambria Math&quot;/&gt;&lt;w:i/&gt;&lt;/w:rPr&gt;&lt;m:t&gt;-&lt;/m:t&gt;&lt;/m:r&gt;&lt;m:sSub&gt;&lt;m:sSubPr&gt;&lt;m:ctrlPr&gt;&lt;w:rPr&gt;&lt;w:rFonts w:ascii=&quot;Cambria Math&quot; w:fareast=&quot;Times New Roman&quot; w:h-ansi=&quot;Cambria Math&quot;/&gt;&lt;wx:font wx:val=&quot;Cambria Math&quot;/&gt;&lt;w:i/&gt;&lt;/w:rPr&gt;&lt;/m:ctrlPr&gt;&lt;/m:sSubPr&gt;&lt;m:e&gt;&lt;m:r&gt;&lt;w:rPr&gt;&lt;w:rFonts w:ascii=&quot;Cambria Math&quot; w:fareast=&quot;Times New Roman&quot; w:h-ansi=&quot;Cambria Math&quot;/&gt;&lt;wx:font wx:val=&quot;Cambria Math&quot;/&gt;&lt;w:i/&gt;&lt;/w:rPr&gt;&lt;m:t&gt;t&lt;/m:t&gt;&lt;/m:r&gt;&lt;/m:e&gt;&lt;m:sub&gt;&lt;m:r&gt;&lt;w:rPr&gt;&lt;w:rFonts w:ascii=&quot;Cambria Math&quot; w:fareast=&quot;Times New Roman&quot; w:h-ansi=&quot;Cambria Math&quot;/&gt;&lt;wx:font wx:val=&quot;Cambria Math&quot;/&gt;&lt;w:i/&gt;&lt;/w:rPr&gt;&lt;m:t&gt;i&lt;/m:t&gt;&lt;/m:r&gt;&lt;/m:sub&gt;&lt;/m:sSub&gt;&lt;/m:num&gt;&lt;m:den&gt;&lt;m:sSub&gt;&lt;m:sSubPr&gt;&lt;m:ctrlPr&gt;&lt;w:rPr&gt;&lt;w:rFonts w:ascii=&quot;Cambria Math&quot; w:fareast=&quot;Times New Roman&quot; w:h-ansi=&quot;Cambria Math&quot;/&gt;&lt;wx:font wx:val=&quot;Cambria Math&quot;/&gt;&lt;w:i/&gt;&lt;/w:rPr&gt;&lt;/m:ctrlPr&gt;&lt;/m:sSubPr&gt;&lt;m:e&gt;&lt;m:r&gt;&lt;w:rPr&gt;&lt;w:rFonts w:ascii=&quot;Cambria Math&quot; w:fareast=&quot;Times New Roman&quot; w:h-ansi=&quot;Cambria Math&quot;/&gt;&lt;wx:font wx:val=&quot;Cambria Math&quot;/&gt;&lt;w:i/&gt;&lt;/w:rPr&gt;&lt;m:t&gt;t&lt;/m:t&gt;&lt;/m:r&gt;&lt;/m:e&gt;&lt;m:sub&gt;&lt;m:r&gt;&lt;w:rPr&gt;&lt;w:rFonts w:ascii=&quot;Cambria Math&quot; w:fareast=&quot;Times New Roman&quot; w:h-ansi=&quot;Cambria Math&quot;/&gt;&lt;wx:font wx:val=&quot;Cambria Math&quot;/&gt;&lt;w:i/&gt;&lt;/w:rPr&gt;&lt;m:t&gt;rec&lt;/m:t&gt;&lt;/m:r&gt;&lt;/m:sub&gt;&lt;/m:sSub&gt;&lt;/m:den&gt;&lt;/m:f&gt;&lt;/m:e&gt;&lt;/m:d&gt;&lt;m:r&gt;&lt;w:rPr&gt;&lt;w:rFonts w:ascii=&quot;Cambria Math&quot; w:fareast=&quot;Times New Roman&quot; w:h-ansi=&quot;Cambria Math&quot;/&gt;&lt;wx:font wx:val=&quot;Cambria Math&quot;/&gt;&lt;w:i/&gt;&lt;/w:rPr&gt;&lt;m:t&gt;)&lt;/m:t&gt;&lt;/m:r&gt;&lt;/m:oMath&gt;&lt;/m:oMathPara&gt;&lt;/w:p&gt;&lt;w:sectPr wsp:rsidR=&quot;00000000&quot; wsp:rsidRPr=&quot;00F1654C&quot;&gt;&lt;w:pgSz w:w=&quot;12240&quot; w:h=&quot;15840&quot;/&gt;&lt;w:pgMar w:top=&quot;1440&quot; w:right=&quot;1440&quot; w:bottom=&quot;1440&quot; w:left=&quot;1440&quot; w:header=&quot;708&quot; w:footer=&quot;708&quot; w:gutter=&quot;0&quot;/&gt;&lt;w:cols w:space=&quot;708&quot;/&gt;&lt;/w:sectPr&gt;&lt;/wx:sect&gt;&lt;/w:body&gt;&lt;/w:wordDocument&gt;">
            <v:imagedata r:id="rId13" o:title="" chromakey="white"/>
          </v:shape>
        </w:pict>
      </w:r>
    </w:p>
    <w:p w14:paraId="589DC81C" w14:textId="77777777" w:rsidR="00CD7887" w:rsidRDefault="00CD7887" w:rsidP="00CD7887"/>
    <w:p w14:paraId="3812C5EB" w14:textId="77777777" w:rsidR="00CD7887" w:rsidRDefault="00CD7887" w:rsidP="00CD7887">
      <w:pPr>
        <w:jc w:val="both"/>
      </w:pPr>
      <w:r>
        <w:t xml:space="preserve">where </w:t>
      </w:r>
      <w:r w:rsidRPr="00857035">
        <w:rPr>
          <w:i/>
          <w:iCs/>
        </w:rPr>
        <w:t>Gain</w:t>
      </w:r>
      <w:r w:rsidRPr="00857035">
        <w:rPr>
          <w:i/>
          <w:iCs/>
          <w:vertAlign w:val="subscript"/>
        </w:rPr>
        <w:t>i,j</w:t>
      </w:r>
      <w:r>
        <w:t xml:space="preserve"> is the gain received over time </w:t>
      </w:r>
      <w:r w:rsidRPr="00D243D7">
        <w:rPr>
          <w:i/>
          <w:iCs/>
        </w:rPr>
        <w:t>i</w:t>
      </w:r>
      <w:r>
        <w:t xml:space="preserve"> and region </w:t>
      </w:r>
      <w:r w:rsidRPr="00D243D7">
        <w:rPr>
          <w:i/>
          <w:iCs/>
        </w:rPr>
        <w:t>j</w:t>
      </w:r>
      <w:r>
        <w:rPr>
          <w:i/>
          <w:iCs/>
        </w:rPr>
        <w:t xml:space="preserve"> </w:t>
      </w:r>
      <w:r>
        <w:t xml:space="preserve">(in this case Finland and Brazil), </w:t>
      </w:r>
      <w:r w:rsidRPr="00857035">
        <w:rPr>
          <w:i/>
          <w:iCs/>
        </w:rPr>
        <w:t>c</w:t>
      </w:r>
      <w:r w:rsidRPr="00857035">
        <w:rPr>
          <w:i/>
          <w:iCs/>
          <w:vertAlign w:val="subscript"/>
        </w:rPr>
        <w:t>0</w:t>
      </w:r>
      <w:r>
        <w:t xml:space="preserve"> is the condition (BDe/m</w:t>
      </w:r>
      <w:r>
        <w:rPr>
          <w:vertAlign w:val="superscript"/>
        </w:rPr>
        <w:t>2</w:t>
      </w:r>
      <w:r>
        <w:t>) under constant utilization, t</w:t>
      </w:r>
      <w:r>
        <w:rPr>
          <w:vertAlign w:val="subscript"/>
        </w:rPr>
        <w:t>rec</w:t>
      </w:r>
      <w:r>
        <w:t xml:space="preserve"> is the time required for full recovery (in this case 100 years) and </w:t>
      </w:r>
      <w:r w:rsidRPr="00ED4BEE">
        <w:rPr>
          <w:i/>
          <w:iCs/>
        </w:rPr>
        <w:t>t</w:t>
      </w:r>
      <w:r w:rsidRPr="00ED4BEE">
        <w:rPr>
          <w:i/>
          <w:iCs/>
          <w:vertAlign w:val="subscript"/>
        </w:rPr>
        <w:t>i</w:t>
      </w:r>
      <w:r>
        <w:t xml:space="preserve"> is the time passed in years after the area has been protected. </w:t>
      </w:r>
    </w:p>
    <w:p w14:paraId="433FA9DA" w14:textId="77777777" w:rsidR="00CD7887" w:rsidRDefault="00CD7887" w:rsidP="00CD7887">
      <w:pPr>
        <w:jc w:val="both"/>
      </w:pPr>
    </w:p>
    <w:p w14:paraId="7C63F618" w14:textId="3B042F57" w:rsidR="00CD7887" w:rsidRDefault="00CD7887" w:rsidP="00CD7887">
      <w:pPr>
        <w:jc w:val="both"/>
      </w:pPr>
      <w:r>
        <w:t xml:space="preserve">In biodiversity offsetting one essential consideration is the time frame over which the losses and gains are balanced </w:t>
      </w:r>
      <w:r w:rsidRPr="00612B37">
        <w:t>(Jalkanen et al., 2025</w:t>
      </w:r>
      <w:r w:rsidR="003E6103">
        <w:t>; 2026</w:t>
      </w:r>
      <w:r w:rsidRPr="00612B37">
        <w:t>; Moilanen &amp; Kotiaho, 2018)</w:t>
      </w:r>
      <w:r>
        <w:t xml:space="preserve">. Decision about the time frame is always to be a subjective one, but it is essential to understand that from the perspective of biodiversity a short time frame implies larger offset areas and eventually greater </w:t>
      </w:r>
      <w:proofErr w:type="gramStart"/>
      <w:r>
        <w:t>long term</w:t>
      </w:r>
      <w:proofErr w:type="gramEnd"/>
      <w:r>
        <w:t xml:space="preserve"> gains for biodiversity, but also greater costs of implementation. Very </w:t>
      </w:r>
      <w:proofErr w:type="gramStart"/>
      <w:r>
        <w:t>long time</w:t>
      </w:r>
      <w:proofErr w:type="gramEnd"/>
      <w:r>
        <w:t xml:space="preserve"> frame in turn is less costly and provides less gains for biodiversity in the long term. Too </w:t>
      </w:r>
      <w:proofErr w:type="gramStart"/>
      <w:r>
        <w:t>long time</w:t>
      </w:r>
      <w:proofErr w:type="gramEnd"/>
      <w:r>
        <w:t xml:space="preserve"> frame is also likely to lessen the credibility of offsets. Here we calculated the average biodiversity gain received over 30 years, which is a time that has been used for example in the Finnish biodiversity offsetting legislation </w:t>
      </w:r>
      <w:r w:rsidRPr="00612B37">
        <w:t>(Jalkanen et al., 2025; Nature Conservation Act, 2023)</w:t>
      </w:r>
      <w:r>
        <w:t>. With this time frame the biodiversity gain was 3.97E-18 BDe/m</w:t>
      </w:r>
      <w:r>
        <w:rPr>
          <w:vertAlign w:val="superscript"/>
        </w:rPr>
        <w:t>2</w:t>
      </w:r>
      <w:r>
        <w:t xml:space="preserve"> in Finland and 3.42E-16 BDe/m</w:t>
      </w:r>
      <w:r>
        <w:rPr>
          <w:vertAlign w:val="superscript"/>
        </w:rPr>
        <w:t>2</w:t>
      </w:r>
      <w:r>
        <w:t xml:space="preserve"> in Brazil). By dividing the University of Jyväskylä biodiversity footprint with the average gain received over 30 years, we show that the amount of land that should be removed from intensive forestry use to offset the University’s biodiversity footprint would be 1 732 030 hectares (ha) in Finland and 20 135 hectares (ha) in Brazil. </w:t>
      </w:r>
    </w:p>
    <w:p w14:paraId="21E4F81F" w14:textId="77777777" w:rsidR="00CD7887" w:rsidRDefault="00CD7887" w:rsidP="00CD7887">
      <w:pPr>
        <w:jc w:val="both"/>
      </w:pPr>
    </w:p>
    <w:p w14:paraId="680F8B69" w14:textId="77777777" w:rsidR="00CD7887" w:rsidRDefault="00CD7887" w:rsidP="00CD7887">
      <w:pPr>
        <w:jc w:val="both"/>
      </w:pPr>
      <w:r w:rsidRPr="001E5071">
        <w:t>By multiplying the area</w:t>
      </w:r>
      <w:r>
        <w:t>s</w:t>
      </w:r>
      <w:r w:rsidRPr="001E5071">
        <w:t xml:space="preserve"> with the average price of forest land</w:t>
      </w:r>
      <w:r w:rsidRPr="001E5071" w:rsidDel="00B0433C">
        <w:t xml:space="preserve"> </w:t>
      </w:r>
      <w:r w:rsidRPr="001E5071">
        <w:t>in Finland (</w:t>
      </w:r>
      <w:r>
        <w:t>7 548</w:t>
      </w:r>
      <w:r w:rsidRPr="001E5071">
        <w:t xml:space="preserve"> €/ha</w:t>
      </w:r>
      <w:r>
        <w:t xml:space="preserve">) </w:t>
      </w:r>
      <w:r w:rsidRPr="00612B37">
        <w:t>(Natural Resources Institute Finland, 2023)</w:t>
      </w:r>
      <w:r w:rsidRPr="001E5071">
        <w:t xml:space="preserve"> or Brazil (901 €/ha converted from 979 $/ha</w:t>
      </w:r>
      <w:r>
        <w:t xml:space="preserve">) </w:t>
      </w:r>
      <w:r w:rsidRPr="00612B37">
        <w:t>(Silva et al., 2019)</w:t>
      </w:r>
      <w:r w:rsidRPr="001E5071">
        <w:t>, we arrived at the total cost of</w:t>
      </w:r>
      <w:r>
        <w:t xml:space="preserve"> </w:t>
      </w:r>
      <w:r w:rsidRPr="00CD4629">
        <w:t>13</w:t>
      </w:r>
      <w:r>
        <w:t xml:space="preserve"> </w:t>
      </w:r>
      <w:r w:rsidRPr="00CD4629">
        <w:t>073</w:t>
      </w:r>
      <w:r>
        <w:t xml:space="preserve"> </w:t>
      </w:r>
      <w:r w:rsidRPr="00CD4629">
        <w:t>362</w:t>
      </w:r>
      <w:r>
        <w:t xml:space="preserve"> </w:t>
      </w:r>
      <w:r w:rsidRPr="00CD4629">
        <w:t>12</w:t>
      </w:r>
      <w:r>
        <w:t>7</w:t>
      </w:r>
      <w:r w:rsidRPr="001E5071">
        <w:t xml:space="preserve"> </w:t>
      </w:r>
      <w:r w:rsidRPr="00F90A11">
        <w:t>€</w:t>
      </w:r>
      <w:r>
        <w:t xml:space="preserve"> in Finland or </w:t>
      </w:r>
      <w:r w:rsidRPr="00451FB9">
        <w:t>18</w:t>
      </w:r>
      <w:r>
        <w:t xml:space="preserve"> </w:t>
      </w:r>
      <w:r w:rsidRPr="00451FB9">
        <w:t>141</w:t>
      </w:r>
      <w:r>
        <w:t xml:space="preserve"> </w:t>
      </w:r>
      <w:r w:rsidRPr="00451FB9">
        <w:t>975</w:t>
      </w:r>
      <w:r>
        <w:t xml:space="preserve"> € in Brazil to be transferred to the income statement.</w:t>
      </w:r>
      <w:r w:rsidRPr="002A595F">
        <w:t xml:space="preserve"> </w:t>
      </w:r>
      <w:r>
        <w:t xml:space="preserve">If the cost is distributed across 30 years </w:t>
      </w:r>
      <w:proofErr w:type="gramStart"/>
      <w:r>
        <w:t>similar to</w:t>
      </w:r>
      <w:proofErr w:type="gramEnd"/>
      <w:r>
        <w:t xml:space="preserve"> the depreciation of large investments,</w:t>
      </w:r>
      <w:r w:rsidRPr="001E5071">
        <w:t xml:space="preserve"> the annual cost would be around</w:t>
      </w:r>
      <w:r>
        <w:t xml:space="preserve"> </w:t>
      </w:r>
      <w:r w:rsidRPr="008C4B84">
        <w:t>435</w:t>
      </w:r>
      <w:r>
        <w:t xml:space="preserve"> </w:t>
      </w:r>
      <w:r w:rsidRPr="008C4B84">
        <w:t>778</w:t>
      </w:r>
      <w:r>
        <w:t xml:space="preserve"> </w:t>
      </w:r>
      <w:r w:rsidRPr="008C4B84">
        <w:t>73</w:t>
      </w:r>
      <w:r>
        <w:t xml:space="preserve">8 € if the offset was completed in Finland and </w:t>
      </w:r>
      <w:r w:rsidRPr="00D84393">
        <w:t>604</w:t>
      </w:r>
      <w:r>
        <w:t xml:space="preserve"> </w:t>
      </w:r>
      <w:r w:rsidRPr="00D84393">
        <w:t>73</w:t>
      </w:r>
      <w:r>
        <w:t>3</w:t>
      </w:r>
      <w:r w:rsidRPr="00311C8A">
        <w:t xml:space="preserve"> </w:t>
      </w:r>
      <w:r>
        <w:t>€ if it was completed in Brazil.</w:t>
      </w:r>
    </w:p>
    <w:p w14:paraId="3764264B" w14:textId="77777777" w:rsidR="00CD7887" w:rsidRDefault="00CD7887" w:rsidP="00CD7887"/>
    <w:p w14:paraId="264A85DF" w14:textId="77777777" w:rsidR="00B031BA" w:rsidRDefault="00B031BA" w:rsidP="006D3EDD">
      <w:pPr>
        <w:pStyle w:val="SMSubheading"/>
        <w:rPr>
          <w:b/>
          <w:szCs w:val="24"/>
          <w:u w:val="none"/>
        </w:rPr>
      </w:pPr>
    </w:p>
    <w:p w14:paraId="181DDB59" w14:textId="45248D38" w:rsidR="006D3EDD" w:rsidRDefault="00B257DD" w:rsidP="006D3EDD">
      <w:pPr>
        <w:pStyle w:val="SMSubheading"/>
        <w:rPr>
          <w:szCs w:val="24"/>
        </w:rPr>
      </w:pPr>
      <w:r>
        <w:rPr>
          <w:b/>
          <w:szCs w:val="24"/>
          <w:u w:val="none"/>
        </w:rPr>
        <w:t>Supplementary</w:t>
      </w:r>
      <w:r w:rsidR="006D3EDD">
        <w:rPr>
          <w:b/>
          <w:szCs w:val="24"/>
          <w:u w:val="none"/>
        </w:rPr>
        <w:t xml:space="preserve"> Discussion</w:t>
      </w:r>
    </w:p>
    <w:p w14:paraId="4C749F7A" w14:textId="77777777" w:rsidR="006D3EDD" w:rsidRDefault="006D3EDD" w:rsidP="00CD7887"/>
    <w:p w14:paraId="5003E20B" w14:textId="77777777" w:rsidR="004068B2" w:rsidRDefault="006D3EDD" w:rsidP="006D3EDD">
      <w:pPr>
        <w:jc w:val="both"/>
        <w:rPr>
          <w:lang w:val="en-GB"/>
        </w:rPr>
      </w:pPr>
      <w:r>
        <w:rPr>
          <w:lang w:val="en-GB"/>
        </w:rPr>
        <w:t xml:space="preserve">Carbon dioxide equivalent uses the global warming potential (GWP) of greenhouse gases to match the amount of different greenhouse gases emitted to the global warming potential of carbon dioxide. For example, nitrous oxide has a GWP of 273, meaning that 1 kilogram of nitrous oxide is equivalent to 273 kilograms of carbon dioxide equivalent (Forster et al., 2021). In other words, the purpose of the carbon dioxide equivalent is to convert the global warming effects of different greenhouse gases under a single indicator that eventually indicates the amount of global warming, a global multidimensional phenomenon. However, it is important to note that the amount of carbon dioxide equivalent </w:t>
      </w:r>
      <w:proofErr w:type="gramStart"/>
      <w:r>
        <w:rPr>
          <w:lang w:val="en-GB"/>
        </w:rPr>
        <w:t>in itself does</w:t>
      </w:r>
      <w:proofErr w:type="gramEnd"/>
      <w:r>
        <w:rPr>
          <w:lang w:val="en-GB"/>
        </w:rPr>
        <w:t xml:space="preserve"> not indicate the amount of global warming. This is only found out after understanding, through complex modelling, how much global warming is estimated to happen, usually </w:t>
      </w:r>
      <w:proofErr w:type="gramStart"/>
      <w:r>
        <w:rPr>
          <w:lang w:val="en-GB"/>
        </w:rPr>
        <w:t>during the course of</w:t>
      </w:r>
      <w:proofErr w:type="gramEnd"/>
      <w:r>
        <w:rPr>
          <w:lang w:val="en-GB"/>
        </w:rPr>
        <w:t xml:space="preserve"> a century, when a certain amount of greenhouse gases is emitted to the atmosphere</w:t>
      </w:r>
      <w:r w:rsidR="006A2FC0">
        <w:rPr>
          <w:lang w:val="en-GB"/>
        </w:rPr>
        <w:t xml:space="preserve"> (Forster et al., 2021)</w:t>
      </w:r>
      <w:r>
        <w:rPr>
          <w:lang w:val="en-GB"/>
        </w:rPr>
        <w:t xml:space="preserve">. </w:t>
      </w:r>
    </w:p>
    <w:p w14:paraId="3FAC040D" w14:textId="77777777" w:rsidR="004068B2" w:rsidRDefault="004068B2" w:rsidP="006D3EDD">
      <w:pPr>
        <w:jc w:val="both"/>
        <w:rPr>
          <w:lang w:val="en-GB"/>
        </w:rPr>
      </w:pPr>
    </w:p>
    <w:p w14:paraId="056FEC78" w14:textId="77604DB9" w:rsidR="00156F49" w:rsidRDefault="006D3EDD" w:rsidP="006A38FD">
      <w:pPr>
        <w:jc w:val="both"/>
        <w:rPr>
          <w:lang w:val="en-GB"/>
        </w:rPr>
      </w:pPr>
      <w:r>
        <w:rPr>
          <w:lang w:val="en-GB"/>
        </w:rPr>
        <w:t xml:space="preserve">Similarly, we argue that the biodiversity equivalent aims to estimate the effect of the different drivers of biodiversity loss to the global multidimensional phenomenon of biodiversity loss. Biodiversity equivalent uses the potentially disappeared fraction of species to estimate the share of species lost globally across drivers of biodiversity loss and ecosystem types. Essentially the different drivers of biodiversity loss represent </w:t>
      </w:r>
      <w:r>
        <w:rPr>
          <w:lang w:val="en-GB"/>
        </w:rPr>
        <w:lastRenderedPageBreak/>
        <w:t>different greenhouse gases</w:t>
      </w:r>
      <w:r w:rsidR="008179EE">
        <w:rPr>
          <w:lang w:val="en-GB"/>
        </w:rPr>
        <w:t xml:space="preserve"> and the potential of those drivers to impact biodiversity in different parts of the world represent the GWP</w:t>
      </w:r>
      <w:r w:rsidR="00291C7F">
        <w:rPr>
          <w:lang w:val="en-GB"/>
        </w:rPr>
        <w:t xml:space="preserve"> of different greenhouse gases</w:t>
      </w:r>
      <w:r>
        <w:rPr>
          <w:lang w:val="en-GB"/>
        </w:rPr>
        <w:t>, when comparing to the carbon dioxide equivalent analogy. Different drivers of biodiversity loss have a different potential to harm biodiversity in different parts of the world and in different ecosystem</w:t>
      </w:r>
      <w:r w:rsidR="00151C9D">
        <w:rPr>
          <w:lang w:val="en-GB"/>
        </w:rPr>
        <w:t xml:space="preserve"> types</w:t>
      </w:r>
      <w:r>
        <w:rPr>
          <w:lang w:val="en-GB"/>
        </w:rPr>
        <w:t>.</w:t>
      </w:r>
      <w:r w:rsidR="008D10D7">
        <w:rPr>
          <w:lang w:val="en-GB"/>
        </w:rPr>
        <w:t xml:space="preserve"> The </w:t>
      </w:r>
      <w:r w:rsidR="00544391">
        <w:rPr>
          <w:lang w:val="en-GB"/>
        </w:rPr>
        <w:t xml:space="preserve">biodiversity equivalent uses the global distribution and vulnerabilities of species underlying the potentially disappeared fraction of species indicator (Verones et al., 2020), and the assessed </w:t>
      </w:r>
      <w:r w:rsidR="0071628C">
        <w:rPr>
          <w:lang w:val="en-GB"/>
        </w:rPr>
        <w:t>share</w:t>
      </w:r>
      <w:r w:rsidR="00544391">
        <w:rPr>
          <w:lang w:val="en-GB"/>
        </w:rPr>
        <w:t xml:space="preserve"> of species in each ecosystem type (Román-Palacios et al., 2022)</w:t>
      </w:r>
      <w:r w:rsidR="00D303FC">
        <w:rPr>
          <w:lang w:val="en-GB"/>
        </w:rPr>
        <w:t xml:space="preserve"> to produce a single value of biodiversity impact.</w:t>
      </w:r>
      <w:r>
        <w:rPr>
          <w:lang w:val="en-GB"/>
        </w:rPr>
        <w:t xml:space="preserve"> Although the biodiversity equivalent cannot capture all facets of biodiversity, and it is not our intention, it does allow global comparability of biodiversity impacts across drivers of biodiversity loss, ecosystem types and geographical locations.</w:t>
      </w:r>
    </w:p>
    <w:p w14:paraId="181BB3BE" w14:textId="77777777" w:rsidR="001D391A" w:rsidRDefault="001D391A" w:rsidP="006A38FD">
      <w:pPr>
        <w:jc w:val="both"/>
        <w:rPr>
          <w:lang w:val="en-GB"/>
        </w:rPr>
      </w:pPr>
    </w:p>
    <w:p w14:paraId="60082F8B" w14:textId="1261EE1A" w:rsidR="00786589" w:rsidRPr="002F4C9E" w:rsidRDefault="001D391A" w:rsidP="006A38FD">
      <w:pPr>
        <w:jc w:val="both"/>
        <w:rPr>
          <w:lang w:val="en-GB"/>
        </w:rPr>
      </w:pPr>
      <w:r>
        <w:rPr>
          <w:lang w:val="en-GB"/>
        </w:rPr>
        <w:t xml:space="preserve">The utility of the proposed framework and BIOVALENT method </w:t>
      </w:r>
      <w:r w:rsidR="007B7FD4">
        <w:rPr>
          <w:lang w:val="en-GB"/>
        </w:rPr>
        <w:t>in existing organizational processes and information systems warrants further attention. Kundi et al. (2026) discuss</w:t>
      </w:r>
      <w:r w:rsidR="00BF0598">
        <w:rPr>
          <w:lang w:val="en-GB"/>
        </w:rPr>
        <w:t xml:space="preserve"> how the BIOVALENT method, and biodiversity footprinting methods in general, align with </w:t>
      </w:r>
      <w:r w:rsidR="00BC0D1F">
        <w:rPr>
          <w:lang w:val="en-GB"/>
        </w:rPr>
        <w:t xml:space="preserve">the </w:t>
      </w:r>
      <w:r w:rsidR="00BF0598">
        <w:rPr>
          <w:lang w:val="en-GB"/>
        </w:rPr>
        <w:t xml:space="preserve">existing </w:t>
      </w:r>
      <w:r w:rsidR="00BC0D1F">
        <w:rPr>
          <w:lang w:val="en-GB"/>
        </w:rPr>
        <w:t>n</w:t>
      </w:r>
      <w:r w:rsidR="00BC0D1F" w:rsidRPr="00BC0D1F">
        <w:rPr>
          <w:lang w:val="en-GB"/>
        </w:rPr>
        <w:t xml:space="preserve">ature-related </w:t>
      </w:r>
      <w:r w:rsidR="00BC0D1F">
        <w:rPr>
          <w:lang w:val="en-GB"/>
        </w:rPr>
        <w:t>a</w:t>
      </w:r>
      <w:r w:rsidR="00BC0D1F" w:rsidRPr="00BC0D1F">
        <w:rPr>
          <w:lang w:val="en-GB"/>
        </w:rPr>
        <w:t xml:space="preserve">ssessment, </w:t>
      </w:r>
      <w:r w:rsidR="00BC0D1F">
        <w:rPr>
          <w:lang w:val="en-GB"/>
        </w:rPr>
        <w:t>d</w:t>
      </w:r>
      <w:r w:rsidR="00BC0D1F" w:rsidRPr="00BC0D1F">
        <w:rPr>
          <w:lang w:val="en-GB"/>
        </w:rPr>
        <w:t xml:space="preserve">isclosure, and </w:t>
      </w:r>
      <w:r w:rsidR="00BC0D1F">
        <w:rPr>
          <w:lang w:val="en-GB"/>
        </w:rPr>
        <w:t>t</w:t>
      </w:r>
      <w:r w:rsidR="00BC0D1F" w:rsidRPr="00BC0D1F">
        <w:rPr>
          <w:lang w:val="en-GB"/>
        </w:rPr>
        <w:t xml:space="preserve">arget </w:t>
      </w:r>
      <w:r w:rsidR="00BC0D1F">
        <w:rPr>
          <w:lang w:val="en-GB"/>
        </w:rPr>
        <w:t>s</w:t>
      </w:r>
      <w:r w:rsidR="00BC0D1F" w:rsidRPr="00BC0D1F">
        <w:rPr>
          <w:lang w:val="en-GB"/>
        </w:rPr>
        <w:t xml:space="preserve">etting </w:t>
      </w:r>
      <w:r w:rsidR="00BC0D1F">
        <w:rPr>
          <w:lang w:val="en-GB"/>
        </w:rPr>
        <w:t>l</w:t>
      </w:r>
      <w:r w:rsidR="00BC0D1F" w:rsidRPr="00BC0D1F">
        <w:rPr>
          <w:lang w:val="en-GB"/>
        </w:rPr>
        <w:t>andscape</w:t>
      </w:r>
      <w:r w:rsidR="00BC0D1F">
        <w:rPr>
          <w:lang w:val="en-GB"/>
        </w:rPr>
        <w:t xml:space="preserve">, such as the voluntary frameworks SBTN and TNFD and the </w:t>
      </w:r>
      <w:r w:rsidR="0000368E">
        <w:rPr>
          <w:lang w:val="en-GB"/>
        </w:rPr>
        <w:t xml:space="preserve">regulatory framework </w:t>
      </w:r>
      <w:r w:rsidR="00B32D71">
        <w:rPr>
          <w:lang w:val="en-GB"/>
        </w:rPr>
        <w:t xml:space="preserve">in the European Union, </w:t>
      </w:r>
      <w:r w:rsidR="0000368E">
        <w:rPr>
          <w:lang w:val="en-GB"/>
        </w:rPr>
        <w:t xml:space="preserve">ESRS. </w:t>
      </w:r>
      <w:r w:rsidR="00814E96">
        <w:rPr>
          <w:lang w:val="en-GB"/>
        </w:rPr>
        <w:t>It seems that BIOVALENT and similar methodologies may be used</w:t>
      </w:r>
      <w:r w:rsidR="00E55B1D">
        <w:rPr>
          <w:lang w:val="en-GB"/>
        </w:rPr>
        <w:t xml:space="preserve"> in line with many of the requirements in these frameworks, but the methods also</w:t>
      </w:r>
      <w:r w:rsidR="001025AA">
        <w:rPr>
          <w:lang w:val="en-GB"/>
        </w:rPr>
        <w:t xml:space="preserve"> currently</w:t>
      </w:r>
      <w:r w:rsidR="00E55B1D">
        <w:rPr>
          <w:lang w:val="en-GB"/>
        </w:rPr>
        <w:t xml:space="preserve"> fall short</w:t>
      </w:r>
      <w:r w:rsidR="001025AA">
        <w:rPr>
          <w:lang w:val="en-GB"/>
        </w:rPr>
        <w:t xml:space="preserve"> for example in </w:t>
      </w:r>
      <w:r w:rsidR="00A65105">
        <w:rPr>
          <w:lang w:val="en-GB"/>
        </w:rPr>
        <w:t>reaching the required spatial accuracy and connection to other environmental considerations of the organizations such as risk assessment.</w:t>
      </w:r>
      <w:r w:rsidR="00FF5532">
        <w:rPr>
          <w:lang w:val="en-GB"/>
        </w:rPr>
        <w:t xml:space="preserve"> </w:t>
      </w:r>
      <w:r w:rsidR="002B70ED">
        <w:rPr>
          <w:lang w:val="en-GB"/>
        </w:rPr>
        <w:t>Furthermore, although we have discussed the utility of BIOVALENT especially when it comes to financial account</w:t>
      </w:r>
      <w:r w:rsidR="0006095E">
        <w:rPr>
          <w:lang w:val="en-GB"/>
        </w:rPr>
        <w:t>s and certain energy and travel activity data</w:t>
      </w:r>
      <w:r w:rsidR="007C57BF">
        <w:rPr>
          <w:lang w:val="en-GB"/>
        </w:rPr>
        <w:t xml:space="preserve">, organizations </w:t>
      </w:r>
      <w:r w:rsidR="004E5A0B">
        <w:rPr>
          <w:lang w:val="en-GB"/>
        </w:rPr>
        <w:t xml:space="preserve">may </w:t>
      </w:r>
      <w:r w:rsidR="007C57BF">
        <w:rPr>
          <w:lang w:val="en-GB"/>
        </w:rPr>
        <w:t>collect information on various other activities</w:t>
      </w:r>
      <w:r w:rsidR="00DB74CF">
        <w:rPr>
          <w:lang w:val="en-GB"/>
        </w:rPr>
        <w:t xml:space="preserve">, such as </w:t>
      </w:r>
      <w:r w:rsidR="00F213C8">
        <w:rPr>
          <w:lang w:val="en-GB"/>
        </w:rPr>
        <w:t>on-site restoration activities</w:t>
      </w:r>
      <w:r w:rsidR="004E5A0B">
        <w:rPr>
          <w:lang w:val="en-GB"/>
        </w:rPr>
        <w:t xml:space="preserve">, which </w:t>
      </w:r>
      <w:r w:rsidR="00E14551">
        <w:rPr>
          <w:lang w:val="en-GB"/>
        </w:rPr>
        <w:t xml:space="preserve">are not </w:t>
      </w:r>
      <w:r w:rsidR="004E5A0B">
        <w:rPr>
          <w:lang w:val="en-GB"/>
        </w:rPr>
        <w:t>shown in the current methodological framework.</w:t>
      </w:r>
      <w:r w:rsidR="00B906BE">
        <w:rPr>
          <w:lang w:val="en-GB"/>
        </w:rPr>
        <w:t xml:space="preserve"> Further research is also needed to understand </w:t>
      </w:r>
      <w:r w:rsidR="001174F4">
        <w:rPr>
          <w:lang w:val="en-GB"/>
        </w:rPr>
        <w:t xml:space="preserve">how BIOVALENT and other similar frameworks can be more strongly integrated </w:t>
      </w:r>
      <w:r w:rsidR="00354C05">
        <w:rPr>
          <w:lang w:val="en-GB"/>
        </w:rPr>
        <w:t xml:space="preserve">e.g. </w:t>
      </w:r>
      <w:r w:rsidR="001174F4">
        <w:rPr>
          <w:lang w:val="en-GB"/>
        </w:rPr>
        <w:t xml:space="preserve">with existing </w:t>
      </w:r>
      <w:r w:rsidR="00354C05">
        <w:rPr>
          <w:lang w:val="en-GB"/>
        </w:rPr>
        <w:t>organizational processes and information systems</w:t>
      </w:r>
      <w:r w:rsidR="001174F4">
        <w:rPr>
          <w:lang w:val="en-GB"/>
        </w:rPr>
        <w:t>, as the examples we have provided are largely technical and do not deeply discuss the operationalization of the model in practice.</w:t>
      </w:r>
    </w:p>
    <w:p w14:paraId="561D2AAB" w14:textId="77777777" w:rsidR="00CD7887" w:rsidRDefault="00CD7887" w:rsidP="006A38FD">
      <w:pPr>
        <w:jc w:val="both"/>
      </w:pPr>
      <w:r>
        <w:br w:type="page"/>
      </w:r>
    </w:p>
    <w:p w14:paraId="37FAD1B1" w14:textId="77777777" w:rsidR="00CD7887" w:rsidRPr="002A7AC5" w:rsidRDefault="00CD7887" w:rsidP="00CD7887">
      <w:pPr>
        <w:jc w:val="both"/>
      </w:pPr>
      <w:r>
        <w:t>Codes used in Pymrio to assess the origin of the drivers of biodiversity loss:</w:t>
      </w:r>
    </w:p>
    <w:p w14:paraId="2C4B3889" w14:textId="77777777" w:rsidR="00CD7887" w:rsidRPr="000A2DBE" w:rsidRDefault="00CD7887" w:rsidP="00CD7887">
      <w:pPr>
        <w:pStyle w:val="SMSubheading"/>
        <w:rPr>
          <w:sz w:val="20"/>
        </w:rPr>
      </w:pPr>
    </w:p>
    <w:p w14:paraId="5CC4B350" w14:textId="77777777" w:rsidR="00CD7887" w:rsidRPr="000A2DBE" w:rsidRDefault="00CD7887" w:rsidP="00CD7887">
      <w:pPr>
        <w:pStyle w:val="SMSubheading"/>
        <w:rPr>
          <w:b/>
          <w:bCs/>
          <w:sz w:val="20"/>
          <w:u w:val="none"/>
          <w:lang w:val="en-GB"/>
        </w:rPr>
      </w:pPr>
      <w:r w:rsidRPr="000A2DBE">
        <w:rPr>
          <w:b/>
          <w:bCs/>
          <w:sz w:val="20"/>
          <w:u w:val="none"/>
          <w:lang w:val="en-GB"/>
        </w:rPr>
        <w:t>Programming information:</w:t>
      </w:r>
    </w:p>
    <w:p w14:paraId="011FF236" w14:textId="77777777" w:rsidR="00CD7887" w:rsidRPr="000A2DBE" w:rsidRDefault="00CD7887" w:rsidP="00CD7887">
      <w:pPr>
        <w:pStyle w:val="SMSubheading"/>
        <w:rPr>
          <w:sz w:val="20"/>
          <w:u w:val="none"/>
          <w:lang w:val="en-GB"/>
        </w:rPr>
      </w:pPr>
      <w:r w:rsidRPr="000A2DBE">
        <w:rPr>
          <w:sz w:val="20"/>
          <w:u w:val="none"/>
          <w:lang w:val="en-GB"/>
        </w:rPr>
        <w:t>Analyses done with Spyder IDE</w:t>
      </w:r>
    </w:p>
    <w:p w14:paraId="419BB58B" w14:textId="77777777" w:rsidR="00CD7887" w:rsidRPr="000A2DBE" w:rsidRDefault="00CD7887" w:rsidP="00CD7887">
      <w:pPr>
        <w:pStyle w:val="SMSubheading"/>
        <w:rPr>
          <w:sz w:val="20"/>
          <w:u w:val="none"/>
          <w:lang w:val="en-GB"/>
        </w:rPr>
      </w:pPr>
      <w:r w:rsidRPr="000A2DBE">
        <w:rPr>
          <w:sz w:val="20"/>
          <w:u w:val="none"/>
          <w:lang w:val="en-GB"/>
        </w:rPr>
        <w:t>* Spyder version: 5.1.5</w:t>
      </w:r>
    </w:p>
    <w:p w14:paraId="0D906A9F" w14:textId="77777777" w:rsidR="00CD7887" w:rsidRPr="000A2DBE" w:rsidRDefault="00CD7887" w:rsidP="00CD7887">
      <w:pPr>
        <w:pStyle w:val="SMSubheading"/>
        <w:rPr>
          <w:sz w:val="20"/>
          <w:u w:val="none"/>
          <w:lang w:val="en-GB"/>
        </w:rPr>
      </w:pPr>
      <w:r w:rsidRPr="000A2DBE">
        <w:rPr>
          <w:sz w:val="20"/>
          <w:u w:val="none"/>
          <w:lang w:val="en-GB"/>
        </w:rPr>
        <w:t>* Python version: 3.7.6 64-bit</w:t>
      </w:r>
    </w:p>
    <w:p w14:paraId="7856FB86" w14:textId="77777777" w:rsidR="00CD7887" w:rsidRPr="000A2DBE" w:rsidRDefault="00CD7887" w:rsidP="00CD7887">
      <w:pPr>
        <w:pStyle w:val="SMSubheading"/>
        <w:rPr>
          <w:sz w:val="20"/>
          <w:u w:val="none"/>
          <w:lang w:val="en-GB"/>
        </w:rPr>
      </w:pPr>
      <w:r w:rsidRPr="000A2DBE">
        <w:rPr>
          <w:sz w:val="20"/>
          <w:u w:val="none"/>
          <w:lang w:val="en-GB"/>
        </w:rPr>
        <w:t>* Qt version: 5.9.7</w:t>
      </w:r>
    </w:p>
    <w:p w14:paraId="3BFC3280" w14:textId="77777777" w:rsidR="00CD7887" w:rsidRPr="000A2DBE" w:rsidRDefault="00CD7887" w:rsidP="00CD7887">
      <w:pPr>
        <w:pStyle w:val="SMSubheading"/>
        <w:rPr>
          <w:sz w:val="20"/>
          <w:u w:val="none"/>
          <w:lang w:val="en-GB"/>
        </w:rPr>
      </w:pPr>
      <w:r w:rsidRPr="000A2DBE">
        <w:rPr>
          <w:sz w:val="20"/>
          <w:u w:val="none"/>
          <w:lang w:val="en-GB"/>
        </w:rPr>
        <w:t>* PyQt5 version: 5.9.2</w:t>
      </w:r>
    </w:p>
    <w:p w14:paraId="552A24DA" w14:textId="77777777" w:rsidR="00CD7887" w:rsidRPr="000A2DBE" w:rsidRDefault="00CD7887" w:rsidP="00CD7887">
      <w:pPr>
        <w:pStyle w:val="SMSubheading"/>
        <w:rPr>
          <w:sz w:val="20"/>
          <w:u w:val="none"/>
          <w:lang w:val="en-GB"/>
        </w:rPr>
      </w:pPr>
      <w:r w:rsidRPr="000A2DBE">
        <w:rPr>
          <w:sz w:val="20"/>
          <w:u w:val="none"/>
          <w:lang w:val="en-GB"/>
        </w:rPr>
        <w:t>* Operating System: Windows 10</w:t>
      </w:r>
    </w:p>
    <w:p w14:paraId="4CD49C8E" w14:textId="77777777" w:rsidR="00CD7887" w:rsidRPr="000A2DBE" w:rsidRDefault="00CD7887" w:rsidP="00CD7887">
      <w:pPr>
        <w:pStyle w:val="SMSubheading"/>
        <w:rPr>
          <w:sz w:val="20"/>
          <w:u w:val="none"/>
          <w:lang w:val="en-GB"/>
        </w:rPr>
      </w:pPr>
    </w:p>
    <w:p w14:paraId="1386D9DE" w14:textId="77777777" w:rsidR="00CD7887" w:rsidRPr="000A2DBE" w:rsidRDefault="00CD7887" w:rsidP="00CD7887">
      <w:pPr>
        <w:pStyle w:val="SMSubheading"/>
        <w:rPr>
          <w:b/>
          <w:bCs/>
          <w:sz w:val="20"/>
          <w:u w:val="none"/>
          <w:lang w:val="en-GB"/>
        </w:rPr>
      </w:pPr>
      <w:r w:rsidRPr="000A2DBE">
        <w:rPr>
          <w:b/>
          <w:bCs/>
          <w:sz w:val="20"/>
          <w:u w:val="none"/>
          <w:lang w:val="en-GB"/>
        </w:rPr>
        <w:t>Code for finding country of origin for the direct drivers of biodiversity loss, using Pymrio</w:t>
      </w:r>
      <w:r>
        <w:rPr>
          <w:b/>
          <w:bCs/>
          <w:sz w:val="20"/>
          <w:u w:val="none"/>
          <w:lang w:val="en-GB"/>
        </w:rPr>
        <w:t xml:space="preserve"> </w:t>
      </w:r>
      <w:r w:rsidRPr="00612B37">
        <w:rPr>
          <w:sz w:val="20"/>
        </w:rPr>
        <w:t>(Stadler, 2022)</w:t>
      </w:r>
    </w:p>
    <w:p w14:paraId="3760CACD" w14:textId="77777777" w:rsidR="00CD7887" w:rsidRPr="000A2DBE" w:rsidRDefault="00CD7887" w:rsidP="00CD7887">
      <w:pPr>
        <w:pStyle w:val="SMSubheading"/>
        <w:rPr>
          <w:sz w:val="20"/>
          <w:u w:val="none"/>
          <w:lang w:val="en-GB"/>
        </w:rPr>
      </w:pPr>
      <w:r w:rsidRPr="000A2DBE">
        <w:rPr>
          <w:sz w:val="20"/>
          <w:u w:val="none"/>
          <w:lang w:val="en-GB"/>
        </w:rPr>
        <w:t>import pymrio</w:t>
      </w:r>
    </w:p>
    <w:p w14:paraId="1750FA4F" w14:textId="77777777" w:rsidR="00CD7887" w:rsidRPr="000A2DBE" w:rsidRDefault="00CD7887" w:rsidP="00CD7887">
      <w:pPr>
        <w:pStyle w:val="SMSubheading"/>
        <w:rPr>
          <w:sz w:val="20"/>
          <w:u w:val="none"/>
          <w:lang w:val="en-GB"/>
        </w:rPr>
      </w:pPr>
      <w:r w:rsidRPr="000A2DBE">
        <w:rPr>
          <w:sz w:val="20"/>
          <w:u w:val="none"/>
          <w:lang w:val="en-GB"/>
        </w:rPr>
        <w:t>import pandas</w:t>
      </w:r>
    </w:p>
    <w:p w14:paraId="189F6864" w14:textId="77777777" w:rsidR="00CD7887" w:rsidRPr="000A2DBE" w:rsidRDefault="00CD7887" w:rsidP="00CD7887">
      <w:pPr>
        <w:pStyle w:val="SMSubheading"/>
        <w:rPr>
          <w:sz w:val="20"/>
          <w:u w:val="none"/>
          <w:lang w:val="en-GB"/>
        </w:rPr>
      </w:pPr>
      <w:r w:rsidRPr="000A2DBE">
        <w:rPr>
          <w:sz w:val="20"/>
          <w:u w:val="none"/>
          <w:lang w:val="en-GB"/>
        </w:rPr>
        <w:t xml:space="preserve">exio3 = </w:t>
      </w:r>
      <w:proofErr w:type="gramStart"/>
      <w:r w:rsidRPr="000A2DBE">
        <w:rPr>
          <w:sz w:val="20"/>
          <w:u w:val="none"/>
          <w:lang w:val="en-GB"/>
        </w:rPr>
        <w:t>pymrio.parse</w:t>
      </w:r>
      <w:proofErr w:type="gramEnd"/>
      <w:r w:rsidRPr="000A2DBE">
        <w:rPr>
          <w:sz w:val="20"/>
          <w:u w:val="none"/>
          <w:lang w:val="en-GB"/>
        </w:rPr>
        <w:t>_exiobase3(path='’FILE LOCATION'’)</w:t>
      </w:r>
    </w:p>
    <w:p w14:paraId="367486F1" w14:textId="77777777" w:rsidR="00CD7887" w:rsidRPr="000A2DBE" w:rsidRDefault="00CD7887" w:rsidP="00CD7887">
      <w:pPr>
        <w:pStyle w:val="SMSubheading"/>
        <w:rPr>
          <w:sz w:val="20"/>
          <w:u w:val="none"/>
          <w:lang w:val="en-GB"/>
        </w:rPr>
      </w:pPr>
      <w:r w:rsidRPr="000A2DBE">
        <w:rPr>
          <w:sz w:val="20"/>
          <w:u w:val="none"/>
          <w:lang w:val="en-GB"/>
        </w:rPr>
        <w:t xml:space="preserve">#Diagonalize specific stressor account, e.g. et1_diag = </w:t>
      </w:r>
      <w:proofErr w:type="gramStart"/>
      <w:r w:rsidRPr="000A2DBE">
        <w:rPr>
          <w:sz w:val="20"/>
          <w:u w:val="none"/>
          <w:lang w:val="en-GB"/>
        </w:rPr>
        <w:t>exio3.satellite.diag</w:t>
      </w:r>
      <w:proofErr w:type="gramEnd"/>
      <w:r w:rsidRPr="000A2DBE">
        <w:rPr>
          <w:sz w:val="20"/>
          <w:u w:val="none"/>
          <w:lang w:val="en-GB"/>
        </w:rPr>
        <w:t>_</w:t>
      </w:r>
      <w:proofErr w:type="gramStart"/>
      <w:r w:rsidRPr="000A2DBE">
        <w:rPr>
          <w:sz w:val="20"/>
          <w:u w:val="none"/>
          <w:lang w:val="en-GB"/>
        </w:rPr>
        <w:t>stressor(</w:t>
      </w:r>
      <w:proofErr w:type="gramEnd"/>
      <w:r w:rsidRPr="000A2DBE">
        <w:rPr>
          <w:sz w:val="20"/>
          <w:u w:val="none"/>
          <w:lang w:val="en-GB"/>
        </w:rPr>
        <w:t>('‘Cropland -– Cereal grains nec'’))</w:t>
      </w:r>
    </w:p>
    <w:p w14:paraId="2F699163" w14:textId="77777777" w:rsidR="00CD7887" w:rsidRPr="000A2DBE" w:rsidRDefault="00CD7887" w:rsidP="00CD7887">
      <w:pPr>
        <w:pStyle w:val="SMSubheading"/>
        <w:rPr>
          <w:sz w:val="20"/>
          <w:u w:val="none"/>
          <w:lang w:val="en-GB"/>
        </w:rPr>
      </w:pPr>
      <w:r w:rsidRPr="000A2DBE">
        <w:rPr>
          <w:sz w:val="20"/>
          <w:u w:val="none"/>
          <w:lang w:val="en-GB"/>
        </w:rPr>
        <w:t xml:space="preserve">et1_diag = </w:t>
      </w:r>
      <w:proofErr w:type="gramStart"/>
      <w:r w:rsidRPr="000A2DBE">
        <w:rPr>
          <w:sz w:val="20"/>
          <w:u w:val="none"/>
          <w:lang w:val="en-GB"/>
        </w:rPr>
        <w:t>exio3.satellite.diag</w:t>
      </w:r>
      <w:proofErr w:type="gramEnd"/>
      <w:r w:rsidRPr="000A2DBE">
        <w:rPr>
          <w:sz w:val="20"/>
          <w:u w:val="none"/>
          <w:lang w:val="en-GB"/>
        </w:rPr>
        <w:t>_</w:t>
      </w:r>
      <w:proofErr w:type="gramStart"/>
      <w:r w:rsidRPr="000A2DBE">
        <w:rPr>
          <w:sz w:val="20"/>
          <w:u w:val="none"/>
          <w:lang w:val="en-GB"/>
        </w:rPr>
        <w:t>stressor(</w:t>
      </w:r>
      <w:proofErr w:type="gramEnd"/>
      <w:r w:rsidRPr="000A2DBE">
        <w:rPr>
          <w:sz w:val="20"/>
          <w:u w:val="none"/>
          <w:lang w:val="en-GB"/>
        </w:rPr>
        <w:t xml:space="preserve">('‘DRIVER NAME'’)) </w:t>
      </w:r>
    </w:p>
    <w:p w14:paraId="7FFB4187" w14:textId="77777777" w:rsidR="00CD7887" w:rsidRPr="000A2DBE" w:rsidRDefault="00CD7887" w:rsidP="00CD7887">
      <w:pPr>
        <w:pStyle w:val="SMSubheading"/>
        <w:rPr>
          <w:sz w:val="20"/>
          <w:u w:val="none"/>
          <w:lang w:val="en-GB"/>
        </w:rPr>
      </w:pPr>
      <w:r w:rsidRPr="000A2DBE">
        <w:rPr>
          <w:sz w:val="20"/>
          <w:u w:val="none"/>
          <w:lang w:val="en-GB"/>
        </w:rPr>
        <w:t>#Connect back to the system</w:t>
      </w:r>
    </w:p>
    <w:p w14:paraId="650DCB95" w14:textId="77777777" w:rsidR="00CD7887" w:rsidRPr="000A2DBE" w:rsidRDefault="00CD7887" w:rsidP="00CD7887">
      <w:pPr>
        <w:pStyle w:val="SMSubheading"/>
        <w:rPr>
          <w:sz w:val="20"/>
          <w:u w:val="none"/>
          <w:lang w:val="en-GB"/>
        </w:rPr>
      </w:pPr>
      <w:r w:rsidRPr="000A2DBE">
        <w:rPr>
          <w:sz w:val="20"/>
          <w:u w:val="none"/>
          <w:lang w:val="en-GB"/>
        </w:rPr>
        <w:t>exio3.et1_diag = et1_diag</w:t>
      </w:r>
    </w:p>
    <w:p w14:paraId="5D47F090" w14:textId="77777777" w:rsidR="00CD7887" w:rsidRPr="000A2DBE" w:rsidRDefault="00CD7887" w:rsidP="00CD7887">
      <w:pPr>
        <w:pStyle w:val="SMSubheading"/>
        <w:rPr>
          <w:sz w:val="20"/>
          <w:u w:val="none"/>
          <w:lang w:val="en-GB"/>
        </w:rPr>
      </w:pPr>
      <w:r w:rsidRPr="000A2DBE">
        <w:rPr>
          <w:sz w:val="20"/>
          <w:u w:val="none"/>
          <w:lang w:val="en-GB"/>
        </w:rPr>
        <w:t>exio3.calc_</w:t>
      </w:r>
      <w:proofErr w:type="gramStart"/>
      <w:r w:rsidRPr="000A2DBE">
        <w:rPr>
          <w:sz w:val="20"/>
          <w:u w:val="none"/>
          <w:lang w:val="en-GB"/>
        </w:rPr>
        <w:t>all(</w:t>
      </w:r>
      <w:proofErr w:type="gramEnd"/>
      <w:r w:rsidRPr="000A2DBE">
        <w:rPr>
          <w:sz w:val="20"/>
          <w:u w:val="none"/>
          <w:lang w:val="en-GB"/>
        </w:rPr>
        <w:t>)</w:t>
      </w:r>
    </w:p>
    <w:p w14:paraId="2BE4B18F" w14:textId="77777777" w:rsidR="00CD7887" w:rsidRPr="000A2DBE" w:rsidRDefault="00CD7887" w:rsidP="00CD7887">
      <w:pPr>
        <w:pStyle w:val="SMSubheading"/>
        <w:rPr>
          <w:sz w:val="20"/>
          <w:u w:val="none"/>
          <w:lang w:val="en-GB"/>
        </w:rPr>
      </w:pPr>
      <w:r w:rsidRPr="000A2DBE">
        <w:rPr>
          <w:sz w:val="20"/>
          <w:u w:val="none"/>
          <w:lang w:val="en-GB"/>
        </w:rPr>
        <w:t>#Aggregate to the source drivers</w:t>
      </w:r>
    </w:p>
    <w:p w14:paraId="7F7C8E57" w14:textId="77777777" w:rsidR="00CD7887" w:rsidRPr="000A2DBE" w:rsidRDefault="00CD7887" w:rsidP="00CD7887">
      <w:pPr>
        <w:pStyle w:val="SMSubheading"/>
        <w:rPr>
          <w:sz w:val="20"/>
          <w:u w:val="none"/>
          <w:lang w:val="en-GB"/>
        </w:rPr>
      </w:pPr>
      <w:r w:rsidRPr="000A2DBE">
        <w:rPr>
          <w:sz w:val="20"/>
          <w:u w:val="none"/>
          <w:lang w:val="en-GB"/>
        </w:rPr>
        <w:t>exiostressor = exio3.et1_</w:t>
      </w:r>
      <w:proofErr w:type="gramStart"/>
      <w:r w:rsidRPr="000A2DBE">
        <w:rPr>
          <w:sz w:val="20"/>
          <w:u w:val="none"/>
          <w:lang w:val="en-GB"/>
        </w:rPr>
        <w:t>diag.D</w:t>
      </w:r>
      <w:proofErr w:type="gramEnd"/>
      <w:r w:rsidRPr="000A2DBE">
        <w:rPr>
          <w:sz w:val="20"/>
          <w:u w:val="none"/>
          <w:lang w:val="en-GB"/>
        </w:rPr>
        <w:t>_</w:t>
      </w:r>
      <w:proofErr w:type="gramStart"/>
      <w:r w:rsidRPr="000A2DBE">
        <w:rPr>
          <w:sz w:val="20"/>
          <w:u w:val="none"/>
          <w:lang w:val="en-GB"/>
        </w:rPr>
        <w:t>cba.groupby</w:t>
      </w:r>
      <w:proofErr w:type="gramEnd"/>
      <w:r w:rsidRPr="000A2DBE">
        <w:rPr>
          <w:sz w:val="20"/>
          <w:u w:val="none"/>
          <w:lang w:val="en-GB"/>
        </w:rPr>
        <w:t>(level='’region'’, axis=0</w:t>
      </w:r>
      <w:proofErr w:type="gramStart"/>
      <w:r w:rsidRPr="000A2DBE">
        <w:rPr>
          <w:sz w:val="20"/>
          <w:u w:val="none"/>
          <w:lang w:val="en-GB"/>
        </w:rPr>
        <w:t>).sum</w:t>
      </w:r>
      <w:proofErr w:type="gramEnd"/>
      <w:r w:rsidRPr="000A2DBE">
        <w:rPr>
          <w:sz w:val="20"/>
          <w:u w:val="none"/>
          <w:lang w:val="en-GB"/>
        </w:rPr>
        <w:t>()</w:t>
      </w:r>
    </w:p>
    <w:p w14:paraId="686DA62D" w14:textId="77777777" w:rsidR="00CD7887" w:rsidRPr="000A2DBE" w:rsidRDefault="00CD7887" w:rsidP="00CD7887">
      <w:pPr>
        <w:pStyle w:val="SMSubheading"/>
        <w:rPr>
          <w:sz w:val="20"/>
          <w:u w:val="none"/>
          <w:lang w:val="en-GB"/>
        </w:rPr>
      </w:pPr>
      <w:r w:rsidRPr="000A2DBE">
        <w:rPr>
          <w:sz w:val="20"/>
          <w:u w:val="none"/>
          <w:lang w:val="en-GB"/>
        </w:rPr>
        <w:t>#Save as a csv-file to given location</w:t>
      </w:r>
    </w:p>
    <w:p w14:paraId="518CEEE1" w14:textId="77777777" w:rsidR="00CD7887" w:rsidRPr="000A2DBE" w:rsidRDefault="00CD7887" w:rsidP="00CD7887">
      <w:pPr>
        <w:pStyle w:val="SMSubheading"/>
        <w:rPr>
          <w:sz w:val="20"/>
          <w:u w:val="none"/>
          <w:lang w:val="en-GB"/>
        </w:rPr>
      </w:pPr>
      <w:r w:rsidRPr="000A2DBE">
        <w:rPr>
          <w:sz w:val="20"/>
          <w:u w:val="none"/>
          <w:lang w:val="en-GB"/>
        </w:rPr>
        <w:t>exiostressor.to_</w:t>
      </w:r>
      <w:proofErr w:type="gramStart"/>
      <w:r w:rsidRPr="000A2DBE">
        <w:rPr>
          <w:sz w:val="20"/>
          <w:u w:val="none"/>
          <w:lang w:val="en-GB"/>
        </w:rPr>
        <w:t>csv(</w:t>
      </w:r>
      <w:proofErr w:type="gramEnd"/>
      <w:r w:rsidRPr="000A2DBE">
        <w:rPr>
          <w:sz w:val="20"/>
          <w:u w:val="none"/>
          <w:lang w:val="en-GB"/>
        </w:rPr>
        <w:t>path_or_buf='’FILE LOCATION'’)</w:t>
      </w:r>
    </w:p>
    <w:p w14:paraId="26B5021C" w14:textId="77777777" w:rsidR="00CD7887" w:rsidRPr="000A2DBE" w:rsidRDefault="00CD7887" w:rsidP="00CD7887">
      <w:pPr>
        <w:pStyle w:val="SMSubheading"/>
        <w:rPr>
          <w:sz w:val="20"/>
          <w:u w:val="none"/>
          <w:lang w:val="en-GB"/>
        </w:rPr>
      </w:pPr>
    </w:p>
    <w:p w14:paraId="091EB3E2" w14:textId="77777777" w:rsidR="00CD7887" w:rsidRPr="000A2DBE" w:rsidRDefault="00CD7887" w:rsidP="00CD7887">
      <w:pPr>
        <w:pStyle w:val="SMSubheading"/>
        <w:rPr>
          <w:b/>
          <w:bCs/>
          <w:sz w:val="20"/>
          <w:u w:val="none"/>
          <w:lang w:val="en-GB"/>
        </w:rPr>
      </w:pPr>
      <w:r w:rsidRPr="000A2DBE">
        <w:rPr>
          <w:b/>
          <w:bCs/>
          <w:sz w:val="20"/>
          <w:u w:val="none"/>
          <w:lang w:val="en-GB"/>
        </w:rPr>
        <w:t xml:space="preserve">Code for aggregating drivers (in this study, blue water consumption), using Pymrio </w:t>
      </w:r>
      <w:r w:rsidRPr="00612B37">
        <w:rPr>
          <w:sz w:val="20"/>
        </w:rPr>
        <w:t>(Stadler, 2022)</w:t>
      </w:r>
    </w:p>
    <w:p w14:paraId="79E7920E" w14:textId="77777777" w:rsidR="00CD7887" w:rsidRPr="000A2DBE" w:rsidRDefault="00CD7887" w:rsidP="00CD7887">
      <w:pPr>
        <w:pStyle w:val="SMSubheading"/>
        <w:rPr>
          <w:sz w:val="20"/>
          <w:u w:val="none"/>
          <w:lang w:val="en-GB"/>
        </w:rPr>
      </w:pPr>
      <w:r w:rsidRPr="000A2DBE">
        <w:rPr>
          <w:sz w:val="20"/>
          <w:u w:val="none"/>
          <w:lang w:val="en-GB"/>
        </w:rPr>
        <w:t>import pymrio</w:t>
      </w:r>
    </w:p>
    <w:p w14:paraId="43DB22B0" w14:textId="77777777" w:rsidR="00CD7887" w:rsidRPr="000A2DBE" w:rsidRDefault="00CD7887" w:rsidP="00CD7887">
      <w:pPr>
        <w:pStyle w:val="SMSubheading"/>
        <w:rPr>
          <w:sz w:val="20"/>
          <w:u w:val="none"/>
          <w:lang w:val="en-GB"/>
        </w:rPr>
      </w:pPr>
      <w:r w:rsidRPr="000A2DBE">
        <w:rPr>
          <w:sz w:val="20"/>
          <w:u w:val="none"/>
          <w:lang w:val="en-GB"/>
        </w:rPr>
        <w:t>import pandas</w:t>
      </w:r>
    </w:p>
    <w:p w14:paraId="48CEA0AA" w14:textId="77777777" w:rsidR="00CD7887" w:rsidRPr="000A2DBE" w:rsidRDefault="00CD7887" w:rsidP="00CD7887">
      <w:pPr>
        <w:pStyle w:val="SMSubheading"/>
        <w:rPr>
          <w:sz w:val="20"/>
          <w:u w:val="none"/>
          <w:lang w:val="en-GB"/>
        </w:rPr>
      </w:pPr>
      <w:r w:rsidRPr="000A2DBE">
        <w:rPr>
          <w:sz w:val="20"/>
          <w:u w:val="none"/>
          <w:lang w:val="en-GB"/>
        </w:rPr>
        <w:t xml:space="preserve">exio3 = </w:t>
      </w:r>
      <w:proofErr w:type="gramStart"/>
      <w:r w:rsidRPr="000A2DBE">
        <w:rPr>
          <w:sz w:val="20"/>
          <w:u w:val="none"/>
          <w:lang w:val="en-GB"/>
        </w:rPr>
        <w:t>pymrio.parse</w:t>
      </w:r>
      <w:proofErr w:type="gramEnd"/>
      <w:r w:rsidRPr="000A2DBE">
        <w:rPr>
          <w:sz w:val="20"/>
          <w:u w:val="none"/>
          <w:lang w:val="en-GB"/>
        </w:rPr>
        <w:t>_exiobase3(path='’FILE LOCATION'’)</w:t>
      </w:r>
    </w:p>
    <w:p w14:paraId="39F674B9" w14:textId="77777777" w:rsidR="00CD7887" w:rsidRPr="000A2DBE" w:rsidRDefault="00CD7887" w:rsidP="00CD7887">
      <w:pPr>
        <w:pStyle w:val="SMSubheading"/>
        <w:rPr>
          <w:sz w:val="20"/>
          <w:u w:val="none"/>
          <w:lang w:val="en-GB"/>
        </w:rPr>
      </w:pPr>
      <w:r w:rsidRPr="000A2DBE">
        <w:rPr>
          <w:sz w:val="20"/>
          <w:u w:val="none"/>
          <w:lang w:val="en-GB"/>
        </w:rPr>
        <w:t>#Forming the aggregated group(s).</w:t>
      </w:r>
    </w:p>
    <w:p w14:paraId="3EE8A450" w14:textId="77777777" w:rsidR="00CD7887" w:rsidRPr="000A2DBE" w:rsidRDefault="00CD7887" w:rsidP="00CD7887">
      <w:pPr>
        <w:pStyle w:val="SMSubheading"/>
        <w:rPr>
          <w:sz w:val="20"/>
          <w:u w:val="none"/>
          <w:lang w:val="en-GB"/>
        </w:rPr>
      </w:pPr>
      <w:r w:rsidRPr="000A2DBE">
        <w:rPr>
          <w:sz w:val="20"/>
          <w:u w:val="none"/>
          <w:lang w:val="en-GB"/>
        </w:rPr>
        <w:t>groups = exio3.satellite.get_</w:t>
      </w:r>
      <w:proofErr w:type="gramStart"/>
      <w:r w:rsidRPr="000A2DBE">
        <w:rPr>
          <w:sz w:val="20"/>
          <w:u w:val="none"/>
          <w:lang w:val="en-GB"/>
        </w:rPr>
        <w:t>index(</w:t>
      </w:r>
      <w:proofErr w:type="gramEnd"/>
      <w:r w:rsidRPr="000A2DBE">
        <w:rPr>
          <w:sz w:val="20"/>
          <w:u w:val="none"/>
          <w:lang w:val="en-GB"/>
        </w:rPr>
        <w:t xml:space="preserve">as_dict=True, grouping_pattern = {'‘Water Consumption </w:t>
      </w:r>
      <w:proofErr w:type="gramStart"/>
      <w:r w:rsidRPr="000A2DBE">
        <w:rPr>
          <w:sz w:val="20"/>
          <w:u w:val="none"/>
          <w:lang w:val="en-GB"/>
        </w:rPr>
        <w:t>Blue.*</w:t>
      </w:r>
      <w:proofErr w:type="gramEnd"/>
      <w:r w:rsidRPr="000A2DBE">
        <w:rPr>
          <w:sz w:val="20"/>
          <w:u w:val="none"/>
          <w:lang w:val="en-GB"/>
        </w:rPr>
        <w:t>'’: '‘Water Consumption Blue -– Total'’})</w:t>
      </w:r>
    </w:p>
    <w:p w14:paraId="7DF4795C" w14:textId="77777777" w:rsidR="00CD7887" w:rsidRPr="000A2DBE" w:rsidRDefault="00CD7887" w:rsidP="00CD7887">
      <w:pPr>
        <w:pStyle w:val="SMSubheading"/>
        <w:rPr>
          <w:sz w:val="20"/>
          <w:u w:val="none"/>
          <w:lang w:val="en-GB"/>
        </w:rPr>
      </w:pPr>
      <w:r w:rsidRPr="000A2DBE">
        <w:rPr>
          <w:sz w:val="20"/>
          <w:u w:val="none"/>
          <w:lang w:val="en-GB"/>
        </w:rPr>
        <w:t xml:space="preserve">exio3.satellite_agg = </w:t>
      </w:r>
      <w:proofErr w:type="gramStart"/>
      <w:r w:rsidRPr="000A2DBE">
        <w:rPr>
          <w:sz w:val="20"/>
          <w:u w:val="none"/>
          <w:lang w:val="en-GB"/>
        </w:rPr>
        <w:t>exio3.satellite.copy</w:t>
      </w:r>
      <w:proofErr w:type="gramEnd"/>
      <w:r w:rsidRPr="000A2DBE">
        <w:rPr>
          <w:sz w:val="20"/>
          <w:u w:val="none"/>
          <w:lang w:val="en-GB"/>
        </w:rPr>
        <w:t>(new_name='’Aggregated blue water consumption accounts'’)</w:t>
      </w:r>
    </w:p>
    <w:p w14:paraId="26E0B8A2" w14:textId="77777777" w:rsidR="00CD7887" w:rsidRPr="000A2DBE" w:rsidRDefault="00CD7887" w:rsidP="00CD7887">
      <w:pPr>
        <w:pStyle w:val="SMSubheading"/>
        <w:rPr>
          <w:sz w:val="20"/>
          <w:u w:val="none"/>
          <w:lang w:val="en-GB"/>
        </w:rPr>
      </w:pPr>
      <w:r w:rsidRPr="000A2DBE">
        <w:rPr>
          <w:sz w:val="20"/>
          <w:u w:val="none"/>
          <w:lang w:val="en-GB"/>
        </w:rPr>
        <w:t xml:space="preserve">for df_name, df in </w:t>
      </w:r>
      <w:proofErr w:type="gramStart"/>
      <w:r w:rsidRPr="000A2DBE">
        <w:rPr>
          <w:sz w:val="20"/>
          <w:u w:val="none"/>
          <w:lang w:val="en-GB"/>
        </w:rPr>
        <w:t>zip(</w:t>
      </w:r>
      <w:proofErr w:type="gramEnd"/>
      <w:r w:rsidRPr="000A2DBE">
        <w:rPr>
          <w:sz w:val="20"/>
          <w:u w:val="none"/>
          <w:lang w:val="en-GB"/>
        </w:rPr>
        <w:t>exio3.satellite_agg.get_</w:t>
      </w:r>
      <w:proofErr w:type="gramStart"/>
      <w:r w:rsidRPr="000A2DBE">
        <w:rPr>
          <w:sz w:val="20"/>
          <w:u w:val="none"/>
          <w:lang w:val="en-GB"/>
        </w:rPr>
        <w:t>DataFrame(</w:t>
      </w:r>
      <w:proofErr w:type="gramEnd"/>
      <w:r w:rsidRPr="000A2DBE">
        <w:rPr>
          <w:sz w:val="20"/>
          <w:u w:val="none"/>
          <w:lang w:val="en-GB"/>
        </w:rPr>
        <w:t>data=False, with_unit=True, with_population=False),</w:t>
      </w:r>
    </w:p>
    <w:p w14:paraId="1617DC39" w14:textId="77777777" w:rsidR="00CD7887" w:rsidRPr="000A2DBE" w:rsidRDefault="00CD7887" w:rsidP="00CD7887">
      <w:pPr>
        <w:pStyle w:val="SMSubheading"/>
        <w:rPr>
          <w:sz w:val="20"/>
          <w:u w:val="none"/>
          <w:lang w:val="en-GB"/>
        </w:rPr>
      </w:pPr>
      <w:r w:rsidRPr="000A2DBE">
        <w:rPr>
          <w:sz w:val="20"/>
          <w:u w:val="none"/>
          <w:lang w:val="en-GB"/>
        </w:rPr>
        <w:t xml:space="preserve">                       exio3.satellite_agg.get_</w:t>
      </w:r>
      <w:proofErr w:type="gramStart"/>
      <w:r w:rsidRPr="000A2DBE">
        <w:rPr>
          <w:sz w:val="20"/>
          <w:u w:val="none"/>
          <w:lang w:val="en-GB"/>
        </w:rPr>
        <w:t>DataFrame(</w:t>
      </w:r>
      <w:proofErr w:type="gramEnd"/>
      <w:r w:rsidRPr="000A2DBE">
        <w:rPr>
          <w:sz w:val="20"/>
          <w:u w:val="none"/>
          <w:lang w:val="en-GB"/>
        </w:rPr>
        <w:t>data=True, with_unit=True, with_population=False)):</w:t>
      </w:r>
    </w:p>
    <w:p w14:paraId="2C68211E" w14:textId="77777777" w:rsidR="00CD7887" w:rsidRPr="000A2DBE" w:rsidRDefault="00CD7887" w:rsidP="00CD7887">
      <w:pPr>
        <w:pStyle w:val="SMSubheading"/>
        <w:rPr>
          <w:sz w:val="20"/>
          <w:u w:val="none"/>
          <w:lang w:val="en-GB"/>
        </w:rPr>
      </w:pPr>
      <w:r w:rsidRPr="000A2DBE">
        <w:rPr>
          <w:sz w:val="20"/>
          <w:u w:val="none"/>
          <w:lang w:val="en-GB"/>
        </w:rPr>
        <w:t xml:space="preserve">    if df_name == '‘unit'’:</w:t>
      </w:r>
    </w:p>
    <w:p w14:paraId="31CB4E65" w14:textId="77777777" w:rsidR="00CD7887" w:rsidRPr="000A2DBE" w:rsidRDefault="00CD7887" w:rsidP="00CD7887">
      <w:pPr>
        <w:pStyle w:val="SMSubheading"/>
        <w:rPr>
          <w:sz w:val="20"/>
          <w:u w:val="none"/>
          <w:lang w:val="en-GB"/>
        </w:rPr>
      </w:pPr>
      <w:r w:rsidRPr="000A2DBE">
        <w:rPr>
          <w:sz w:val="20"/>
          <w:u w:val="none"/>
          <w:lang w:val="en-GB"/>
        </w:rPr>
        <w:t xml:space="preserve">        exio3.satellite_</w:t>
      </w:r>
      <w:proofErr w:type="gramStart"/>
      <w:r w:rsidRPr="000A2DBE">
        <w:rPr>
          <w:sz w:val="20"/>
          <w:u w:val="none"/>
          <w:lang w:val="en-GB"/>
        </w:rPr>
        <w:t>agg._</w:t>
      </w:r>
      <w:proofErr w:type="gramEnd"/>
      <w:r w:rsidRPr="000A2DBE">
        <w:rPr>
          <w:sz w:val="20"/>
          <w:u w:val="none"/>
          <w:lang w:val="en-GB"/>
        </w:rPr>
        <w:t xml:space="preserve">_dict__[df_name] = </w:t>
      </w:r>
      <w:proofErr w:type="gramStart"/>
      <w:r w:rsidRPr="000A2DBE">
        <w:rPr>
          <w:sz w:val="20"/>
          <w:u w:val="none"/>
          <w:lang w:val="en-GB"/>
        </w:rPr>
        <w:t>df.groupby</w:t>
      </w:r>
      <w:proofErr w:type="gramEnd"/>
      <w:r w:rsidRPr="000A2DBE">
        <w:rPr>
          <w:sz w:val="20"/>
          <w:u w:val="none"/>
          <w:lang w:val="en-GB"/>
        </w:rPr>
        <w:t>(groups</w:t>
      </w:r>
      <w:proofErr w:type="gramStart"/>
      <w:r w:rsidRPr="000A2DBE">
        <w:rPr>
          <w:sz w:val="20"/>
          <w:u w:val="none"/>
          <w:lang w:val="en-GB"/>
        </w:rPr>
        <w:t>).apply</w:t>
      </w:r>
      <w:proofErr w:type="gramEnd"/>
      <w:r w:rsidRPr="000A2DBE">
        <w:rPr>
          <w:sz w:val="20"/>
          <w:u w:val="none"/>
          <w:lang w:val="en-GB"/>
        </w:rPr>
        <w:t xml:space="preserve">(lambda x: </w:t>
      </w:r>
      <w:proofErr w:type="gramStart"/>
      <w:r w:rsidRPr="000A2DBE">
        <w:rPr>
          <w:sz w:val="20"/>
          <w:u w:val="none"/>
          <w:lang w:val="en-GB"/>
        </w:rPr>
        <w:t>'‘ &amp;</w:t>
      </w:r>
      <w:proofErr w:type="gramEnd"/>
      <w:r w:rsidRPr="000A2DBE">
        <w:rPr>
          <w:sz w:val="20"/>
          <w:u w:val="none"/>
          <w:lang w:val="en-GB"/>
        </w:rPr>
        <w:t xml:space="preserve"> '</w:t>
      </w:r>
      <w:proofErr w:type="gramStart"/>
      <w:r w:rsidRPr="000A2DBE">
        <w:rPr>
          <w:sz w:val="20"/>
          <w:u w:val="none"/>
          <w:lang w:val="en-GB"/>
        </w:rPr>
        <w:t>‘.join</w:t>
      </w:r>
      <w:proofErr w:type="gramEnd"/>
      <w:r w:rsidRPr="000A2DBE">
        <w:rPr>
          <w:sz w:val="20"/>
          <w:u w:val="none"/>
          <w:lang w:val="en-GB"/>
        </w:rPr>
        <w:t>(</w:t>
      </w:r>
      <w:proofErr w:type="gramStart"/>
      <w:r w:rsidRPr="000A2DBE">
        <w:rPr>
          <w:sz w:val="20"/>
          <w:u w:val="none"/>
          <w:lang w:val="en-GB"/>
        </w:rPr>
        <w:t>x.unit</w:t>
      </w:r>
      <w:proofErr w:type="gramEnd"/>
      <w:r w:rsidRPr="000A2DBE">
        <w:rPr>
          <w:sz w:val="20"/>
          <w:u w:val="none"/>
          <w:lang w:val="en-GB"/>
        </w:rPr>
        <w:t>.</w:t>
      </w:r>
      <w:proofErr w:type="gramStart"/>
      <w:r w:rsidRPr="000A2DBE">
        <w:rPr>
          <w:sz w:val="20"/>
          <w:u w:val="none"/>
          <w:lang w:val="en-GB"/>
        </w:rPr>
        <w:t>unique(</w:t>
      </w:r>
      <w:proofErr w:type="gramEnd"/>
      <w:r w:rsidRPr="000A2DBE">
        <w:rPr>
          <w:sz w:val="20"/>
          <w:u w:val="none"/>
          <w:lang w:val="en-GB"/>
        </w:rPr>
        <w:t>)))</w:t>
      </w:r>
    </w:p>
    <w:p w14:paraId="5F8B5201" w14:textId="77777777" w:rsidR="00CD7887" w:rsidRPr="000A2DBE" w:rsidRDefault="00CD7887" w:rsidP="00CD7887">
      <w:pPr>
        <w:pStyle w:val="SMSubheading"/>
        <w:rPr>
          <w:sz w:val="20"/>
          <w:u w:val="none"/>
          <w:lang w:val="en-GB"/>
        </w:rPr>
      </w:pPr>
      <w:r w:rsidRPr="000A2DBE">
        <w:rPr>
          <w:sz w:val="20"/>
          <w:u w:val="none"/>
          <w:lang w:val="en-GB"/>
        </w:rPr>
        <w:t xml:space="preserve">    else:</w:t>
      </w:r>
    </w:p>
    <w:p w14:paraId="7ED5DDFB" w14:textId="77777777" w:rsidR="00CD7887" w:rsidRPr="000A2DBE" w:rsidRDefault="00CD7887" w:rsidP="00CD7887">
      <w:pPr>
        <w:pStyle w:val="SMSubheading"/>
        <w:rPr>
          <w:sz w:val="20"/>
          <w:u w:val="none"/>
          <w:lang w:val="en-GB"/>
        </w:rPr>
      </w:pPr>
      <w:r w:rsidRPr="000A2DBE">
        <w:rPr>
          <w:sz w:val="20"/>
          <w:u w:val="none"/>
          <w:lang w:val="en-GB"/>
        </w:rPr>
        <w:t xml:space="preserve">        exio3.satellite_</w:t>
      </w:r>
      <w:proofErr w:type="gramStart"/>
      <w:r w:rsidRPr="000A2DBE">
        <w:rPr>
          <w:sz w:val="20"/>
          <w:u w:val="none"/>
          <w:lang w:val="en-GB"/>
        </w:rPr>
        <w:t>agg._</w:t>
      </w:r>
      <w:proofErr w:type="gramEnd"/>
      <w:r w:rsidRPr="000A2DBE">
        <w:rPr>
          <w:sz w:val="20"/>
          <w:u w:val="none"/>
          <w:lang w:val="en-GB"/>
        </w:rPr>
        <w:t xml:space="preserve">_dict__[df_name] = </w:t>
      </w:r>
      <w:proofErr w:type="gramStart"/>
      <w:r w:rsidRPr="000A2DBE">
        <w:rPr>
          <w:sz w:val="20"/>
          <w:u w:val="none"/>
          <w:lang w:val="en-GB"/>
        </w:rPr>
        <w:t>df.groupby</w:t>
      </w:r>
      <w:proofErr w:type="gramEnd"/>
      <w:r w:rsidRPr="000A2DBE">
        <w:rPr>
          <w:sz w:val="20"/>
          <w:u w:val="none"/>
          <w:lang w:val="en-GB"/>
        </w:rPr>
        <w:t>(groups</w:t>
      </w:r>
      <w:proofErr w:type="gramStart"/>
      <w:r w:rsidRPr="000A2DBE">
        <w:rPr>
          <w:sz w:val="20"/>
          <w:u w:val="none"/>
          <w:lang w:val="en-GB"/>
        </w:rPr>
        <w:t>).sum</w:t>
      </w:r>
      <w:proofErr w:type="gramEnd"/>
      <w:r w:rsidRPr="000A2DBE">
        <w:rPr>
          <w:sz w:val="20"/>
          <w:u w:val="none"/>
          <w:lang w:val="en-GB"/>
        </w:rPr>
        <w:t>()</w:t>
      </w:r>
    </w:p>
    <w:p w14:paraId="6DB1DC6B" w14:textId="77777777" w:rsidR="00CD7887" w:rsidRPr="000A2DBE" w:rsidRDefault="00CD7887" w:rsidP="00CD7887">
      <w:pPr>
        <w:pStyle w:val="SMSubheading"/>
        <w:rPr>
          <w:sz w:val="20"/>
          <w:u w:val="none"/>
          <w:lang w:val="en-GB"/>
        </w:rPr>
      </w:pPr>
      <w:r w:rsidRPr="000A2DBE">
        <w:rPr>
          <w:sz w:val="20"/>
          <w:u w:val="none"/>
          <w:lang w:val="en-GB"/>
        </w:rPr>
        <w:t xml:space="preserve">#Diagonalize specific stressor account, e.g. et1_diag = </w:t>
      </w:r>
      <w:proofErr w:type="gramStart"/>
      <w:r w:rsidRPr="000A2DBE">
        <w:rPr>
          <w:sz w:val="20"/>
          <w:u w:val="none"/>
          <w:lang w:val="en-GB"/>
        </w:rPr>
        <w:t>exio3.satellite.diag</w:t>
      </w:r>
      <w:proofErr w:type="gramEnd"/>
      <w:r w:rsidRPr="000A2DBE">
        <w:rPr>
          <w:sz w:val="20"/>
          <w:u w:val="none"/>
          <w:lang w:val="en-GB"/>
        </w:rPr>
        <w:t>_</w:t>
      </w:r>
      <w:proofErr w:type="gramStart"/>
      <w:r w:rsidRPr="000A2DBE">
        <w:rPr>
          <w:sz w:val="20"/>
          <w:u w:val="none"/>
          <w:lang w:val="en-GB"/>
        </w:rPr>
        <w:t>stressor(</w:t>
      </w:r>
      <w:proofErr w:type="gramEnd"/>
      <w:r w:rsidRPr="000A2DBE">
        <w:rPr>
          <w:sz w:val="20"/>
          <w:u w:val="none"/>
          <w:lang w:val="en-GB"/>
        </w:rPr>
        <w:t>('‘Cropland -– Cereal grains nec'’))</w:t>
      </w:r>
    </w:p>
    <w:p w14:paraId="5B61E6FC" w14:textId="77777777" w:rsidR="00CD7887" w:rsidRPr="000A2DBE" w:rsidRDefault="00CD7887" w:rsidP="00CD7887">
      <w:pPr>
        <w:pStyle w:val="SMSubheading"/>
        <w:rPr>
          <w:sz w:val="20"/>
          <w:u w:val="none"/>
          <w:lang w:val="en-GB"/>
        </w:rPr>
      </w:pPr>
      <w:r w:rsidRPr="000A2DBE">
        <w:rPr>
          <w:sz w:val="20"/>
          <w:u w:val="none"/>
          <w:lang w:val="en-GB"/>
        </w:rPr>
        <w:t>et1_diag = exio3.satellite_</w:t>
      </w:r>
      <w:proofErr w:type="gramStart"/>
      <w:r w:rsidRPr="000A2DBE">
        <w:rPr>
          <w:sz w:val="20"/>
          <w:u w:val="none"/>
          <w:lang w:val="en-GB"/>
        </w:rPr>
        <w:t>agg.diag</w:t>
      </w:r>
      <w:proofErr w:type="gramEnd"/>
      <w:r w:rsidRPr="000A2DBE">
        <w:rPr>
          <w:sz w:val="20"/>
          <w:u w:val="none"/>
          <w:lang w:val="en-GB"/>
        </w:rPr>
        <w:t>_</w:t>
      </w:r>
      <w:proofErr w:type="gramStart"/>
      <w:r w:rsidRPr="000A2DBE">
        <w:rPr>
          <w:sz w:val="20"/>
          <w:u w:val="none"/>
          <w:lang w:val="en-GB"/>
        </w:rPr>
        <w:t>stressor(</w:t>
      </w:r>
      <w:proofErr w:type="gramEnd"/>
      <w:r w:rsidRPr="000A2DBE">
        <w:rPr>
          <w:sz w:val="20"/>
          <w:u w:val="none"/>
          <w:lang w:val="en-GB"/>
        </w:rPr>
        <w:t>('‘Water Consumption Blue -– Total'’))</w:t>
      </w:r>
    </w:p>
    <w:p w14:paraId="55E743F6" w14:textId="77777777" w:rsidR="00CD7887" w:rsidRPr="000A2DBE" w:rsidRDefault="00CD7887" w:rsidP="00CD7887">
      <w:pPr>
        <w:pStyle w:val="SMSubheading"/>
        <w:rPr>
          <w:sz w:val="20"/>
          <w:u w:val="none"/>
          <w:lang w:val="en-GB"/>
        </w:rPr>
      </w:pPr>
      <w:r w:rsidRPr="000A2DBE">
        <w:rPr>
          <w:sz w:val="20"/>
          <w:u w:val="none"/>
          <w:lang w:val="en-GB"/>
        </w:rPr>
        <w:t>#Connect back to the system</w:t>
      </w:r>
    </w:p>
    <w:p w14:paraId="24271C38" w14:textId="77777777" w:rsidR="00CD7887" w:rsidRPr="000A2DBE" w:rsidRDefault="00CD7887" w:rsidP="00CD7887">
      <w:pPr>
        <w:pStyle w:val="SMSubheading"/>
        <w:rPr>
          <w:sz w:val="20"/>
          <w:u w:val="none"/>
          <w:lang w:val="en-GB"/>
        </w:rPr>
      </w:pPr>
      <w:r w:rsidRPr="000A2DBE">
        <w:rPr>
          <w:sz w:val="20"/>
          <w:u w:val="none"/>
          <w:lang w:val="en-GB"/>
        </w:rPr>
        <w:t>exio3.et1_diag = et1_diag</w:t>
      </w:r>
    </w:p>
    <w:p w14:paraId="0B7260BF" w14:textId="77777777" w:rsidR="00CD7887" w:rsidRPr="000A2DBE" w:rsidRDefault="00CD7887" w:rsidP="00CD7887">
      <w:pPr>
        <w:pStyle w:val="SMSubheading"/>
        <w:rPr>
          <w:sz w:val="20"/>
          <w:u w:val="none"/>
          <w:lang w:val="en-GB"/>
        </w:rPr>
      </w:pPr>
      <w:r w:rsidRPr="000A2DBE">
        <w:rPr>
          <w:sz w:val="20"/>
          <w:u w:val="none"/>
          <w:lang w:val="en-GB"/>
        </w:rPr>
        <w:t>exio3.calc_</w:t>
      </w:r>
      <w:proofErr w:type="gramStart"/>
      <w:r w:rsidRPr="000A2DBE">
        <w:rPr>
          <w:sz w:val="20"/>
          <w:u w:val="none"/>
          <w:lang w:val="en-GB"/>
        </w:rPr>
        <w:t>all(</w:t>
      </w:r>
      <w:proofErr w:type="gramEnd"/>
      <w:r w:rsidRPr="000A2DBE">
        <w:rPr>
          <w:sz w:val="20"/>
          <w:u w:val="none"/>
          <w:lang w:val="en-GB"/>
        </w:rPr>
        <w:t>)</w:t>
      </w:r>
    </w:p>
    <w:p w14:paraId="3DF62F0B" w14:textId="77777777" w:rsidR="00CD7887" w:rsidRPr="000A2DBE" w:rsidRDefault="00CD7887" w:rsidP="00CD7887">
      <w:pPr>
        <w:pStyle w:val="SMSubheading"/>
        <w:rPr>
          <w:sz w:val="20"/>
          <w:u w:val="none"/>
          <w:lang w:val="en-GB"/>
        </w:rPr>
      </w:pPr>
      <w:r w:rsidRPr="000A2DBE">
        <w:rPr>
          <w:sz w:val="20"/>
          <w:u w:val="none"/>
          <w:lang w:val="en-GB"/>
        </w:rPr>
        <w:t>#Aggregate to the source drivers</w:t>
      </w:r>
    </w:p>
    <w:p w14:paraId="2877808E" w14:textId="77777777" w:rsidR="00CD7887" w:rsidRPr="000A2DBE" w:rsidRDefault="00CD7887" w:rsidP="00CD7887">
      <w:pPr>
        <w:pStyle w:val="SMSubheading"/>
        <w:rPr>
          <w:sz w:val="20"/>
          <w:u w:val="none"/>
          <w:lang w:val="en-GB"/>
        </w:rPr>
      </w:pPr>
      <w:r w:rsidRPr="000A2DBE">
        <w:rPr>
          <w:sz w:val="20"/>
          <w:u w:val="none"/>
          <w:lang w:val="en-GB"/>
        </w:rPr>
        <w:t>exiostressor = exio3.et1_</w:t>
      </w:r>
      <w:proofErr w:type="gramStart"/>
      <w:r w:rsidRPr="000A2DBE">
        <w:rPr>
          <w:sz w:val="20"/>
          <w:u w:val="none"/>
          <w:lang w:val="en-GB"/>
        </w:rPr>
        <w:t>diag.D</w:t>
      </w:r>
      <w:proofErr w:type="gramEnd"/>
      <w:r w:rsidRPr="000A2DBE">
        <w:rPr>
          <w:sz w:val="20"/>
          <w:u w:val="none"/>
          <w:lang w:val="en-GB"/>
        </w:rPr>
        <w:t>_</w:t>
      </w:r>
      <w:proofErr w:type="gramStart"/>
      <w:r w:rsidRPr="000A2DBE">
        <w:rPr>
          <w:sz w:val="20"/>
          <w:u w:val="none"/>
          <w:lang w:val="en-GB"/>
        </w:rPr>
        <w:t>cba.groupby</w:t>
      </w:r>
      <w:proofErr w:type="gramEnd"/>
      <w:r w:rsidRPr="000A2DBE">
        <w:rPr>
          <w:sz w:val="20"/>
          <w:u w:val="none"/>
          <w:lang w:val="en-GB"/>
        </w:rPr>
        <w:t>(level='’region'’, axis=0</w:t>
      </w:r>
      <w:proofErr w:type="gramStart"/>
      <w:r w:rsidRPr="000A2DBE">
        <w:rPr>
          <w:sz w:val="20"/>
          <w:u w:val="none"/>
          <w:lang w:val="en-GB"/>
        </w:rPr>
        <w:t>).sum</w:t>
      </w:r>
      <w:proofErr w:type="gramEnd"/>
      <w:r w:rsidRPr="000A2DBE">
        <w:rPr>
          <w:sz w:val="20"/>
          <w:u w:val="none"/>
          <w:lang w:val="en-GB"/>
        </w:rPr>
        <w:t>()</w:t>
      </w:r>
    </w:p>
    <w:p w14:paraId="0B8B8CF9" w14:textId="77777777" w:rsidR="00CD7887" w:rsidRPr="000A2DBE" w:rsidRDefault="00CD7887" w:rsidP="00CD7887">
      <w:pPr>
        <w:pStyle w:val="SMSubheading"/>
        <w:rPr>
          <w:sz w:val="20"/>
          <w:u w:val="none"/>
          <w:lang w:val="en-GB"/>
        </w:rPr>
      </w:pPr>
      <w:r w:rsidRPr="000A2DBE">
        <w:rPr>
          <w:sz w:val="20"/>
          <w:u w:val="none"/>
          <w:lang w:val="en-GB"/>
        </w:rPr>
        <w:t>#Save as a csv-file to given location</w:t>
      </w:r>
    </w:p>
    <w:p w14:paraId="03ABE794" w14:textId="77777777" w:rsidR="00CD7887" w:rsidRDefault="00CD7887" w:rsidP="00CD7887">
      <w:pPr>
        <w:pStyle w:val="SMSubheading"/>
        <w:rPr>
          <w:sz w:val="20"/>
          <w:u w:val="none"/>
          <w:lang w:val="en-GB"/>
        </w:rPr>
      </w:pPr>
      <w:r w:rsidRPr="000A2DBE">
        <w:rPr>
          <w:sz w:val="20"/>
          <w:u w:val="none"/>
          <w:lang w:val="en-GB"/>
        </w:rPr>
        <w:t>exiostressor.to_</w:t>
      </w:r>
      <w:proofErr w:type="gramStart"/>
      <w:r w:rsidRPr="000A2DBE">
        <w:rPr>
          <w:sz w:val="20"/>
          <w:u w:val="none"/>
          <w:lang w:val="en-GB"/>
        </w:rPr>
        <w:t>csv(</w:t>
      </w:r>
      <w:proofErr w:type="gramEnd"/>
      <w:r w:rsidRPr="000A2DBE">
        <w:rPr>
          <w:sz w:val="20"/>
          <w:u w:val="none"/>
          <w:lang w:val="en-GB"/>
        </w:rPr>
        <w:t>path_or_buf='’FILE LOCATION'’)</w:t>
      </w:r>
    </w:p>
    <w:p w14:paraId="74DFD84D" w14:textId="77777777" w:rsidR="00CD7887" w:rsidRPr="000A2DBE" w:rsidRDefault="00CD7887" w:rsidP="00CD7887">
      <w:pPr>
        <w:pStyle w:val="SMSubheading"/>
        <w:rPr>
          <w:sz w:val="20"/>
          <w:u w:val="none"/>
          <w:lang w:val="en-GB"/>
        </w:rPr>
      </w:pPr>
    </w:p>
    <w:p w14:paraId="4A7A0360" w14:textId="77777777" w:rsidR="00CD7887" w:rsidRPr="00BA400A" w:rsidRDefault="00CD7887" w:rsidP="00CD7887">
      <w:pPr>
        <w:jc w:val="both"/>
        <w:rPr>
          <w:sz w:val="20"/>
        </w:rPr>
      </w:pPr>
      <w:r w:rsidRPr="000A2DBE">
        <w:rPr>
          <w:sz w:val="20"/>
        </w:rPr>
        <w:br w:type="page"/>
      </w:r>
    </w:p>
    <w:p w14:paraId="45E04806" w14:textId="33507664" w:rsidR="00CD7887" w:rsidRPr="000A2DBE" w:rsidRDefault="00CD7887" w:rsidP="00CD7887">
      <w:pPr>
        <w:rPr>
          <w:sz w:val="20"/>
        </w:rPr>
      </w:pPr>
      <w:r w:rsidRPr="000A2DBE">
        <w:rPr>
          <w:b/>
          <w:bCs/>
          <w:sz w:val="20"/>
        </w:rPr>
        <w:t>Table S</w:t>
      </w:r>
      <w:r>
        <w:rPr>
          <w:b/>
          <w:bCs/>
          <w:sz w:val="20"/>
        </w:rPr>
        <w:t>1</w:t>
      </w:r>
      <w:r w:rsidRPr="000A2DBE">
        <w:rPr>
          <w:b/>
          <w:bCs/>
          <w:sz w:val="20"/>
        </w:rPr>
        <w:t>.</w:t>
      </w:r>
      <w:r w:rsidRPr="000A2DBE">
        <w:rPr>
          <w:sz w:val="20"/>
        </w:rPr>
        <w:t xml:space="preserve"> Illustration of the data matrix derived from pymrio analysis of stressor (impact) sources. Regions in the column headers indicate the location of the environmental impact. Regions and </w:t>
      </w:r>
      <w:r w:rsidR="0056601F">
        <w:rPr>
          <w:sz w:val="20"/>
        </w:rPr>
        <w:t>activities</w:t>
      </w:r>
      <w:r w:rsidR="0056601F" w:rsidRPr="000A2DBE">
        <w:rPr>
          <w:sz w:val="20"/>
        </w:rPr>
        <w:t xml:space="preserve"> </w:t>
      </w:r>
      <w:r w:rsidRPr="000A2DBE">
        <w:rPr>
          <w:sz w:val="20"/>
        </w:rPr>
        <w:t xml:space="preserve">in row headers indicate the place of </w:t>
      </w:r>
      <w:r w:rsidR="00E83278">
        <w:rPr>
          <w:sz w:val="20"/>
        </w:rPr>
        <w:t>activity</w:t>
      </w:r>
      <w:r w:rsidRPr="000A2DBE">
        <w:rPr>
          <w:sz w:val="20"/>
        </w:rPr>
        <w:t>.</w:t>
      </w:r>
    </w:p>
    <w:p w14:paraId="4837F954" w14:textId="77777777" w:rsidR="00CD7887" w:rsidRPr="000A2DBE" w:rsidRDefault="00CD7887" w:rsidP="00CD7887"/>
    <w:tbl>
      <w:tblPr>
        <w:tblW w:w="0" w:type="auto"/>
        <w:tblBorders>
          <w:top w:val="single" w:sz="4" w:space="0" w:color="000000"/>
          <w:bottom w:val="single" w:sz="4" w:space="0" w:color="000000"/>
        </w:tblBorders>
        <w:tblLook w:val="06A0" w:firstRow="1" w:lastRow="0" w:firstColumn="1" w:lastColumn="0" w:noHBand="1" w:noVBand="1"/>
      </w:tblPr>
      <w:tblGrid>
        <w:gridCol w:w="1885"/>
        <w:gridCol w:w="1889"/>
        <w:gridCol w:w="1890"/>
        <w:gridCol w:w="1596"/>
        <w:gridCol w:w="1596"/>
      </w:tblGrid>
      <w:tr w:rsidR="00CD7887" w:rsidRPr="000A2DBE" w14:paraId="3C1F246A" w14:textId="77777777" w:rsidTr="000D70CC">
        <w:tc>
          <w:tcPr>
            <w:tcW w:w="1923" w:type="dxa"/>
            <w:tcBorders>
              <w:top w:val="single" w:sz="4" w:space="0" w:color="000000"/>
              <w:bottom w:val="nil"/>
              <w:right w:val="single" w:sz="4" w:space="0" w:color="auto"/>
            </w:tcBorders>
          </w:tcPr>
          <w:p w14:paraId="2664DB9E" w14:textId="77777777" w:rsidR="00CD7887" w:rsidRPr="000D70CC" w:rsidRDefault="00CD7887" w:rsidP="000D70CC">
            <w:pPr>
              <w:jc w:val="both"/>
              <w:rPr>
                <w:rFonts w:eastAsia="Calibri"/>
                <w:b/>
                <w:bCs/>
                <w:color w:val="000000"/>
                <w:sz w:val="16"/>
                <w:szCs w:val="16"/>
                <w:lang w:val="en-GB" w:eastAsia="fi-FI"/>
              </w:rPr>
            </w:pPr>
          </w:p>
        </w:tc>
        <w:tc>
          <w:tcPr>
            <w:tcW w:w="1924" w:type="dxa"/>
            <w:tcBorders>
              <w:top w:val="single" w:sz="4" w:space="0" w:color="000000"/>
              <w:left w:val="single" w:sz="4" w:space="0" w:color="auto"/>
              <w:bottom w:val="nil"/>
            </w:tcBorders>
          </w:tcPr>
          <w:p w14:paraId="0649F68C" w14:textId="77777777" w:rsidR="00CD7887" w:rsidRPr="000D70CC" w:rsidRDefault="00CD7887" w:rsidP="000D70CC">
            <w:pPr>
              <w:jc w:val="both"/>
              <w:rPr>
                <w:rFonts w:eastAsia="Calibri"/>
                <w:b/>
                <w:bCs/>
                <w:color w:val="000000"/>
                <w:sz w:val="16"/>
                <w:szCs w:val="16"/>
                <w:lang w:val="en-GB" w:eastAsia="fi-FI"/>
              </w:rPr>
            </w:pPr>
            <w:r w:rsidRPr="000D70CC">
              <w:rPr>
                <w:rFonts w:eastAsia="Calibri"/>
                <w:b/>
                <w:bCs/>
                <w:color w:val="000000"/>
                <w:sz w:val="16"/>
                <w:szCs w:val="16"/>
                <w:lang w:val="en-GB" w:eastAsia="fi-FI"/>
              </w:rPr>
              <w:t>Region A</w:t>
            </w:r>
          </w:p>
        </w:tc>
        <w:tc>
          <w:tcPr>
            <w:tcW w:w="1925" w:type="dxa"/>
            <w:tcBorders>
              <w:top w:val="single" w:sz="4" w:space="0" w:color="000000"/>
              <w:bottom w:val="nil"/>
            </w:tcBorders>
          </w:tcPr>
          <w:p w14:paraId="5E840A89" w14:textId="77777777" w:rsidR="00CD7887" w:rsidRPr="000D70CC" w:rsidRDefault="00CD7887" w:rsidP="000D70CC">
            <w:pPr>
              <w:jc w:val="both"/>
              <w:rPr>
                <w:rFonts w:eastAsia="Calibri"/>
                <w:b/>
                <w:bCs/>
                <w:color w:val="000000"/>
                <w:sz w:val="16"/>
                <w:szCs w:val="16"/>
                <w:lang w:val="en-GB" w:eastAsia="fi-FI"/>
              </w:rPr>
            </w:pPr>
            <w:r w:rsidRPr="000D70CC">
              <w:rPr>
                <w:rFonts w:eastAsia="Calibri"/>
                <w:b/>
                <w:bCs/>
                <w:color w:val="000000"/>
                <w:sz w:val="16"/>
                <w:szCs w:val="16"/>
                <w:lang w:val="en-GB" w:eastAsia="fi-FI"/>
              </w:rPr>
              <w:t>Region A</w:t>
            </w:r>
          </w:p>
        </w:tc>
        <w:tc>
          <w:tcPr>
            <w:tcW w:w="1622" w:type="dxa"/>
            <w:tcBorders>
              <w:top w:val="single" w:sz="4" w:space="0" w:color="000000"/>
              <w:bottom w:val="nil"/>
            </w:tcBorders>
          </w:tcPr>
          <w:p w14:paraId="0A951405" w14:textId="77777777" w:rsidR="00CD7887" w:rsidRPr="000D70CC" w:rsidRDefault="00CD7887" w:rsidP="000D70CC">
            <w:pPr>
              <w:jc w:val="both"/>
              <w:rPr>
                <w:rFonts w:eastAsia="Calibri"/>
                <w:b/>
                <w:bCs/>
                <w:color w:val="000000"/>
                <w:sz w:val="16"/>
                <w:szCs w:val="16"/>
                <w:lang w:val="en-GB" w:eastAsia="fi-FI"/>
              </w:rPr>
            </w:pPr>
            <w:r w:rsidRPr="000D70CC">
              <w:rPr>
                <w:rFonts w:eastAsia="Calibri"/>
                <w:b/>
                <w:bCs/>
                <w:color w:val="000000"/>
                <w:sz w:val="16"/>
                <w:szCs w:val="16"/>
                <w:lang w:val="en-GB" w:eastAsia="fi-FI"/>
              </w:rPr>
              <w:t>Region B</w:t>
            </w:r>
          </w:p>
        </w:tc>
        <w:tc>
          <w:tcPr>
            <w:tcW w:w="1622" w:type="dxa"/>
            <w:tcBorders>
              <w:top w:val="single" w:sz="4" w:space="0" w:color="000000"/>
              <w:bottom w:val="nil"/>
            </w:tcBorders>
          </w:tcPr>
          <w:p w14:paraId="142DCD06" w14:textId="77777777" w:rsidR="00CD7887" w:rsidRPr="000D70CC" w:rsidRDefault="00CD7887" w:rsidP="000D70CC">
            <w:pPr>
              <w:jc w:val="both"/>
              <w:rPr>
                <w:rFonts w:eastAsia="Calibri"/>
                <w:b/>
                <w:bCs/>
                <w:color w:val="000000"/>
                <w:sz w:val="16"/>
                <w:szCs w:val="16"/>
                <w:lang w:val="en-GB" w:eastAsia="fi-FI"/>
              </w:rPr>
            </w:pPr>
            <w:r w:rsidRPr="000D70CC">
              <w:rPr>
                <w:rFonts w:eastAsia="Calibri"/>
                <w:b/>
                <w:bCs/>
                <w:color w:val="000000"/>
                <w:sz w:val="16"/>
                <w:szCs w:val="16"/>
                <w:lang w:val="en-GB" w:eastAsia="fi-FI"/>
              </w:rPr>
              <w:t>Region B</w:t>
            </w:r>
          </w:p>
        </w:tc>
      </w:tr>
      <w:tr w:rsidR="00CD7887" w:rsidRPr="000A2DBE" w14:paraId="4D823F42" w14:textId="77777777" w:rsidTr="000D70CC">
        <w:tc>
          <w:tcPr>
            <w:tcW w:w="1923" w:type="dxa"/>
            <w:tcBorders>
              <w:top w:val="nil"/>
              <w:right w:val="single" w:sz="4" w:space="0" w:color="auto"/>
            </w:tcBorders>
          </w:tcPr>
          <w:p w14:paraId="11C4CA0E" w14:textId="77777777" w:rsidR="00CD7887" w:rsidRPr="000D70CC" w:rsidRDefault="00CD7887" w:rsidP="000D70CC">
            <w:pPr>
              <w:jc w:val="both"/>
              <w:rPr>
                <w:rFonts w:eastAsia="Calibri"/>
                <w:b/>
                <w:bCs/>
                <w:color w:val="000000"/>
                <w:sz w:val="16"/>
                <w:szCs w:val="16"/>
                <w:lang w:val="en-GB" w:eastAsia="fi-FI"/>
              </w:rPr>
            </w:pPr>
          </w:p>
        </w:tc>
        <w:tc>
          <w:tcPr>
            <w:tcW w:w="1924" w:type="dxa"/>
            <w:tcBorders>
              <w:top w:val="nil"/>
              <w:left w:val="single" w:sz="4" w:space="0" w:color="auto"/>
              <w:bottom w:val="single" w:sz="4" w:space="0" w:color="auto"/>
            </w:tcBorders>
          </w:tcPr>
          <w:p w14:paraId="458842DE" w14:textId="472C8522" w:rsidR="00CD7887" w:rsidRPr="000D70CC" w:rsidRDefault="00A21440" w:rsidP="000D70CC">
            <w:pPr>
              <w:jc w:val="both"/>
              <w:rPr>
                <w:rFonts w:eastAsia="Calibri"/>
                <w:b/>
                <w:bCs/>
                <w:color w:val="000000"/>
                <w:sz w:val="16"/>
                <w:szCs w:val="16"/>
                <w:lang w:val="en-GB" w:eastAsia="fi-FI"/>
              </w:rPr>
            </w:pPr>
            <w:r>
              <w:rPr>
                <w:rFonts w:eastAsia="Calibri"/>
                <w:b/>
                <w:bCs/>
                <w:color w:val="000000"/>
                <w:sz w:val="16"/>
                <w:szCs w:val="16"/>
                <w:lang w:val="en-GB" w:eastAsia="fi-FI"/>
              </w:rPr>
              <w:t>Activity</w:t>
            </w:r>
            <w:r w:rsidR="00CD7887" w:rsidRPr="000D70CC">
              <w:rPr>
                <w:rFonts w:eastAsia="Calibri"/>
                <w:b/>
                <w:bCs/>
                <w:color w:val="000000"/>
                <w:sz w:val="16"/>
                <w:szCs w:val="16"/>
                <w:lang w:val="en-GB" w:eastAsia="fi-FI"/>
              </w:rPr>
              <w:t xml:space="preserve"> 1</w:t>
            </w:r>
          </w:p>
        </w:tc>
        <w:tc>
          <w:tcPr>
            <w:tcW w:w="1925" w:type="dxa"/>
            <w:tcBorders>
              <w:top w:val="nil"/>
              <w:bottom w:val="single" w:sz="4" w:space="0" w:color="auto"/>
            </w:tcBorders>
          </w:tcPr>
          <w:p w14:paraId="177A18F1" w14:textId="72E2235A" w:rsidR="00CD7887" w:rsidRPr="000D70CC" w:rsidRDefault="00A21440" w:rsidP="000D70CC">
            <w:pPr>
              <w:jc w:val="both"/>
              <w:rPr>
                <w:rFonts w:eastAsia="Calibri"/>
                <w:b/>
                <w:bCs/>
                <w:color w:val="000000"/>
                <w:sz w:val="16"/>
                <w:szCs w:val="16"/>
                <w:lang w:val="en-GB" w:eastAsia="fi-FI"/>
              </w:rPr>
            </w:pPr>
            <w:r>
              <w:rPr>
                <w:rFonts w:eastAsia="Calibri"/>
                <w:b/>
                <w:bCs/>
                <w:color w:val="000000"/>
                <w:sz w:val="16"/>
                <w:szCs w:val="16"/>
                <w:lang w:val="en-GB" w:eastAsia="fi-FI"/>
              </w:rPr>
              <w:t>Activity</w:t>
            </w:r>
            <w:r w:rsidR="00CD7887" w:rsidRPr="000D70CC">
              <w:rPr>
                <w:rFonts w:eastAsia="Calibri"/>
                <w:b/>
                <w:bCs/>
                <w:color w:val="000000"/>
                <w:sz w:val="16"/>
                <w:szCs w:val="16"/>
                <w:lang w:val="en-GB" w:eastAsia="fi-FI"/>
              </w:rPr>
              <w:t xml:space="preserve"> 2</w:t>
            </w:r>
          </w:p>
        </w:tc>
        <w:tc>
          <w:tcPr>
            <w:tcW w:w="1622" w:type="dxa"/>
            <w:tcBorders>
              <w:top w:val="nil"/>
              <w:bottom w:val="single" w:sz="4" w:space="0" w:color="auto"/>
            </w:tcBorders>
          </w:tcPr>
          <w:p w14:paraId="421B844E" w14:textId="3EAFF671" w:rsidR="00CD7887" w:rsidRPr="000D70CC" w:rsidRDefault="00A21440" w:rsidP="000D70CC">
            <w:pPr>
              <w:jc w:val="both"/>
              <w:rPr>
                <w:rFonts w:eastAsia="Calibri"/>
                <w:b/>
                <w:bCs/>
                <w:color w:val="000000"/>
                <w:sz w:val="16"/>
                <w:szCs w:val="16"/>
                <w:lang w:val="en-GB" w:eastAsia="fi-FI"/>
              </w:rPr>
            </w:pPr>
            <w:r>
              <w:rPr>
                <w:rFonts w:eastAsia="Calibri"/>
                <w:b/>
                <w:bCs/>
                <w:color w:val="000000"/>
                <w:sz w:val="16"/>
                <w:szCs w:val="16"/>
                <w:lang w:val="en-GB" w:eastAsia="fi-FI"/>
              </w:rPr>
              <w:t>Activity</w:t>
            </w:r>
            <w:r w:rsidR="00CD7887" w:rsidRPr="000D70CC">
              <w:rPr>
                <w:rFonts w:eastAsia="Calibri"/>
                <w:b/>
                <w:bCs/>
                <w:color w:val="000000"/>
                <w:sz w:val="16"/>
                <w:szCs w:val="16"/>
                <w:lang w:val="en-GB" w:eastAsia="fi-FI"/>
              </w:rPr>
              <w:t xml:space="preserve"> 1</w:t>
            </w:r>
          </w:p>
        </w:tc>
        <w:tc>
          <w:tcPr>
            <w:tcW w:w="1622" w:type="dxa"/>
            <w:tcBorders>
              <w:top w:val="nil"/>
              <w:bottom w:val="single" w:sz="4" w:space="0" w:color="auto"/>
            </w:tcBorders>
          </w:tcPr>
          <w:p w14:paraId="34AF8B5D" w14:textId="3CE444F0" w:rsidR="00CD7887" w:rsidRPr="000D70CC" w:rsidRDefault="00A21440" w:rsidP="000D70CC">
            <w:pPr>
              <w:jc w:val="both"/>
              <w:rPr>
                <w:rFonts w:eastAsia="Calibri"/>
                <w:b/>
                <w:bCs/>
                <w:color w:val="000000"/>
                <w:sz w:val="16"/>
                <w:szCs w:val="16"/>
                <w:lang w:val="en-GB" w:eastAsia="fi-FI"/>
              </w:rPr>
            </w:pPr>
            <w:r>
              <w:rPr>
                <w:rFonts w:eastAsia="Calibri"/>
                <w:b/>
                <w:bCs/>
                <w:color w:val="000000"/>
                <w:sz w:val="16"/>
                <w:szCs w:val="16"/>
                <w:lang w:val="en-GB" w:eastAsia="fi-FI"/>
              </w:rPr>
              <w:t>Activity</w:t>
            </w:r>
            <w:r w:rsidR="00CD7887" w:rsidRPr="000D70CC">
              <w:rPr>
                <w:rFonts w:eastAsia="Calibri"/>
                <w:b/>
                <w:bCs/>
                <w:color w:val="000000"/>
                <w:sz w:val="16"/>
                <w:szCs w:val="16"/>
                <w:lang w:val="en-GB" w:eastAsia="fi-FI"/>
              </w:rPr>
              <w:t xml:space="preserve"> 2</w:t>
            </w:r>
          </w:p>
        </w:tc>
      </w:tr>
      <w:tr w:rsidR="00CD7887" w:rsidRPr="000A2DBE" w14:paraId="3364F317" w14:textId="77777777" w:rsidTr="000D70CC">
        <w:tc>
          <w:tcPr>
            <w:tcW w:w="1923" w:type="dxa"/>
            <w:tcBorders>
              <w:right w:val="single" w:sz="4" w:space="0" w:color="auto"/>
            </w:tcBorders>
            <w:vAlign w:val="center"/>
          </w:tcPr>
          <w:p w14:paraId="18C1A3F7" w14:textId="77777777" w:rsidR="00CD7887" w:rsidRPr="000D70CC" w:rsidRDefault="00CD7887" w:rsidP="000D70CC">
            <w:pPr>
              <w:rPr>
                <w:rFonts w:eastAsia="Calibri"/>
                <w:b/>
                <w:bCs/>
                <w:color w:val="000000"/>
                <w:sz w:val="16"/>
                <w:szCs w:val="16"/>
                <w:lang w:val="en-GB" w:eastAsia="fi-FI"/>
              </w:rPr>
            </w:pPr>
            <w:r w:rsidRPr="000D70CC">
              <w:rPr>
                <w:rFonts w:eastAsia="Calibri"/>
                <w:b/>
                <w:bCs/>
                <w:color w:val="000000"/>
                <w:sz w:val="16"/>
                <w:szCs w:val="16"/>
                <w:lang w:val="en-GB" w:eastAsia="fi-FI"/>
              </w:rPr>
              <w:t>Region A</w:t>
            </w:r>
          </w:p>
        </w:tc>
        <w:tc>
          <w:tcPr>
            <w:tcW w:w="1924" w:type="dxa"/>
            <w:tcBorders>
              <w:top w:val="single" w:sz="4" w:space="0" w:color="auto"/>
              <w:left w:val="single" w:sz="4" w:space="0" w:color="auto"/>
            </w:tcBorders>
          </w:tcPr>
          <w:p w14:paraId="57BBFE2A" w14:textId="7FB8BB31" w:rsidR="00CD7887" w:rsidRPr="000D70CC" w:rsidRDefault="00CD7887" w:rsidP="000D70CC">
            <w:pPr>
              <w:rPr>
                <w:rFonts w:eastAsia="Calibri"/>
                <w:color w:val="000000"/>
                <w:sz w:val="16"/>
                <w:szCs w:val="16"/>
                <w:lang w:val="en-GB" w:eastAsia="fi-FI"/>
              </w:rPr>
            </w:pPr>
            <w:r w:rsidRPr="000D70CC">
              <w:rPr>
                <w:rFonts w:eastAsia="Calibri"/>
                <w:color w:val="000000"/>
                <w:sz w:val="16"/>
                <w:szCs w:val="16"/>
                <w:lang w:val="en-GB" w:eastAsia="fi-FI"/>
              </w:rPr>
              <w:t xml:space="preserve">Impact in Region A driven by </w:t>
            </w:r>
            <w:r w:rsidR="00923DC5">
              <w:rPr>
                <w:rFonts w:eastAsia="Calibri"/>
                <w:color w:val="000000"/>
                <w:sz w:val="16"/>
                <w:szCs w:val="16"/>
                <w:lang w:val="en-GB" w:eastAsia="fi-FI"/>
              </w:rPr>
              <w:t>activities</w:t>
            </w:r>
            <w:r w:rsidR="00923DC5" w:rsidRPr="000D70CC">
              <w:rPr>
                <w:rFonts w:eastAsia="Calibri"/>
                <w:color w:val="000000"/>
                <w:sz w:val="16"/>
                <w:szCs w:val="16"/>
                <w:lang w:val="en-GB" w:eastAsia="fi-FI"/>
              </w:rPr>
              <w:t xml:space="preserve"> </w:t>
            </w:r>
            <w:r w:rsidRPr="000D70CC">
              <w:rPr>
                <w:rFonts w:eastAsia="Calibri"/>
                <w:color w:val="000000"/>
                <w:sz w:val="16"/>
                <w:szCs w:val="16"/>
                <w:lang w:val="en-GB" w:eastAsia="fi-FI"/>
              </w:rPr>
              <w:t xml:space="preserve">in Region A – </w:t>
            </w:r>
            <w:r w:rsidR="00A21440">
              <w:rPr>
                <w:rFonts w:eastAsia="Calibri"/>
                <w:color w:val="000000"/>
                <w:sz w:val="16"/>
                <w:szCs w:val="16"/>
                <w:lang w:val="en-GB" w:eastAsia="fi-FI"/>
              </w:rPr>
              <w:t>Activity</w:t>
            </w:r>
            <w:r w:rsidRPr="000D70CC">
              <w:rPr>
                <w:rFonts w:eastAsia="Calibri"/>
                <w:color w:val="000000"/>
                <w:sz w:val="16"/>
                <w:szCs w:val="16"/>
                <w:lang w:val="en-GB" w:eastAsia="fi-FI"/>
              </w:rPr>
              <w:t xml:space="preserve"> 1</w:t>
            </w:r>
          </w:p>
          <w:p w14:paraId="62127D61" w14:textId="77777777" w:rsidR="00CD7887" w:rsidRPr="000D70CC" w:rsidRDefault="00CD7887" w:rsidP="000D70CC">
            <w:pPr>
              <w:rPr>
                <w:rFonts w:eastAsia="Calibri"/>
                <w:color w:val="000000"/>
                <w:sz w:val="16"/>
                <w:szCs w:val="16"/>
                <w:lang w:val="en-GB" w:eastAsia="fi-FI"/>
              </w:rPr>
            </w:pPr>
          </w:p>
        </w:tc>
        <w:tc>
          <w:tcPr>
            <w:tcW w:w="1925" w:type="dxa"/>
            <w:tcBorders>
              <w:top w:val="single" w:sz="4" w:space="0" w:color="auto"/>
            </w:tcBorders>
          </w:tcPr>
          <w:p w14:paraId="7A60D032" w14:textId="115AA98E" w:rsidR="00CD7887" w:rsidRPr="000D70CC" w:rsidRDefault="00CD7887" w:rsidP="000D70CC">
            <w:pPr>
              <w:rPr>
                <w:rFonts w:eastAsia="Calibri"/>
                <w:color w:val="000000"/>
                <w:sz w:val="16"/>
                <w:szCs w:val="16"/>
                <w:lang w:val="en-GB" w:eastAsia="fi-FI"/>
              </w:rPr>
            </w:pPr>
            <w:r w:rsidRPr="000D70CC">
              <w:rPr>
                <w:rFonts w:eastAsia="Calibri"/>
                <w:color w:val="000000"/>
                <w:sz w:val="16"/>
                <w:szCs w:val="16"/>
                <w:lang w:val="en-GB" w:eastAsia="fi-FI"/>
              </w:rPr>
              <w:t xml:space="preserve">Impact in Region A driven by </w:t>
            </w:r>
            <w:r w:rsidR="00CE1C7A">
              <w:rPr>
                <w:rFonts w:eastAsia="Calibri"/>
                <w:color w:val="000000"/>
                <w:sz w:val="16"/>
                <w:szCs w:val="16"/>
                <w:lang w:val="en-GB" w:eastAsia="fi-FI"/>
              </w:rPr>
              <w:t>activities</w:t>
            </w:r>
            <w:r w:rsidRPr="000D70CC">
              <w:rPr>
                <w:rFonts w:eastAsia="Calibri"/>
                <w:color w:val="000000"/>
                <w:sz w:val="16"/>
                <w:szCs w:val="16"/>
                <w:lang w:val="en-GB" w:eastAsia="fi-FI"/>
              </w:rPr>
              <w:t xml:space="preserve"> in Region A – </w:t>
            </w:r>
            <w:r w:rsidR="00A21440">
              <w:rPr>
                <w:rFonts w:eastAsia="Calibri"/>
                <w:color w:val="000000"/>
                <w:sz w:val="16"/>
                <w:szCs w:val="16"/>
                <w:lang w:val="en-GB" w:eastAsia="fi-FI"/>
              </w:rPr>
              <w:t>Activity</w:t>
            </w:r>
            <w:r w:rsidRPr="000D70CC">
              <w:rPr>
                <w:rFonts w:eastAsia="Calibri"/>
                <w:color w:val="000000"/>
                <w:sz w:val="16"/>
                <w:szCs w:val="16"/>
                <w:lang w:val="en-GB" w:eastAsia="fi-FI"/>
              </w:rPr>
              <w:t xml:space="preserve"> 2</w:t>
            </w:r>
          </w:p>
        </w:tc>
        <w:tc>
          <w:tcPr>
            <w:tcW w:w="1622" w:type="dxa"/>
            <w:tcBorders>
              <w:top w:val="single" w:sz="4" w:space="0" w:color="auto"/>
            </w:tcBorders>
          </w:tcPr>
          <w:p w14:paraId="6F2005D2" w14:textId="01FBAB40" w:rsidR="00CD7887" w:rsidRPr="000D70CC" w:rsidRDefault="00CD7887" w:rsidP="000D70CC">
            <w:pPr>
              <w:rPr>
                <w:rFonts w:eastAsia="Calibri"/>
                <w:color w:val="000000"/>
                <w:sz w:val="16"/>
                <w:szCs w:val="16"/>
                <w:lang w:val="en-GB" w:eastAsia="fi-FI"/>
              </w:rPr>
            </w:pPr>
            <w:r w:rsidRPr="000D70CC">
              <w:rPr>
                <w:rFonts w:eastAsia="Calibri"/>
                <w:color w:val="000000"/>
                <w:sz w:val="16"/>
                <w:szCs w:val="16"/>
                <w:lang w:val="en-GB" w:eastAsia="fi-FI"/>
              </w:rPr>
              <w:t xml:space="preserve">Impact in Region A driven by </w:t>
            </w:r>
            <w:r w:rsidR="00CE1C7A">
              <w:rPr>
                <w:rFonts w:eastAsia="Calibri"/>
                <w:color w:val="000000"/>
                <w:sz w:val="16"/>
                <w:szCs w:val="16"/>
                <w:lang w:val="en-GB" w:eastAsia="fi-FI"/>
              </w:rPr>
              <w:t>activities</w:t>
            </w:r>
            <w:r w:rsidRPr="000D70CC">
              <w:rPr>
                <w:rFonts w:eastAsia="Calibri"/>
                <w:color w:val="000000"/>
                <w:sz w:val="16"/>
                <w:szCs w:val="16"/>
                <w:lang w:val="en-GB" w:eastAsia="fi-FI"/>
              </w:rPr>
              <w:t xml:space="preserve"> in Region B – </w:t>
            </w:r>
            <w:r w:rsidR="00A21440">
              <w:rPr>
                <w:rFonts w:eastAsia="Calibri"/>
                <w:color w:val="000000"/>
                <w:sz w:val="16"/>
                <w:szCs w:val="16"/>
                <w:lang w:val="en-GB" w:eastAsia="fi-FI"/>
              </w:rPr>
              <w:t>Activity</w:t>
            </w:r>
            <w:r w:rsidRPr="000D70CC">
              <w:rPr>
                <w:rFonts w:eastAsia="Calibri"/>
                <w:color w:val="000000"/>
                <w:sz w:val="16"/>
                <w:szCs w:val="16"/>
                <w:lang w:val="en-GB" w:eastAsia="fi-FI"/>
              </w:rPr>
              <w:t xml:space="preserve"> 1</w:t>
            </w:r>
          </w:p>
        </w:tc>
        <w:tc>
          <w:tcPr>
            <w:tcW w:w="1622" w:type="dxa"/>
            <w:tcBorders>
              <w:top w:val="single" w:sz="4" w:space="0" w:color="auto"/>
            </w:tcBorders>
          </w:tcPr>
          <w:p w14:paraId="3A8C4CA4" w14:textId="113B6BF0" w:rsidR="00CD7887" w:rsidRPr="000D70CC" w:rsidRDefault="00CD7887" w:rsidP="000D70CC">
            <w:pPr>
              <w:rPr>
                <w:rFonts w:eastAsia="Calibri"/>
                <w:color w:val="000000"/>
                <w:sz w:val="16"/>
                <w:szCs w:val="16"/>
                <w:lang w:val="en-GB" w:eastAsia="fi-FI"/>
              </w:rPr>
            </w:pPr>
            <w:r w:rsidRPr="000D70CC">
              <w:rPr>
                <w:rFonts w:eastAsia="Calibri"/>
                <w:color w:val="000000"/>
                <w:sz w:val="16"/>
                <w:szCs w:val="16"/>
                <w:lang w:val="en-GB" w:eastAsia="fi-FI"/>
              </w:rPr>
              <w:t xml:space="preserve">Impact in Region A driven by </w:t>
            </w:r>
            <w:r w:rsidR="00CE1C7A">
              <w:rPr>
                <w:rFonts w:eastAsia="Calibri"/>
                <w:color w:val="000000"/>
                <w:sz w:val="16"/>
                <w:szCs w:val="16"/>
                <w:lang w:val="en-GB" w:eastAsia="fi-FI"/>
              </w:rPr>
              <w:t>activities</w:t>
            </w:r>
            <w:r w:rsidRPr="000D70CC">
              <w:rPr>
                <w:rFonts w:eastAsia="Calibri"/>
                <w:color w:val="000000"/>
                <w:sz w:val="16"/>
                <w:szCs w:val="16"/>
                <w:lang w:val="en-GB" w:eastAsia="fi-FI"/>
              </w:rPr>
              <w:t xml:space="preserve"> in Region B – </w:t>
            </w:r>
            <w:r w:rsidR="00A21440">
              <w:rPr>
                <w:rFonts w:eastAsia="Calibri"/>
                <w:color w:val="000000"/>
                <w:sz w:val="16"/>
                <w:szCs w:val="16"/>
                <w:lang w:val="en-GB" w:eastAsia="fi-FI"/>
              </w:rPr>
              <w:t>Activity</w:t>
            </w:r>
            <w:r w:rsidRPr="000D70CC">
              <w:rPr>
                <w:rFonts w:eastAsia="Calibri"/>
                <w:color w:val="000000"/>
                <w:sz w:val="16"/>
                <w:szCs w:val="16"/>
                <w:lang w:val="en-GB" w:eastAsia="fi-FI"/>
              </w:rPr>
              <w:t xml:space="preserve"> 2</w:t>
            </w:r>
          </w:p>
        </w:tc>
      </w:tr>
      <w:tr w:rsidR="00CD7887" w:rsidRPr="000A2DBE" w14:paraId="3762AD2D" w14:textId="77777777" w:rsidTr="000D70CC">
        <w:tc>
          <w:tcPr>
            <w:tcW w:w="1923" w:type="dxa"/>
            <w:tcBorders>
              <w:right w:val="single" w:sz="4" w:space="0" w:color="auto"/>
            </w:tcBorders>
            <w:vAlign w:val="center"/>
          </w:tcPr>
          <w:p w14:paraId="42CE8615" w14:textId="77777777" w:rsidR="00CD7887" w:rsidRPr="000D70CC" w:rsidRDefault="00CD7887" w:rsidP="000D70CC">
            <w:pPr>
              <w:rPr>
                <w:rFonts w:eastAsia="Calibri"/>
                <w:b/>
                <w:bCs/>
                <w:color w:val="000000"/>
                <w:sz w:val="16"/>
                <w:szCs w:val="16"/>
                <w:lang w:val="en-GB" w:eastAsia="fi-FI"/>
              </w:rPr>
            </w:pPr>
            <w:r w:rsidRPr="000D70CC">
              <w:rPr>
                <w:rFonts w:eastAsia="Calibri"/>
                <w:b/>
                <w:bCs/>
                <w:color w:val="000000"/>
                <w:sz w:val="16"/>
                <w:szCs w:val="16"/>
                <w:lang w:val="en-GB" w:eastAsia="fi-FI"/>
              </w:rPr>
              <w:t>Region B</w:t>
            </w:r>
          </w:p>
        </w:tc>
        <w:tc>
          <w:tcPr>
            <w:tcW w:w="1924" w:type="dxa"/>
            <w:tcBorders>
              <w:left w:val="single" w:sz="4" w:space="0" w:color="auto"/>
            </w:tcBorders>
          </w:tcPr>
          <w:p w14:paraId="07FAAD79" w14:textId="2227CA3D" w:rsidR="00CD7887" w:rsidRPr="000D70CC" w:rsidRDefault="00CD7887" w:rsidP="000D70CC">
            <w:pPr>
              <w:rPr>
                <w:rFonts w:eastAsia="Calibri"/>
                <w:color w:val="000000"/>
                <w:sz w:val="16"/>
                <w:szCs w:val="16"/>
                <w:lang w:val="en-GB" w:eastAsia="fi-FI"/>
              </w:rPr>
            </w:pPr>
            <w:r w:rsidRPr="000D70CC">
              <w:rPr>
                <w:rFonts w:eastAsia="Calibri"/>
                <w:color w:val="000000"/>
                <w:sz w:val="16"/>
                <w:szCs w:val="16"/>
                <w:lang w:val="en-GB" w:eastAsia="fi-FI"/>
              </w:rPr>
              <w:t xml:space="preserve">Impact in Region B driven by </w:t>
            </w:r>
            <w:r w:rsidR="00CE1C7A">
              <w:rPr>
                <w:rFonts w:eastAsia="Calibri"/>
                <w:color w:val="000000"/>
                <w:sz w:val="16"/>
                <w:szCs w:val="16"/>
                <w:lang w:val="en-GB" w:eastAsia="fi-FI"/>
              </w:rPr>
              <w:t>activities</w:t>
            </w:r>
            <w:r w:rsidRPr="000D70CC">
              <w:rPr>
                <w:rFonts w:eastAsia="Calibri"/>
                <w:color w:val="000000"/>
                <w:sz w:val="16"/>
                <w:szCs w:val="16"/>
                <w:lang w:val="en-GB" w:eastAsia="fi-FI"/>
              </w:rPr>
              <w:t xml:space="preserve"> in Region A – </w:t>
            </w:r>
            <w:r w:rsidR="00A21440">
              <w:rPr>
                <w:rFonts w:eastAsia="Calibri"/>
                <w:color w:val="000000"/>
                <w:sz w:val="16"/>
                <w:szCs w:val="16"/>
                <w:lang w:val="en-GB" w:eastAsia="fi-FI"/>
              </w:rPr>
              <w:t>Activity</w:t>
            </w:r>
            <w:r w:rsidRPr="000D70CC">
              <w:rPr>
                <w:rFonts w:eastAsia="Calibri"/>
                <w:color w:val="000000"/>
                <w:sz w:val="16"/>
                <w:szCs w:val="16"/>
                <w:lang w:val="en-GB" w:eastAsia="fi-FI"/>
              </w:rPr>
              <w:t xml:space="preserve"> 1</w:t>
            </w:r>
          </w:p>
          <w:p w14:paraId="36DDA644" w14:textId="77777777" w:rsidR="00CD7887" w:rsidRPr="000D70CC" w:rsidRDefault="00CD7887" w:rsidP="000D70CC">
            <w:pPr>
              <w:rPr>
                <w:rFonts w:eastAsia="Calibri"/>
                <w:color w:val="000000"/>
                <w:sz w:val="16"/>
                <w:szCs w:val="16"/>
                <w:lang w:val="en-GB" w:eastAsia="fi-FI"/>
              </w:rPr>
            </w:pPr>
          </w:p>
        </w:tc>
        <w:tc>
          <w:tcPr>
            <w:tcW w:w="1925" w:type="dxa"/>
          </w:tcPr>
          <w:p w14:paraId="70405817" w14:textId="09EAA814" w:rsidR="00CD7887" w:rsidRPr="000D70CC" w:rsidRDefault="00CD7887" w:rsidP="000D70CC">
            <w:pPr>
              <w:rPr>
                <w:rFonts w:eastAsia="Calibri"/>
                <w:color w:val="000000"/>
                <w:sz w:val="16"/>
                <w:szCs w:val="16"/>
                <w:lang w:val="en-GB" w:eastAsia="fi-FI"/>
              </w:rPr>
            </w:pPr>
            <w:r w:rsidRPr="000D70CC">
              <w:rPr>
                <w:rFonts w:eastAsia="Calibri"/>
                <w:color w:val="000000"/>
                <w:sz w:val="16"/>
                <w:szCs w:val="16"/>
                <w:lang w:val="en-GB" w:eastAsia="fi-FI"/>
              </w:rPr>
              <w:t xml:space="preserve">Impact in Region B driven by </w:t>
            </w:r>
            <w:r w:rsidR="00CE1C7A">
              <w:rPr>
                <w:rFonts w:eastAsia="Calibri"/>
                <w:color w:val="000000"/>
                <w:sz w:val="16"/>
                <w:szCs w:val="16"/>
                <w:lang w:val="en-GB" w:eastAsia="fi-FI"/>
              </w:rPr>
              <w:t>activities</w:t>
            </w:r>
            <w:r w:rsidRPr="000D70CC">
              <w:rPr>
                <w:rFonts w:eastAsia="Calibri"/>
                <w:color w:val="000000"/>
                <w:sz w:val="16"/>
                <w:szCs w:val="16"/>
                <w:lang w:val="en-GB" w:eastAsia="fi-FI"/>
              </w:rPr>
              <w:t xml:space="preserve"> in Region A – </w:t>
            </w:r>
            <w:r w:rsidR="00A21440">
              <w:rPr>
                <w:rFonts w:eastAsia="Calibri"/>
                <w:color w:val="000000"/>
                <w:sz w:val="16"/>
                <w:szCs w:val="16"/>
                <w:lang w:val="en-GB" w:eastAsia="fi-FI"/>
              </w:rPr>
              <w:t>Activity</w:t>
            </w:r>
            <w:r w:rsidRPr="000D70CC">
              <w:rPr>
                <w:rFonts w:eastAsia="Calibri"/>
                <w:color w:val="000000"/>
                <w:sz w:val="16"/>
                <w:szCs w:val="16"/>
                <w:lang w:val="en-GB" w:eastAsia="fi-FI"/>
              </w:rPr>
              <w:t xml:space="preserve"> 2</w:t>
            </w:r>
          </w:p>
        </w:tc>
        <w:tc>
          <w:tcPr>
            <w:tcW w:w="1622" w:type="dxa"/>
          </w:tcPr>
          <w:p w14:paraId="6F805EF1" w14:textId="6FB018F2" w:rsidR="00CD7887" w:rsidRPr="000D70CC" w:rsidRDefault="00CD7887" w:rsidP="000D70CC">
            <w:pPr>
              <w:rPr>
                <w:rFonts w:eastAsia="Calibri"/>
                <w:color w:val="000000"/>
                <w:sz w:val="16"/>
                <w:szCs w:val="16"/>
                <w:lang w:val="en-GB" w:eastAsia="fi-FI"/>
              </w:rPr>
            </w:pPr>
            <w:r w:rsidRPr="000D70CC">
              <w:rPr>
                <w:rFonts w:eastAsia="Calibri"/>
                <w:color w:val="000000"/>
                <w:sz w:val="16"/>
                <w:szCs w:val="16"/>
                <w:lang w:val="en-GB" w:eastAsia="fi-FI"/>
              </w:rPr>
              <w:t xml:space="preserve">Impact in Region B driven by </w:t>
            </w:r>
            <w:r w:rsidR="00CE1C7A">
              <w:rPr>
                <w:rFonts w:eastAsia="Calibri"/>
                <w:color w:val="000000"/>
                <w:sz w:val="16"/>
                <w:szCs w:val="16"/>
                <w:lang w:val="en-GB" w:eastAsia="fi-FI"/>
              </w:rPr>
              <w:t>activities</w:t>
            </w:r>
            <w:r w:rsidRPr="000D70CC">
              <w:rPr>
                <w:rFonts w:eastAsia="Calibri"/>
                <w:color w:val="000000"/>
                <w:sz w:val="16"/>
                <w:szCs w:val="16"/>
                <w:lang w:val="en-GB" w:eastAsia="fi-FI"/>
              </w:rPr>
              <w:t xml:space="preserve"> in Region B – </w:t>
            </w:r>
            <w:r w:rsidR="00A21440">
              <w:rPr>
                <w:rFonts w:eastAsia="Calibri"/>
                <w:color w:val="000000"/>
                <w:sz w:val="16"/>
                <w:szCs w:val="16"/>
                <w:lang w:val="en-GB" w:eastAsia="fi-FI"/>
              </w:rPr>
              <w:t>Activity</w:t>
            </w:r>
            <w:r w:rsidRPr="000D70CC">
              <w:rPr>
                <w:rFonts w:eastAsia="Calibri"/>
                <w:color w:val="000000"/>
                <w:sz w:val="16"/>
                <w:szCs w:val="16"/>
                <w:lang w:val="en-GB" w:eastAsia="fi-FI"/>
              </w:rPr>
              <w:t xml:space="preserve"> 1</w:t>
            </w:r>
          </w:p>
        </w:tc>
        <w:tc>
          <w:tcPr>
            <w:tcW w:w="1622" w:type="dxa"/>
          </w:tcPr>
          <w:p w14:paraId="2AC735AB" w14:textId="6367EEEC" w:rsidR="00CD7887" w:rsidRPr="000D70CC" w:rsidRDefault="00CD7887" w:rsidP="000D70CC">
            <w:pPr>
              <w:rPr>
                <w:rFonts w:eastAsia="Calibri"/>
                <w:color w:val="000000"/>
                <w:sz w:val="16"/>
                <w:szCs w:val="16"/>
                <w:lang w:val="en-GB" w:eastAsia="fi-FI"/>
              </w:rPr>
            </w:pPr>
            <w:r w:rsidRPr="000D70CC">
              <w:rPr>
                <w:rFonts w:eastAsia="Calibri"/>
                <w:color w:val="000000"/>
                <w:sz w:val="16"/>
                <w:szCs w:val="16"/>
                <w:lang w:val="en-GB" w:eastAsia="fi-FI"/>
              </w:rPr>
              <w:t xml:space="preserve">Impact in Region B driven by </w:t>
            </w:r>
            <w:r w:rsidR="00CE1C7A">
              <w:rPr>
                <w:rFonts w:eastAsia="Calibri"/>
                <w:color w:val="000000"/>
                <w:sz w:val="16"/>
                <w:szCs w:val="16"/>
                <w:lang w:val="en-GB" w:eastAsia="fi-FI"/>
              </w:rPr>
              <w:t>activities</w:t>
            </w:r>
            <w:r w:rsidRPr="000D70CC">
              <w:rPr>
                <w:rFonts w:eastAsia="Calibri"/>
                <w:color w:val="000000"/>
                <w:sz w:val="16"/>
                <w:szCs w:val="16"/>
                <w:lang w:val="en-GB" w:eastAsia="fi-FI"/>
              </w:rPr>
              <w:t xml:space="preserve"> in Region B – </w:t>
            </w:r>
            <w:r w:rsidR="00A21440">
              <w:rPr>
                <w:rFonts w:eastAsia="Calibri"/>
                <w:color w:val="000000"/>
                <w:sz w:val="16"/>
                <w:szCs w:val="16"/>
                <w:lang w:val="en-GB" w:eastAsia="fi-FI"/>
              </w:rPr>
              <w:t>Activity</w:t>
            </w:r>
            <w:r w:rsidRPr="000D70CC">
              <w:rPr>
                <w:rFonts w:eastAsia="Calibri"/>
                <w:color w:val="000000"/>
                <w:sz w:val="16"/>
                <w:szCs w:val="16"/>
                <w:lang w:val="en-GB" w:eastAsia="fi-FI"/>
              </w:rPr>
              <w:t xml:space="preserve"> 2</w:t>
            </w:r>
          </w:p>
        </w:tc>
      </w:tr>
      <w:tr w:rsidR="00CD7887" w:rsidRPr="000A2DBE" w14:paraId="4A7723BC" w14:textId="77777777" w:rsidTr="000D70CC">
        <w:trPr>
          <w:trHeight w:val="493"/>
        </w:trPr>
        <w:tc>
          <w:tcPr>
            <w:tcW w:w="1923" w:type="dxa"/>
            <w:tcBorders>
              <w:right w:val="single" w:sz="4" w:space="0" w:color="auto"/>
            </w:tcBorders>
            <w:vAlign w:val="center"/>
          </w:tcPr>
          <w:p w14:paraId="5F9A58D5" w14:textId="77777777" w:rsidR="00CD7887" w:rsidRPr="000D70CC" w:rsidRDefault="00CD7887" w:rsidP="000D70CC">
            <w:pPr>
              <w:rPr>
                <w:rFonts w:eastAsia="Calibri"/>
                <w:b/>
                <w:bCs/>
                <w:color w:val="000000"/>
                <w:sz w:val="16"/>
                <w:szCs w:val="16"/>
                <w:lang w:val="en-GB" w:eastAsia="fi-FI"/>
              </w:rPr>
            </w:pPr>
            <w:r w:rsidRPr="000D70CC">
              <w:rPr>
                <w:rFonts w:eastAsia="Calibri"/>
                <w:b/>
                <w:bCs/>
                <w:color w:val="000000"/>
                <w:sz w:val="16"/>
                <w:szCs w:val="16"/>
                <w:lang w:val="en-GB" w:eastAsia="fi-FI"/>
              </w:rPr>
              <w:t>Region C</w:t>
            </w:r>
          </w:p>
        </w:tc>
        <w:tc>
          <w:tcPr>
            <w:tcW w:w="1924" w:type="dxa"/>
            <w:tcBorders>
              <w:left w:val="single" w:sz="4" w:space="0" w:color="auto"/>
            </w:tcBorders>
          </w:tcPr>
          <w:p w14:paraId="3F4EDA24" w14:textId="53DA5ADC" w:rsidR="00CD7887" w:rsidRPr="000D70CC" w:rsidRDefault="00CD7887" w:rsidP="000D70CC">
            <w:pPr>
              <w:rPr>
                <w:rFonts w:eastAsia="Calibri"/>
                <w:color w:val="000000"/>
                <w:sz w:val="16"/>
                <w:szCs w:val="16"/>
                <w:lang w:val="en-GB" w:eastAsia="fi-FI"/>
              </w:rPr>
            </w:pPr>
            <w:r w:rsidRPr="000D70CC">
              <w:rPr>
                <w:rFonts w:eastAsia="Calibri"/>
                <w:color w:val="000000"/>
                <w:sz w:val="16"/>
                <w:szCs w:val="16"/>
                <w:lang w:val="en-GB" w:eastAsia="fi-FI"/>
              </w:rPr>
              <w:t xml:space="preserve">Impact in Region C driven by </w:t>
            </w:r>
            <w:r w:rsidR="00CE1C7A">
              <w:rPr>
                <w:rFonts w:eastAsia="Calibri"/>
                <w:color w:val="000000"/>
                <w:sz w:val="16"/>
                <w:szCs w:val="16"/>
                <w:lang w:val="en-GB" w:eastAsia="fi-FI"/>
              </w:rPr>
              <w:t>activities</w:t>
            </w:r>
            <w:r w:rsidRPr="000D70CC">
              <w:rPr>
                <w:rFonts w:eastAsia="Calibri"/>
                <w:color w:val="000000"/>
                <w:sz w:val="16"/>
                <w:szCs w:val="16"/>
                <w:lang w:val="en-GB" w:eastAsia="fi-FI"/>
              </w:rPr>
              <w:t xml:space="preserve"> in Region A – </w:t>
            </w:r>
            <w:r w:rsidR="00A21440">
              <w:rPr>
                <w:rFonts w:eastAsia="Calibri"/>
                <w:color w:val="000000"/>
                <w:sz w:val="16"/>
                <w:szCs w:val="16"/>
                <w:lang w:val="en-GB" w:eastAsia="fi-FI"/>
              </w:rPr>
              <w:t>Activity</w:t>
            </w:r>
            <w:r w:rsidRPr="000D70CC">
              <w:rPr>
                <w:rFonts w:eastAsia="Calibri"/>
                <w:color w:val="000000"/>
                <w:sz w:val="16"/>
                <w:szCs w:val="16"/>
                <w:lang w:val="en-GB" w:eastAsia="fi-FI"/>
              </w:rPr>
              <w:t xml:space="preserve"> 1</w:t>
            </w:r>
          </w:p>
          <w:p w14:paraId="4F136D18" w14:textId="77777777" w:rsidR="00CD7887" w:rsidRPr="000D70CC" w:rsidRDefault="00CD7887" w:rsidP="000D70CC">
            <w:pPr>
              <w:rPr>
                <w:rFonts w:eastAsia="Calibri"/>
                <w:color w:val="000000"/>
                <w:sz w:val="16"/>
                <w:szCs w:val="16"/>
                <w:lang w:val="en-GB" w:eastAsia="fi-FI"/>
              </w:rPr>
            </w:pPr>
          </w:p>
        </w:tc>
        <w:tc>
          <w:tcPr>
            <w:tcW w:w="1925" w:type="dxa"/>
          </w:tcPr>
          <w:p w14:paraId="374D1FA4" w14:textId="1EB18EE8" w:rsidR="00CD7887" w:rsidRPr="000D70CC" w:rsidRDefault="00CD7887" w:rsidP="000D70CC">
            <w:pPr>
              <w:rPr>
                <w:rFonts w:eastAsia="Calibri"/>
                <w:color w:val="000000"/>
                <w:sz w:val="16"/>
                <w:szCs w:val="16"/>
                <w:lang w:val="en-GB" w:eastAsia="fi-FI"/>
              </w:rPr>
            </w:pPr>
            <w:r w:rsidRPr="000D70CC">
              <w:rPr>
                <w:rFonts w:eastAsia="Calibri"/>
                <w:color w:val="000000"/>
                <w:sz w:val="16"/>
                <w:szCs w:val="16"/>
                <w:lang w:val="en-GB" w:eastAsia="fi-FI"/>
              </w:rPr>
              <w:t xml:space="preserve">Impact in Region C driven by </w:t>
            </w:r>
            <w:r w:rsidR="00CE1C7A">
              <w:rPr>
                <w:rFonts w:eastAsia="Calibri"/>
                <w:color w:val="000000"/>
                <w:sz w:val="16"/>
                <w:szCs w:val="16"/>
                <w:lang w:val="en-GB" w:eastAsia="fi-FI"/>
              </w:rPr>
              <w:t>activities</w:t>
            </w:r>
            <w:r w:rsidRPr="000D70CC">
              <w:rPr>
                <w:rFonts w:eastAsia="Calibri"/>
                <w:color w:val="000000"/>
                <w:sz w:val="16"/>
                <w:szCs w:val="16"/>
                <w:lang w:val="en-GB" w:eastAsia="fi-FI"/>
              </w:rPr>
              <w:t xml:space="preserve"> in Region A – </w:t>
            </w:r>
            <w:r w:rsidR="00A21440">
              <w:rPr>
                <w:rFonts w:eastAsia="Calibri"/>
                <w:color w:val="000000"/>
                <w:sz w:val="16"/>
                <w:szCs w:val="16"/>
                <w:lang w:val="en-GB" w:eastAsia="fi-FI"/>
              </w:rPr>
              <w:t>Activity</w:t>
            </w:r>
            <w:r w:rsidRPr="000D70CC">
              <w:rPr>
                <w:rFonts w:eastAsia="Calibri"/>
                <w:color w:val="000000"/>
                <w:sz w:val="16"/>
                <w:szCs w:val="16"/>
                <w:lang w:val="en-GB" w:eastAsia="fi-FI"/>
              </w:rPr>
              <w:t xml:space="preserve"> 2</w:t>
            </w:r>
          </w:p>
        </w:tc>
        <w:tc>
          <w:tcPr>
            <w:tcW w:w="1622" w:type="dxa"/>
          </w:tcPr>
          <w:p w14:paraId="24C39BF7" w14:textId="7DCB66DE" w:rsidR="00CD7887" w:rsidRPr="000D70CC" w:rsidRDefault="00CD7887" w:rsidP="000D70CC">
            <w:pPr>
              <w:rPr>
                <w:rFonts w:eastAsia="Calibri"/>
                <w:color w:val="000000"/>
                <w:sz w:val="16"/>
                <w:szCs w:val="16"/>
                <w:lang w:val="en-GB" w:eastAsia="fi-FI"/>
              </w:rPr>
            </w:pPr>
            <w:r w:rsidRPr="000D70CC">
              <w:rPr>
                <w:rFonts w:eastAsia="Calibri"/>
                <w:color w:val="000000"/>
                <w:sz w:val="16"/>
                <w:szCs w:val="16"/>
                <w:lang w:val="en-GB" w:eastAsia="fi-FI"/>
              </w:rPr>
              <w:t xml:space="preserve">Impact in Region C driven by </w:t>
            </w:r>
            <w:r w:rsidR="00CE1C7A">
              <w:rPr>
                <w:rFonts w:eastAsia="Calibri"/>
                <w:color w:val="000000"/>
                <w:sz w:val="16"/>
                <w:szCs w:val="16"/>
                <w:lang w:val="en-GB" w:eastAsia="fi-FI"/>
              </w:rPr>
              <w:t>activities</w:t>
            </w:r>
            <w:r w:rsidRPr="000D70CC">
              <w:rPr>
                <w:rFonts w:eastAsia="Calibri"/>
                <w:color w:val="000000"/>
                <w:sz w:val="16"/>
                <w:szCs w:val="16"/>
                <w:lang w:val="en-GB" w:eastAsia="fi-FI"/>
              </w:rPr>
              <w:t xml:space="preserve"> in Region B – </w:t>
            </w:r>
            <w:r w:rsidR="00A21440">
              <w:rPr>
                <w:rFonts w:eastAsia="Calibri"/>
                <w:color w:val="000000"/>
                <w:sz w:val="16"/>
                <w:szCs w:val="16"/>
                <w:lang w:val="en-GB" w:eastAsia="fi-FI"/>
              </w:rPr>
              <w:t>Activity</w:t>
            </w:r>
            <w:r w:rsidRPr="000D70CC">
              <w:rPr>
                <w:rFonts w:eastAsia="Calibri"/>
                <w:color w:val="000000"/>
                <w:sz w:val="16"/>
                <w:szCs w:val="16"/>
                <w:lang w:val="en-GB" w:eastAsia="fi-FI"/>
              </w:rPr>
              <w:t xml:space="preserve"> 1</w:t>
            </w:r>
          </w:p>
        </w:tc>
        <w:tc>
          <w:tcPr>
            <w:tcW w:w="1622" w:type="dxa"/>
          </w:tcPr>
          <w:p w14:paraId="7F430DD8" w14:textId="0E0C2A67" w:rsidR="00CD7887" w:rsidRPr="000D70CC" w:rsidRDefault="00CD7887" w:rsidP="000D70CC">
            <w:pPr>
              <w:rPr>
                <w:rFonts w:eastAsia="Calibri"/>
                <w:color w:val="000000"/>
                <w:sz w:val="16"/>
                <w:szCs w:val="16"/>
                <w:lang w:val="en-GB" w:eastAsia="fi-FI"/>
              </w:rPr>
            </w:pPr>
            <w:r w:rsidRPr="000D70CC">
              <w:rPr>
                <w:rFonts w:eastAsia="Calibri"/>
                <w:color w:val="000000"/>
                <w:sz w:val="16"/>
                <w:szCs w:val="16"/>
                <w:lang w:val="en-GB" w:eastAsia="fi-FI"/>
              </w:rPr>
              <w:t xml:space="preserve">Impact in Region C driven by </w:t>
            </w:r>
            <w:r w:rsidR="00CE1C7A">
              <w:rPr>
                <w:rFonts w:eastAsia="Calibri"/>
                <w:color w:val="000000"/>
                <w:sz w:val="16"/>
                <w:szCs w:val="16"/>
                <w:lang w:val="en-GB" w:eastAsia="fi-FI"/>
              </w:rPr>
              <w:t>activities</w:t>
            </w:r>
            <w:r w:rsidRPr="000D70CC">
              <w:rPr>
                <w:rFonts w:eastAsia="Calibri"/>
                <w:color w:val="000000"/>
                <w:sz w:val="16"/>
                <w:szCs w:val="16"/>
                <w:lang w:val="en-GB" w:eastAsia="fi-FI"/>
              </w:rPr>
              <w:t xml:space="preserve"> in Region B – </w:t>
            </w:r>
            <w:r w:rsidR="00A21440">
              <w:rPr>
                <w:rFonts w:eastAsia="Calibri"/>
                <w:color w:val="000000"/>
                <w:sz w:val="16"/>
                <w:szCs w:val="16"/>
                <w:lang w:val="en-GB" w:eastAsia="fi-FI"/>
              </w:rPr>
              <w:t>Activity</w:t>
            </w:r>
            <w:r w:rsidRPr="000D70CC">
              <w:rPr>
                <w:rFonts w:eastAsia="Calibri"/>
                <w:color w:val="000000"/>
                <w:sz w:val="16"/>
                <w:szCs w:val="16"/>
                <w:lang w:val="en-GB" w:eastAsia="fi-FI"/>
              </w:rPr>
              <w:t xml:space="preserve"> 2</w:t>
            </w:r>
          </w:p>
        </w:tc>
      </w:tr>
    </w:tbl>
    <w:p w14:paraId="57A2BE55" w14:textId="77777777" w:rsidR="00CD7887" w:rsidRPr="000A2DBE" w:rsidRDefault="00CD7887" w:rsidP="00CD7887">
      <w:pPr>
        <w:rPr>
          <w:b/>
          <w:bCs/>
        </w:rPr>
      </w:pPr>
    </w:p>
    <w:p w14:paraId="196CB752" w14:textId="77777777" w:rsidR="00CD7887" w:rsidRPr="00295268" w:rsidRDefault="00CD7887" w:rsidP="00CD7887">
      <w:pPr>
        <w:rPr>
          <w:b/>
          <w:bCs/>
        </w:rPr>
      </w:pPr>
      <w:r w:rsidRPr="000A2DBE">
        <w:rPr>
          <w:b/>
          <w:bCs/>
        </w:rPr>
        <w:br w:type="page"/>
      </w:r>
      <w:r w:rsidRPr="000A2DBE">
        <w:rPr>
          <w:b/>
          <w:bCs/>
          <w:sz w:val="20"/>
        </w:rPr>
        <w:lastRenderedPageBreak/>
        <w:t>Table S</w:t>
      </w:r>
      <w:r>
        <w:rPr>
          <w:b/>
          <w:bCs/>
          <w:sz w:val="20"/>
        </w:rPr>
        <w:t>2</w:t>
      </w:r>
      <w:r w:rsidRPr="000A2DBE">
        <w:rPr>
          <w:b/>
          <w:bCs/>
          <w:sz w:val="20"/>
        </w:rPr>
        <w:t>.</w:t>
      </w:r>
      <w:r w:rsidRPr="000A2DBE">
        <w:rPr>
          <w:sz w:val="20"/>
        </w:rPr>
        <w:t xml:space="preserve"> </w:t>
      </w:r>
      <w:r>
        <w:rPr>
          <w:sz w:val="20"/>
          <w:lang w:val="en-GB"/>
        </w:rPr>
        <w:t>Direct drivers of biodiversity loss</w:t>
      </w:r>
      <w:r w:rsidRPr="000A2DBE">
        <w:rPr>
          <w:sz w:val="20"/>
          <w:lang w:val="en-GB"/>
        </w:rPr>
        <w:t xml:space="preserve"> in EXIOBASE and connecting </w:t>
      </w:r>
      <w:r>
        <w:rPr>
          <w:sz w:val="20"/>
          <w:lang w:val="en-GB"/>
        </w:rPr>
        <w:t xml:space="preserve">biodiversity </w:t>
      </w:r>
      <w:r w:rsidRPr="000A2DBE">
        <w:rPr>
          <w:sz w:val="20"/>
          <w:lang w:val="en-GB"/>
        </w:rPr>
        <w:t>impact category in LC-IMPACT. In terms of land use, average effects from LC-IMPACT were used, instead of marginal effects.</w:t>
      </w:r>
    </w:p>
    <w:p w14:paraId="7AC1829A" w14:textId="77777777" w:rsidR="00CD7887" w:rsidRPr="000A2DBE" w:rsidRDefault="00CD7887" w:rsidP="00CD7887">
      <w:pPr>
        <w:rPr>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40"/>
        <w:gridCol w:w="3616"/>
      </w:tblGrid>
      <w:tr w:rsidR="00CD7887" w:rsidRPr="000A2DBE" w14:paraId="7918F0FB" w14:textId="77777777" w:rsidTr="000D70CC">
        <w:trPr>
          <w:trHeight w:val="580"/>
        </w:trPr>
        <w:tc>
          <w:tcPr>
            <w:tcW w:w="0" w:type="auto"/>
          </w:tcPr>
          <w:p w14:paraId="6CBC4887" w14:textId="77777777" w:rsidR="00CD7887" w:rsidRPr="000D70CC" w:rsidRDefault="00CD7887" w:rsidP="000D70CC">
            <w:pPr>
              <w:jc w:val="both"/>
              <w:rPr>
                <w:rFonts w:eastAsia="Calibri"/>
                <w:b/>
                <w:bCs/>
                <w:sz w:val="16"/>
                <w:szCs w:val="16"/>
                <w:lang w:val="en-GB" w:eastAsia="fi-FI"/>
              </w:rPr>
            </w:pPr>
            <w:r w:rsidRPr="000D70CC">
              <w:rPr>
                <w:rFonts w:eastAsia="Calibri"/>
                <w:b/>
                <w:bCs/>
                <w:sz w:val="16"/>
                <w:szCs w:val="16"/>
                <w:lang w:val="en-GB" w:eastAsia="fi-FI"/>
              </w:rPr>
              <w:t>Stressor name (EXIOBASE)</w:t>
            </w:r>
          </w:p>
        </w:tc>
        <w:tc>
          <w:tcPr>
            <w:tcW w:w="0" w:type="auto"/>
          </w:tcPr>
          <w:p w14:paraId="0E37432E" w14:textId="77777777" w:rsidR="00CD7887" w:rsidRPr="000D70CC" w:rsidRDefault="00CD7887" w:rsidP="000D70CC">
            <w:pPr>
              <w:jc w:val="both"/>
              <w:rPr>
                <w:rFonts w:eastAsia="Calibri"/>
                <w:b/>
                <w:bCs/>
                <w:sz w:val="16"/>
                <w:szCs w:val="16"/>
                <w:lang w:val="en-GB" w:eastAsia="fi-FI"/>
              </w:rPr>
            </w:pPr>
            <w:r w:rsidRPr="000D70CC">
              <w:rPr>
                <w:rFonts w:eastAsia="Calibri"/>
                <w:b/>
                <w:bCs/>
                <w:sz w:val="16"/>
                <w:szCs w:val="16"/>
                <w:lang w:val="en-GB" w:eastAsia="fi-FI"/>
              </w:rPr>
              <w:t>Connecting stressor in LC-Impact</w:t>
            </w:r>
          </w:p>
        </w:tc>
      </w:tr>
      <w:tr w:rsidR="00CD7887" w:rsidRPr="000A2DBE" w14:paraId="0E68B717" w14:textId="77777777" w:rsidTr="000D70CC">
        <w:trPr>
          <w:trHeight w:val="309"/>
        </w:trPr>
        <w:tc>
          <w:tcPr>
            <w:tcW w:w="0" w:type="auto"/>
            <w:gridSpan w:val="2"/>
          </w:tcPr>
          <w:p w14:paraId="4CE1D301" w14:textId="77777777" w:rsidR="00CD7887" w:rsidRPr="000D70CC" w:rsidRDefault="00CD7887" w:rsidP="000D70CC">
            <w:pPr>
              <w:jc w:val="center"/>
              <w:rPr>
                <w:rFonts w:eastAsia="Calibri"/>
                <w:b/>
                <w:bCs/>
                <w:sz w:val="16"/>
                <w:szCs w:val="16"/>
                <w:lang w:val="en-GB" w:eastAsia="fi-FI"/>
              </w:rPr>
            </w:pPr>
            <w:r w:rsidRPr="000D70CC">
              <w:rPr>
                <w:rFonts w:eastAsia="Calibri"/>
                <w:b/>
                <w:bCs/>
                <w:sz w:val="16"/>
                <w:szCs w:val="16"/>
                <w:lang w:val="en-GB" w:eastAsia="fi-FI"/>
              </w:rPr>
              <w:t>Land use</w:t>
            </w:r>
          </w:p>
        </w:tc>
      </w:tr>
      <w:tr w:rsidR="00CD7887" w:rsidRPr="000A2DBE" w14:paraId="05AED057" w14:textId="77777777" w:rsidTr="000D70CC">
        <w:trPr>
          <w:trHeight w:val="1317"/>
        </w:trPr>
        <w:tc>
          <w:tcPr>
            <w:tcW w:w="0" w:type="auto"/>
          </w:tcPr>
          <w:p w14:paraId="6244AC25" w14:textId="77777777" w:rsidR="00CD7887" w:rsidRPr="000D70CC" w:rsidRDefault="00CD7887" w:rsidP="000D70CC">
            <w:pPr>
              <w:rPr>
                <w:rFonts w:eastAsia="Calibri"/>
                <w:sz w:val="16"/>
                <w:szCs w:val="16"/>
                <w:lang w:val="en-GB" w:eastAsia="fi-FI"/>
              </w:rPr>
            </w:pPr>
            <w:r w:rsidRPr="000D70CC">
              <w:rPr>
                <w:rFonts w:eastAsia="Calibri"/>
                <w:sz w:val="16"/>
                <w:szCs w:val="16"/>
                <w:lang w:val="en-GB" w:eastAsia="fi-FI"/>
              </w:rPr>
              <w:t>Cropland – Cereal grains nec</w:t>
            </w:r>
          </w:p>
          <w:p w14:paraId="7F8CE985" w14:textId="77777777" w:rsidR="00CD7887" w:rsidRPr="000D70CC" w:rsidRDefault="00CD7887" w:rsidP="000D70CC">
            <w:pPr>
              <w:rPr>
                <w:rFonts w:eastAsia="Calibri"/>
                <w:sz w:val="16"/>
                <w:szCs w:val="16"/>
                <w:lang w:val="en-GB" w:eastAsia="fi-FI"/>
              </w:rPr>
            </w:pPr>
            <w:r w:rsidRPr="000D70CC">
              <w:rPr>
                <w:rFonts w:eastAsia="Calibri"/>
                <w:sz w:val="16"/>
                <w:szCs w:val="16"/>
                <w:lang w:val="en-GB" w:eastAsia="fi-FI"/>
              </w:rPr>
              <w:t>Cropland – Crops nec</w:t>
            </w:r>
          </w:p>
          <w:p w14:paraId="5BE78A9A" w14:textId="77777777" w:rsidR="00CD7887" w:rsidRPr="000D70CC" w:rsidRDefault="00CD7887" w:rsidP="000D70CC">
            <w:pPr>
              <w:rPr>
                <w:rFonts w:eastAsia="Calibri"/>
                <w:sz w:val="16"/>
                <w:szCs w:val="16"/>
                <w:lang w:val="en-GB" w:eastAsia="fi-FI"/>
              </w:rPr>
            </w:pPr>
            <w:r w:rsidRPr="000D70CC">
              <w:rPr>
                <w:rFonts w:eastAsia="Calibri"/>
                <w:sz w:val="16"/>
                <w:szCs w:val="16"/>
                <w:lang w:val="en-GB" w:eastAsia="fi-FI"/>
              </w:rPr>
              <w:t>Cropland – Oil seeds</w:t>
            </w:r>
          </w:p>
          <w:p w14:paraId="5CBD1660" w14:textId="77777777" w:rsidR="00CD7887" w:rsidRPr="000D70CC" w:rsidRDefault="00CD7887" w:rsidP="000D70CC">
            <w:pPr>
              <w:rPr>
                <w:rFonts w:eastAsia="Calibri"/>
                <w:sz w:val="16"/>
                <w:szCs w:val="16"/>
                <w:lang w:val="en-GB" w:eastAsia="fi-FI"/>
              </w:rPr>
            </w:pPr>
            <w:r w:rsidRPr="000D70CC">
              <w:rPr>
                <w:rFonts w:eastAsia="Calibri"/>
                <w:sz w:val="16"/>
                <w:szCs w:val="16"/>
                <w:lang w:val="en-GB" w:eastAsia="fi-FI"/>
              </w:rPr>
              <w:t>Cropland – Paddy rice</w:t>
            </w:r>
          </w:p>
          <w:p w14:paraId="5D10584F" w14:textId="77777777" w:rsidR="00CD7887" w:rsidRPr="000D70CC" w:rsidRDefault="00CD7887" w:rsidP="000D70CC">
            <w:pPr>
              <w:rPr>
                <w:rFonts w:eastAsia="Calibri"/>
                <w:sz w:val="16"/>
                <w:szCs w:val="16"/>
                <w:lang w:val="en-GB" w:eastAsia="fi-FI"/>
              </w:rPr>
            </w:pPr>
            <w:r w:rsidRPr="000D70CC">
              <w:rPr>
                <w:rFonts w:eastAsia="Calibri"/>
                <w:sz w:val="16"/>
                <w:szCs w:val="16"/>
                <w:lang w:val="en-GB" w:eastAsia="fi-FI"/>
              </w:rPr>
              <w:t>Cropland – Plant-based fibers</w:t>
            </w:r>
          </w:p>
          <w:p w14:paraId="5718BD11" w14:textId="77777777" w:rsidR="00CD7887" w:rsidRPr="000D70CC" w:rsidRDefault="00CD7887" w:rsidP="000D70CC">
            <w:pPr>
              <w:rPr>
                <w:rFonts w:eastAsia="Calibri"/>
                <w:sz w:val="16"/>
                <w:szCs w:val="16"/>
                <w:lang w:val="en-GB" w:eastAsia="fi-FI"/>
              </w:rPr>
            </w:pPr>
            <w:r w:rsidRPr="000D70CC">
              <w:rPr>
                <w:rFonts w:eastAsia="Calibri"/>
                <w:sz w:val="16"/>
                <w:szCs w:val="16"/>
                <w:lang w:val="en-GB" w:eastAsia="fi-FI"/>
              </w:rPr>
              <w:t>Cropland – Sugar cane, sugar beet</w:t>
            </w:r>
          </w:p>
          <w:p w14:paraId="6B1A245E" w14:textId="77777777" w:rsidR="00CD7887" w:rsidRPr="000D70CC" w:rsidRDefault="00CD7887" w:rsidP="000D70CC">
            <w:pPr>
              <w:rPr>
                <w:rFonts w:eastAsia="Calibri"/>
                <w:sz w:val="16"/>
                <w:szCs w:val="16"/>
                <w:lang w:val="en-GB" w:eastAsia="fi-FI"/>
              </w:rPr>
            </w:pPr>
            <w:r w:rsidRPr="000D70CC">
              <w:rPr>
                <w:rFonts w:eastAsia="Calibri"/>
                <w:sz w:val="16"/>
                <w:szCs w:val="16"/>
                <w:lang w:val="en-GB" w:eastAsia="fi-FI"/>
              </w:rPr>
              <w:t>Cropland – Vegetables, fruit, nuts</w:t>
            </w:r>
          </w:p>
          <w:p w14:paraId="64F21944" w14:textId="77777777" w:rsidR="00CD7887" w:rsidRPr="000D70CC" w:rsidRDefault="00CD7887" w:rsidP="000D70CC">
            <w:pPr>
              <w:rPr>
                <w:rFonts w:eastAsia="Calibri"/>
                <w:sz w:val="16"/>
                <w:szCs w:val="16"/>
                <w:lang w:val="en-GB" w:eastAsia="fi-FI"/>
              </w:rPr>
            </w:pPr>
            <w:r w:rsidRPr="000D70CC">
              <w:rPr>
                <w:rFonts w:eastAsia="Calibri"/>
                <w:sz w:val="16"/>
                <w:szCs w:val="16"/>
                <w:lang w:val="en-GB" w:eastAsia="fi-FI"/>
              </w:rPr>
              <w:t>Cropland – Wheat</w:t>
            </w:r>
          </w:p>
        </w:tc>
        <w:tc>
          <w:tcPr>
            <w:tcW w:w="0" w:type="auto"/>
            <w:vAlign w:val="center"/>
          </w:tcPr>
          <w:p w14:paraId="36C02DEE" w14:textId="77777777" w:rsidR="00CD7887" w:rsidRPr="000D70CC" w:rsidRDefault="00CD7887" w:rsidP="000D70CC">
            <w:pPr>
              <w:rPr>
                <w:rFonts w:eastAsia="Calibri"/>
                <w:sz w:val="16"/>
                <w:szCs w:val="16"/>
                <w:lang w:val="en-GB" w:eastAsia="fi-FI"/>
              </w:rPr>
            </w:pPr>
            <w:r w:rsidRPr="000D70CC">
              <w:rPr>
                <w:rFonts w:eastAsia="Calibri"/>
                <w:sz w:val="16"/>
                <w:szCs w:val="16"/>
                <w:lang w:val="en-GB" w:eastAsia="fi-FI"/>
              </w:rPr>
              <w:t>Land stress: Annual crops, permanent crops</w:t>
            </w:r>
            <w:r w:rsidRPr="000D70CC">
              <w:rPr>
                <w:rFonts w:eastAsia="Calibri"/>
                <w:sz w:val="16"/>
                <w:szCs w:val="16"/>
                <w:lang w:val="en-GB" w:eastAsia="fi-FI"/>
              </w:rPr>
              <w:br/>
              <w:t>(average)</w:t>
            </w:r>
          </w:p>
        </w:tc>
      </w:tr>
      <w:tr w:rsidR="00CD7887" w:rsidRPr="000A2DBE" w14:paraId="0CC78C3B" w14:textId="77777777" w:rsidTr="000D70CC">
        <w:trPr>
          <w:trHeight w:val="868"/>
        </w:trPr>
        <w:tc>
          <w:tcPr>
            <w:tcW w:w="0" w:type="auto"/>
            <w:vAlign w:val="center"/>
          </w:tcPr>
          <w:p w14:paraId="1E7B5B05" w14:textId="77777777" w:rsidR="00CD7887" w:rsidRPr="000D70CC" w:rsidRDefault="00CD7887" w:rsidP="000D70CC">
            <w:pPr>
              <w:rPr>
                <w:rFonts w:eastAsia="Calibri"/>
                <w:sz w:val="16"/>
                <w:szCs w:val="16"/>
                <w:lang w:val="en-GB" w:eastAsia="fi-FI"/>
              </w:rPr>
            </w:pPr>
            <w:r w:rsidRPr="000D70CC">
              <w:rPr>
                <w:rFonts w:eastAsia="Calibri"/>
                <w:sz w:val="16"/>
                <w:szCs w:val="16"/>
                <w:lang w:val="en-GB" w:eastAsia="fi-FI"/>
              </w:rPr>
              <w:t xml:space="preserve">Cropland – Fodder crops – Cattle </w:t>
            </w:r>
          </w:p>
          <w:p w14:paraId="7D5F983E" w14:textId="77777777" w:rsidR="00CD7887" w:rsidRPr="000D70CC" w:rsidRDefault="00CD7887" w:rsidP="000D70CC">
            <w:pPr>
              <w:rPr>
                <w:rFonts w:eastAsia="Calibri"/>
                <w:sz w:val="16"/>
                <w:szCs w:val="16"/>
                <w:lang w:val="en-GB" w:eastAsia="fi-FI"/>
              </w:rPr>
            </w:pPr>
            <w:r w:rsidRPr="000D70CC">
              <w:rPr>
                <w:rFonts w:eastAsia="Calibri"/>
                <w:sz w:val="16"/>
                <w:szCs w:val="16"/>
                <w:lang w:val="en-GB" w:eastAsia="fi-FI"/>
              </w:rPr>
              <w:t xml:space="preserve">Cropland – Fodder crops – Meat animals </w:t>
            </w:r>
          </w:p>
          <w:p w14:paraId="57608306" w14:textId="77777777" w:rsidR="00CD7887" w:rsidRPr="000D70CC" w:rsidRDefault="00CD7887" w:rsidP="000D70CC">
            <w:pPr>
              <w:rPr>
                <w:rFonts w:eastAsia="Calibri"/>
                <w:sz w:val="16"/>
                <w:szCs w:val="16"/>
                <w:lang w:val="en-GB" w:eastAsia="fi-FI"/>
              </w:rPr>
            </w:pPr>
            <w:r w:rsidRPr="000D70CC">
              <w:rPr>
                <w:rFonts w:eastAsia="Calibri"/>
                <w:sz w:val="16"/>
                <w:szCs w:val="16"/>
                <w:lang w:val="en-GB" w:eastAsia="fi-FI"/>
              </w:rPr>
              <w:t xml:space="preserve">Cropland – Fodder crops – Pigs </w:t>
            </w:r>
          </w:p>
          <w:p w14:paraId="2C8F6ACD" w14:textId="77777777" w:rsidR="00CD7887" w:rsidRPr="000D70CC" w:rsidRDefault="00CD7887" w:rsidP="000D70CC">
            <w:pPr>
              <w:rPr>
                <w:rFonts w:eastAsia="Calibri"/>
                <w:sz w:val="16"/>
                <w:szCs w:val="16"/>
                <w:lang w:val="en-GB" w:eastAsia="fi-FI"/>
              </w:rPr>
            </w:pPr>
            <w:r w:rsidRPr="000D70CC">
              <w:rPr>
                <w:rFonts w:eastAsia="Calibri"/>
                <w:sz w:val="16"/>
                <w:szCs w:val="16"/>
                <w:lang w:val="en-GB" w:eastAsia="fi-FI"/>
              </w:rPr>
              <w:t xml:space="preserve">Cropland – Fodder crops – Poultry </w:t>
            </w:r>
          </w:p>
          <w:p w14:paraId="15010A59" w14:textId="77777777" w:rsidR="00CD7887" w:rsidRPr="000D70CC" w:rsidRDefault="00CD7887" w:rsidP="000D70CC">
            <w:pPr>
              <w:rPr>
                <w:rFonts w:eastAsia="Calibri"/>
                <w:sz w:val="16"/>
                <w:szCs w:val="16"/>
                <w:lang w:val="en-GB" w:eastAsia="fi-FI"/>
              </w:rPr>
            </w:pPr>
            <w:r w:rsidRPr="000D70CC">
              <w:rPr>
                <w:rFonts w:eastAsia="Calibri"/>
                <w:sz w:val="16"/>
                <w:szCs w:val="16"/>
                <w:lang w:val="en-GB" w:eastAsia="fi-FI"/>
              </w:rPr>
              <w:t>Cropland – Fodder crops – Raw milk</w:t>
            </w:r>
          </w:p>
        </w:tc>
        <w:tc>
          <w:tcPr>
            <w:tcW w:w="0" w:type="auto"/>
            <w:vAlign w:val="center"/>
          </w:tcPr>
          <w:p w14:paraId="63F6C3EF" w14:textId="77777777" w:rsidR="00CD7887" w:rsidRPr="000D70CC" w:rsidRDefault="00CD7887" w:rsidP="000D70CC">
            <w:pPr>
              <w:rPr>
                <w:rFonts w:eastAsia="Calibri"/>
                <w:sz w:val="16"/>
                <w:szCs w:val="16"/>
                <w:lang w:val="en-GB" w:eastAsia="fi-FI"/>
              </w:rPr>
            </w:pPr>
            <w:r w:rsidRPr="000D70CC">
              <w:rPr>
                <w:rFonts w:eastAsia="Calibri"/>
                <w:sz w:val="16"/>
                <w:szCs w:val="16"/>
                <w:lang w:val="en-GB" w:eastAsia="fi-FI"/>
              </w:rPr>
              <w:t>Land stress: Annual crops</w:t>
            </w:r>
          </w:p>
        </w:tc>
      </w:tr>
      <w:tr w:rsidR="00CD7887" w:rsidRPr="000A2DBE" w14:paraId="61299111" w14:textId="77777777" w:rsidTr="000D70CC">
        <w:trPr>
          <w:trHeight w:val="527"/>
        </w:trPr>
        <w:tc>
          <w:tcPr>
            <w:tcW w:w="0" w:type="auto"/>
            <w:vAlign w:val="center"/>
          </w:tcPr>
          <w:p w14:paraId="5E5B7631" w14:textId="77777777" w:rsidR="00CD7887" w:rsidRPr="000D70CC" w:rsidRDefault="00CD7887" w:rsidP="000D70CC">
            <w:pPr>
              <w:rPr>
                <w:rFonts w:eastAsia="Calibri"/>
                <w:sz w:val="16"/>
                <w:szCs w:val="16"/>
                <w:lang w:val="en-GB" w:eastAsia="fi-FI"/>
              </w:rPr>
            </w:pPr>
            <w:r w:rsidRPr="000D70CC">
              <w:rPr>
                <w:rFonts w:eastAsia="Calibri"/>
                <w:sz w:val="16"/>
                <w:szCs w:val="16"/>
                <w:lang w:val="en-GB" w:eastAsia="fi-FI"/>
              </w:rPr>
              <w:t>Permanent pastures – Grazing-Cattle</w:t>
            </w:r>
          </w:p>
          <w:p w14:paraId="75D22FEE" w14:textId="77777777" w:rsidR="00CD7887" w:rsidRPr="000D70CC" w:rsidRDefault="00CD7887" w:rsidP="000D70CC">
            <w:pPr>
              <w:rPr>
                <w:rFonts w:eastAsia="Calibri"/>
                <w:sz w:val="16"/>
                <w:szCs w:val="16"/>
                <w:lang w:val="en-GB" w:eastAsia="fi-FI"/>
              </w:rPr>
            </w:pPr>
            <w:r w:rsidRPr="000D70CC">
              <w:rPr>
                <w:rFonts w:eastAsia="Calibri"/>
                <w:sz w:val="16"/>
                <w:szCs w:val="16"/>
                <w:lang w:val="en-GB" w:eastAsia="fi-FI"/>
              </w:rPr>
              <w:t>Permanent pastures – Grazing-Meat animals</w:t>
            </w:r>
          </w:p>
          <w:p w14:paraId="1B85C083" w14:textId="77777777" w:rsidR="00CD7887" w:rsidRPr="000D70CC" w:rsidRDefault="00CD7887" w:rsidP="000D70CC">
            <w:pPr>
              <w:rPr>
                <w:rFonts w:eastAsia="Calibri"/>
                <w:sz w:val="16"/>
                <w:szCs w:val="16"/>
                <w:lang w:val="en-GB" w:eastAsia="fi-FI"/>
              </w:rPr>
            </w:pPr>
            <w:r w:rsidRPr="000D70CC">
              <w:rPr>
                <w:rFonts w:eastAsia="Calibri"/>
                <w:sz w:val="16"/>
                <w:szCs w:val="16"/>
                <w:lang w:val="en-GB" w:eastAsia="fi-FI"/>
              </w:rPr>
              <w:t>Permanent pastures – Grazing-Raw milk</w:t>
            </w:r>
          </w:p>
        </w:tc>
        <w:tc>
          <w:tcPr>
            <w:tcW w:w="0" w:type="auto"/>
            <w:vAlign w:val="center"/>
          </w:tcPr>
          <w:p w14:paraId="75372F96" w14:textId="77777777" w:rsidR="00CD7887" w:rsidRPr="000D70CC" w:rsidRDefault="00CD7887" w:rsidP="000D70CC">
            <w:pPr>
              <w:rPr>
                <w:rFonts w:eastAsia="Calibri"/>
                <w:sz w:val="16"/>
                <w:szCs w:val="16"/>
                <w:lang w:val="en-GB" w:eastAsia="fi-FI"/>
              </w:rPr>
            </w:pPr>
            <w:r w:rsidRPr="000D70CC">
              <w:rPr>
                <w:rFonts w:eastAsia="Calibri"/>
                <w:sz w:val="16"/>
                <w:szCs w:val="16"/>
                <w:lang w:val="en-GB" w:eastAsia="fi-FI"/>
              </w:rPr>
              <w:t>Land stress: Pasture</w:t>
            </w:r>
          </w:p>
        </w:tc>
      </w:tr>
      <w:tr w:rsidR="00CD7887" w:rsidRPr="000A2DBE" w14:paraId="68D02933" w14:textId="77777777" w:rsidTr="000D70CC">
        <w:trPr>
          <w:trHeight w:val="138"/>
        </w:trPr>
        <w:tc>
          <w:tcPr>
            <w:tcW w:w="0" w:type="auto"/>
            <w:vAlign w:val="center"/>
          </w:tcPr>
          <w:p w14:paraId="12AF1185" w14:textId="77777777" w:rsidR="00CD7887" w:rsidRPr="000D70CC" w:rsidRDefault="00CD7887" w:rsidP="000D70CC">
            <w:pPr>
              <w:rPr>
                <w:rFonts w:eastAsia="Calibri"/>
                <w:sz w:val="16"/>
                <w:szCs w:val="16"/>
                <w:lang w:val="en-GB" w:eastAsia="fi-FI"/>
              </w:rPr>
            </w:pPr>
            <w:r w:rsidRPr="000D70CC">
              <w:rPr>
                <w:rFonts w:eastAsia="Calibri"/>
                <w:sz w:val="16"/>
                <w:szCs w:val="16"/>
                <w:lang w:val="en-GB" w:eastAsia="fi-FI"/>
              </w:rPr>
              <w:t>Forest area – Forestry</w:t>
            </w:r>
          </w:p>
        </w:tc>
        <w:tc>
          <w:tcPr>
            <w:tcW w:w="0" w:type="auto"/>
            <w:vAlign w:val="center"/>
          </w:tcPr>
          <w:p w14:paraId="613FD4B6" w14:textId="77777777" w:rsidR="00CD7887" w:rsidRPr="000D70CC" w:rsidRDefault="00CD7887" w:rsidP="000D70CC">
            <w:pPr>
              <w:rPr>
                <w:rFonts w:eastAsia="Calibri"/>
                <w:sz w:val="16"/>
                <w:szCs w:val="16"/>
                <w:lang w:val="en-GB" w:eastAsia="fi-FI"/>
              </w:rPr>
            </w:pPr>
            <w:r w:rsidRPr="000D70CC">
              <w:rPr>
                <w:rFonts w:eastAsia="Calibri"/>
                <w:sz w:val="16"/>
                <w:szCs w:val="16"/>
                <w:lang w:val="en-GB" w:eastAsia="fi-FI"/>
              </w:rPr>
              <w:t>Land stress: Intensive forestry, extensive forestry (average)</w:t>
            </w:r>
          </w:p>
        </w:tc>
      </w:tr>
      <w:tr w:rsidR="00CD7887" w:rsidRPr="000A2DBE" w14:paraId="04224595" w14:textId="77777777" w:rsidTr="000D70CC">
        <w:trPr>
          <w:trHeight w:val="289"/>
        </w:trPr>
        <w:tc>
          <w:tcPr>
            <w:tcW w:w="0" w:type="auto"/>
            <w:vAlign w:val="center"/>
          </w:tcPr>
          <w:p w14:paraId="14C976A0" w14:textId="77777777" w:rsidR="00CD7887" w:rsidRPr="000D70CC" w:rsidRDefault="00CD7887" w:rsidP="000D70CC">
            <w:pPr>
              <w:rPr>
                <w:rFonts w:eastAsia="Calibri"/>
                <w:sz w:val="16"/>
                <w:szCs w:val="16"/>
                <w:lang w:val="en-GB" w:eastAsia="fi-FI"/>
              </w:rPr>
            </w:pPr>
            <w:r w:rsidRPr="000D70CC">
              <w:rPr>
                <w:rFonts w:eastAsia="Calibri"/>
                <w:sz w:val="16"/>
                <w:szCs w:val="16"/>
                <w:lang w:val="en-GB" w:eastAsia="fi-FI"/>
              </w:rPr>
              <w:t>Forest area – Marginal use (excluded, no data available in EXIOBASE)</w:t>
            </w:r>
          </w:p>
        </w:tc>
        <w:tc>
          <w:tcPr>
            <w:tcW w:w="0" w:type="auto"/>
            <w:vAlign w:val="center"/>
          </w:tcPr>
          <w:p w14:paraId="0FD89D96" w14:textId="77777777" w:rsidR="00CD7887" w:rsidRPr="000D70CC" w:rsidRDefault="00CD7887" w:rsidP="000D70CC">
            <w:pPr>
              <w:rPr>
                <w:rFonts w:eastAsia="Calibri"/>
                <w:sz w:val="16"/>
                <w:szCs w:val="16"/>
                <w:lang w:val="en-GB" w:eastAsia="fi-FI"/>
              </w:rPr>
            </w:pPr>
            <w:r w:rsidRPr="000D70CC">
              <w:rPr>
                <w:rFonts w:eastAsia="Calibri"/>
                <w:sz w:val="16"/>
                <w:szCs w:val="16"/>
                <w:lang w:val="en-GB" w:eastAsia="fi-FI"/>
              </w:rPr>
              <w:t>-</w:t>
            </w:r>
          </w:p>
        </w:tc>
      </w:tr>
      <w:tr w:rsidR="00CD7887" w:rsidRPr="000A2DBE" w14:paraId="175325FC" w14:textId="77777777" w:rsidTr="000D70CC">
        <w:trPr>
          <w:trHeight w:val="289"/>
        </w:trPr>
        <w:tc>
          <w:tcPr>
            <w:tcW w:w="0" w:type="auto"/>
            <w:vAlign w:val="center"/>
          </w:tcPr>
          <w:p w14:paraId="31D4208C" w14:textId="77777777" w:rsidR="00CD7887" w:rsidRPr="000D70CC" w:rsidRDefault="00CD7887" w:rsidP="000D70CC">
            <w:pPr>
              <w:rPr>
                <w:rFonts w:eastAsia="Calibri"/>
                <w:sz w:val="16"/>
                <w:szCs w:val="16"/>
                <w:lang w:val="en-GB" w:eastAsia="fi-FI"/>
              </w:rPr>
            </w:pPr>
            <w:r w:rsidRPr="000D70CC">
              <w:rPr>
                <w:rFonts w:eastAsia="Calibri"/>
                <w:sz w:val="16"/>
                <w:szCs w:val="16"/>
                <w:lang w:val="en-GB" w:eastAsia="fi-FI"/>
              </w:rPr>
              <w:t>Infrastructure land (excluded, no data available in EXIOBASE)</w:t>
            </w:r>
          </w:p>
        </w:tc>
        <w:tc>
          <w:tcPr>
            <w:tcW w:w="0" w:type="auto"/>
            <w:vAlign w:val="center"/>
          </w:tcPr>
          <w:p w14:paraId="31F17646" w14:textId="77777777" w:rsidR="00CD7887" w:rsidRPr="000D70CC" w:rsidRDefault="00CD7887" w:rsidP="000D70CC">
            <w:pPr>
              <w:rPr>
                <w:rFonts w:eastAsia="Calibri"/>
                <w:sz w:val="16"/>
                <w:szCs w:val="16"/>
                <w:lang w:val="en-GB" w:eastAsia="fi-FI"/>
              </w:rPr>
            </w:pPr>
            <w:r w:rsidRPr="000D70CC">
              <w:rPr>
                <w:rFonts w:eastAsia="Calibri"/>
                <w:sz w:val="16"/>
                <w:szCs w:val="16"/>
                <w:lang w:val="en-GB" w:eastAsia="fi-FI"/>
              </w:rPr>
              <w:t>-</w:t>
            </w:r>
          </w:p>
        </w:tc>
      </w:tr>
      <w:tr w:rsidR="00CD7887" w:rsidRPr="000A2DBE" w14:paraId="4F7A44A8" w14:textId="77777777" w:rsidTr="000D70CC">
        <w:trPr>
          <w:trHeight w:val="289"/>
        </w:trPr>
        <w:tc>
          <w:tcPr>
            <w:tcW w:w="0" w:type="auto"/>
            <w:vAlign w:val="center"/>
          </w:tcPr>
          <w:p w14:paraId="6BE5041E" w14:textId="77777777" w:rsidR="00CD7887" w:rsidRPr="000D70CC" w:rsidRDefault="00CD7887" w:rsidP="000D70CC">
            <w:pPr>
              <w:rPr>
                <w:rFonts w:eastAsia="Calibri"/>
                <w:sz w:val="16"/>
                <w:szCs w:val="16"/>
                <w:lang w:val="en-GB" w:eastAsia="fi-FI"/>
              </w:rPr>
            </w:pPr>
            <w:r w:rsidRPr="000D70CC">
              <w:rPr>
                <w:rFonts w:eastAsia="Calibri"/>
                <w:sz w:val="16"/>
                <w:szCs w:val="16"/>
                <w:lang w:val="en-GB" w:eastAsia="fi-FI"/>
              </w:rPr>
              <w:t>Other land Use: Total</w:t>
            </w:r>
          </w:p>
        </w:tc>
        <w:tc>
          <w:tcPr>
            <w:tcW w:w="0" w:type="auto"/>
            <w:vAlign w:val="center"/>
          </w:tcPr>
          <w:p w14:paraId="4BDBEF5B" w14:textId="77777777" w:rsidR="00CD7887" w:rsidRPr="000D70CC" w:rsidRDefault="00CD7887" w:rsidP="000D70CC">
            <w:pPr>
              <w:rPr>
                <w:rFonts w:eastAsia="Calibri"/>
                <w:sz w:val="16"/>
                <w:szCs w:val="16"/>
                <w:lang w:val="en-GB" w:eastAsia="fi-FI"/>
              </w:rPr>
            </w:pPr>
            <w:r w:rsidRPr="000D70CC">
              <w:rPr>
                <w:rFonts w:eastAsia="Calibri"/>
                <w:sz w:val="16"/>
                <w:szCs w:val="16"/>
                <w:lang w:val="en-GB" w:eastAsia="fi-FI"/>
              </w:rPr>
              <w:t>Average of remaining land use types in LC-Impact (Urban)</w:t>
            </w:r>
          </w:p>
        </w:tc>
      </w:tr>
      <w:tr w:rsidR="00CD7887" w:rsidRPr="000A2DBE" w14:paraId="07320ADD" w14:textId="77777777" w:rsidTr="000D70CC">
        <w:trPr>
          <w:trHeight w:val="289"/>
        </w:trPr>
        <w:tc>
          <w:tcPr>
            <w:tcW w:w="0" w:type="auto"/>
            <w:gridSpan w:val="2"/>
            <w:vAlign w:val="center"/>
          </w:tcPr>
          <w:p w14:paraId="20A8CFA1" w14:textId="77777777" w:rsidR="00CD7887" w:rsidRPr="000D70CC" w:rsidRDefault="00CD7887" w:rsidP="000D70CC">
            <w:pPr>
              <w:jc w:val="center"/>
              <w:rPr>
                <w:rFonts w:eastAsia="Calibri"/>
                <w:b/>
                <w:bCs/>
                <w:sz w:val="16"/>
                <w:szCs w:val="16"/>
                <w:lang w:val="en-GB" w:eastAsia="fi-FI"/>
              </w:rPr>
            </w:pPr>
            <w:r w:rsidRPr="000D70CC">
              <w:rPr>
                <w:rFonts w:eastAsia="Calibri"/>
                <w:b/>
                <w:bCs/>
                <w:sz w:val="16"/>
                <w:szCs w:val="16"/>
                <w:lang w:val="en-GB" w:eastAsia="fi-FI"/>
              </w:rPr>
              <w:t>Direct exploitation of natural resources</w:t>
            </w:r>
          </w:p>
        </w:tc>
      </w:tr>
      <w:tr w:rsidR="00CD7887" w:rsidRPr="000A2DBE" w14:paraId="0CADA0F9" w14:textId="77777777" w:rsidTr="000D70CC">
        <w:trPr>
          <w:trHeight w:val="289"/>
        </w:trPr>
        <w:tc>
          <w:tcPr>
            <w:tcW w:w="0" w:type="auto"/>
            <w:vAlign w:val="center"/>
          </w:tcPr>
          <w:p w14:paraId="25D77CAE" w14:textId="77777777" w:rsidR="00CD7887" w:rsidRPr="000D70CC" w:rsidRDefault="00CD7887" w:rsidP="000D70CC">
            <w:pPr>
              <w:rPr>
                <w:rFonts w:eastAsia="Calibri"/>
                <w:sz w:val="16"/>
                <w:szCs w:val="16"/>
                <w:lang w:val="en-GB" w:eastAsia="fi-FI"/>
              </w:rPr>
            </w:pPr>
            <w:r w:rsidRPr="000D70CC">
              <w:rPr>
                <w:rFonts w:eastAsia="Calibri"/>
                <w:sz w:val="16"/>
                <w:szCs w:val="16"/>
                <w:lang w:val="en-GB" w:eastAsia="fi-FI"/>
              </w:rPr>
              <w:t>Water Consumption Blue – Total (aggregated 103 categories)</w:t>
            </w:r>
          </w:p>
        </w:tc>
        <w:tc>
          <w:tcPr>
            <w:tcW w:w="0" w:type="auto"/>
            <w:vAlign w:val="center"/>
          </w:tcPr>
          <w:p w14:paraId="56D6E21F" w14:textId="77777777" w:rsidR="00CD7887" w:rsidRPr="000D70CC" w:rsidRDefault="00CD7887" w:rsidP="000D70CC">
            <w:pPr>
              <w:rPr>
                <w:rFonts w:eastAsia="Calibri"/>
                <w:sz w:val="16"/>
                <w:szCs w:val="16"/>
                <w:lang w:val="en-GB" w:eastAsia="fi-FI"/>
              </w:rPr>
            </w:pPr>
            <w:r w:rsidRPr="000D70CC">
              <w:rPr>
                <w:rFonts w:eastAsia="Calibri"/>
                <w:sz w:val="16"/>
                <w:szCs w:val="16"/>
                <w:lang w:val="en-GB" w:eastAsia="fi-FI"/>
              </w:rPr>
              <w:t>Water stress</w:t>
            </w:r>
          </w:p>
        </w:tc>
      </w:tr>
      <w:tr w:rsidR="00CD7887" w:rsidRPr="000A2DBE" w14:paraId="6B7162CE" w14:textId="77777777" w:rsidTr="000D70CC">
        <w:trPr>
          <w:trHeight w:val="289"/>
        </w:trPr>
        <w:tc>
          <w:tcPr>
            <w:tcW w:w="0" w:type="auto"/>
            <w:gridSpan w:val="2"/>
            <w:vAlign w:val="center"/>
          </w:tcPr>
          <w:p w14:paraId="7C051E89" w14:textId="77777777" w:rsidR="00CD7887" w:rsidRPr="000D70CC" w:rsidRDefault="00CD7887" w:rsidP="000D70CC">
            <w:pPr>
              <w:jc w:val="center"/>
              <w:rPr>
                <w:rFonts w:eastAsia="Calibri"/>
                <w:b/>
                <w:bCs/>
                <w:sz w:val="16"/>
                <w:szCs w:val="16"/>
                <w:lang w:val="en-GB" w:eastAsia="fi-FI"/>
              </w:rPr>
            </w:pPr>
            <w:r w:rsidRPr="000D70CC">
              <w:rPr>
                <w:rFonts w:eastAsia="Calibri"/>
                <w:b/>
                <w:bCs/>
                <w:sz w:val="16"/>
                <w:szCs w:val="16"/>
                <w:lang w:val="en-GB" w:eastAsia="fi-FI"/>
              </w:rPr>
              <w:t>Pollution</w:t>
            </w:r>
          </w:p>
        </w:tc>
      </w:tr>
      <w:tr w:rsidR="00CD7887" w:rsidRPr="000A2DBE" w14:paraId="2812D62C" w14:textId="77777777" w:rsidTr="000D70CC">
        <w:trPr>
          <w:trHeight w:val="381"/>
        </w:trPr>
        <w:tc>
          <w:tcPr>
            <w:tcW w:w="0" w:type="auto"/>
            <w:vAlign w:val="center"/>
          </w:tcPr>
          <w:p w14:paraId="77E86E8C" w14:textId="77777777" w:rsidR="00CD7887" w:rsidRPr="000D70CC" w:rsidRDefault="00CD7887" w:rsidP="000D70CC">
            <w:pPr>
              <w:rPr>
                <w:rFonts w:eastAsia="Calibri"/>
                <w:sz w:val="16"/>
                <w:szCs w:val="16"/>
                <w:lang w:val="en-GB" w:eastAsia="fi-FI"/>
              </w:rPr>
            </w:pPr>
            <w:r w:rsidRPr="000D70CC">
              <w:rPr>
                <w:rFonts w:eastAsia="Calibri"/>
                <w:sz w:val="16"/>
                <w:szCs w:val="16"/>
                <w:lang w:val="en-GB" w:eastAsia="fi-FI"/>
              </w:rPr>
              <w:t>NMVOC – combustion – air</w:t>
            </w:r>
          </w:p>
          <w:p w14:paraId="2AE5D87D" w14:textId="77777777" w:rsidR="00CD7887" w:rsidRPr="000D70CC" w:rsidRDefault="00CD7887" w:rsidP="000D70CC">
            <w:pPr>
              <w:rPr>
                <w:rFonts w:eastAsia="Calibri"/>
                <w:sz w:val="16"/>
                <w:szCs w:val="16"/>
                <w:lang w:val="en-GB" w:eastAsia="fi-FI"/>
              </w:rPr>
            </w:pPr>
            <w:r w:rsidRPr="000D70CC">
              <w:rPr>
                <w:rFonts w:eastAsia="Calibri"/>
                <w:sz w:val="16"/>
                <w:szCs w:val="16"/>
                <w:lang w:val="en-GB" w:eastAsia="fi-FI"/>
              </w:rPr>
              <w:t>Nox – combustion – air</w:t>
            </w:r>
          </w:p>
        </w:tc>
        <w:tc>
          <w:tcPr>
            <w:tcW w:w="0" w:type="auto"/>
            <w:vAlign w:val="center"/>
          </w:tcPr>
          <w:p w14:paraId="4EAEEEFA" w14:textId="77777777" w:rsidR="00CD7887" w:rsidRPr="000D70CC" w:rsidRDefault="00CD7887" w:rsidP="000D70CC">
            <w:pPr>
              <w:rPr>
                <w:rFonts w:eastAsia="Calibri"/>
                <w:sz w:val="16"/>
                <w:szCs w:val="16"/>
                <w:lang w:val="en-GB" w:eastAsia="fi-FI"/>
              </w:rPr>
            </w:pPr>
            <w:r w:rsidRPr="000D70CC">
              <w:rPr>
                <w:rFonts w:eastAsia="Calibri"/>
                <w:sz w:val="16"/>
                <w:szCs w:val="16"/>
                <w:lang w:val="en-GB" w:eastAsia="fi-FI"/>
              </w:rPr>
              <w:t>Photochemical ozone formation</w:t>
            </w:r>
          </w:p>
        </w:tc>
      </w:tr>
      <w:tr w:rsidR="00CD7887" w:rsidRPr="000A2DBE" w14:paraId="3B301518" w14:textId="77777777" w:rsidTr="000D70CC">
        <w:trPr>
          <w:trHeight w:val="612"/>
        </w:trPr>
        <w:tc>
          <w:tcPr>
            <w:tcW w:w="0" w:type="auto"/>
            <w:vAlign w:val="center"/>
          </w:tcPr>
          <w:p w14:paraId="75AF184B" w14:textId="77777777" w:rsidR="00CD7887" w:rsidRPr="000D70CC" w:rsidRDefault="00CD7887" w:rsidP="000D70CC">
            <w:pPr>
              <w:rPr>
                <w:rFonts w:eastAsia="Calibri"/>
                <w:sz w:val="16"/>
                <w:szCs w:val="16"/>
                <w:lang w:val="en-GB" w:eastAsia="fi-FI"/>
              </w:rPr>
            </w:pPr>
            <w:r w:rsidRPr="000D70CC">
              <w:rPr>
                <w:rFonts w:eastAsia="Calibri"/>
                <w:sz w:val="16"/>
                <w:szCs w:val="16"/>
                <w:lang w:val="en-GB" w:eastAsia="fi-FI"/>
              </w:rPr>
              <w:t>Nox – combustion – air</w:t>
            </w:r>
          </w:p>
          <w:p w14:paraId="5943EBEE" w14:textId="77777777" w:rsidR="00CD7887" w:rsidRPr="000D70CC" w:rsidRDefault="00CD7887" w:rsidP="000D70CC">
            <w:pPr>
              <w:rPr>
                <w:rFonts w:eastAsia="Calibri"/>
                <w:sz w:val="16"/>
                <w:szCs w:val="16"/>
                <w:lang w:val="en-GB" w:eastAsia="fi-FI"/>
              </w:rPr>
            </w:pPr>
            <w:r w:rsidRPr="000D70CC">
              <w:rPr>
                <w:rFonts w:eastAsia="Calibri"/>
                <w:sz w:val="16"/>
                <w:szCs w:val="16"/>
                <w:lang w:val="en-GB" w:eastAsia="fi-FI"/>
              </w:rPr>
              <w:t>NH3 – combustion – air</w:t>
            </w:r>
          </w:p>
          <w:p w14:paraId="1DBEFEE0" w14:textId="77777777" w:rsidR="00CD7887" w:rsidRPr="000D70CC" w:rsidRDefault="00CD7887" w:rsidP="000D70CC">
            <w:pPr>
              <w:rPr>
                <w:rFonts w:eastAsia="Calibri"/>
                <w:sz w:val="16"/>
                <w:szCs w:val="16"/>
                <w:lang w:val="en-GB" w:eastAsia="fi-FI"/>
              </w:rPr>
            </w:pPr>
            <w:r w:rsidRPr="000D70CC">
              <w:rPr>
                <w:rFonts w:eastAsia="Calibri"/>
                <w:sz w:val="16"/>
                <w:szCs w:val="16"/>
                <w:lang w:val="en-GB" w:eastAsia="fi-FI"/>
              </w:rPr>
              <w:t>Sox – combustion – air</w:t>
            </w:r>
          </w:p>
        </w:tc>
        <w:tc>
          <w:tcPr>
            <w:tcW w:w="0" w:type="auto"/>
            <w:vAlign w:val="center"/>
          </w:tcPr>
          <w:p w14:paraId="4344A30D" w14:textId="77777777" w:rsidR="00CD7887" w:rsidRPr="000D70CC" w:rsidRDefault="00CD7887" w:rsidP="000D70CC">
            <w:pPr>
              <w:rPr>
                <w:rFonts w:eastAsia="Calibri"/>
                <w:sz w:val="16"/>
                <w:szCs w:val="16"/>
                <w:lang w:val="en-GB" w:eastAsia="fi-FI"/>
              </w:rPr>
            </w:pPr>
            <w:r w:rsidRPr="000D70CC">
              <w:rPr>
                <w:rFonts w:eastAsia="Calibri"/>
                <w:sz w:val="16"/>
                <w:szCs w:val="16"/>
                <w:lang w:val="en-GB" w:eastAsia="fi-FI"/>
              </w:rPr>
              <w:t>Terrestrial acidification</w:t>
            </w:r>
          </w:p>
        </w:tc>
      </w:tr>
      <w:tr w:rsidR="00CD7887" w:rsidRPr="000A2DBE" w14:paraId="0CFB039C" w14:textId="77777777" w:rsidTr="000D70CC">
        <w:trPr>
          <w:trHeight w:val="407"/>
        </w:trPr>
        <w:tc>
          <w:tcPr>
            <w:tcW w:w="0" w:type="auto"/>
            <w:vAlign w:val="center"/>
          </w:tcPr>
          <w:p w14:paraId="3EA61EB9" w14:textId="77777777" w:rsidR="00CD7887" w:rsidRPr="000D70CC" w:rsidRDefault="00CD7887" w:rsidP="000D70CC">
            <w:pPr>
              <w:rPr>
                <w:rFonts w:eastAsia="Calibri"/>
                <w:sz w:val="16"/>
                <w:szCs w:val="16"/>
                <w:lang w:val="en-GB" w:eastAsia="fi-FI"/>
              </w:rPr>
            </w:pPr>
            <w:r w:rsidRPr="000D70CC">
              <w:rPr>
                <w:rFonts w:eastAsia="Calibri"/>
                <w:sz w:val="16"/>
                <w:szCs w:val="16"/>
                <w:lang w:val="en-GB" w:eastAsia="fi-FI"/>
              </w:rPr>
              <w:t>P – agriculture – water</w:t>
            </w:r>
          </w:p>
          <w:p w14:paraId="05F5735B" w14:textId="77777777" w:rsidR="00CD7887" w:rsidRPr="000D70CC" w:rsidRDefault="00CD7887" w:rsidP="000D70CC">
            <w:pPr>
              <w:rPr>
                <w:rFonts w:eastAsia="Calibri"/>
                <w:sz w:val="16"/>
                <w:szCs w:val="16"/>
                <w:lang w:val="en-GB" w:eastAsia="fi-FI"/>
              </w:rPr>
            </w:pPr>
            <w:r w:rsidRPr="000D70CC">
              <w:rPr>
                <w:rFonts w:eastAsia="Calibri"/>
                <w:sz w:val="16"/>
                <w:szCs w:val="16"/>
                <w:lang w:val="en-GB" w:eastAsia="fi-FI"/>
              </w:rPr>
              <w:t>P – agriculture – soil</w:t>
            </w:r>
          </w:p>
        </w:tc>
        <w:tc>
          <w:tcPr>
            <w:tcW w:w="0" w:type="auto"/>
            <w:vAlign w:val="center"/>
          </w:tcPr>
          <w:p w14:paraId="34571CDC" w14:textId="77777777" w:rsidR="00CD7887" w:rsidRPr="000D70CC" w:rsidRDefault="00CD7887" w:rsidP="000D70CC">
            <w:pPr>
              <w:rPr>
                <w:rFonts w:eastAsia="Calibri"/>
                <w:sz w:val="16"/>
                <w:szCs w:val="16"/>
                <w:lang w:val="en-GB" w:eastAsia="fi-FI"/>
              </w:rPr>
            </w:pPr>
            <w:r w:rsidRPr="000D70CC">
              <w:rPr>
                <w:rFonts w:eastAsia="Calibri"/>
                <w:sz w:val="16"/>
                <w:szCs w:val="16"/>
                <w:lang w:val="en-GB" w:eastAsia="fi-FI"/>
              </w:rPr>
              <w:t>Freshwater eutrophication</w:t>
            </w:r>
          </w:p>
        </w:tc>
      </w:tr>
      <w:tr w:rsidR="00CD7887" w:rsidRPr="000A2DBE" w14:paraId="7A4DF839" w14:textId="77777777" w:rsidTr="000D70CC">
        <w:trPr>
          <w:trHeight w:val="289"/>
        </w:trPr>
        <w:tc>
          <w:tcPr>
            <w:tcW w:w="0" w:type="auto"/>
            <w:vAlign w:val="center"/>
          </w:tcPr>
          <w:p w14:paraId="14C6296D" w14:textId="77777777" w:rsidR="00CD7887" w:rsidRPr="000D70CC" w:rsidRDefault="00CD7887" w:rsidP="000D70CC">
            <w:pPr>
              <w:rPr>
                <w:rFonts w:eastAsia="Calibri"/>
                <w:sz w:val="16"/>
                <w:szCs w:val="16"/>
                <w:lang w:val="en-GB" w:eastAsia="fi-FI"/>
              </w:rPr>
            </w:pPr>
            <w:r w:rsidRPr="000D70CC">
              <w:rPr>
                <w:rFonts w:eastAsia="Calibri"/>
                <w:sz w:val="16"/>
                <w:szCs w:val="16"/>
                <w:lang w:val="en-GB" w:eastAsia="fi-FI"/>
              </w:rPr>
              <w:t>N – agriculture – water</w:t>
            </w:r>
          </w:p>
        </w:tc>
        <w:tc>
          <w:tcPr>
            <w:tcW w:w="0" w:type="auto"/>
            <w:vAlign w:val="center"/>
          </w:tcPr>
          <w:p w14:paraId="11300574" w14:textId="77777777" w:rsidR="00CD7887" w:rsidRPr="000D70CC" w:rsidRDefault="00CD7887" w:rsidP="000D70CC">
            <w:pPr>
              <w:rPr>
                <w:rFonts w:eastAsia="Calibri"/>
                <w:sz w:val="16"/>
                <w:szCs w:val="16"/>
                <w:lang w:val="en-GB" w:eastAsia="fi-FI"/>
              </w:rPr>
            </w:pPr>
            <w:r w:rsidRPr="000D70CC">
              <w:rPr>
                <w:rFonts w:eastAsia="Calibri"/>
                <w:sz w:val="16"/>
                <w:szCs w:val="16"/>
                <w:lang w:val="en-GB" w:eastAsia="fi-FI"/>
              </w:rPr>
              <w:t>Marine eutrophication</w:t>
            </w:r>
          </w:p>
        </w:tc>
      </w:tr>
      <w:tr w:rsidR="00CD7887" w:rsidRPr="000A2DBE" w14:paraId="40C6794F" w14:textId="77777777" w:rsidTr="000D70CC">
        <w:trPr>
          <w:trHeight w:val="289"/>
        </w:trPr>
        <w:tc>
          <w:tcPr>
            <w:tcW w:w="0" w:type="auto"/>
            <w:gridSpan w:val="2"/>
            <w:vAlign w:val="center"/>
          </w:tcPr>
          <w:p w14:paraId="1C388EAE" w14:textId="77777777" w:rsidR="00CD7887" w:rsidRPr="000D70CC" w:rsidRDefault="00CD7887" w:rsidP="000D70CC">
            <w:pPr>
              <w:jc w:val="center"/>
              <w:rPr>
                <w:rFonts w:eastAsia="Calibri"/>
                <w:b/>
                <w:bCs/>
                <w:sz w:val="16"/>
                <w:szCs w:val="16"/>
                <w:lang w:val="en-GB" w:eastAsia="fi-FI"/>
              </w:rPr>
            </w:pPr>
            <w:r w:rsidRPr="000D70CC">
              <w:rPr>
                <w:rFonts w:eastAsia="Calibri"/>
                <w:b/>
                <w:bCs/>
                <w:sz w:val="16"/>
                <w:szCs w:val="16"/>
                <w:lang w:val="en-GB" w:eastAsia="fi-FI"/>
              </w:rPr>
              <w:t>Climate change</w:t>
            </w:r>
          </w:p>
        </w:tc>
      </w:tr>
      <w:tr w:rsidR="00CD7887" w:rsidRPr="000A2DBE" w14:paraId="2366387F" w14:textId="77777777" w:rsidTr="000D70CC">
        <w:trPr>
          <w:trHeight w:val="339"/>
        </w:trPr>
        <w:tc>
          <w:tcPr>
            <w:tcW w:w="0" w:type="auto"/>
          </w:tcPr>
          <w:p w14:paraId="1928AC36" w14:textId="77777777" w:rsidR="00CD7887" w:rsidRPr="000D70CC" w:rsidRDefault="00CD7887" w:rsidP="000D70CC">
            <w:pPr>
              <w:rPr>
                <w:rFonts w:eastAsia="Calibri"/>
                <w:sz w:val="16"/>
                <w:szCs w:val="16"/>
                <w:lang w:val="en-GB" w:eastAsia="fi-FI"/>
              </w:rPr>
            </w:pPr>
            <w:r w:rsidRPr="000D70CC">
              <w:rPr>
                <w:rFonts w:eastAsia="Calibri"/>
                <w:sz w:val="16"/>
                <w:szCs w:val="16"/>
                <w:lang w:val="en-GB" w:eastAsia="fi-FI"/>
              </w:rPr>
              <w:t>Climate change midpoint | ILCD recommended CF | Global warming potential 100 years</w:t>
            </w:r>
          </w:p>
        </w:tc>
        <w:tc>
          <w:tcPr>
            <w:tcW w:w="0" w:type="auto"/>
            <w:vAlign w:val="center"/>
          </w:tcPr>
          <w:p w14:paraId="4863454B" w14:textId="77777777" w:rsidR="00CD7887" w:rsidRPr="000D70CC" w:rsidRDefault="00CD7887" w:rsidP="000D70CC">
            <w:pPr>
              <w:rPr>
                <w:rFonts w:eastAsia="Calibri"/>
                <w:sz w:val="16"/>
                <w:szCs w:val="16"/>
                <w:lang w:val="en-GB" w:eastAsia="fi-FI"/>
              </w:rPr>
            </w:pPr>
            <w:r w:rsidRPr="000D70CC">
              <w:rPr>
                <w:rFonts w:eastAsia="Calibri"/>
                <w:sz w:val="16"/>
                <w:szCs w:val="16"/>
                <w:lang w:val="en-GB" w:eastAsia="fi-FI"/>
              </w:rPr>
              <w:t>Terrestrial climate change, aquatic climate change</w:t>
            </w:r>
          </w:p>
        </w:tc>
      </w:tr>
    </w:tbl>
    <w:p w14:paraId="23922958" w14:textId="77777777" w:rsidR="00CD7887" w:rsidRPr="000A2DBE" w:rsidRDefault="00CD7887" w:rsidP="00CD7887"/>
    <w:p w14:paraId="3948DA34" w14:textId="21D298A5" w:rsidR="0053592C" w:rsidRPr="00C01AEC" w:rsidRDefault="0053592C" w:rsidP="0053592C">
      <w:pPr>
        <w:rPr>
          <w:sz w:val="20"/>
        </w:rPr>
      </w:pPr>
      <w:r w:rsidRPr="000A2DBE">
        <w:rPr>
          <w:b/>
          <w:bCs/>
          <w:sz w:val="20"/>
        </w:rPr>
        <w:t>Table S</w:t>
      </w:r>
      <w:r w:rsidR="00204E66">
        <w:rPr>
          <w:b/>
          <w:bCs/>
          <w:sz w:val="20"/>
        </w:rPr>
        <w:t>3</w:t>
      </w:r>
      <w:r w:rsidRPr="000A2DBE">
        <w:rPr>
          <w:b/>
          <w:bCs/>
          <w:sz w:val="20"/>
        </w:rPr>
        <w:t xml:space="preserve">. </w:t>
      </w:r>
      <w:r>
        <w:rPr>
          <w:sz w:val="20"/>
        </w:rPr>
        <w:t xml:space="preserve">Illustration of the matrix utilized in Step 3c and the resulting biodiversity impact factors for different </w:t>
      </w:r>
      <w:r w:rsidR="00CE1C7A">
        <w:rPr>
          <w:sz w:val="20"/>
        </w:rPr>
        <w:t>activity</w:t>
      </w:r>
      <w:r w:rsidR="00CE1C7A">
        <w:rPr>
          <w:sz w:val="20"/>
        </w:rPr>
        <w:t xml:space="preserve"> </w:t>
      </w:r>
      <w:r>
        <w:rPr>
          <w:sz w:val="20"/>
        </w:rPr>
        <w:t xml:space="preserve">regions and </w:t>
      </w:r>
      <w:r w:rsidR="00D47352">
        <w:rPr>
          <w:sz w:val="20"/>
        </w:rPr>
        <w:t>activities</w:t>
      </w:r>
      <w:r>
        <w:rPr>
          <w:sz w:val="20"/>
        </w:rPr>
        <w:t>.</w:t>
      </w:r>
    </w:p>
    <w:tbl>
      <w:tblPr>
        <w:tblW w:w="0" w:type="auto"/>
        <w:tblBorders>
          <w:top w:val="single" w:sz="4" w:space="0" w:color="000000"/>
          <w:bottom w:val="single" w:sz="4" w:space="0" w:color="000000"/>
        </w:tblBorders>
        <w:tblLook w:val="06A0" w:firstRow="1" w:lastRow="0" w:firstColumn="1" w:lastColumn="0" w:noHBand="1" w:noVBand="1"/>
      </w:tblPr>
      <w:tblGrid>
        <w:gridCol w:w="1398"/>
        <w:gridCol w:w="1405"/>
        <w:gridCol w:w="1405"/>
        <w:gridCol w:w="1281"/>
        <w:gridCol w:w="1281"/>
        <w:gridCol w:w="1043"/>
        <w:gridCol w:w="1043"/>
      </w:tblGrid>
      <w:tr w:rsidR="0053592C" w:rsidRPr="000A2DBE" w14:paraId="648E3103" w14:textId="77777777" w:rsidTr="006A38FD">
        <w:tc>
          <w:tcPr>
            <w:tcW w:w="1398" w:type="dxa"/>
            <w:tcBorders>
              <w:top w:val="single" w:sz="4" w:space="0" w:color="000000"/>
              <w:bottom w:val="nil"/>
              <w:right w:val="single" w:sz="4" w:space="0" w:color="auto"/>
            </w:tcBorders>
          </w:tcPr>
          <w:p w14:paraId="6A342077" w14:textId="77777777" w:rsidR="0053592C" w:rsidRPr="000D70CC" w:rsidRDefault="0053592C" w:rsidP="0053592C">
            <w:pPr>
              <w:jc w:val="both"/>
              <w:rPr>
                <w:rFonts w:eastAsia="Calibri"/>
                <w:b/>
                <w:bCs/>
                <w:color w:val="000000"/>
                <w:sz w:val="16"/>
                <w:szCs w:val="16"/>
                <w:lang w:val="en-GB" w:eastAsia="fi-FI"/>
              </w:rPr>
            </w:pPr>
          </w:p>
        </w:tc>
        <w:tc>
          <w:tcPr>
            <w:tcW w:w="1405" w:type="dxa"/>
            <w:tcBorders>
              <w:top w:val="single" w:sz="4" w:space="0" w:color="000000"/>
              <w:left w:val="single" w:sz="4" w:space="0" w:color="auto"/>
              <w:bottom w:val="nil"/>
            </w:tcBorders>
          </w:tcPr>
          <w:p w14:paraId="6CCE75E1" w14:textId="77777777" w:rsidR="0053592C" w:rsidRPr="000D70CC" w:rsidRDefault="0053592C" w:rsidP="0053592C">
            <w:pPr>
              <w:jc w:val="both"/>
              <w:rPr>
                <w:rFonts w:eastAsia="Calibri"/>
                <w:b/>
                <w:bCs/>
                <w:color w:val="000000"/>
                <w:sz w:val="16"/>
                <w:szCs w:val="16"/>
                <w:lang w:val="en-GB" w:eastAsia="fi-FI"/>
              </w:rPr>
            </w:pPr>
            <w:r w:rsidRPr="000D70CC">
              <w:rPr>
                <w:rFonts w:eastAsia="Calibri"/>
                <w:b/>
                <w:bCs/>
                <w:color w:val="000000"/>
                <w:sz w:val="16"/>
                <w:szCs w:val="16"/>
                <w:lang w:val="en-GB" w:eastAsia="fi-FI"/>
              </w:rPr>
              <w:t>Region A</w:t>
            </w:r>
          </w:p>
        </w:tc>
        <w:tc>
          <w:tcPr>
            <w:tcW w:w="1405" w:type="dxa"/>
            <w:tcBorders>
              <w:top w:val="single" w:sz="4" w:space="0" w:color="000000"/>
              <w:bottom w:val="nil"/>
            </w:tcBorders>
          </w:tcPr>
          <w:p w14:paraId="478D3438" w14:textId="77777777" w:rsidR="0053592C" w:rsidRPr="000D70CC" w:rsidRDefault="0053592C" w:rsidP="0053592C">
            <w:pPr>
              <w:jc w:val="both"/>
              <w:rPr>
                <w:rFonts w:eastAsia="Calibri"/>
                <w:b/>
                <w:bCs/>
                <w:color w:val="000000"/>
                <w:sz w:val="16"/>
                <w:szCs w:val="16"/>
                <w:lang w:val="en-GB" w:eastAsia="fi-FI"/>
              </w:rPr>
            </w:pPr>
            <w:r w:rsidRPr="000D70CC">
              <w:rPr>
                <w:rFonts w:eastAsia="Calibri"/>
                <w:b/>
                <w:bCs/>
                <w:color w:val="000000"/>
                <w:sz w:val="16"/>
                <w:szCs w:val="16"/>
                <w:lang w:val="en-GB" w:eastAsia="fi-FI"/>
              </w:rPr>
              <w:t>Region A</w:t>
            </w:r>
          </w:p>
        </w:tc>
        <w:tc>
          <w:tcPr>
            <w:tcW w:w="1281" w:type="dxa"/>
            <w:tcBorders>
              <w:top w:val="single" w:sz="4" w:space="0" w:color="000000"/>
              <w:bottom w:val="nil"/>
            </w:tcBorders>
          </w:tcPr>
          <w:p w14:paraId="0F192F60" w14:textId="77777777" w:rsidR="0053592C" w:rsidRPr="000D70CC" w:rsidRDefault="0053592C" w:rsidP="0053592C">
            <w:pPr>
              <w:jc w:val="both"/>
              <w:rPr>
                <w:rFonts w:eastAsia="Calibri"/>
                <w:b/>
                <w:bCs/>
                <w:color w:val="000000"/>
                <w:sz w:val="16"/>
                <w:szCs w:val="16"/>
                <w:lang w:val="en-GB" w:eastAsia="fi-FI"/>
              </w:rPr>
            </w:pPr>
            <w:r w:rsidRPr="000D70CC">
              <w:rPr>
                <w:rFonts w:eastAsia="Calibri"/>
                <w:b/>
                <w:bCs/>
                <w:color w:val="000000"/>
                <w:sz w:val="16"/>
                <w:szCs w:val="16"/>
                <w:lang w:val="en-GB" w:eastAsia="fi-FI"/>
              </w:rPr>
              <w:t>Region B</w:t>
            </w:r>
          </w:p>
        </w:tc>
        <w:tc>
          <w:tcPr>
            <w:tcW w:w="1281" w:type="dxa"/>
            <w:tcBorders>
              <w:top w:val="single" w:sz="4" w:space="0" w:color="000000"/>
              <w:bottom w:val="nil"/>
            </w:tcBorders>
          </w:tcPr>
          <w:p w14:paraId="543B1FFC" w14:textId="77777777" w:rsidR="0053592C" w:rsidRPr="000D70CC" w:rsidRDefault="0053592C" w:rsidP="0053592C">
            <w:pPr>
              <w:jc w:val="both"/>
              <w:rPr>
                <w:rFonts w:eastAsia="Calibri"/>
                <w:b/>
                <w:bCs/>
                <w:color w:val="000000"/>
                <w:sz w:val="16"/>
                <w:szCs w:val="16"/>
                <w:lang w:val="en-GB" w:eastAsia="fi-FI"/>
              </w:rPr>
            </w:pPr>
            <w:r w:rsidRPr="000D70CC">
              <w:rPr>
                <w:rFonts w:eastAsia="Calibri"/>
                <w:b/>
                <w:bCs/>
                <w:color w:val="000000"/>
                <w:sz w:val="16"/>
                <w:szCs w:val="16"/>
                <w:lang w:val="en-GB" w:eastAsia="fi-FI"/>
              </w:rPr>
              <w:t>Region B</w:t>
            </w:r>
          </w:p>
        </w:tc>
        <w:tc>
          <w:tcPr>
            <w:tcW w:w="1043" w:type="dxa"/>
          </w:tcPr>
          <w:p w14:paraId="7B46E388" w14:textId="77777777" w:rsidR="0053592C" w:rsidRPr="000D70CC" w:rsidRDefault="0053592C" w:rsidP="0053592C">
            <w:pPr>
              <w:jc w:val="both"/>
              <w:rPr>
                <w:rFonts w:eastAsia="Calibri"/>
                <w:b/>
                <w:bCs/>
                <w:color w:val="000000"/>
                <w:sz w:val="16"/>
                <w:szCs w:val="16"/>
                <w:lang w:val="en-GB" w:eastAsia="fi-FI"/>
              </w:rPr>
            </w:pPr>
            <w:r w:rsidRPr="000D70CC">
              <w:rPr>
                <w:rFonts w:eastAsia="Calibri"/>
                <w:b/>
                <w:bCs/>
                <w:color w:val="000000"/>
                <w:sz w:val="16"/>
                <w:szCs w:val="16"/>
                <w:lang w:val="en-GB" w:eastAsia="fi-FI"/>
              </w:rPr>
              <w:t xml:space="preserve">Region </w:t>
            </w:r>
            <w:r>
              <w:rPr>
                <w:rFonts w:eastAsia="Calibri"/>
                <w:b/>
                <w:bCs/>
                <w:color w:val="000000"/>
                <w:sz w:val="16"/>
                <w:szCs w:val="16"/>
                <w:lang w:val="en-GB" w:eastAsia="fi-FI"/>
              </w:rPr>
              <w:t>C</w:t>
            </w:r>
          </w:p>
        </w:tc>
        <w:tc>
          <w:tcPr>
            <w:tcW w:w="1043" w:type="dxa"/>
          </w:tcPr>
          <w:p w14:paraId="6993C234" w14:textId="77777777" w:rsidR="0053592C" w:rsidRPr="000D70CC" w:rsidRDefault="0053592C" w:rsidP="0053592C">
            <w:pPr>
              <w:jc w:val="both"/>
              <w:rPr>
                <w:rFonts w:eastAsia="Calibri"/>
                <w:b/>
                <w:bCs/>
                <w:color w:val="000000"/>
                <w:sz w:val="16"/>
                <w:szCs w:val="16"/>
                <w:lang w:val="en-GB" w:eastAsia="fi-FI"/>
              </w:rPr>
            </w:pPr>
            <w:r w:rsidRPr="000D70CC">
              <w:rPr>
                <w:rFonts w:eastAsia="Calibri"/>
                <w:b/>
                <w:bCs/>
                <w:color w:val="000000"/>
                <w:sz w:val="16"/>
                <w:szCs w:val="16"/>
                <w:lang w:val="en-GB" w:eastAsia="fi-FI"/>
              </w:rPr>
              <w:t xml:space="preserve">Region </w:t>
            </w:r>
            <w:r>
              <w:rPr>
                <w:rFonts w:eastAsia="Calibri"/>
                <w:b/>
                <w:bCs/>
                <w:color w:val="000000"/>
                <w:sz w:val="16"/>
                <w:szCs w:val="16"/>
                <w:lang w:val="en-GB" w:eastAsia="fi-FI"/>
              </w:rPr>
              <w:t>C</w:t>
            </w:r>
          </w:p>
        </w:tc>
      </w:tr>
      <w:tr w:rsidR="0053592C" w:rsidRPr="000A2DBE" w14:paraId="7E74BA7A" w14:textId="77777777" w:rsidTr="006A38FD">
        <w:tc>
          <w:tcPr>
            <w:tcW w:w="1398" w:type="dxa"/>
            <w:tcBorders>
              <w:top w:val="nil"/>
              <w:right w:val="single" w:sz="4" w:space="0" w:color="auto"/>
            </w:tcBorders>
          </w:tcPr>
          <w:p w14:paraId="3DFB1E0D" w14:textId="77777777" w:rsidR="0053592C" w:rsidRPr="000D70CC" w:rsidRDefault="0053592C" w:rsidP="0053592C">
            <w:pPr>
              <w:jc w:val="both"/>
              <w:rPr>
                <w:rFonts w:eastAsia="Calibri"/>
                <w:b/>
                <w:bCs/>
                <w:color w:val="000000"/>
                <w:sz w:val="16"/>
                <w:szCs w:val="16"/>
                <w:lang w:val="en-GB" w:eastAsia="fi-FI"/>
              </w:rPr>
            </w:pPr>
          </w:p>
        </w:tc>
        <w:tc>
          <w:tcPr>
            <w:tcW w:w="1405" w:type="dxa"/>
            <w:tcBorders>
              <w:top w:val="nil"/>
              <w:left w:val="single" w:sz="4" w:space="0" w:color="auto"/>
              <w:bottom w:val="single" w:sz="4" w:space="0" w:color="auto"/>
            </w:tcBorders>
          </w:tcPr>
          <w:p w14:paraId="65BCAA05" w14:textId="55E4608D" w:rsidR="0053592C" w:rsidRPr="000D70CC" w:rsidRDefault="00A21440" w:rsidP="0053592C">
            <w:pPr>
              <w:jc w:val="both"/>
              <w:rPr>
                <w:rFonts w:eastAsia="Calibri"/>
                <w:b/>
                <w:bCs/>
                <w:color w:val="000000"/>
                <w:sz w:val="16"/>
                <w:szCs w:val="16"/>
                <w:lang w:val="en-GB" w:eastAsia="fi-FI"/>
              </w:rPr>
            </w:pPr>
            <w:r>
              <w:rPr>
                <w:rFonts w:eastAsia="Calibri"/>
                <w:b/>
                <w:bCs/>
                <w:color w:val="000000"/>
                <w:sz w:val="16"/>
                <w:szCs w:val="16"/>
                <w:lang w:val="en-GB" w:eastAsia="fi-FI"/>
              </w:rPr>
              <w:t>Activity</w:t>
            </w:r>
            <w:r w:rsidR="0053592C" w:rsidRPr="000D70CC">
              <w:rPr>
                <w:rFonts w:eastAsia="Calibri"/>
                <w:b/>
                <w:bCs/>
                <w:color w:val="000000"/>
                <w:sz w:val="16"/>
                <w:szCs w:val="16"/>
                <w:lang w:val="en-GB" w:eastAsia="fi-FI"/>
              </w:rPr>
              <w:t xml:space="preserve"> 1</w:t>
            </w:r>
          </w:p>
        </w:tc>
        <w:tc>
          <w:tcPr>
            <w:tcW w:w="1405" w:type="dxa"/>
            <w:tcBorders>
              <w:top w:val="nil"/>
              <w:bottom w:val="single" w:sz="4" w:space="0" w:color="auto"/>
            </w:tcBorders>
          </w:tcPr>
          <w:p w14:paraId="11D35EBB" w14:textId="1FDB39DC" w:rsidR="0053592C" w:rsidRPr="000D70CC" w:rsidRDefault="00A21440" w:rsidP="0053592C">
            <w:pPr>
              <w:jc w:val="both"/>
              <w:rPr>
                <w:rFonts w:eastAsia="Calibri"/>
                <w:b/>
                <w:bCs/>
                <w:color w:val="000000"/>
                <w:sz w:val="16"/>
                <w:szCs w:val="16"/>
                <w:lang w:val="en-GB" w:eastAsia="fi-FI"/>
              </w:rPr>
            </w:pPr>
            <w:r>
              <w:rPr>
                <w:rFonts w:eastAsia="Calibri"/>
                <w:b/>
                <w:bCs/>
                <w:color w:val="000000"/>
                <w:sz w:val="16"/>
                <w:szCs w:val="16"/>
                <w:lang w:val="en-GB" w:eastAsia="fi-FI"/>
              </w:rPr>
              <w:t>Activity</w:t>
            </w:r>
            <w:r w:rsidR="0053592C" w:rsidRPr="000D70CC">
              <w:rPr>
                <w:rFonts w:eastAsia="Calibri"/>
                <w:b/>
                <w:bCs/>
                <w:color w:val="000000"/>
                <w:sz w:val="16"/>
                <w:szCs w:val="16"/>
                <w:lang w:val="en-GB" w:eastAsia="fi-FI"/>
              </w:rPr>
              <w:t xml:space="preserve"> 2</w:t>
            </w:r>
          </w:p>
        </w:tc>
        <w:tc>
          <w:tcPr>
            <w:tcW w:w="1281" w:type="dxa"/>
            <w:tcBorders>
              <w:top w:val="nil"/>
              <w:bottom w:val="single" w:sz="4" w:space="0" w:color="auto"/>
            </w:tcBorders>
          </w:tcPr>
          <w:p w14:paraId="74E5E866" w14:textId="07696246" w:rsidR="0053592C" w:rsidRPr="000D70CC" w:rsidRDefault="00A21440" w:rsidP="0053592C">
            <w:pPr>
              <w:jc w:val="both"/>
              <w:rPr>
                <w:rFonts w:eastAsia="Calibri"/>
                <w:b/>
                <w:bCs/>
                <w:color w:val="000000"/>
                <w:sz w:val="16"/>
                <w:szCs w:val="16"/>
                <w:lang w:val="en-GB" w:eastAsia="fi-FI"/>
              </w:rPr>
            </w:pPr>
            <w:r>
              <w:rPr>
                <w:rFonts w:eastAsia="Calibri"/>
                <w:b/>
                <w:bCs/>
                <w:color w:val="000000"/>
                <w:sz w:val="16"/>
                <w:szCs w:val="16"/>
                <w:lang w:val="en-GB" w:eastAsia="fi-FI"/>
              </w:rPr>
              <w:t>Activity</w:t>
            </w:r>
            <w:r w:rsidR="0053592C" w:rsidRPr="000D70CC">
              <w:rPr>
                <w:rFonts w:eastAsia="Calibri"/>
                <w:b/>
                <w:bCs/>
                <w:color w:val="000000"/>
                <w:sz w:val="16"/>
                <w:szCs w:val="16"/>
                <w:lang w:val="en-GB" w:eastAsia="fi-FI"/>
              </w:rPr>
              <w:t xml:space="preserve"> 1</w:t>
            </w:r>
          </w:p>
        </w:tc>
        <w:tc>
          <w:tcPr>
            <w:tcW w:w="1281" w:type="dxa"/>
            <w:tcBorders>
              <w:top w:val="nil"/>
              <w:bottom w:val="single" w:sz="4" w:space="0" w:color="auto"/>
            </w:tcBorders>
          </w:tcPr>
          <w:p w14:paraId="3311814C" w14:textId="5A268928" w:rsidR="0053592C" w:rsidRPr="000D70CC" w:rsidRDefault="00A21440" w:rsidP="0053592C">
            <w:pPr>
              <w:jc w:val="both"/>
              <w:rPr>
                <w:rFonts w:eastAsia="Calibri"/>
                <w:b/>
                <w:bCs/>
                <w:color w:val="000000"/>
                <w:sz w:val="16"/>
                <w:szCs w:val="16"/>
                <w:lang w:val="en-GB" w:eastAsia="fi-FI"/>
              </w:rPr>
            </w:pPr>
            <w:r>
              <w:rPr>
                <w:rFonts w:eastAsia="Calibri"/>
                <w:b/>
                <w:bCs/>
                <w:color w:val="000000"/>
                <w:sz w:val="16"/>
                <w:szCs w:val="16"/>
                <w:lang w:val="en-GB" w:eastAsia="fi-FI"/>
              </w:rPr>
              <w:t>Activity</w:t>
            </w:r>
            <w:r w:rsidR="0053592C" w:rsidRPr="000D70CC">
              <w:rPr>
                <w:rFonts w:eastAsia="Calibri"/>
                <w:b/>
                <w:bCs/>
                <w:color w:val="000000"/>
                <w:sz w:val="16"/>
                <w:szCs w:val="16"/>
                <w:lang w:val="en-GB" w:eastAsia="fi-FI"/>
              </w:rPr>
              <w:t xml:space="preserve"> 2</w:t>
            </w:r>
          </w:p>
        </w:tc>
        <w:tc>
          <w:tcPr>
            <w:tcW w:w="1043" w:type="dxa"/>
          </w:tcPr>
          <w:p w14:paraId="419A1E58" w14:textId="20D279E5" w:rsidR="0053592C" w:rsidRPr="000D70CC" w:rsidRDefault="00A21440" w:rsidP="0053592C">
            <w:pPr>
              <w:jc w:val="both"/>
              <w:rPr>
                <w:rFonts w:eastAsia="Calibri"/>
                <w:b/>
                <w:bCs/>
                <w:color w:val="000000"/>
                <w:sz w:val="16"/>
                <w:szCs w:val="16"/>
                <w:lang w:val="en-GB" w:eastAsia="fi-FI"/>
              </w:rPr>
            </w:pPr>
            <w:r>
              <w:rPr>
                <w:rFonts w:eastAsia="Calibri"/>
                <w:b/>
                <w:bCs/>
                <w:color w:val="000000"/>
                <w:sz w:val="16"/>
                <w:szCs w:val="16"/>
                <w:lang w:val="en-GB" w:eastAsia="fi-FI"/>
              </w:rPr>
              <w:t>Activity</w:t>
            </w:r>
            <w:r w:rsidR="0053592C" w:rsidRPr="000D70CC">
              <w:rPr>
                <w:rFonts w:eastAsia="Calibri"/>
                <w:b/>
                <w:bCs/>
                <w:color w:val="000000"/>
                <w:sz w:val="16"/>
                <w:szCs w:val="16"/>
                <w:lang w:val="en-GB" w:eastAsia="fi-FI"/>
              </w:rPr>
              <w:t xml:space="preserve"> 1</w:t>
            </w:r>
          </w:p>
        </w:tc>
        <w:tc>
          <w:tcPr>
            <w:tcW w:w="1043" w:type="dxa"/>
          </w:tcPr>
          <w:p w14:paraId="508AF8B9" w14:textId="387BEE53" w:rsidR="0053592C" w:rsidRPr="000D70CC" w:rsidRDefault="00A21440" w:rsidP="0053592C">
            <w:pPr>
              <w:jc w:val="both"/>
              <w:rPr>
                <w:rFonts w:eastAsia="Calibri"/>
                <w:b/>
                <w:bCs/>
                <w:color w:val="000000"/>
                <w:sz w:val="16"/>
                <w:szCs w:val="16"/>
                <w:lang w:val="en-GB" w:eastAsia="fi-FI"/>
              </w:rPr>
            </w:pPr>
            <w:r>
              <w:rPr>
                <w:rFonts w:eastAsia="Calibri"/>
                <w:b/>
                <w:bCs/>
                <w:color w:val="000000"/>
                <w:sz w:val="16"/>
                <w:szCs w:val="16"/>
                <w:lang w:val="en-GB" w:eastAsia="fi-FI"/>
              </w:rPr>
              <w:t>Activity</w:t>
            </w:r>
            <w:r w:rsidR="0053592C" w:rsidRPr="000D70CC">
              <w:rPr>
                <w:rFonts w:eastAsia="Calibri"/>
                <w:b/>
                <w:bCs/>
                <w:color w:val="000000"/>
                <w:sz w:val="16"/>
                <w:szCs w:val="16"/>
                <w:lang w:val="en-GB" w:eastAsia="fi-FI"/>
              </w:rPr>
              <w:t xml:space="preserve"> 2</w:t>
            </w:r>
          </w:p>
        </w:tc>
      </w:tr>
      <w:tr w:rsidR="009558E9" w:rsidRPr="000A2DBE" w14:paraId="274B7607" w14:textId="77777777" w:rsidTr="006A38FD">
        <w:tc>
          <w:tcPr>
            <w:tcW w:w="1398" w:type="dxa"/>
            <w:tcBorders>
              <w:right w:val="single" w:sz="4" w:space="0" w:color="auto"/>
            </w:tcBorders>
            <w:vAlign w:val="center"/>
          </w:tcPr>
          <w:p w14:paraId="5F22E263" w14:textId="77777777" w:rsidR="009558E9" w:rsidRPr="000D70CC" w:rsidRDefault="009558E9" w:rsidP="009558E9">
            <w:pPr>
              <w:rPr>
                <w:rFonts w:eastAsia="Calibri"/>
                <w:b/>
                <w:bCs/>
                <w:color w:val="000000"/>
                <w:sz w:val="16"/>
                <w:szCs w:val="16"/>
                <w:lang w:val="en-GB" w:eastAsia="fi-FI"/>
              </w:rPr>
            </w:pPr>
            <w:r w:rsidRPr="000D70CC">
              <w:rPr>
                <w:rFonts w:eastAsia="Calibri"/>
                <w:b/>
                <w:bCs/>
                <w:color w:val="000000"/>
                <w:sz w:val="16"/>
                <w:szCs w:val="16"/>
                <w:lang w:val="en-GB" w:eastAsia="fi-FI"/>
              </w:rPr>
              <w:t>Region A</w:t>
            </w:r>
          </w:p>
        </w:tc>
        <w:tc>
          <w:tcPr>
            <w:tcW w:w="1405" w:type="dxa"/>
            <w:tcBorders>
              <w:top w:val="single" w:sz="4" w:space="0" w:color="auto"/>
              <w:left w:val="single" w:sz="4" w:space="0" w:color="auto"/>
            </w:tcBorders>
          </w:tcPr>
          <w:p w14:paraId="5853EAC5" w14:textId="2A10A962" w:rsidR="009558E9" w:rsidRPr="000D70CC" w:rsidRDefault="009558E9" w:rsidP="009558E9">
            <w:pPr>
              <w:rPr>
                <w:rFonts w:eastAsia="Calibri"/>
                <w:color w:val="000000"/>
                <w:sz w:val="16"/>
                <w:szCs w:val="16"/>
                <w:lang w:val="en-GB" w:eastAsia="fi-FI"/>
              </w:rPr>
            </w:pPr>
            <w:r>
              <w:rPr>
                <w:rFonts w:eastAsia="Calibri"/>
                <w:color w:val="000000"/>
                <w:sz w:val="16"/>
                <w:szCs w:val="16"/>
                <w:lang w:val="en-GB" w:eastAsia="fi-FI"/>
              </w:rPr>
              <w:t>Biodiversity i</w:t>
            </w:r>
            <w:r w:rsidRPr="000D70CC">
              <w:rPr>
                <w:rFonts w:eastAsia="Calibri"/>
                <w:color w:val="000000"/>
                <w:sz w:val="16"/>
                <w:szCs w:val="16"/>
                <w:lang w:val="en-GB" w:eastAsia="fi-FI"/>
              </w:rPr>
              <w:t>mpact</w:t>
            </w:r>
            <w:r>
              <w:rPr>
                <w:rFonts w:eastAsia="Calibri"/>
                <w:color w:val="000000"/>
                <w:sz w:val="16"/>
                <w:szCs w:val="16"/>
                <w:lang w:val="en-GB" w:eastAsia="fi-FI"/>
              </w:rPr>
              <w:t xml:space="preserve"> per euro</w:t>
            </w:r>
            <w:r w:rsidRPr="000D70CC">
              <w:rPr>
                <w:rFonts w:eastAsia="Calibri"/>
                <w:color w:val="000000"/>
                <w:sz w:val="16"/>
                <w:szCs w:val="16"/>
                <w:lang w:val="en-GB" w:eastAsia="fi-FI"/>
              </w:rPr>
              <w:t xml:space="preserve"> in Region A driven by </w:t>
            </w:r>
            <w:r w:rsidR="00A21440">
              <w:rPr>
                <w:rFonts w:eastAsia="Calibri"/>
                <w:color w:val="000000"/>
                <w:sz w:val="16"/>
                <w:szCs w:val="16"/>
                <w:lang w:val="en-GB" w:eastAsia="fi-FI"/>
              </w:rPr>
              <w:t>activities</w:t>
            </w:r>
            <w:r w:rsidRPr="000D70CC">
              <w:rPr>
                <w:rFonts w:eastAsia="Calibri"/>
                <w:color w:val="000000"/>
                <w:sz w:val="16"/>
                <w:szCs w:val="16"/>
                <w:lang w:val="en-GB" w:eastAsia="fi-FI"/>
              </w:rPr>
              <w:t xml:space="preserve"> in Region A – </w:t>
            </w:r>
            <w:r w:rsidR="00A21440">
              <w:rPr>
                <w:rFonts w:eastAsia="Calibri"/>
                <w:color w:val="000000"/>
                <w:sz w:val="16"/>
                <w:szCs w:val="16"/>
                <w:lang w:val="en-GB" w:eastAsia="fi-FI"/>
              </w:rPr>
              <w:t>Activity</w:t>
            </w:r>
            <w:r w:rsidRPr="000D70CC">
              <w:rPr>
                <w:rFonts w:eastAsia="Calibri"/>
                <w:color w:val="000000"/>
                <w:sz w:val="16"/>
                <w:szCs w:val="16"/>
                <w:lang w:val="en-GB" w:eastAsia="fi-FI"/>
              </w:rPr>
              <w:t xml:space="preserve"> 1</w:t>
            </w:r>
          </w:p>
          <w:p w14:paraId="26627C9B" w14:textId="77777777" w:rsidR="009558E9" w:rsidRPr="000D70CC" w:rsidRDefault="009558E9" w:rsidP="009558E9">
            <w:pPr>
              <w:rPr>
                <w:rFonts w:eastAsia="Calibri"/>
                <w:color w:val="000000"/>
                <w:sz w:val="16"/>
                <w:szCs w:val="16"/>
                <w:lang w:val="en-GB" w:eastAsia="fi-FI"/>
              </w:rPr>
            </w:pPr>
          </w:p>
        </w:tc>
        <w:tc>
          <w:tcPr>
            <w:tcW w:w="1405" w:type="dxa"/>
            <w:tcBorders>
              <w:top w:val="single" w:sz="4" w:space="0" w:color="auto"/>
            </w:tcBorders>
          </w:tcPr>
          <w:p w14:paraId="2B531582" w14:textId="4F26EF89" w:rsidR="009558E9" w:rsidRPr="000D70CC" w:rsidRDefault="009558E9" w:rsidP="009558E9">
            <w:pPr>
              <w:rPr>
                <w:rFonts w:eastAsia="Calibri"/>
                <w:color w:val="000000"/>
                <w:sz w:val="16"/>
                <w:szCs w:val="16"/>
                <w:lang w:val="en-GB" w:eastAsia="fi-FI"/>
              </w:rPr>
            </w:pPr>
            <w:r>
              <w:rPr>
                <w:rFonts w:eastAsia="Calibri"/>
                <w:color w:val="000000"/>
                <w:sz w:val="16"/>
                <w:szCs w:val="16"/>
                <w:lang w:val="en-GB" w:eastAsia="fi-FI"/>
              </w:rPr>
              <w:t>Biodiversity impact per euro</w:t>
            </w:r>
            <w:r w:rsidRPr="000D70CC">
              <w:rPr>
                <w:rFonts w:eastAsia="Calibri"/>
                <w:color w:val="000000"/>
                <w:sz w:val="16"/>
                <w:szCs w:val="16"/>
                <w:lang w:val="en-GB" w:eastAsia="fi-FI"/>
              </w:rPr>
              <w:t xml:space="preserve"> in Region A driven by </w:t>
            </w:r>
            <w:r w:rsidR="00A21440">
              <w:rPr>
                <w:rFonts w:eastAsia="Calibri"/>
                <w:color w:val="000000"/>
                <w:sz w:val="16"/>
                <w:szCs w:val="16"/>
                <w:lang w:val="en-GB" w:eastAsia="fi-FI"/>
              </w:rPr>
              <w:t>activities</w:t>
            </w:r>
            <w:r w:rsidRPr="000D70CC">
              <w:rPr>
                <w:rFonts w:eastAsia="Calibri"/>
                <w:color w:val="000000"/>
                <w:sz w:val="16"/>
                <w:szCs w:val="16"/>
                <w:lang w:val="en-GB" w:eastAsia="fi-FI"/>
              </w:rPr>
              <w:t xml:space="preserve"> in Region A – </w:t>
            </w:r>
            <w:r w:rsidR="00A21440">
              <w:rPr>
                <w:rFonts w:eastAsia="Calibri"/>
                <w:color w:val="000000"/>
                <w:sz w:val="16"/>
                <w:szCs w:val="16"/>
                <w:lang w:val="en-GB" w:eastAsia="fi-FI"/>
              </w:rPr>
              <w:t>Activity</w:t>
            </w:r>
            <w:r w:rsidRPr="000D70CC">
              <w:rPr>
                <w:rFonts w:eastAsia="Calibri"/>
                <w:color w:val="000000"/>
                <w:sz w:val="16"/>
                <w:szCs w:val="16"/>
                <w:lang w:val="en-GB" w:eastAsia="fi-FI"/>
              </w:rPr>
              <w:t xml:space="preserve"> 2</w:t>
            </w:r>
          </w:p>
        </w:tc>
        <w:tc>
          <w:tcPr>
            <w:tcW w:w="1281" w:type="dxa"/>
            <w:tcBorders>
              <w:top w:val="single" w:sz="4" w:space="0" w:color="auto"/>
            </w:tcBorders>
          </w:tcPr>
          <w:p w14:paraId="2D6CF5D8" w14:textId="2A62D022" w:rsidR="009558E9" w:rsidRPr="000D70CC" w:rsidRDefault="009558E9" w:rsidP="009558E9">
            <w:pPr>
              <w:rPr>
                <w:rFonts w:eastAsia="Calibri"/>
                <w:color w:val="000000"/>
                <w:sz w:val="16"/>
                <w:szCs w:val="16"/>
                <w:lang w:val="en-GB" w:eastAsia="fi-FI"/>
              </w:rPr>
            </w:pPr>
            <w:r>
              <w:rPr>
                <w:rFonts w:eastAsia="Calibri"/>
                <w:color w:val="000000"/>
                <w:sz w:val="16"/>
                <w:szCs w:val="16"/>
                <w:lang w:val="en-GB" w:eastAsia="fi-FI"/>
              </w:rPr>
              <w:t>Biodiversity impact per euro</w:t>
            </w:r>
            <w:r w:rsidRPr="000D70CC">
              <w:rPr>
                <w:rFonts w:eastAsia="Calibri"/>
                <w:color w:val="000000"/>
                <w:sz w:val="16"/>
                <w:szCs w:val="16"/>
                <w:lang w:val="en-GB" w:eastAsia="fi-FI"/>
              </w:rPr>
              <w:t xml:space="preserve"> in Region A driven by </w:t>
            </w:r>
            <w:r w:rsidR="00A21440">
              <w:rPr>
                <w:rFonts w:eastAsia="Calibri"/>
                <w:color w:val="000000"/>
                <w:sz w:val="16"/>
                <w:szCs w:val="16"/>
                <w:lang w:val="en-GB" w:eastAsia="fi-FI"/>
              </w:rPr>
              <w:t>activities</w:t>
            </w:r>
            <w:r w:rsidRPr="000D70CC">
              <w:rPr>
                <w:rFonts w:eastAsia="Calibri"/>
                <w:color w:val="000000"/>
                <w:sz w:val="16"/>
                <w:szCs w:val="16"/>
                <w:lang w:val="en-GB" w:eastAsia="fi-FI"/>
              </w:rPr>
              <w:t xml:space="preserve"> in Region B – </w:t>
            </w:r>
            <w:r w:rsidR="00A21440">
              <w:rPr>
                <w:rFonts w:eastAsia="Calibri"/>
                <w:color w:val="000000"/>
                <w:sz w:val="16"/>
                <w:szCs w:val="16"/>
                <w:lang w:val="en-GB" w:eastAsia="fi-FI"/>
              </w:rPr>
              <w:t>Activity</w:t>
            </w:r>
            <w:r w:rsidRPr="000D70CC">
              <w:rPr>
                <w:rFonts w:eastAsia="Calibri"/>
                <w:color w:val="000000"/>
                <w:sz w:val="16"/>
                <w:szCs w:val="16"/>
                <w:lang w:val="en-GB" w:eastAsia="fi-FI"/>
              </w:rPr>
              <w:t xml:space="preserve"> 1</w:t>
            </w:r>
          </w:p>
        </w:tc>
        <w:tc>
          <w:tcPr>
            <w:tcW w:w="1281" w:type="dxa"/>
            <w:tcBorders>
              <w:top w:val="single" w:sz="4" w:space="0" w:color="auto"/>
            </w:tcBorders>
          </w:tcPr>
          <w:p w14:paraId="48201C3C" w14:textId="51DB8EBF" w:rsidR="009558E9" w:rsidRPr="000D70CC" w:rsidRDefault="009558E9" w:rsidP="009558E9">
            <w:pPr>
              <w:rPr>
                <w:rFonts w:eastAsia="Calibri"/>
                <w:color w:val="000000"/>
                <w:sz w:val="16"/>
                <w:szCs w:val="16"/>
                <w:lang w:val="en-GB" w:eastAsia="fi-FI"/>
              </w:rPr>
            </w:pPr>
            <w:r>
              <w:rPr>
                <w:rFonts w:eastAsia="Calibri"/>
                <w:color w:val="000000"/>
                <w:sz w:val="16"/>
                <w:szCs w:val="16"/>
                <w:lang w:val="en-GB" w:eastAsia="fi-FI"/>
              </w:rPr>
              <w:t>Biodiversity impact per euro</w:t>
            </w:r>
            <w:r w:rsidRPr="000D70CC">
              <w:rPr>
                <w:rFonts w:eastAsia="Calibri"/>
                <w:color w:val="000000"/>
                <w:sz w:val="16"/>
                <w:szCs w:val="16"/>
                <w:lang w:val="en-GB" w:eastAsia="fi-FI"/>
              </w:rPr>
              <w:t xml:space="preserve"> in Region A driven by </w:t>
            </w:r>
            <w:r w:rsidR="00A21440">
              <w:rPr>
                <w:rFonts w:eastAsia="Calibri"/>
                <w:color w:val="000000"/>
                <w:sz w:val="16"/>
                <w:szCs w:val="16"/>
                <w:lang w:val="en-GB" w:eastAsia="fi-FI"/>
              </w:rPr>
              <w:t>activities</w:t>
            </w:r>
            <w:r w:rsidRPr="000D70CC">
              <w:rPr>
                <w:rFonts w:eastAsia="Calibri"/>
                <w:color w:val="000000"/>
                <w:sz w:val="16"/>
                <w:szCs w:val="16"/>
                <w:lang w:val="en-GB" w:eastAsia="fi-FI"/>
              </w:rPr>
              <w:t xml:space="preserve"> in Region B – </w:t>
            </w:r>
            <w:r w:rsidR="00A21440">
              <w:rPr>
                <w:rFonts w:eastAsia="Calibri"/>
                <w:color w:val="000000"/>
                <w:sz w:val="16"/>
                <w:szCs w:val="16"/>
                <w:lang w:val="en-GB" w:eastAsia="fi-FI"/>
              </w:rPr>
              <w:t>Activity</w:t>
            </w:r>
            <w:r w:rsidRPr="000D70CC">
              <w:rPr>
                <w:rFonts w:eastAsia="Calibri"/>
                <w:color w:val="000000"/>
                <w:sz w:val="16"/>
                <w:szCs w:val="16"/>
                <w:lang w:val="en-GB" w:eastAsia="fi-FI"/>
              </w:rPr>
              <w:t xml:space="preserve"> 2</w:t>
            </w:r>
          </w:p>
        </w:tc>
        <w:tc>
          <w:tcPr>
            <w:tcW w:w="1043" w:type="dxa"/>
          </w:tcPr>
          <w:p w14:paraId="12E80F8D" w14:textId="2D0D95F0" w:rsidR="009558E9" w:rsidRPr="000D70CC" w:rsidRDefault="009558E9" w:rsidP="009558E9">
            <w:pPr>
              <w:rPr>
                <w:rFonts w:eastAsia="Calibri"/>
                <w:color w:val="000000"/>
                <w:sz w:val="16"/>
                <w:szCs w:val="16"/>
                <w:lang w:val="en-GB" w:eastAsia="fi-FI"/>
              </w:rPr>
            </w:pPr>
            <w:r>
              <w:rPr>
                <w:rFonts w:eastAsia="Calibri"/>
                <w:color w:val="000000"/>
                <w:sz w:val="16"/>
                <w:szCs w:val="16"/>
                <w:lang w:val="en-GB" w:eastAsia="fi-FI"/>
              </w:rPr>
              <w:t>Biodiversity i</w:t>
            </w:r>
            <w:r w:rsidRPr="000D70CC">
              <w:rPr>
                <w:rFonts w:eastAsia="Calibri"/>
                <w:color w:val="000000"/>
                <w:sz w:val="16"/>
                <w:szCs w:val="16"/>
                <w:lang w:val="en-GB" w:eastAsia="fi-FI"/>
              </w:rPr>
              <w:t>mpact</w:t>
            </w:r>
            <w:r>
              <w:rPr>
                <w:rFonts w:eastAsia="Calibri"/>
                <w:color w:val="000000"/>
                <w:sz w:val="16"/>
                <w:szCs w:val="16"/>
                <w:lang w:val="en-GB" w:eastAsia="fi-FI"/>
              </w:rPr>
              <w:t xml:space="preserve"> per euro</w:t>
            </w:r>
            <w:r w:rsidRPr="000D70CC">
              <w:rPr>
                <w:rFonts w:eastAsia="Calibri"/>
                <w:color w:val="000000"/>
                <w:sz w:val="16"/>
                <w:szCs w:val="16"/>
                <w:lang w:val="en-GB" w:eastAsia="fi-FI"/>
              </w:rPr>
              <w:t xml:space="preserve"> in Region A driven by </w:t>
            </w:r>
            <w:r w:rsidR="00A21440">
              <w:rPr>
                <w:rFonts w:eastAsia="Calibri"/>
                <w:color w:val="000000"/>
                <w:sz w:val="16"/>
                <w:szCs w:val="16"/>
                <w:lang w:val="en-GB" w:eastAsia="fi-FI"/>
              </w:rPr>
              <w:t>activities</w:t>
            </w:r>
            <w:r w:rsidRPr="000D70CC">
              <w:rPr>
                <w:rFonts w:eastAsia="Calibri"/>
                <w:color w:val="000000"/>
                <w:sz w:val="16"/>
                <w:szCs w:val="16"/>
                <w:lang w:val="en-GB" w:eastAsia="fi-FI"/>
              </w:rPr>
              <w:t xml:space="preserve"> in Region </w:t>
            </w:r>
            <w:r>
              <w:rPr>
                <w:rFonts w:eastAsia="Calibri"/>
                <w:color w:val="000000"/>
                <w:sz w:val="16"/>
                <w:szCs w:val="16"/>
                <w:lang w:val="en-GB" w:eastAsia="fi-FI"/>
              </w:rPr>
              <w:t>C</w:t>
            </w:r>
            <w:r w:rsidRPr="000D70CC">
              <w:rPr>
                <w:rFonts w:eastAsia="Calibri"/>
                <w:color w:val="000000"/>
                <w:sz w:val="16"/>
                <w:szCs w:val="16"/>
                <w:lang w:val="en-GB" w:eastAsia="fi-FI"/>
              </w:rPr>
              <w:t xml:space="preserve"> – </w:t>
            </w:r>
            <w:r w:rsidR="00A21440">
              <w:rPr>
                <w:rFonts w:eastAsia="Calibri"/>
                <w:color w:val="000000"/>
                <w:sz w:val="16"/>
                <w:szCs w:val="16"/>
                <w:lang w:val="en-GB" w:eastAsia="fi-FI"/>
              </w:rPr>
              <w:t>Activity</w:t>
            </w:r>
            <w:r w:rsidRPr="000D70CC">
              <w:rPr>
                <w:rFonts w:eastAsia="Calibri"/>
                <w:color w:val="000000"/>
                <w:sz w:val="16"/>
                <w:szCs w:val="16"/>
                <w:lang w:val="en-GB" w:eastAsia="fi-FI"/>
              </w:rPr>
              <w:t xml:space="preserve"> 1</w:t>
            </w:r>
          </w:p>
          <w:p w14:paraId="6BA96152" w14:textId="77777777" w:rsidR="009558E9" w:rsidRDefault="009558E9" w:rsidP="009558E9">
            <w:pPr>
              <w:rPr>
                <w:rFonts w:eastAsia="Calibri"/>
                <w:color w:val="000000"/>
                <w:sz w:val="16"/>
                <w:szCs w:val="16"/>
                <w:lang w:val="en-GB" w:eastAsia="fi-FI"/>
              </w:rPr>
            </w:pPr>
          </w:p>
        </w:tc>
        <w:tc>
          <w:tcPr>
            <w:tcW w:w="1043" w:type="dxa"/>
          </w:tcPr>
          <w:p w14:paraId="5C078378" w14:textId="39F56DC2" w:rsidR="009558E9" w:rsidRDefault="009558E9" w:rsidP="009558E9">
            <w:pPr>
              <w:rPr>
                <w:rFonts w:eastAsia="Calibri"/>
                <w:color w:val="000000"/>
                <w:sz w:val="16"/>
                <w:szCs w:val="16"/>
                <w:lang w:val="en-GB" w:eastAsia="fi-FI"/>
              </w:rPr>
            </w:pPr>
            <w:r>
              <w:rPr>
                <w:rFonts w:eastAsia="Calibri"/>
                <w:color w:val="000000"/>
                <w:sz w:val="16"/>
                <w:szCs w:val="16"/>
                <w:lang w:val="en-GB" w:eastAsia="fi-FI"/>
              </w:rPr>
              <w:t>Biodiversity impact per euro</w:t>
            </w:r>
            <w:r w:rsidRPr="000D70CC">
              <w:rPr>
                <w:rFonts w:eastAsia="Calibri"/>
                <w:color w:val="000000"/>
                <w:sz w:val="16"/>
                <w:szCs w:val="16"/>
                <w:lang w:val="en-GB" w:eastAsia="fi-FI"/>
              </w:rPr>
              <w:t xml:space="preserve"> in Region A driven by </w:t>
            </w:r>
            <w:r w:rsidR="00A21440">
              <w:rPr>
                <w:rFonts w:eastAsia="Calibri"/>
                <w:color w:val="000000"/>
                <w:sz w:val="16"/>
                <w:szCs w:val="16"/>
                <w:lang w:val="en-GB" w:eastAsia="fi-FI"/>
              </w:rPr>
              <w:t>activities</w:t>
            </w:r>
            <w:r w:rsidRPr="000D70CC">
              <w:rPr>
                <w:rFonts w:eastAsia="Calibri"/>
                <w:color w:val="000000"/>
                <w:sz w:val="16"/>
                <w:szCs w:val="16"/>
                <w:lang w:val="en-GB" w:eastAsia="fi-FI"/>
              </w:rPr>
              <w:t xml:space="preserve"> in Region </w:t>
            </w:r>
            <w:r>
              <w:rPr>
                <w:rFonts w:eastAsia="Calibri"/>
                <w:color w:val="000000"/>
                <w:sz w:val="16"/>
                <w:szCs w:val="16"/>
                <w:lang w:val="en-GB" w:eastAsia="fi-FI"/>
              </w:rPr>
              <w:t>C</w:t>
            </w:r>
            <w:r w:rsidRPr="000D70CC">
              <w:rPr>
                <w:rFonts w:eastAsia="Calibri"/>
                <w:color w:val="000000"/>
                <w:sz w:val="16"/>
                <w:szCs w:val="16"/>
                <w:lang w:val="en-GB" w:eastAsia="fi-FI"/>
              </w:rPr>
              <w:t xml:space="preserve"> – </w:t>
            </w:r>
            <w:r w:rsidR="00A21440">
              <w:rPr>
                <w:rFonts w:eastAsia="Calibri"/>
                <w:color w:val="000000"/>
                <w:sz w:val="16"/>
                <w:szCs w:val="16"/>
                <w:lang w:val="en-GB" w:eastAsia="fi-FI"/>
              </w:rPr>
              <w:t>Activity</w:t>
            </w:r>
            <w:r w:rsidRPr="000D70CC">
              <w:rPr>
                <w:rFonts w:eastAsia="Calibri"/>
                <w:color w:val="000000"/>
                <w:sz w:val="16"/>
                <w:szCs w:val="16"/>
                <w:lang w:val="en-GB" w:eastAsia="fi-FI"/>
              </w:rPr>
              <w:t xml:space="preserve"> 2</w:t>
            </w:r>
          </w:p>
        </w:tc>
      </w:tr>
      <w:tr w:rsidR="009558E9" w:rsidRPr="000A2DBE" w14:paraId="6714A226" w14:textId="77777777" w:rsidTr="006A38FD">
        <w:tc>
          <w:tcPr>
            <w:tcW w:w="1398" w:type="dxa"/>
            <w:tcBorders>
              <w:right w:val="single" w:sz="4" w:space="0" w:color="auto"/>
            </w:tcBorders>
            <w:vAlign w:val="center"/>
          </w:tcPr>
          <w:p w14:paraId="14FB9F72" w14:textId="77777777" w:rsidR="009558E9" w:rsidRPr="000D70CC" w:rsidRDefault="009558E9" w:rsidP="009558E9">
            <w:pPr>
              <w:rPr>
                <w:rFonts w:eastAsia="Calibri"/>
                <w:b/>
                <w:bCs/>
                <w:color w:val="000000"/>
                <w:sz w:val="16"/>
                <w:szCs w:val="16"/>
                <w:lang w:val="en-GB" w:eastAsia="fi-FI"/>
              </w:rPr>
            </w:pPr>
            <w:r w:rsidRPr="000D70CC">
              <w:rPr>
                <w:rFonts w:eastAsia="Calibri"/>
                <w:b/>
                <w:bCs/>
                <w:color w:val="000000"/>
                <w:sz w:val="16"/>
                <w:szCs w:val="16"/>
                <w:lang w:val="en-GB" w:eastAsia="fi-FI"/>
              </w:rPr>
              <w:t>Region B</w:t>
            </w:r>
          </w:p>
        </w:tc>
        <w:tc>
          <w:tcPr>
            <w:tcW w:w="1405" w:type="dxa"/>
            <w:tcBorders>
              <w:left w:val="single" w:sz="4" w:space="0" w:color="auto"/>
            </w:tcBorders>
          </w:tcPr>
          <w:p w14:paraId="14209509" w14:textId="119CD6D6" w:rsidR="009558E9" w:rsidRPr="000D70CC" w:rsidRDefault="009558E9" w:rsidP="009558E9">
            <w:pPr>
              <w:rPr>
                <w:rFonts w:eastAsia="Calibri"/>
                <w:color w:val="000000"/>
                <w:sz w:val="16"/>
                <w:szCs w:val="16"/>
                <w:lang w:val="en-GB" w:eastAsia="fi-FI"/>
              </w:rPr>
            </w:pPr>
            <w:r>
              <w:rPr>
                <w:rFonts w:eastAsia="Calibri"/>
                <w:color w:val="000000"/>
                <w:sz w:val="16"/>
                <w:szCs w:val="16"/>
                <w:lang w:val="en-GB" w:eastAsia="fi-FI"/>
              </w:rPr>
              <w:t>Biodiversity impact per euro</w:t>
            </w:r>
            <w:r w:rsidRPr="000D70CC">
              <w:rPr>
                <w:rFonts w:eastAsia="Calibri"/>
                <w:color w:val="000000"/>
                <w:sz w:val="16"/>
                <w:szCs w:val="16"/>
                <w:lang w:val="en-GB" w:eastAsia="fi-FI"/>
              </w:rPr>
              <w:t xml:space="preserve"> in Region B driven </w:t>
            </w:r>
            <w:r w:rsidRPr="000D70CC">
              <w:rPr>
                <w:rFonts w:eastAsia="Calibri"/>
                <w:color w:val="000000"/>
                <w:sz w:val="16"/>
                <w:szCs w:val="16"/>
                <w:lang w:val="en-GB" w:eastAsia="fi-FI"/>
              </w:rPr>
              <w:lastRenderedPageBreak/>
              <w:t xml:space="preserve">by </w:t>
            </w:r>
            <w:r w:rsidR="00A21440">
              <w:rPr>
                <w:rFonts w:eastAsia="Calibri"/>
                <w:color w:val="000000"/>
                <w:sz w:val="16"/>
                <w:szCs w:val="16"/>
                <w:lang w:val="en-GB" w:eastAsia="fi-FI"/>
              </w:rPr>
              <w:t>activities</w:t>
            </w:r>
            <w:r w:rsidRPr="000D70CC">
              <w:rPr>
                <w:rFonts w:eastAsia="Calibri"/>
                <w:color w:val="000000"/>
                <w:sz w:val="16"/>
                <w:szCs w:val="16"/>
                <w:lang w:val="en-GB" w:eastAsia="fi-FI"/>
              </w:rPr>
              <w:t xml:space="preserve"> in Region A – </w:t>
            </w:r>
            <w:r w:rsidR="00A21440">
              <w:rPr>
                <w:rFonts w:eastAsia="Calibri"/>
                <w:color w:val="000000"/>
                <w:sz w:val="16"/>
                <w:szCs w:val="16"/>
                <w:lang w:val="en-GB" w:eastAsia="fi-FI"/>
              </w:rPr>
              <w:t>Activity</w:t>
            </w:r>
            <w:r w:rsidRPr="000D70CC">
              <w:rPr>
                <w:rFonts w:eastAsia="Calibri"/>
                <w:color w:val="000000"/>
                <w:sz w:val="16"/>
                <w:szCs w:val="16"/>
                <w:lang w:val="en-GB" w:eastAsia="fi-FI"/>
              </w:rPr>
              <w:t xml:space="preserve"> 1</w:t>
            </w:r>
          </w:p>
          <w:p w14:paraId="41022BB9" w14:textId="77777777" w:rsidR="009558E9" w:rsidRPr="000D70CC" w:rsidRDefault="009558E9" w:rsidP="009558E9">
            <w:pPr>
              <w:rPr>
                <w:rFonts w:eastAsia="Calibri"/>
                <w:color w:val="000000"/>
                <w:sz w:val="16"/>
                <w:szCs w:val="16"/>
                <w:lang w:val="en-GB" w:eastAsia="fi-FI"/>
              </w:rPr>
            </w:pPr>
          </w:p>
        </w:tc>
        <w:tc>
          <w:tcPr>
            <w:tcW w:w="1405" w:type="dxa"/>
          </w:tcPr>
          <w:p w14:paraId="0B542D8E" w14:textId="609F3323" w:rsidR="009558E9" w:rsidRPr="000D70CC" w:rsidRDefault="009558E9" w:rsidP="009558E9">
            <w:pPr>
              <w:rPr>
                <w:rFonts w:eastAsia="Calibri"/>
                <w:color w:val="000000"/>
                <w:sz w:val="16"/>
                <w:szCs w:val="16"/>
                <w:lang w:val="en-GB" w:eastAsia="fi-FI"/>
              </w:rPr>
            </w:pPr>
            <w:r>
              <w:rPr>
                <w:rFonts w:eastAsia="Calibri"/>
                <w:color w:val="000000"/>
                <w:sz w:val="16"/>
                <w:szCs w:val="16"/>
                <w:lang w:val="en-GB" w:eastAsia="fi-FI"/>
              </w:rPr>
              <w:lastRenderedPageBreak/>
              <w:t>Biodiversity impact per euro</w:t>
            </w:r>
            <w:r w:rsidRPr="000D70CC">
              <w:rPr>
                <w:rFonts w:eastAsia="Calibri"/>
                <w:color w:val="000000"/>
                <w:sz w:val="16"/>
                <w:szCs w:val="16"/>
                <w:lang w:val="en-GB" w:eastAsia="fi-FI"/>
              </w:rPr>
              <w:t xml:space="preserve"> in Region B driven </w:t>
            </w:r>
            <w:r w:rsidRPr="000D70CC">
              <w:rPr>
                <w:rFonts w:eastAsia="Calibri"/>
                <w:color w:val="000000"/>
                <w:sz w:val="16"/>
                <w:szCs w:val="16"/>
                <w:lang w:val="en-GB" w:eastAsia="fi-FI"/>
              </w:rPr>
              <w:lastRenderedPageBreak/>
              <w:t xml:space="preserve">by </w:t>
            </w:r>
            <w:r w:rsidR="00A21440">
              <w:rPr>
                <w:rFonts w:eastAsia="Calibri"/>
                <w:color w:val="000000"/>
                <w:sz w:val="16"/>
                <w:szCs w:val="16"/>
                <w:lang w:val="en-GB" w:eastAsia="fi-FI"/>
              </w:rPr>
              <w:t>activities</w:t>
            </w:r>
            <w:r w:rsidRPr="000D70CC">
              <w:rPr>
                <w:rFonts w:eastAsia="Calibri"/>
                <w:color w:val="000000"/>
                <w:sz w:val="16"/>
                <w:szCs w:val="16"/>
                <w:lang w:val="en-GB" w:eastAsia="fi-FI"/>
              </w:rPr>
              <w:t xml:space="preserve"> in Region A – </w:t>
            </w:r>
            <w:r w:rsidR="00A21440">
              <w:rPr>
                <w:rFonts w:eastAsia="Calibri"/>
                <w:color w:val="000000"/>
                <w:sz w:val="16"/>
                <w:szCs w:val="16"/>
                <w:lang w:val="en-GB" w:eastAsia="fi-FI"/>
              </w:rPr>
              <w:t>Activity</w:t>
            </w:r>
            <w:r w:rsidRPr="000D70CC">
              <w:rPr>
                <w:rFonts w:eastAsia="Calibri"/>
                <w:color w:val="000000"/>
                <w:sz w:val="16"/>
                <w:szCs w:val="16"/>
                <w:lang w:val="en-GB" w:eastAsia="fi-FI"/>
              </w:rPr>
              <w:t xml:space="preserve"> 2</w:t>
            </w:r>
          </w:p>
        </w:tc>
        <w:tc>
          <w:tcPr>
            <w:tcW w:w="1281" w:type="dxa"/>
          </w:tcPr>
          <w:p w14:paraId="37644FCB" w14:textId="0A8FE36E" w:rsidR="009558E9" w:rsidRPr="000D70CC" w:rsidRDefault="009558E9" w:rsidP="009558E9">
            <w:pPr>
              <w:rPr>
                <w:rFonts w:eastAsia="Calibri"/>
                <w:color w:val="000000"/>
                <w:sz w:val="16"/>
                <w:szCs w:val="16"/>
                <w:lang w:val="en-GB" w:eastAsia="fi-FI"/>
              </w:rPr>
            </w:pPr>
            <w:r>
              <w:rPr>
                <w:rFonts w:eastAsia="Calibri"/>
                <w:color w:val="000000"/>
                <w:sz w:val="16"/>
                <w:szCs w:val="16"/>
                <w:lang w:val="en-GB" w:eastAsia="fi-FI"/>
              </w:rPr>
              <w:lastRenderedPageBreak/>
              <w:t>Biodiversity impact per euro</w:t>
            </w:r>
            <w:r w:rsidRPr="000D70CC">
              <w:rPr>
                <w:rFonts w:eastAsia="Calibri"/>
                <w:color w:val="000000"/>
                <w:sz w:val="16"/>
                <w:szCs w:val="16"/>
                <w:lang w:val="en-GB" w:eastAsia="fi-FI"/>
              </w:rPr>
              <w:t xml:space="preserve"> in Region B </w:t>
            </w:r>
            <w:r w:rsidRPr="000D70CC">
              <w:rPr>
                <w:rFonts w:eastAsia="Calibri"/>
                <w:color w:val="000000"/>
                <w:sz w:val="16"/>
                <w:szCs w:val="16"/>
                <w:lang w:val="en-GB" w:eastAsia="fi-FI"/>
              </w:rPr>
              <w:lastRenderedPageBreak/>
              <w:t xml:space="preserve">driven by </w:t>
            </w:r>
            <w:r w:rsidR="00A21440">
              <w:rPr>
                <w:rFonts w:eastAsia="Calibri"/>
                <w:color w:val="000000"/>
                <w:sz w:val="16"/>
                <w:szCs w:val="16"/>
                <w:lang w:val="en-GB" w:eastAsia="fi-FI"/>
              </w:rPr>
              <w:t>activities</w:t>
            </w:r>
            <w:r w:rsidRPr="000D70CC">
              <w:rPr>
                <w:rFonts w:eastAsia="Calibri"/>
                <w:color w:val="000000"/>
                <w:sz w:val="16"/>
                <w:szCs w:val="16"/>
                <w:lang w:val="en-GB" w:eastAsia="fi-FI"/>
              </w:rPr>
              <w:t xml:space="preserve"> in Region B – </w:t>
            </w:r>
            <w:r w:rsidR="00A21440">
              <w:rPr>
                <w:rFonts w:eastAsia="Calibri"/>
                <w:color w:val="000000"/>
                <w:sz w:val="16"/>
                <w:szCs w:val="16"/>
                <w:lang w:val="en-GB" w:eastAsia="fi-FI"/>
              </w:rPr>
              <w:t>Activity</w:t>
            </w:r>
            <w:r w:rsidRPr="000D70CC">
              <w:rPr>
                <w:rFonts w:eastAsia="Calibri"/>
                <w:color w:val="000000"/>
                <w:sz w:val="16"/>
                <w:szCs w:val="16"/>
                <w:lang w:val="en-GB" w:eastAsia="fi-FI"/>
              </w:rPr>
              <w:t xml:space="preserve"> 1</w:t>
            </w:r>
          </w:p>
        </w:tc>
        <w:tc>
          <w:tcPr>
            <w:tcW w:w="1281" w:type="dxa"/>
          </w:tcPr>
          <w:p w14:paraId="1E55E2DC" w14:textId="34B15324" w:rsidR="009558E9" w:rsidRPr="000D70CC" w:rsidRDefault="009558E9" w:rsidP="009558E9">
            <w:pPr>
              <w:rPr>
                <w:rFonts w:eastAsia="Calibri"/>
                <w:color w:val="000000"/>
                <w:sz w:val="16"/>
                <w:szCs w:val="16"/>
                <w:lang w:val="en-GB" w:eastAsia="fi-FI"/>
              </w:rPr>
            </w:pPr>
            <w:r>
              <w:rPr>
                <w:rFonts w:eastAsia="Calibri"/>
                <w:color w:val="000000"/>
                <w:sz w:val="16"/>
                <w:szCs w:val="16"/>
                <w:lang w:val="en-GB" w:eastAsia="fi-FI"/>
              </w:rPr>
              <w:lastRenderedPageBreak/>
              <w:t>Biodiversity impact per euro</w:t>
            </w:r>
            <w:r w:rsidRPr="000D70CC">
              <w:rPr>
                <w:rFonts w:eastAsia="Calibri"/>
                <w:color w:val="000000"/>
                <w:sz w:val="16"/>
                <w:szCs w:val="16"/>
                <w:lang w:val="en-GB" w:eastAsia="fi-FI"/>
              </w:rPr>
              <w:t xml:space="preserve"> in Region B </w:t>
            </w:r>
            <w:r w:rsidRPr="000D70CC">
              <w:rPr>
                <w:rFonts w:eastAsia="Calibri"/>
                <w:color w:val="000000"/>
                <w:sz w:val="16"/>
                <w:szCs w:val="16"/>
                <w:lang w:val="en-GB" w:eastAsia="fi-FI"/>
              </w:rPr>
              <w:lastRenderedPageBreak/>
              <w:t xml:space="preserve">driven by </w:t>
            </w:r>
            <w:r w:rsidR="00A21440">
              <w:rPr>
                <w:rFonts w:eastAsia="Calibri"/>
                <w:color w:val="000000"/>
                <w:sz w:val="16"/>
                <w:szCs w:val="16"/>
                <w:lang w:val="en-GB" w:eastAsia="fi-FI"/>
              </w:rPr>
              <w:t>activities</w:t>
            </w:r>
            <w:r w:rsidRPr="000D70CC">
              <w:rPr>
                <w:rFonts w:eastAsia="Calibri"/>
                <w:color w:val="000000"/>
                <w:sz w:val="16"/>
                <w:szCs w:val="16"/>
                <w:lang w:val="en-GB" w:eastAsia="fi-FI"/>
              </w:rPr>
              <w:t xml:space="preserve"> in Region B – </w:t>
            </w:r>
            <w:r w:rsidR="00A21440">
              <w:rPr>
                <w:rFonts w:eastAsia="Calibri"/>
                <w:color w:val="000000"/>
                <w:sz w:val="16"/>
                <w:szCs w:val="16"/>
                <w:lang w:val="en-GB" w:eastAsia="fi-FI"/>
              </w:rPr>
              <w:t>Activity</w:t>
            </w:r>
            <w:r w:rsidRPr="000D70CC">
              <w:rPr>
                <w:rFonts w:eastAsia="Calibri"/>
                <w:color w:val="000000"/>
                <w:sz w:val="16"/>
                <w:szCs w:val="16"/>
                <w:lang w:val="en-GB" w:eastAsia="fi-FI"/>
              </w:rPr>
              <w:t xml:space="preserve"> 2</w:t>
            </w:r>
          </w:p>
        </w:tc>
        <w:tc>
          <w:tcPr>
            <w:tcW w:w="1043" w:type="dxa"/>
          </w:tcPr>
          <w:p w14:paraId="5FECC9AB" w14:textId="4C5B29B0" w:rsidR="009558E9" w:rsidRPr="000D70CC" w:rsidRDefault="009558E9" w:rsidP="009558E9">
            <w:pPr>
              <w:rPr>
                <w:rFonts w:eastAsia="Calibri"/>
                <w:color w:val="000000"/>
                <w:sz w:val="16"/>
                <w:szCs w:val="16"/>
                <w:lang w:val="en-GB" w:eastAsia="fi-FI"/>
              </w:rPr>
            </w:pPr>
            <w:r>
              <w:rPr>
                <w:rFonts w:eastAsia="Calibri"/>
                <w:color w:val="000000"/>
                <w:sz w:val="16"/>
                <w:szCs w:val="16"/>
                <w:lang w:val="en-GB" w:eastAsia="fi-FI"/>
              </w:rPr>
              <w:lastRenderedPageBreak/>
              <w:t>Biodiversity impact per euro</w:t>
            </w:r>
            <w:r w:rsidRPr="000D70CC">
              <w:rPr>
                <w:rFonts w:eastAsia="Calibri"/>
                <w:color w:val="000000"/>
                <w:sz w:val="16"/>
                <w:szCs w:val="16"/>
                <w:lang w:val="en-GB" w:eastAsia="fi-FI"/>
              </w:rPr>
              <w:t xml:space="preserve"> in </w:t>
            </w:r>
            <w:r w:rsidRPr="000D70CC">
              <w:rPr>
                <w:rFonts w:eastAsia="Calibri"/>
                <w:color w:val="000000"/>
                <w:sz w:val="16"/>
                <w:szCs w:val="16"/>
                <w:lang w:val="en-GB" w:eastAsia="fi-FI"/>
              </w:rPr>
              <w:lastRenderedPageBreak/>
              <w:t xml:space="preserve">Region B driven by </w:t>
            </w:r>
            <w:r w:rsidR="00A21440">
              <w:rPr>
                <w:rFonts w:eastAsia="Calibri"/>
                <w:color w:val="000000"/>
                <w:sz w:val="16"/>
                <w:szCs w:val="16"/>
                <w:lang w:val="en-GB" w:eastAsia="fi-FI"/>
              </w:rPr>
              <w:t>activities</w:t>
            </w:r>
            <w:r w:rsidRPr="000D70CC">
              <w:rPr>
                <w:rFonts w:eastAsia="Calibri"/>
                <w:color w:val="000000"/>
                <w:sz w:val="16"/>
                <w:szCs w:val="16"/>
                <w:lang w:val="en-GB" w:eastAsia="fi-FI"/>
              </w:rPr>
              <w:t xml:space="preserve"> in Region </w:t>
            </w:r>
            <w:r>
              <w:rPr>
                <w:rFonts w:eastAsia="Calibri"/>
                <w:color w:val="000000"/>
                <w:sz w:val="16"/>
                <w:szCs w:val="16"/>
                <w:lang w:val="en-GB" w:eastAsia="fi-FI"/>
              </w:rPr>
              <w:t>C</w:t>
            </w:r>
            <w:r w:rsidRPr="000D70CC">
              <w:rPr>
                <w:rFonts w:eastAsia="Calibri"/>
                <w:color w:val="000000"/>
                <w:sz w:val="16"/>
                <w:szCs w:val="16"/>
                <w:lang w:val="en-GB" w:eastAsia="fi-FI"/>
              </w:rPr>
              <w:t xml:space="preserve"> – </w:t>
            </w:r>
            <w:r w:rsidR="00A21440">
              <w:rPr>
                <w:rFonts w:eastAsia="Calibri"/>
                <w:color w:val="000000"/>
                <w:sz w:val="16"/>
                <w:szCs w:val="16"/>
                <w:lang w:val="en-GB" w:eastAsia="fi-FI"/>
              </w:rPr>
              <w:t>Activity</w:t>
            </w:r>
            <w:r w:rsidRPr="000D70CC">
              <w:rPr>
                <w:rFonts w:eastAsia="Calibri"/>
                <w:color w:val="000000"/>
                <w:sz w:val="16"/>
                <w:szCs w:val="16"/>
                <w:lang w:val="en-GB" w:eastAsia="fi-FI"/>
              </w:rPr>
              <w:t xml:space="preserve"> 1</w:t>
            </w:r>
          </w:p>
          <w:p w14:paraId="1A01845C" w14:textId="77777777" w:rsidR="009558E9" w:rsidRDefault="009558E9" w:rsidP="009558E9">
            <w:pPr>
              <w:rPr>
                <w:rFonts w:eastAsia="Calibri"/>
                <w:color w:val="000000"/>
                <w:sz w:val="16"/>
                <w:szCs w:val="16"/>
                <w:lang w:val="en-GB" w:eastAsia="fi-FI"/>
              </w:rPr>
            </w:pPr>
          </w:p>
        </w:tc>
        <w:tc>
          <w:tcPr>
            <w:tcW w:w="1043" w:type="dxa"/>
          </w:tcPr>
          <w:p w14:paraId="473F6BBA" w14:textId="229A489F" w:rsidR="009558E9" w:rsidRDefault="009558E9" w:rsidP="009558E9">
            <w:pPr>
              <w:rPr>
                <w:rFonts w:eastAsia="Calibri"/>
                <w:color w:val="000000"/>
                <w:sz w:val="16"/>
                <w:szCs w:val="16"/>
                <w:lang w:val="en-GB" w:eastAsia="fi-FI"/>
              </w:rPr>
            </w:pPr>
            <w:r>
              <w:rPr>
                <w:rFonts w:eastAsia="Calibri"/>
                <w:color w:val="000000"/>
                <w:sz w:val="16"/>
                <w:szCs w:val="16"/>
                <w:lang w:val="en-GB" w:eastAsia="fi-FI"/>
              </w:rPr>
              <w:lastRenderedPageBreak/>
              <w:t>Biodiversity impact per euro</w:t>
            </w:r>
            <w:r w:rsidRPr="000D70CC">
              <w:rPr>
                <w:rFonts w:eastAsia="Calibri"/>
                <w:color w:val="000000"/>
                <w:sz w:val="16"/>
                <w:szCs w:val="16"/>
                <w:lang w:val="en-GB" w:eastAsia="fi-FI"/>
              </w:rPr>
              <w:t xml:space="preserve"> in </w:t>
            </w:r>
            <w:r w:rsidRPr="000D70CC">
              <w:rPr>
                <w:rFonts w:eastAsia="Calibri"/>
                <w:color w:val="000000"/>
                <w:sz w:val="16"/>
                <w:szCs w:val="16"/>
                <w:lang w:val="en-GB" w:eastAsia="fi-FI"/>
              </w:rPr>
              <w:lastRenderedPageBreak/>
              <w:t xml:space="preserve">Region B driven by </w:t>
            </w:r>
            <w:r w:rsidR="00A21440">
              <w:rPr>
                <w:rFonts w:eastAsia="Calibri"/>
                <w:color w:val="000000"/>
                <w:sz w:val="16"/>
                <w:szCs w:val="16"/>
                <w:lang w:val="en-GB" w:eastAsia="fi-FI"/>
              </w:rPr>
              <w:t>activities</w:t>
            </w:r>
            <w:r w:rsidRPr="000D70CC">
              <w:rPr>
                <w:rFonts w:eastAsia="Calibri"/>
                <w:color w:val="000000"/>
                <w:sz w:val="16"/>
                <w:szCs w:val="16"/>
                <w:lang w:val="en-GB" w:eastAsia="fi-FI"/>
              </w:rPr>
              <w:t xml:space="preserve"> in Region </w:t>
            </w:r>
            <w:r>
              <w:rPr>
                <w:rFonts w:eastAsia="Calibri"/>
                <w:color w:val="000000"/>
                <w:sz w:val="16"/>
                <w:szCs w:val="16"/>
                <w:lang w:val="en-GB" w:eastAsia="fi-FI"/>
              </w:rPr>
              <w:t>C</w:t>
            </w:r>
            <w:r w:rsidRPr="000D70CC">
              <w:rPr>
                <w:rFonts w:eastAsia="Calibri"/>
                <w:color w:val="000000"/>
                <w:sz w:val="16"/>
                <w:szCs w:val="16"/>
                <w:lang w:val="en-GB" w:eastAsia="fi-FI"/>
              </w:rPr>
              <w:t xml:space="preserve"> – </w:t>
            </w:r>
            <w:r w:rsidR="00A21440">
              <w:rPr>
                <w:rFonts w:eastAsia="Calibri"/>
                <w:color w:val="000000"/>
                <w:sz w:val="16"/>
                <w:szCs w:val="16"/>
                <w:lang w:val="en-GB" w:eastAsia="fi-FI"/>
              </w:rPr>
              <w:t>Activity</w:t>
            </w:r>
            <w:r w:rsidRPr="000D70CC">
              <w:rPr>
                <w:rFonts w:eastAsia="Calibri"/>
                <w:color w:val="000000"/>
                <w:sz w:val="16"/>
                <w:szCs w:val="16"/>
                <w:lang w:val="en-GB" w:eastAsia="fi-FI"/>
              </w:rPr>
              <w:t xml:space="preserve"> 2</w:t>
            </w:r>
          </w:p>
        </w:tc>
      </w:tr>
      <w:tr w:rsidR="009558E9" w:rsidRPr="000A2DBE" w14:paraId="2978FBE8" w14:textId="77777777" w:rsidTr="006A38FD">
        <w:trPr>
          <w:trHeight w:val="493"/>
        </w:trPr>
        <w:tc>
          <w:tcPr>
            <w:tcW w:w="1398" w:type="dxa"/>
            <w:tcBorders>
              <w:bottom w:val="single" w:sz="4" w:space="0" w:color="auto"/>
              <w:right w:val="single" w:sz="4" w:space="0" w:color="auto"/>
            </w:tcBorders>
            <w:vAlign w:val="center"/>
          </w:tcPr>
          <w:p w14:paraId="1D9D7502" w14:textId="77777777" w:rsidR="009558E9" w:rsidRPr="000D70CC" w:rsidRDefault="009558E9" w:rsidP="009558E9">
            <w:pPr>
              <w:rPr>
                <w:rFonts w:eastAsia="Calibri"/>
                <w:b/>
                <w:bCs/>
                <w:color w:val="000000"/>
                <w:sz w:val="16"/>
                <w:szCs w:val="16"/>
                <w:lang w:val="en-GB" w:eastAsia="fi-FI"/>
              </w:rPr>
            </w:pPr>
            <w:r w:rsidRPr="000D70CC">
              <w:rPr>
                <w:rFonts w:eastAsia="Calibri"/>
                <w:b/>
                <w:bCs/>
                <w:color w:val="000000"/>
                <w:sz w:val="16"/>
                <w:szCs w:val="16"/>
                <w:lang w:val="en-GB" w:eastAsia="fi-FI"/>
              </w:rPr>
              <w:lastRenderedPageBreak/>
              <w:t>Region C</w:t>
            </w:r>
          </w:p>
        </w:tc>
        <w:tc>
          <w:tcPr>
            <w:tcW w:w="1405" w:type="dxa"/>
            <w:tcBorders>
              <w:left w:val="single" w:sz="4" w:space="0" w:color="auto"/>
              <w:bottom w:val="single" w:sz="4" w:space="0" w:color="auto"/>
            </w:tcBorders>
          </w:tcPr>
          <w:p w14:paraId="3C9E821A" w14:textId="3457826B" w:rsidR="009558E9" w:rsidRPr="000D70CC" w:rsidRDefault="009558E9" w:rsidP="009558E9">
            <w:pPr>
              <w:rPr>
                <w:rFonts w:eastAsia="Calibri"/>
                <w:color w:val="000000"/>
                <w:sz w:val="16"/>
                <w:szCs w:val="16"/>
                <w:lang w:val="en-GB" w:eastAsia="fi-FI"/>
              </w:rPr>
            </w:pPr>
            <w:r>
              <w:rPr>
                <w:rFonts w:eastAsia="Calibri"/>
                <w:color w:val="000000"/>
                <w:sz w:val="16"/>
                <w:szCs w:val="16"/>
                <w:lang w:val="en-GB" w:eastAsia="fi-FI"/>
              </w:rPr>
              <w:t>Biodiversity impact per euro</w:t>
            </w:r>
            <w:r w:rsidRPr="000D70CC">
              <w:rPr>
                <w:rFonts w:eastAsia="Calibri"/>
                <w:color w:val="000000"/>
                <w:sz w:val="16"/>
                <w:szCs w:val="16"/>
                <w:lang w:val="en-GB" w:eastAsia="fi-FI"/>
              </w:rPr>
              <w:t xml:space="preserve"> in Region C driven by </w:t>
            </w:r>
            <w:r w:rsidR="00A21440">
              <w:rPr>
                <w:rFonts w:eastAsia="Calibri"/>
                <w:color w:val="000000"/>
                <w:sz w:val="16"/>
                <w:szCs w:val="16"/>
                <w:lang w:val="en-GB" w:eastAsia="fi-FI"/>
              </w:rPr>
              <w:t>activities</w:t>
            </w:r>
            <w:r w:rsidRPr="000D70CC">
              <w:rPr>
                <w:rFonts w:eastAsia="Calibri"/>
                <w:color w:val="000000"/>
                <w:sz w:val="16"/>
                <w:szCs w:val="16"/>
                <w:lang w:val="en-GB" w:eastAsia="fi-FI"/>
              </w:rPr>
              <w:t xml:space="preserve"> in Region A – </w:t>
            </w:r>
            <w:r w:rsidR="00A21440">
              <w:rPr>
                <w:rFonts w:eastAsia="Calibri"/>
                <w:color w:val="000000"/>
                <w:sz w:val="16"/>
                <w:szCs w:val="16"/>
                <w:lang w:val="en-GB" w:eastAsia="fi-FI"/>
              </w:rPr>
              <w:t>Activity</w:t>
            </w:r>
            <w:r w:rsidRPr="000D70CC">
              <w:rPr>
                <w:rFonts w:eastAsia="Calibri"/>
                <w:color w:val="000000"/>
                <w:sz w:val="16"/>
                <w:szCs w:val="16"/>
                <w:lang w:val="en-GB" w:eastAsia="fi-FI"/>
              </w:rPr>
              <w:t xml:space="preserve"> 1</w:t>
            </w:r>
          </w:p>
          <w:p w14:paraId="27F1F803" w14:textId="77777777" w:rsidR="009558E9" w:rsidRPr="000D70CC" w:rsidRDefault="009558E9" w:rsidP="009558E9">
            <w:pPr>
              <w:rPr>
                <w:rFonts w:eastAsia="Calibri"/>
                <w:color w:val="000000"/>
                <w:sz w:val="16"/>
                <w:szCs w:val="16"/>
                <w:lang w:val="en-GB" w:eastAsia="fi-FI"/>
              </w:rPr>
            </w:pPr>
          </w:p>
        </w:tc>
        <w:tc>
          <w:tcPr>
            <w:tcW w:w="1405" w:type="dxa"/>
            <w:tcBorders>
              <w:bottom w:val="single" w:sz="4" w:space="0" w:color="auto"/>
            </w:tcBorders>
          </w:tcPr>
          <w:p w14:paraId="08C45965" w14:textId="6CABA5E0" w:rsidR="009558E9" w:rsidRPr="000D70CC" w:rsidRDefault="009558E9" w:rsidP="009558E9">
            <w:pPr>
              <w:rPr>
                <w:rFonts w:eastAsia="Calibri"/>
                <w:color w:val="000000"/>
                <w:sz w:val="16"/>
                <w:szCs w:val="16"/>
                <w:lang w:val="en-GB" w:eastAsia="fi-FI"/>
              </w:rPr>
            </w:pPr>
            <w:r>
              <w:rPr>
                <w:rFonts w:eastAsia="Calibri"/>
                <w:color w:val="000000"/>
                <w:sz w:val="16"/>
                <w:szCs w:val="16"/>
                <w:lang w:val="en-GB" w:eastAsia="fi-FI"/>
              </w:rPr>
              <w:t>Biodiversity impact per euro</w:t>
            </w:r>
            <w:r w:rsidRPr="000D70CC">
              <w:rPr>
                <w:rFonts w:eastAsia="Calibri"/>
                <w:color w:val="000000"/>
                <w:sz w:val="16"/>
                <w:szCs w:val="16"/>
                <w:lang w:val="en-GB" w:eastAsia="fi-FI"/>
              </w:rPr>
              <w:t xml:space="preserve"> in Region C driven by </w:t>
            </w:r>
            <w:r w:rsidR="00A21440">
              <w:rPr>
                <w:rFonts w:eastAsia="Calibri"/>
                <w:color w:val="000000"/>
                <w:sz w:val="16"/>
                <w:szCs w:val="16"/>
                <w:lang w:val="en-GB" w:eastAsia="fi-FI"/>
              </w:rPr>
              <w:t>activities</w:t>
            </w:r>
            <w:r w:rsidRPr="000D70CC">
              <w:rPr>
                <w:rFonts w:eastAsia="Calibri"/>
                <w:color w:val="000000"/>
                <w:sz w:val="16"/>
                <w:szCs w:val="16"/>
                <w:lang w:val="en-GB" w:eastAsia="fi-FI"/>
              </w:rPr>
              <w:t xml:space="preserve"> in Region A – </w:t>
            </w:r>
            <w:r w:rsidR="00A21440">
              <w:rPr>
                <w:rFonts w:eastAsia="Calibri"/>
                <w:color w:val="000000"/>
                <w:sz w:val="16"/>
                <w:szCs w:val="16"/>
                <w:lang w:val="en-GB" w:eastAsia="fi-FI"/>
              </w:rPr>
              <w:t>Activity</w:t>
            </w:r>
            <w:r w:rsidRPr="000D70CC">
              <w:rPr>
                <w:rFonts w:eastAsia="Calibri"/>
                <w:color w:val="000000"/>
                <w:sz w:val="16"/>
                <w:szCs w:val="16"/>
                <w:lang w:val="en-GB" w:eastAsia="fi-FI"/>
              </w:rPr>
              <w:t xml:space="preserve"> 2</w:t>
            </w:r>
          </w:p>
        </w:tc>
        <w:tc>
          <w:tcPr>
            <w:tcW w:w="1281" w:type="dxa"/>
            <w:tcBorders>
              <w:bottom w:val="single" w:sz="4" w:space="0" w:color="auto"/>
            </w:tcBorders>
          </w:tcPr>
          <w:p w14:paraId="6FA6240C" w14:textId="19F33D73" w:rsidR="009558E9" w:rsidRPr="000D70CC" w:rsidRDefault="009558E9" w:rsidP="009558E9">
            <w:pPr>
              <w:rPr>
                <w:rFonts w:eastAsia="Calibri"/>
                <w:color w:val="000000"/>
                <w:sz w:val="16"/>
                <w:szCs w:val="16"/>
                <w:lang w:val="en-GB" w:eastAsia="fi-FI"/>
              </w:rPr>
            </w:pPr>
            <w:r>
              <w:rPr>
                <w:rFonts w:eastAsia="Calibri"/>
                <w:color w:val="000000"/>
                <w:sz w:val="16"/>
                <w:szCs w:val="16"/>
                <w:lang w:val="en-GB" w:eastAsia="fi-FI"/>
              </w:rPr>
              <w:t>Biodiversity impact per euro</w:t>
            </w:r>
            <w:r w:rsidRPr="000D70CC">
              <w:rPr>
                <w:rFonts w:eastAsia="Calibri"/>
                <w:color w:val="000000"/>
                <w:sz w:val="16"/>
                <w:szCs w:val="16"/>
                <w:lang w:val="en-GB" w:eastAsia="fi-FI"/>
              </w:rPr>
              <w:t xml:space="preserve"> in Region C driven by </w:t>
            </w:r>
            <w:r w:rsidR="00A21440">
              <w:rPr>
                <w:rFonts w:eastAsia="Calibri"/>
                <w:color w:val="000000"/>
                <w:sz w:val="16"/>
                <w:szCs w:val="16"/>
                <w:lang w:val="en-GB" w:eastAsia="fi-FI"/>
              </w:rPr>
              <w:t>activities</w:t>
            </w:r>
            <w:r w:rsidRPr="000D70CC">
              <w:rPr>
                <w:rFonts w:eastAsia="Calibri"/>
                <w:color w:val="000000"/>
                <w:sz w:val="16"/>
                <w:szCs w:val="16"/>
                <w:lang w:val="en-GB" w:eastAsia="fi-FI"/>
              </w:rPr>
              <w:t xml:space="preserve"> in Region B – </w:t>
            </w:r>
            <w:r w:rsidR="00A21440">
              <w:rPr>
                <w:rFonts w:eastAsia="Calibri"/>
                <w:color w:val="000000"/>
                <w:sz w:val="16"/>
                <w:szCs w:val="16"/>
                <w:lang w:val="en-GB" w:eastAsia="fi-FI"/>
              </w:rPr>
              <w:t>Activity</w:t>
            </w:r>
            <w:r w:rsidRPr="000D70CC">
              <w:rPr>
                <w:rFonts w:eastAsia="Calibri"/>
                <w:color w:val="000000"/>
                <w:sz w:val="16"/>
                <w:szCs w:val="16"/>
                <w:lang w:val="en-GB" w:eastAsia="fi-FI"/>
              </w:rPr>
              <w:t xml:space="preserve"> 1</w:t>
            </w:r>
          </w:p>
        </w:tc>
        <w:tc>
          <w:tcPr>
            <w:tcW w:w="1281" w:type="dxa"/>
            <w:tcBorders>
              <w:bottom w:val="single" w:sz="4" w:space="0" w:color="auto"/>
            </w:tcBorders>
          </w:tcPr>
          <w:p w14:paraId="53C1CE94" w14:textId="5D72243D" w:rsidR="009558E9" w:rsidRPr="000D70CC" w:rsidRDefault="009558E9" w:rsidP="009558E9">
            <w:pPr>
              <w:rPr>
                <w:rFonts w:eastAsia="Calibri"/>
                <w:color w:val="000000"/>
                <w:sz w:val="16"/>
                <w:szCs w:val="16"/>
                <w:lang w:val="en-GB" w:eastAsia="fi-FI"/>
              </w:rPr>
            </w:pPr>
            <w:r>
              <w:rPr>
                <w:rFonts w:eastAsia="Calibri"/>
                <w:color w:val="000000"/>
                <w:sz w:val="16"/>
                <w:szCs w:val="16"/>
                <w:lang w:val="en-GB" w:eastAsia="fi-FI"/>
              </w:rPr>
              <w:t>Biodiversity impact per euro</w:t>
            </w:r>
            <w:r w:rsidRPr="000D70CC">
              <w:rPr>
                <w:rFonts w:eastAsia="Calibri"/>
                <w:color w:val="000000"/>
                <w:sz w:val="16"/>
                <w:szCs w:val="16"/>
                <w:lang w:val="en-GB" w:eastAsia="fi-FI"/>
              </w:rPr>
              <w:t xml:space="preserve"> in Region C driven by </w:t>
            </w:r>
            <w:r w:rsidR="00A21440">
              <w:rPr>
                <w:rFonts w:eastAsia="Calibri"/>
                <w:color w:val="000000"/>
                <w:sz w:val="16"/>
                <w:szCs w:val="16"/>
                <w:lang w:val="en-GB" w:eastAsia="fi-FI"/>
              </w:rPr>
              <w:t>activities</w:t>
            </w:r>
            <w:r w:rsidRPr="000D70CC">
              <w:rPr>
                <w:rFonts w:eastAsia="Calibri"/>
                <w:color w:val="000000"/>
                <w:sz w:val="16"/>
                <w:szCs w:val="16"/>
                <w:lang w:val="en-GB" w:eastAsia="fi-FI"/>
              </w:rPr>
              <w:t xml:space="preserve"> in Region B – </w:t>
            </w:r>
            <w:r w:rsidR="00A21440">
              <w:rPr>
                <w:rFonts w:eastAsia="Calibri"/>
                <w:color w:val="000000"/>
                <w:sz w:val="16"/>
                <w:szCs w:val="16"/>
                <w:lang w:val="en-GB" w:eastAsia="fi-FI"/>
              </w:rPr>
              <w:t>Activity</w:t>
            </w:r>
            <w:r w:rsidRPr="000D70CC">
              <w:rPr>
                <w:rFonts w:eastAsia="Calibri"/>
                <w:color w:val="000000"/>
                <w:sz w:val="16"/>
                <w:szCs w:val="16"/>
                <w:lang w:val="en-GB" w:eastAsia="fi-FI"/>
              </w:rPr>
              <w:t xml:space="preserve"> 2</w:t>
            </w:r>
          </w:p>
        </w:tc>
        <w:tc>
          <w:tcPr>
            <w:tcW w:w="1043" w:type="dxa"/>
            <w:tcBorders>
              <w:bottom w:val="single" w:sz="4" w:space="0" w:color="auto"/>
            </w:tcBorders>
          </w:tcPr>
          <w:p w14:paraId="4D1EE519" w14:textId="426831C3" w:rsidR="009558E9" w:rsidRPr="000D70CC" w:rsidRDefault="009558E9" w:rsidP="009558E9">
            <w:pPr>
              <w:rPr>
                <w:rFonts w:eastAsia="Calibri"/>
                <w:color w:val="000000"/>
                <w:sz w:val="16"/>
                <w:szCs w:val="16"/>
                <w:lang w:val="en-GB" w:eastAsia="fi-FI"/>
              </w:rPr>
            </w:pPr>
            <w:r>
              <w:rPr>
                <w:rFonts w:eastAsia="Calibri"/>
                <w:color w:val="000000"/>
                <w:sz w:val="16"/>
                <w:szCs w:val="16"/>
                <w:lang w:val="en-GB" w:eastAsia="fi-FI"/>
              </w:rPr>
              <w:t>Biodiversity impact per euro</w:t>
            </w:r>
            <w:r w:rsidRPr="000D70CC">
              <w:rPr>
                <w:rFonts w:eastAsia="Calibri"/>
                <w:color w:val="000000"/>
                <w:sz w:val="16"/>
                <w:szCs w:val="16"/>
                <w:lang w:val="en-GB" w:eastAsia="fi-FI"/>
              </w:rPr>
              <w:t xml:space="preserve"> in Region C driven by </w:t>
            </w:r>
            <w:r w:rsidR="00A21440">
              <w:rPr>
                <w:rFonts w:eastAsia="Calibri"/>
                <w:color w:val="000000"/>
                <w:sz w:val="16"/>
                <w:szCs w:val="16"/>
                <w:lang w:val="en-GB" w:eastAsia="fi-FI"/>
              </w:rPr>
              <w:t>activities</w:t>
            </w:r>
            <w:r w:rsidRPr="000D70CC">
              <w:rPr>
                <w:rFonts w:eastAsia="Calibri"/>
                <w:color w:val="000000"/>
                <w:sz w:val="16"/>
                <w:szCs w:val="16"/>
                <w:lang w:val="en-GB" w:eastAsia="fi-FI"/>
              </w:rPr>
              <w:t xml:space="preserve"> in Region </w:t>
            </w:r>
            <w:r>
              <w:rPr>
                <w:rFonts w:eastAsia="Calibri"/>
                <w:color w:val="000000"/>
                <w:sz w:val="16"/>
                <w:szCs w:val="16"/>
                <w:lang w:val="en-GB" w:eastAsia="fi-FI"/>
              </w:rPr>
              <w:t>C</w:t>
            </w:r>
            <w:r w:rsidRPr="000D70CC">
              <w:rPr>
                <w:rFonts w:eastAsia="Calibri"/>
                <w:color w:val="000000"/>
                <w:sz w:val="16"/>
                <w:szCs w:val="16"/>
                <w:lang w:val="en-GB" w:eastAsia="fi-FI"/>
              </w:rPr>
              <w:t xml:space="preserve"> – </w:t>
            </w:r>
            <w:r w:rsidR="00A21440">
              <w:rPr>
                <w:rFonts w:eastAsia="Calibri"/>
                <w:color w:val="000000"/>
                <w:sz w:val="16"/>
                <w:szCs w:val="16"/>
                <w:lang w:val="en-GB" w:eastAsia="fi-FI"/>
              </w:rPr>
              <w:t>Activity</w:t>
            </w:r>
            <w:r w:rsidRPr="000D70CC">
              <w:rPr>
                <w:rFonts w:eastAsia="Calibri"/>
                <w:color w:val="000000"/>
                <w:sz w:val="16"/>
                <w:szCs w:val="16"/>
                <w:lang w:val="en-GB" w:eastAsia="fi-FI"/>
              </w:rPr>
              <w:t xml:space="preserve"> 1</w:t>
            </w:r>
          </w:p>
          <w:p w14:paraId="3547C80C" w14:textId="77777777" w:rsidR="009558E9" w:rsidRDefault="009558E9" w:rsidP="009558E9">
            <w:pPr>
              <w:rPr>
                <w:rFonts w:eastAsia="Calibri"/>
                <w:color w:val="000000"/>
                <w:sz w:val="16"/>
                <w:szCs w:val="16"/>
                <w:lang w:val="en-GB" w:eastAsia="fi-FI"/>
              </w:rPr>
            </w:pPr>
          </w:p>
        </w:tc>
        <w:tc>
          <w:tcPr>
            <w:tcW w:w="1043" w:type="dxa"/>
            <w:tcBorders>
              <w:bottom w:val="single" w:sz="4" w:space="0" w:color="auto"/>
            </w:tcBorders>
          </w:tcPr>
          <w:p w14:paraId="1DD257A4" w14:textId="255E7386" w:rsidR="009558E9" w:rsidRDefault="009558E9" w:rsidP="009558E9">
            <w:pPr>
              <w:rPr>
                <w:rFonts w:eastAsia="Calibri"/>
                <w:color w:val="000000"/>
                <w:sz w:val="16"/>
                <w:szCs w:val="16"/>
                <w:lang w:val="en-GB" w:eastAsia="fi-FI"/>
              </w:rPr>
            </w:pPr>
            <w:r>
              <w:rPr>
                <w:rFonts w:eastAsia="Calibri"/>
                <w:color w:val="000000"/>
                <w:sz w:val="16"/>
                <w:szCs w:val="16"/>
                <w:lang w:val="en-GB" w:eastAsia="fi-FI"/>
              </w:rPr>
              <w:t>Biodiversity impact per euro</w:t>
            </w:r>
            <w:r w:rsidRPr="000D70CC">
              <w:rPr>
                <w:rFonts w:eastAsia="Calibri"/>
                <w:color w:val="000000"/>
                <w:sz w:val="16"/>
                <w:szCs w:val="16"/>
                <w:lang w:val="en-GB" w:eastAsia="fi-FI"/>
              </w:rPr>
              <w:t xml:space="preserve"> in Region C driven by </w:t>
            </w:r>
            <w:r w:rsidR="00A21440">
              <w:rPr>
                <w:rFonts w:eastAsia="Calibri"/>
                <w:color w:val="000000"/>
                <w:sz w:val="16"/>
                <w:szCs w:val="16"/>
                <w:lang w:val="en-GB" w:eastAsia="fi-FI"/>
              </w:rPr>
              <w:t>activities</w:t>
            </w:r>
            <w:r w:rsidRPr="000D70CC">
              <w:rPr>
                <w:rFonts w:eastAsia="Calibri"/>
                <w:color w:val="000000"/>
                <w:sz w:val="16"/>
                <w:szCs w:val="16"/>
                <w:lang w:val="en-GB" w:eastAsia="fi-FI"/>
              </w:rPr>
              <w:t xml:space="preserve"> in Region </w:t>
            </w:r>
            <w:r>
              <w:rPr>
                <w:rFonts w:eastAsia="Calibri"/>
                <w:color w:val="000000"/>
                <w:sz w:val="16"/>
                <w:szCs w:val="16"/>
                <w:lang w:val="en-GB" w:eastAsia="fi-FI"/>
              </w:rPr>
              <w:t>C</w:t>
            </w:r>
            <w:r w:rsidRPr="000D70CC">
              <w:rPr>
                <w:rFonts w:eastAsia="Calibri"/>
                <w:color w:val="000000"/>
                <w:sz w:val="16"/>
                <w:szCs w:val="16"/>
                <w:lang w:val="en-GB" w:eastAsia="fi-FI"/>
              </w:rPr>
              <w:t xml:space="preserve"> – </w:t>
            </w:r>
            <w:r w:rsidR="00A21440">
              <w:rPr>
                <w:rFonts w:eastAsia="Calibri"/>
                <w:color w:val="000000"/>
                <w:sz w:val="16"/>
                <w:szCs w:val="16"/>
                <w:lang w:val="en-GB" w:eastAsia="fi-FI"/>
              </w:rPr>
              <w:t>Activity</w:t>
            </w:r>
            <w:r w:rsidRPr="000D70CC">
              <w:rPr>
                <w:rFonts w:eastAsia="Calibri"/>
                <w:color w:val="000000"/>
                <w:sz w:val="16"/>
                <w:szCs w:val="16"/>
                <w:lang w:val="en-GB" w:eastAsia="fi-FI"/>
              </w:rPr>
              <w:t xml:space="preserve"> 2</w:t>
            </w:r>
          </w:p>
        </w:tc>
      </w:tr>
      <w:tr w:rsidR="009558E9" w:rsidRPr="000A2DBE" w14:paraId="3F137DC3" w14:textId="77777777" w:rsidTr="006A38FD">
        <w:trPr>
          <w:trHeight w:val="493"/>
        </w:trPr>
        <w:tc>
          <w:tcPr>
            <w:tcW w:w="1398" w:type="dxa"/>
            <w:tcBorders>
              <w:top w:val="single" w:sz="4" w:space="0" w:color="auto"/>
              <w:bottom w:val="single" w:sz="4" w:space="0" w:color="000000"/>
              <w:right w:val="single" w:sz="4" w:space="0" w:color="auto"/>
            </w:tcBorders>
            <w:vAlign w:val="center"/>
          </w:tcPr>
          <w:p w14:paraId="2164B824" w14:textId="77777777" w:rsidR="009558E9" w:rsidRPr="000D70CC" w:rsidRDefault="009558E9" w:rsidP="009558E9">
            <w:pPr>
              <w:rPr>
                <w:rFonts w:eastAsia="Calibri"/>
                <w:b/>
                <w:bCs/>
                <w:color w:val="000000"/>
                <w:sz w:val="16"/>
                <w:szCs w:val="16"/>
                <w:lang w:val="en-GB" w:eastAsia="fi-FI"/>
              </w:rPr>
            </w:pPr>
            <w:r>
              <w:rPr>
                <w:rFonts w:eastAsia="Calibri"/>
                <w:b/>
                <w:bCs/>
                <w:color w:val="000000"/>
                <w:sz w:val="16"/>
                <w:szCs w:val="16"/>
                <w:lang w:val="en-GB" w:eastAsia="fi-FI"/>
              </w:rPr>
              <w:t>SUM: Biodiversity impact factor (BDe/ €)</w:t>
            </w:r>
          </w:p>
        </w:tc>
        <w:tc>
          <w:tcPr>
            <w:tcW w:w="1405" w:type="dxa"/>
            <w:tcBorders>
              <w:top w:val="single" w:sz="4" w:space="0" w:color="auto"/>
              <w:left w:val="single" w:sz="4" w:space="0" w:color="auto"/>
              <w:bottom w:val="single" w:sz="4" w:space="0" w:color="000000"/>
            </w:tcBorders>
          </w:tcPr>
          <w:p w14:paraId="2FF91425" w14:textId="5C96A557" w:rsidR="009558E9" w:rsidRPr="000D70CC" w:rsidRDefault="009558E9" w:rsidP="009558E9">
            <w:pPr>
              <w:rPr>
                <w:rFonts w:eastAsia="Calibri"/>
                <w:color w:val="000000"/>
                <w:sz w:val="16"/>
                <w:szCs w:val="16"/>
                <w:lang w:val="en-GB" w:eastAsia="fi-FI"/>
              </w:rPr>
            </w:pPr>
            <w:r>
              <w:rPr>
                <w:rFonts w:eastAsia="Calibri"/>
                <w:color w:val="000000"/>
                <w:sz w:val="16"/>
                <w:szCs w:val="16"/>
                <w:lang w:val="en-GB" w:eastAsia="fi-FI"/>
              </w:rPr>
              <w:t xml:space="preserve">Biodiversity impact factor of </w:t>
            </w:r>
            <w:r w:rsidR="00A21440">
              <w:rPr>
                <w:rFonts w:eastAsia="Calibri"/>
                <w:color w:val="000000"/>
                <w:sz w:val="16"/>
                <w:szCs w:val="16"/>
                <w:lang w:val="en-GB" w:eastAsia="fi-FI"/>
              </w:rPr>
              <w:t>Activity</w:t>
            </w:r>
            <w:r>
              <w:rPr>
                <w:rFonts w:eastAsia="Calibri"/>
                <w:color w:val="000000"/>
                <w:sz w:val="16"/>
                <w:szCs w:val="16"/>
                <w:lang w:val="en-GB" w:eastAsia="fi-FI"/>
              </w:rPr>
              <w:t xml:space="preserve"> 1 in region A</w:t>
            </w:r>
          </w:p>
        </w:tc>
        <w:tc>
          <w:tcPr>
            <w:tcW w:w="1405" w:type="dxa"/>
            <w:tcBorders>
              <w:top w:val="single" w:sz="4" w:space="0" w:color="auto"/>
              <w:bottom w:val="single" w:sz="4" w:space="0" w:color="000000"/>
            </w:tcBorders>
          </w:tcPr>
          <w:p w14:paraId="0186ABD5" w14:textId="62346800" w:rsidR="009558E9" w:rsidRPr="000D70CC" w:rsidRDefault="009558E9" w:rsidP="009558E9">
            <w:pPr>
              <w:rPr>
                <w:rFonts w:eastAsia="Calibri"/>
                <w:color w:val="000000"/>
                <w:sz w:val="16"/>
                <w:szCs w:val="16"/>
                <w:lang w:val="en-GB" w:eastAsia="fi-FI"/>
              </w:rPr>
            </w:pPr>
            <w:r>
              <w:rPr>
                <w:rFonts w:eastAsia="Calibri"/>
                <w:color w:val="000000"/>
                <w:sz w:val="16"/>
                <w:szCs w:val="16"/>
                <w:lang w:val="en-GB" w:eastAsia="fi-FI"/>
              </w:rPr>
              <w:t xml:space="preserve">Biodiversity impact factor of </w:t>
            </w:r>
            <w:r w:rsidR="00A21440">
              <w:rPr>
                <w:rFonts w:eastAsia="Calibri"/>
                <w:color w:val="000000"/>
                <w:sz w:val="16"/>
                <w:szCs w:val="16"/>
                <w:lang w:val="en-GB" w:eastAsia="fi-FI"/>
              </w:rPr>
              <w:t>Activity</w:t>
            </w:r>
            <w:r>
              <w:rPr>
                <w:rFonts w:eastAsia="Calibri"/>
                <w:color w:val="000000"/>
                <w:sz w:val="16"/>
                <w:szCs w:val="16"/>
                <w:lang w:val="en-GB" w:eastAsia="fi-FI"/>
              </w:rPr>
              <w:t xml:space="preserve"> 2 in region A</w:t>
            </w:r>
          </w:p>
        </w:tc>
        <w:tc>
          <w:tcPr>
            <w:tcW w:w="1281" w:type="dxa"/>
            <w:tcBorders>
              <w:top w:val="single" w:sz="4" w:space="0" w:color="auto"/>
              <w:bottom w:val="single" w:sz="4" w:space="0" w:color="000000"/>
            </w:tcBorders>
          </w:tcPr>
          <w:p w14:paraId="267ABC6F" w14:textId="38E02EBD" w:rsidR="009558E9" w:rsidRPr="000D70CC" w:rsidRDefault="009558E9" w:rsidP="009558E9">
            <w:pPr>
              <w:rPr>
                <w:rFonts w:eastAsia="Calibri"/>
                <w:color w:val="000000"/>
                <w:sz w:val="16"/>
                <w:szCs w:val="16"/>
                <w:lang w:val="en-GB" w:eastAsia="fi-FI"/>
              </w:rPr>
            </w:pPr>
            <w:r>
              <w:rPr>
                <w:rFonts w:eastAsia="Calibri"/>
                <w:color w:val="000000"/>
                <w:sz w:val="16"/>
                <w:szCs w:val="16"/>
                <w:lang w:val="en-GB" w:eastAsia="fi-FI"/>
              </w:rPr>
              <w:t xml:space="preserve">Biodiversity impact factor of </w:t>
            </w:r>
            <w:r w:rsidR="00A21440">
              <w:rPr>
                <w:rFonts w:eastAsia="Calibri"/>
                <w:color w:val="000000"/>
                <w:sz w:val="16"/>
                <w:szCs w:val="16"/>
                <w:lang w:val="en-GB" w:eastAsia="fi-FI"/>
              </w:rPr>
              <w:t>Activity</w:t>
            </w:r>
            <w:r>
              <w:rPr>
                <w:rFonts w:eastAsia="Calibri"/>
                <w:color w:val="000000"/>
                <w:sz w:val="16"/>
                <w:szCs w:val="16"/>
                <w:lang w:val="en-GB" w:eastAsia="fi-FI"/>
              </w:rPr>
              <w:t xml:space="preserve"> 1 in region B</w:t>
            </w:r>
          </w:p>
        </w:tc>
        <w:tc>
          <w:tcPr>
            <w:tcW w:w="1281" w:type="dxa"/>
            <w:tcBorders>
              <w:top w:val="single" w:sz="4" w:space="0" w:color="auto"/>
              <w:bottom w:val="single" w:sz="4" w:space="0" w:color="000000"/>
            </w:tcBorders>
          </w:tcPr>
          <w:p w14:paraId="4D9BAEB0" w14:textId="649253D4" w:rsidR="009558E9" w:rsidRPr="000D70CC" w:rsidRDefault="009558E9" w:rsidP="009558E9">
            <w:pPr>
              <w:rPr>
                <w:rFonts w:eastAsia="Calibri"/>
                <w:color w:val="000000"/>
                <w:sz w:val="16"/>
                <w:szCs w:val="16"/>
                <w:lang w:val="en-GB" w:eastAsia="fi-FI"/>
              </w:rPr>
            </w:pPr>
            <w:r>
              <w:rPr>
                <w:rFonts w:eastAsia="Calibri"/>
                <w:color w:val="000000"/>
                <w:sz w:val="16"/>
                <w:szCs w:val="16"/>
                <w:lang w:val="en-GB" w:eastAsia="fi-FI"/>
              </w:rPr>
              <w:t xml:space="preserve">Biodiversity impact factor of </w:t>
            </w:r>
            <w:r w:rsidR="00A21440">
              <w:rPr>
                <w:rFonts w:eastAsia="Calibri"/>
                <w:color w:val="000000"/>
                <w:sz w:val="16"/>
                <w:szCs w:val="16"/>
                <w:lang w:val="en-GB" w:eastAsia="fi-FI"/>
              </w:rPr>
              <w:t>Activity</w:t>
            </w:r>
            <w:r>
              <w:rPr>
                <w:rFonts w:eastAsia="Calibri"/>
                <w:color w:val="000000"/>
                <w:sz w:val="16"/>
                <w:szCs w:val="16"/>
                <w:lang w:val="en-GB" w:eastAsia="fi-FI"/>
              </w:rPr>
              <w:t xml:space="preserve"> 2 in region B</w:t>
            </w:r>
          </w:p>
        </w:tc>
        <w:tc>
          <w:tcPr>
            <w:tcW w:w="1043" w:type="dxa"/>
            <w:tcBorders>
              <w:top w:val="single" w:sz="4" w:space="0" w:color="auto"/>
              <w:bottom w:val="single" w:sz="4" w:space="0" w:color="000000"/>
            </w:tcBorders>
          </w:tcPr>
          <w:p w14:paraId="68897C66" w14:textId="40B70D5B" w:rsidR="009558E9" w:rsidRPr="000D70CC" w:rsidRDefault="009558E9" w:rsidP="009558E9">
            <w:pPr>
              <w:rPr>
                <w:rFonts w:eastAsia="Calibri"/>
                <w:color w:val="000000"/>
                <w:sz w:val="16"/>
                <w:szCs w:val="16"/>
                <w:lang w:val="en-GB" w:eastAsia="fi-FI"/>
              </w:rPr>
            </w:pPr>
            <w:r>
              <w:rPr>
                <w:rFonts w:eastAsia="Calibri"/>
                <w:color w:val="000000"/>
                <w:sz w:val="16"/>
                <w:szCs w:val="16"/>
                <w:lang w:val="en-GB" w:eastAsia="fi-FI"/>
              </w:rPr>
              <w:t xml:space="preserve">Biodiversity impact factor of </w:t>
            </w:r>
            <w:r w:rsidR="00A21440">
              <w:rPr>
                <w:rFonts w:eastAsia="Calibri"/>
                <w:color w:val="000000"/>
                <w:sz w:val="16"/>
                <w:szCs w:val="16"/>
                <w:lang w:val="en-GB" w:eastAsia="fi-FI"/>
              </w:rPr>
              <w:t>Activity</w:t>
            </w:r>
            <w:r>
              <w:rPr>
                <w:rFonts w:eastAsia="Calibri"/>
                <w:color w:val="000000"/>
                <w:sz w:val="16"/>
                <w:szCs w:val="16"/>
                <w:lang w:val="en-GB" w:eastAsia="fi-FI"/>
              </w:rPr>
              <w:t xml:space="preserve"> 1 in region C</w:t>
            </w:r>
          </w:p>
        </w:tc>
        <w:tc>
          <w:tcPr>
            <w:tcW w:w="1043" w:type="dxa"/>
            <w:tcBorders>
              <w:top w:val="single" w:sz="4" w:space="0" w:color="auto"/>
              <w:bottom w:val="single" w:sz="4" w:space="0" w:color="000000"/>
            </w:tcBorders>
          </w:tcPr>
          <w:p w14:paraId="7D765122" w14:textId="2211BDA8" w:rsidR="009558E9" w:rsidRPr="000D70CC" w:rsidRDefault="009558E9" w:rsidP="009558E9">
            <w:pPr>
              <w:rPr>
                <w:rFonts w:eastAsia="Calibri"/>
                <w:color w:val="000000"/>
                <w:sz w:val="16"/>
                <w:szCs w:val="16"/>
                <w:lang w:val="en-GB" w:eastAsia="fi-FI"/>
              </w:rPr>
            </w:pPr>
            <w:r>
              <w:rPr>
                <w:rFonts w:eastAsia="Calibri"/>
                <w:color w:val="000000"/>
                <w:sz w:val="16"/>
                <w:szCs w:val="16"/>
                <w:lang w:val="en-GB" w:eastAsia="fi-FI"/>
              </w:rPr>
              <w:t xml:space="preserve">Biodiversity impact factor of </w:t>
            </w:r>
            <w:r w:rsidR="00A21440">
              <w:rPr>
                <w:rFonts w:eastAsia="Calibri"/>
                <w:color w:val="000000"/>
                <w:sz w:val="16"/>
                <w:szCs w:val="16"/>
                <w:lang w:val="en-GB" w:eastAsia="fi-FI"/>
              </w:rPr>
              <w:t>Activity</w:t>
            </w:r>
            <w:r>
              <w:rPr>
                <w:rFonts w:eastAsia="Calibri"/>
                <w:color w:val="000000"/>
                <w:sz w:val="16"/>
                <w:szCs w:val="16"/>
                <w:lang w:val="en-GB" w:eastAsia="fi-FI"/>
              </w:rPr>
              <w:t xml:space="preserve"> 2 in region C</w:t>
            </w:r>
          </w:p>
        </w:tc>
      </w:tr>
    </w:tbl>
    <w:p w14:paraId="69CC77C8" w14:textId="77777777" w:rsidR="00B632F4" w:rsidRPr="0097363E" w:rsidRDefault="00B632F4" w:rsidP="00CD7887">
      <w:pPr>
        <w:rPr>
          <w:b/>
          <w:bCs/>
          <w:sz w:val="20"/>
        </w:rPr>
      </w:pPr>
    </w:p>
    <w:p w14:paraId="641C1A9B" w14:textId="77777777" w:rsidR="00C601C3" w:rsidRDefault="00C601C3" w:rsidP="00CD7887">
      <w:pPr>
        <w:rPr>
          <w:b/>
          <w:bCs/>
          <w:sz w:val="20"/>
        </w:rPr>
      </w:pPr>
    </w:p>
    <w:p w14:paraId="25359C2E" w14:textId="77777777" w:rsidR="00C601C3" w:rsidRDefault="00C601C3" w:rsidP="00CD7887">
      <w:pPr>
        <w:rPr>
          <w:b/>
          <w:bCs/>
          <w:sz w:val="20"/>
        </w:rPr>
      </w:pPr>
    </w:p>
    <w:p w14:paraId="14B54B75" w14:textId="77777777" w:rsidR="00CD7887" w:rsidRDefault="00CD7887" w:rsidP="00CD7887">
      <w:pPr>
        <w:rPr>
          <w:b/>
          <w:bCs/>
          <w:sz w:val="20"/>
        </w:rPr>
      </w:pPr>
    </w:p>
    <w:p w14:paraId="0A1C8A91" w14:textId="36F5C8CF" w:rsidR="00CD7887" w:rsidRPr="000A2DBE" w:rsidRDefault="00CD7887" w:rsidP="00CD7887">
      <w:pPr>
        <w:rPr>
          <w:sz w:val="20"/>
        </w:rPr>
      </w:pPr>
      <w:r w:rsidRPr="000A2DBE">
        <w:rPr>
          <w:b/>
          <w:bCs/>
          <w:sz w:val="20"/>
        </w:rPr>
        <w:t>Table S</w:t>
      </w:r>
      <w:r w:rsidR="0053592C">
        <w:rPr>
          <w:b/>
          <w:bCs/>
          <w:sz w:val="20"/>
        </w:rPr>
        <w:t>4</w:t>
      </w:r>
      <w:r w:rsidRPr="000A2DBE">
        <w:rPr>
          <w:b/>
          <w:bCs/>
          <w:sz w:val="20"/>
        </w:rPr>
        <w:t xml:space="preserve">. </w:t>
      </w:r>
      <w:r w:rsidRPr="000A2DBE">
        <w:rPr>
          <w:sz w:val="20"/>
        </w:rPr>
        <w:t>Summary of the different operations needed to harmonize purchaser prices (financial account prices) with basic prices (EEIO database prices).</w:t>
      </w:r>
    </w:p>
    <w:p w14:paraId="03FCA5F6" w14:textId="77777777" w:rsidR="00CD7887" w:rsidRPr="000A2DBE" w:rsidRDefault="00CD7887" w:rsidP="00CD7887">
      <w:pPr>
        <w:rPr>
          <w:b/>
          <w:bCs/>
        </w:rPr>
      </w:pPr>
    </w:p>
    <w:tbl>
      <w:tblPr>
        <w:tblW w:w="0" w:type="auto"/>
        <w:tblBorders>
          <w:top w:val="single" w:sz="4" w:space="0" w:color="000000"/>
          <w:bottom w:val="single" w:sz="4" w:space="0" w:color="000000"/>
        </w:tblBorders>
        <w:tblLayout w:type="fixed"/>
        <w:tblLook w:val="06A0" w:firstRow="1" w:lastRow="0" w:firstColumn="1" w:lastColumn="0" w:noHBand="1" w:noVBand="1"/>
      </w:tblPr>
      <w:tblGrid>
        <w:gridCol w:w="2336"/>
        <w:gridCol w:w="3345"/>
        <w:gridCol w:w="3345"/>
      </w:tblGrid>
      <w:tr w:rsidR="00CD7887" w:rsidRPr="000A2DBE" w14:paraId="48BA7FEA" w14:textId="77777777" w:rsidTr="000D70CC">
        <w:tc>
          <w:tcPr>
            <w:tcW w:w="2336" w:type="dxa"/>
            <w:tcBorders>
              <w:bottom w:val="single" w:sz="4" w:space="0" w:color="000000"/>
            </w:tcBorders>
          </w:tcPr>
          <w:p w14:paraId="0E777436" w14:textId="77777777" w:rsidR="00CD7887" w:rsidRPr="000D70CC" w:rsidRDefault="00CD7887" w:rsidP="000D70CC">
            <w:pPr>
              <w:jc w:val="both"/>
              <w:rPr>
                <w:rFonts w:eastAsia="Calibri"/>
                <w:b/>
                <w:bCs/>
                <w:color w:val="000000"/>
                <w:sz w:val="16"/>
                <w:szCs w:val="16"/>
                <w:lang w:val="en-GB" w:eastAsia="fi-FI"/>
              </w:rPr>
            </w:pPr>
            <w:r w:rsidRPr="000D70CC">
              <w:rPr>
                <w:rFonts w:eastAsia="Calibri"/>
                <w:b/>
                <w:bCs/>
                <w:color w:val="000000"/>
                <w:sz w:val="16"/>
                <w:szCs w:val="16"/>
                <w:lang w:val="en-GB" w:eastAsia="fi-FI"/>
              </w:rPr>
              <w:t>Description</w:t>
            </w:r>
          </w:p>
        </w:tc>
        <w:tc>
          <w:tcPr>
            <w:tcW w:w="3345" w:type="dxa"/>
            <w:tcBorders>
              <w:bottom w:val="single" w:sz="4" w:space="0" w:color="000000"/>
            </w:tcBorders>
          </w:tcPr>
          <w:p w14:paraId="17B1E4AE" w14:textId="77777777" w:rsidR="00CD7887" w:rsidRPr="000D70CC" w:rsidRDefault="00CD7887" w:rsidP="000D70CC">
            <w:pPr>
              <w:jc w:val="both"/>
              <w:rPr>
                <w:rFonts w:eastAsia="Calibri"/>
                <w:b/>
                <w:bCs/>
                <w:color w:val="000000"/>
                <w:sz w:val="16"/>
                <w:szCs w:val="16"/>
                <w:lang w:val="en-GB" w:eastAsia="fi-FI"/>
              </w:rPr>
            </w:pPr>
            <w:r w:rsidRPr="000D70CC">
              <w:rPr>
                <w:rFonts w:eastAsia="Calibri"/>
                <w:b/>
                <w:bCs/>
                <w:color w:val="000000"/>
                <w:sz w:val="16"/>
                <w:szCs w:val="16"/>
                <w:lang w:val="en-GB" w:eastAsia="fi-FI"/>
              </w:rPr>
              <w:t>Equation</w:t>
            </w:r>
          </w:p>
        </w:tc>
        <w:tc>
          <w:tcPr>
            <w:tcW w:w="3345" w:type="dxa"/>
            <w:tcBorders>
              <w:bottom w:val="single" w:sz="4" w:space="0" w:color="000000"/>
            </w:tcBorders>
          </w:tcPr>
          <w:p w14:paraId="1E9EAF5F" w14:textId="77777777" w:rsidR="00CD7887" w:rsidRPr="000D70CC" w:rsidRDefault="00CD7887" w:rsidP="000D70CC">
            <w:pPr>
              <w:jc w:val="both"/>
              <w:rPr>
                <w:rFonts w:eastAsia="Calibri"/>
                <w:b/>
                <w:bCs/>
                <w:color w:val="000000"/>
                <w:sz w:val="16"/>
                <w:szCs w:val="16"/>
                <w:lang w:val="en-GB" w:eastAsia="fi-FI"/>
              </w:rPr>
            </w:pPr>
            <w:r w:rsidRPr="000D70CC">
              <w:rPr>
                <w:rFonts w:eastAsia="Calibri"/>
                <w:b/>
                <w:bCs/>
                <w:color w:val="000000"/>
                <w:sz w:val="16"/>
                <w:szCs w:val="16"/>
                <w:lang w:val="en-GB" w:eastAsia="fi-FI"/>
              </w:rPr>
              <w:t>Legend</w:t>
            </w:r>
          </w:p>
        </w:tc>
      </w:tr>
      <w:tr w:rsidR="00CD7887" w:rsidRPr="000A2DBE" w14:paraId="5DA64D50" w14:textId="77777777" w:rsidTr="000D70CC">
        <w:tc>
          <w:tcPr>
            <w:tcW w:w="2336" w:type="dxa"/>
          </w:tcPr>
          <w:p w14:paraId="35CA1AE3" w14:textId="77777777" w:rsidR="00CD7887" w:rsidRPr="000D70CC" w:rsidRDefault="00CD7887" w:rsidP="000D70CC">
            <w:pPr>
              <w:rPr>
                <w:rFonts w:eastAsia="Calibri"/>
                <w:b/>
                <w:bCs/>
                <w:color w:val="000000"/>
                <w:sz w:val="16"/>
                <w:szCs w:val="16"/>
                <w:lang w:val="en-GB" w:eastAsia="fi-FI"/>
              </w:rPr>
            </w:pPr>
            <w:r w:rsidRPr="000D70CC">
              <w:rPr>
                <w:rFonts w:eastAsia="Calibri"/>
                <w:b/>
                <w:bCs/>
                <w:color w:val="000000"/>
                <w:sz w:val="16"/>
                <w:szCs w:val="16"/>
                <w:lang w:val="en-GB" w:eastAsia="fi-FI"/>
              </w:rPr>
              <w:t xml:space="preserve">Harmonizing financial account prices to </w:t>
            </w:r>
            <w:proofErr w:type="gramStart"/>
            <w:r w:rsidRPr="000D70CC">
              <w:rPr>
                <w:rFonts w:eastAsia="Calibri"/>
                <w:b/>
                <w:bCs/>
                <w:color w:val="000000"/>
                <w:sz w:val="16"/>
                <w:szCs w:val="16"/>
                <w:lang w:val="en-GB" w:eastAsia="fi-FI"/>
              </w:rPr>
              <w:t>take into account</w:t>
            </w:r>
            <w:proofErr w:type="gramEnd"/>
            <w:r w:rsidRPr="000D70CC">
              <w:rPr>
                <w:rFonts w:eastAsia="Calibri"/>
                <w:b/>
                <w:bCs/>
                <w:color w:val="000000"/>
                <w:sz w:val="16"/>
                <w:szCs w:val="16"/>
                <w:lang w:val="en-GB" w:eastAsia="fi-FI"/>
              </w:rPr>
              <w:t xml:space="preserve"> inflation between EEIO database baseline year and financial accounting year.</w:t>
            </w:r>
          </w:p>
          <w:p w14:paraId="25763901" w14:textId="77777777" w:rsidR="00CD7887" w:rsidRPr="000D70CC" w:rsidRDefault="00CD7887" w:rsidP="000D70CC">
            <w:pPr>
              <w:rPr>
                <w:rFonts w:eastAsia="Calibri"/>
                <w:b/>
                <w:bCs/>
                <w:color w:val="000000"/>
                <w:sz w:val="16"/>
                <w:szCs w:val="16"/>
                <w:lang w:val="en-GB" w:eastAsia="fi-FI"/>
              </w:rPr>
            </w:pPr>
          </w:p>
        </w:tc>
        <w:tc>
          <w:tcPr>
            <w:tcW w:w="3345" w:type="dxa"/>
          </w:tcPr>
          <w:p w14:paraId="43759A3A" w14:textId="77777777" w:rsidR="00CD7887" w:rsidRPr="000D70CC" w:rsidRDefault="003B602A" w:rsidP="000D70CC">
            <w:pPr>
              <w:jc w:val="both"/>
              <w:rPr>
                <w:rFonts w:eastAsia="Calibri"/>
                <w:color w:val="000000"/>
                <w:sz w:val="16"/>
                <w:szCs w:val="16"/>
                <w:lang w:val="en-GB" w:eastAsia="fi-FI"/>
              </w:rPr>
            </w:pPr>
            <w:r>
              <w:rPr>
                <w:rFonts w:ascii="Calibri" w:eastAsia="Calibri" w:hAnsi="Calibri"/>
                <w:color w:val="000000"/>
                <w:sz w:val="22"/>
                <w:szCs w:val="22"/>
              </w:rPr>
              <w:pict w14:anchorId="5F0C11C1">
                <v:shape id="_x0000_i1028" type="#_x0000_t75" style="width:94.15pt;height:9.9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20&quot;/&gt;&lt;w:stylePaneFormatFilter w:val=&quot;3F01&quot;/&gt;&lt;w:defaultTabStop w:val=&quot;720&quot;/&gt;&lt;w:displayHorizontalDrawingGridEvery w:val=&quot;0&quot;/&gt;&lt;w:displayVerticalDrawingGridEvery w:val=&quot;0&quot;/&gt;&lt;w:useMarginsForDrawingGridOrigin/&gt;&lt;w:characterSpacingControl w:val=&quot;DontCompress&quot;/&gt;&lt;w:optimizeForBrowser/&gt;&lt;w:targetScreenSz w:val=&quot;800x600&quot;/&gt;&lt;w:validateAgainstSchema/&gt;&lt;w:saveInvalidXML w:val=&quot;off&quot;/&gt;&lt;w:ignoreMixedContent w:val=&quot;off&quot;/&gt;&lt;w:alwaysShowPlaceholderText w:val=&quot;off&quot;/&gt;&lt;w:compat&gt;&lt;w:footnoteLayoutLikeWW8/&gt;&lt;w:shapeLayoutLikeWW8/&gt;&lt;w:alignTablesRowByRow/&gt;&lt;w:forgetLastTabAlignment/&gt;&lt;w:doNotUseHTMLParagraphAutoSpacing/&gt;&lt;w:layoutRawTableWidth/&gt;&lt;w:layoutTableRowsApart/&gt;&lt;w:useWord97LineBreakingRules/&gt;&lt;w:dontAllowFieldEndSelect/&gt;&lt;w:useWord2002TableStyleRules/&gt;&lt;w:useFELayout/&gt;&lt;/w:compat&gt;&lt;wsp:rsids&gt;&lt;wsp:rsidRoot wsp:val=&quot;00FC3678&quot;/&gt;&lt;wsp:rsid wsp:val=&quot;00013D1E&quot;/&gt;&lt;wsp:rsid wsp:val=&quot;00026AC0&quot;/&gt;&lt;wsp:rsid wsp:val=&quot;0005253F&quot;/&gt;&lt;wsp:rsid wsp:val=&quot;000C1B25&quot;/&gt;&lt;wsp:rsid wsp:val=&quot;000E1EDA&quot;/&gt;&lt;wsp:rsid wsp:val=&quot;00127752&quot;/&gt;&lt;wsp:rsid wsp:val=&quot;00140520&quot;/&gt;&lt;wsp:rsid wsp:val=&quot;00151F63&quot;/&gt;&lt;wsp:rsid wsp:val=&quot;00164C58&quot;/&gt;&lt;wsp:rsid wsp:val=&quot;00177180&quot;/&gt;&lt;wsp:rsid wsp:val=&quot;001B0CD6&quot;/&gt;&lt;wsp:rsid wsp:val=&quot;001E2393&quot;/&gt;&lt;wsp:rsid wsp:val=&quot;00210627&quot;/&gt;&lt;wsp:rsid wsp:val=&quot;00244AEE&quot;/&gt;&lt;wsp:rsid wsp:val=&quot;0026556F&quot;/&gt;&lt;wsp:rsid wsp:val=&quot;00281931&quot;/&gt;&lt;wsp:rsid wsp:val=&quot;00296293&quot;/&gt;&lt;wsp:rsid wsp:val=&quot;002B5979&quot;/&gt;&lt;wsp:rsid wsp:val=&quot;002D46CC&quot;/&gt;&lt;wsp:rsid wsp:val=&quot;00305A60&quot;/&gt;&lt;wsp:rsid wsp:val=&quot;00312C21&quot;/&gt;&lt;wsp:rsid wsp:val=&quot;003328E4&quot;/&gt;&lt;wsp:rsid wsp:val=&quot;00355DDD&quot;/&gt;&lt;wsp:rsid wsp:val=&quot;00392495&quot;/&gt;&lt;wsp:rsid wsp:val=&quot;003C1639&quot;/&gt;&lt;wsp:rsid wsp:val=&quot;00405228&quot;/&gt;&lt;wsp:rsid wsp:val=&quot;0043029D&quot;/&gt;&lt;wsp:rsid wsp:val=&quot;00437604&quot;/&gt;&lt;wsp:rsid wsp:val=&quot;00470259&quot;/&gt;&lt;wsp:rsid wsp:val=&quot;004F406C&quot;/&gt;&lt;wsp:rsid wsp:val=&quot;005041EC&quot;/&gt;&lt;wsp:rsid wsp:val=&quot;005053C2&quot;/&gt;&lt;wsp:rsid wsp:val=&quot;00516DD8&quot;/&gt;&lt;wsp:rsid wsp:val=&quot;005212CA&quot;/&gt;&lt;wsp:rsid wsp:val=&quot;005342AF&quot;/&gt;&lt;wsp:rsid wsp:val=&quot;00541604&quot;/&gt;&lt;wsp:rsid wsp:val=&quot;005537D1&quot;/&gt;&lt;wsp:rsid wsp:val=&quot;00575E0A&quot;/&gt;&lt;wsp:rsid wsp:val=&quot;00637D84&quot;/&gt;&lt;wsp:rsid wsp:val=&quot;0067182A&quot;/&gt;&lt;wsp:rsid wsp:val=&quot;00694D2D&quot;/&gt;&lt;wsp:rsid wsp:val=&quot;006E2334&quot;/&gt;&lt;wsp:rsid wsp:val=&quot;00792F07&quot;/&gt;&lt;wsp:rsid wsp:val=&quot;007A518D&quot;/&gt;&lt;wsp:rsid wsp:val=&quot;007F4644&quot;/&gt;&lt;wsp:rsid wsp:val=&quot;007F7B33&quot;/&gt;&lt;wsp:rsid wsp:val=&quot;00861C5D&quot;/&gt;&lt;wsp:rsid wsp:val=&quot;008929D7&quot;/&gt;&lt;wsp:rsid wsp:val=&quot;008A2B05&quot;/&gt;&lt;wsp:rsid wsp:val=&quot;008B1F6A&quot;/&gt;&lt;wsp:rsid wsp:val=&quot;008E0C5F&quot;/&gt;&lt;wsp:rsid wsp:val=&quot;008F3AD9&quot;/&gt;&lt;wsp:rsid wsp:val=&quot;00925C6A&quot;/&gt;&lt;wsp:rsid wsp:val=&quot;00957CB3&quot;/&gt;&lt;wsp:rsid wsp:val=&quot;009618A6&quot;/&gt;&lt;wsp:rsid wsp:val=&quot;009A31CE&quot;/&gt;&lt;wsp:rsid wsp:val=&quot;009B445B&quot;/&gt;&lt;wsp:rsid wsp:val=&quot;009D7C33&quot;/&gt;&lt;wsp:rsid wsp:val=&quot;009F5CBF&quot;/&gt;&lt;wsp:rsid wsp:val=&quot;00A0155D&quot;/&gt;&lt;wsp:rsid wsp:val=&quot;00A91307&quot;/&gt;&lt;wsp:rsid wsp:val=&quot;00AB3506&quot;/&gt;&lt;wsp:rsid wsp:val=&quot;00AD12A1&quot;/&gt;&lt;wsp:rsid wsp:val=&quot;00B7251F&quot;/&gt;&lt;wsp:rsid wsp:val=&quot;00B82850&quot;/&gt;&lt;wsp:rsid wsp:val=&quot;00BB6867&quot;/&gt;&lt;wsp:rsid wsp:val=&quot;00BC4005&quot;/&gt;&lt;wsp:rsid wsp:val=&quot;00BD34DF&quot;/&gt;&lt;wsp:rsid wsp:val=&quot;00C03D2D&quot;/&gt;&lt;wsp:rsid wsp:val=&quot;00C22841&quot;/&gt;&lt;wsp:rsid wsp:val=&quot;00C646B1&quot;/&gt;&lt;wsp:rsid wsp:val=&quot;00C90CAF&quot;/&gt;&lt;wsp:rsid wsp:val=&quot;00C97586&quot;/&gt;&lt;wsp:rsid wsp:val=&quot;00CA6730&quot;/&gt;&lt;wsp:rsid wsp:val=&quot;00CB71D6&quot;/&gt;&lt;wsp:rsid wsp:val=&quot;00CD7887&quot;/&gt;&lt;wsp:rsid wsp:val=&quot;00CE02CB&quot;/&gt;&lt;wsp:rsid wsp:val=&quot;00D66026&quot;/&gt;&lt;wsp:rsid wsp:val=&quot;00D661C5&quot;/&gt;&lt;wsp:rsid wsp:val=&quot;00D75942&quot;/&gt;&lt;wsp:rsid wsp:val=&quot;00D80353&quot;/&gt;&lt;wsp:rsid wsp:val=&quot;00DB45F4&quot;/&gt;&lt;wsp:rsid wsp:val=&quot;00EF3966&quot;/&gt;&lt;wsp:rsid wsp:val=&quot;00F106E6&quot;/&gt;&lt;wsp:rsid wsp:val=&quot;00F6584F&quot;/&gt;&lt;wsp:rsid wsp:val=&quot;00F8636A&quot;/&gt;&lt;wsp:rsid wsp:val=&quot;00FC3678&quot;/&gt;&lt;wsp:rsid wsp:val=&quot;00FD061F&quot;/&gt;&lt;/wsp:rsids&gt;&lt;/w:docPr&gt;&lt;w:body&gt;&lt;wx:sect&gt;&lt;w:p wsp:rsidR=&quot;00D80353&quot; wsp:rsidRPr=&quot;00D80353&quot; wsp:rsidRDefault=&quot;00D80353&quot; wsp:rsidP=&quot;00D80353&quot;&gt;&lt;aml:annotation aml:id=&quot;0&quot; w:type=&quot;Word.Bookmark.Start&quot; w:name=&quot;_Hlk128065093&quot;/&gt;&lt;m:oMathPara&gt;&lt;m:oMathParaPr&gt;&lt;m:jc m:val=&quot;left&quot;/&gt;&lt;/m:oMathParaPr&gt;&lt;m:oMath&gt;&lt;m:r&gt;&lt;m:rPr&gt;&lt;m:sty m:val=&quot;bi&quot;/&gt;&lt;/m:rPr&gt;&lt;w:rPr&gt;&lt;w:rFonts w:ascii=&quot;Cambria Math&quot; w:h-ansi=&quot;Cambria Math&quot;/&gt;&lt;wx:font wx:val=&quot;Cambria Math&quot;/&gt;&lt;w:b/&gt;&lt;w:b-cs/&gt;&lt;w:i/&gt;&lt;w:sz w:val=&quot;16&quot;/&gt;&lt;w:sz-cs w:val=&quot;16&quot;/&gt;&lt;w:lang w:val=&quot;EN-GB&quot; w:fareast=&quot;FI&quot;/&gt;&lt;/w:rPr&gt;&lt;m:t&gt;IAP&lt;/m:t&gt;&lt;/m:r&gt;&lt;m:r&gt;&lt;w:rPr&gt;&lt;w:rFonts w:ascii=&quot;Cambria Math&quot; w:h-ansi=&quot;Cambria Math&quot;/&gt;&lt;wx:font wx:val=&quot;Cambria Math&quot;/&gt;&lt;w:i/&gt;&lt;w:sz w:val=&quot;16&quot;/&gt;&lt;w:sz-cs w:val=&quot;16&quot;/&gt;&lt;w:lang w:val=&quot;EN-GB&quot; w:fareast=&quot;FI&quot;/&gt;&lt;/w:rPr&gt;&lt;m:t&gt;=&lt;/m:t&gt;&lt;/m:r&gt;&lt;m:r&gt;&lt;m:rPr&gt;&lt;m:sty m:val=&quot;bi&quot;/&gt;&lt;/m:rPr&gt;&lt;w:rPr&gt;&lt;w:rFonts w:ascii=&quot;Cambria Math&quot; w:h-ansi=&quot;Cambria Math&quot;/&gt;&lt;wx:font wx:val=&quot;Cambria Math&quot;/&gt;&lt;w:b/&gt;&lt;w:b-cs/&gt;&lt;w:i/&gt;&lt;w:sz w:val=&quot;16&quot;/&gt;&lt;w:sz-cs w:val=&quot;16&quot;/&gt;&lt;w:lang w:val=&quot;EN-GB&quot; w:fareast=&quot;FI&quot;/&gt;&lt;/w:rPr&gt;&lt;m:t&gt;FAP&lt;/m:t&gt;&lt;/m:r&gt;&lt;m:r&gt;&lt;w:rPr&gt;&lt;w:rFonts w:ascii=&quot;Cambria Math&quot; w:h-ansi=&quot;Cambria Math&quot;/&gt;&lt;wx:font wx:val=&quot;Cambria Math&quot;/&gt;&lt;w:i/&gt;&lt;w:sz w:val=&quot;16&quot;/&gt;&lt;w:sz-cs w:val=&quot;16&quot;/&gt;&lt;w:lang w:val=&quot;EN-GB&quot; w:fareast=&quot;FI&quot;/&gt;&lt;/w:rPr&gt;&lt;m:t&gt;-(&lt;/m:t&gt;&lt;/m:r&gt;&lt;m:r&gt;&lt;m:rPr&gt;&lt;m:sty m:val=&quot;bi&quot;/&gt;&lt;/m:rPr&gt;&lt;w:rPr&gt;&lt;w:rFonts w:ascii=&quot;Cambria Math&quot; w:h-ansi=&quot;Cambria Math&quot;/&gt;&lt;wx:font wx:val=&quot;Cambria Math&quot;/&gt;&lt;w:b/&gt;&lt;w:b-cs/&gt;&lt;w:i/&gt;&lt;w:sz w:val=&quot;16&quot;/&gt;&lt;w:sz-cs w:val=&quot;16&quot;/&gt;&lt;w:lang w:val=&quot;EN-GB&quot; w:fareast=&quot;FI&quot;/&gt;&lt;/w:rPr&gt;&lt;m:t&gt;FAP&lt;/m:t&gt;&lt;/m:r&gt;&lt;m:r&gt;&lt;w:rPr&gt;&lt;w:rFonts w:ascii=&quot;Cambria Math&quot; w:h-ansi=&quot;Cambria Math&quot;/&gt;&lt;wx:font wx:val=&quot;Cambria Math&quot;/&gt;&lt;w:i/&gt;&lt;w:sz w:val=&quot;16&quot;/&gt;&lt;w:sz-cs w:val=&quot;16&quot;/&gt;&lt;w:lang w:val=&quot;EN-GB&quot; w:fareast=&quot;FI&quot;/&gt;&lt;/w:rPr&gt;&lt;m:t&gt; Ã— &lt;/m:t&gt;&lt;/m:r&gt;&lt;m:r&gt;&lt;m:rPr&gt;&lt;m:sty m:val=&quot;bi&quot;/&gt;&lt;/m:rPr&gt;&lt;w:rPr&gt;&lt;w:rFonts w:ascii=&quot;Cambria Math&quot; w:h-ansi=&quot;Cambria Math&quot;/&gt;&lt;wx:font wx:val=&quot;Cambria Math&quot;/&gt;&lt;w:b/&gt;&lt;w:b-cs/&gt;&lt;w:i/&gt;&lt;w:sz w:val=&quot;16&quot;/&gt;&lt;w:sz-cs w:val=&quot;16&quot;/&gt;&lt;w:lang w:val=&quot;EN-GB&quot; w:fareast=&quot;FI&quot;/&gt;&lt;/w:rPr&gt;&lt;m:t&gt;IF&lt;/m:t&gt;&lt;/m:r&gt;&lt;m:r&gt;&lt;w:rPr&gt;&lt;w:rFonts w:ascii=&quot;Cambria Math&quot; w:h-ansi=&quot;Cambria Math&quot;/&gt;&lt;wx:font wx:val=&quot;Cambria Math&quot;/&gt;&lt;w:i/&gt;&lt;w:sz w:val=&quot;16&quot;/&gt;&lt;w:sz-cs w:val=&quot;16&quot;/&gt;&lt;w:lang w:val=&quot;EN-GB&quot; w:fareast=&quot;FI&quot;/&gt;&lt;/w:rPr&gt;&lt;m:t&gt;)&lt;/m:t&gt;&lt;/m:r&gt;&lt;/m:oMath&gt;&lt;/m:oMathPara&gt;&lt;aml:annotation aml:id=&quot;0&quot; w:type=&quot;Word.Bookmark.End&quot;/&gt;&lt;/w:p&gt;&lt;w:sectPr wsp:rsidR=&quot;00000000&quot; wsp:rsidRPr=&quot;00D80353&quot;&gt;&lt;w:pgSz w:w=&quot;12240&quot; w:h=&quot;15840&quot;/&gt;&lt;w:pgMar w:top=&quot;1440&quot; w:right=&quot;1440&quot; w:bottom=&quot;1440&quot; w:left=&quot;1440&quot; w:header=&quot;708&quot; w:footer=&quot;708&quot; w:gutter=&quot;0&quot;/&gt;&lt;w:cols w:space=&quot;708&quot;/&gt;&lt;/w:sectPr&gt;&lt;/wx:sect&gt;&lt;/w:body&gt;&lt;/w:wordDocument&gt;">
                  <v:imagedata r:id="rId14" o:title="" chromakey="white"/>
                </v:shape>
              </w:pict>
            </w:r>
          </w:p>
        </w:tc>
        <w:tc>
          <w:tcPr>
            <w:tcW w:w="3345" w:type="dxa"/>
          </w:tcPr>
          <w:p w14:paraId="11AA8C1F" w14:textId="77777777" w:rsidR="00CD7887" w:rsidRPr="000D70CC" w:rsidRDefault="00CD7887" w:rsidP="000D70CC">
            <w:pPr>
              <w:jc w:val="both"/>
              <w:rPr>
                <w:rFonts w:eastAsia="Calibri"/>
                <w:color w:val="000000"/>
                <w:sz w:val="16"/>
                <w:szCs w:val="16"/>
                <w:lang w:val="en-GB" w:eastAsia="fi-FI"/>
              </w:rPr>
            </w:pPr>
            <w:r w:rsidRPr="000D70CC">
              <w:rPr>
                <w:rFonts w:eastAsia="Calibri"/>
                <w:color w:val="000000"/>
                <w:sz w:val="16"/>
                <w:szCs w:val="16"/>
                <w:lang w:val="en-GB" w:eastAsia="fi-FI"/>
              </w:rPr>
              <w:t>IAP = Inflation adjusted price</w:t>
            </w:r>
          </w:p>
          <w:p w14:paraId="56CE4E10" w14:textId="77777777" w:rsidR="00CD7887" w:rsidRPr="000D70CC" w:rsidRDefault="00CD7887" w:rsidP="000D70CC">
            <w:pPr>
              <w:jc w:val="both"/>
              <w:rPr>
                <w:rFonts w:eastAsia="Calibri"/>
                <w:color w:val="000000"/>
                <w:sz w:val="16"/>
                <w:szCs w:val="16"/>
                <w:lang w:val="en-GB" w:eastAsia="fi-FI"/>
              </w:rPr>
            </w:pPr>
            <w:r w:rsidRPr="000D70CC">
              <w:rPr>
                <w:rFonts w:eastAsia="Calibri"/>
                <w:color w:val="000000"/>
                <w:sz w:val="16"/>
                <w:szCs w:val="16"/>
                <w:lang w:val="en-GB" w:eastAsia="fi-FI"/>
              </w:rPr>
              <w:t>FAP = Financial account price</w:t>
            </w:r>
          </w:p>
          <w:p w14:paraId="43959C9F" w14:textId="77777777" w:rsidR="00CD7887" w:rsidRPr="000D70CC" w:rsidRDefault="00CD7887" w:rsidP="000D70CC">
            <w:pPr>
              <w:jc w:val="both"/>
              <w:rPr>
                <w:rFonts w:eastAsia="Calibri"/>
                <w:color w:val="000000"/>
                <w:sz w:val="16"/>
                <w:szCs w:val="16"/>
                <w:lang w:val="en-GB" w:eastAsia="fi-FI"/>
              </w:rPr>
            </w:pPr>
            <w:r w:rsidRPr="000D70CC">
              <w:rPr>
                <w:rFonts w:eastAsia="Calibri"/>
                <w:color w:val="000000"/>
                <w:sz w:val="16"/>
                <w:szCs w:val="16"/>
                <w:lang w:val="en-GB" w:eastAsia="fi-FI"/>
              </w:rPr>
              <w:t>IF = Inflation factor</w:t>
            </w:r>
          </w:p>
        </w:tc>
      </w:tr>
      <w:tr w:rsidR="00CD7887" w:rsidRPr="000A2DBE" w14:paraId="0BDA86E8" w14:textId="77777777" w:rsidTr="000D70CC">
        <w:tc>
          <w:tcPr>
            <w:tcW w:w="2336" w:type="dxa"/>
          </w:tcPr>
          <w:p w14:paraId="4FF0CFD3" w14:textId="77777777" w:rsidR="00CD7887" w:rsidRPr="000D70CC" w:rsidRDefault="00CD7887" w:rsidP="000D70CC">
            <w:pPr>
              <w:rPr>
                <w:rFonts w:eastAsia="Calibri"/>
                <w:b/>
                <w:bCs/>
                <w:color w:val="000000"/>
                <w:sz w:val="16"/>
                <w:szCs w:val="16"/>
                <w:lang w:val="en-GB" w:eastAsia="fi-FI"/>
              </w:rPr>
            </w:pPr>
            <w:r w:rsidRPr="000D70CC">
              <w:rPr>
                <w:rFonts w:eastAsia="Calibri"/>
                <w:b/>
                <w:bCs/>
                <w:color w:val="000000"/>
                <w:sz w:val="16"/>
                <w:szCs w:val="16"/>
                <w:lang w:val="en-GB" w:eastAsia="fi-FI"/>
              </w:rPr>
              <w:t>Definition of producer price.</w:t>
            </w:r>
          </w:p>
        </w:tc>
        <w:tc>
          <w:tcPr>
            <w:tcW w:w="3345" w:type="dxa"/>
          </w:tcPr>
          <w:p w14:paraId="6461C2B8" w14:textId="77777777" w:rsidR="00CD7887" w:rsidRPr="000D70CC" w:rsidRDefault="003B602A" w:rsidP="000D70CC">
            <w:pPr>
              <w:jc w:val="both"/>
              <w:rPr>
                <w:rFonts w:eastAsia="Calibri"/>
                <w:color w:val="000000"/>
                <w:sz w:val="16"/>
                <w:szCs w:val="16"/>
                <w:lang w:val="en-GB" w:eastAsia="fi-FI"/>
              </w:rPr>
            </w:pPr>
            <w:r>
              <w:rPr>
                <w:rFonts w:ascii="Calibri" w:eastAsia="Calibri" w:hAnsi="Calibri"/>
                <w:color w:val="000000"/>
                <w:sz w:val="22"/>
                <w:szCs w:val="22"/>
              </w:rPr>
              <w:pict w14:anchorId="63235A77">
                <v:shape id="_x0000_i1029" type="#_x0000_t75" style="width:89.7pt;height:9.9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20&quot;/&gt;&lt;w:stylePaneFormatFilter w:val=&quot;3F01&quot;/&gt;&lt;w:defaultTabStop w:val=&quot;720&quot;/&gt;&lt;w:displayHorizontalDrawingGridEvery w:val=&quot;0&quot;/&gt;&lt;w:displayVerticalDrawingGridEvery w:val=&quot;0&quot;/&gt;&lt;w:useMarginsForDrawingGridOrigin/&gt;&lt;w:characterSpacingControl w:val=&quot;DontCompress&quot;/&gt;&lt;w:optimizeForBrowser/&gt;&lt;w:targetScreenSz w:val=&quot;800x600&quot;/&gt;&lt;w:validateAgainstSchema/&gt;&lt;w:saveInvalidXML w:val=&quot;off&quot;/&gt;&lt;w:ignoreMixedContent w:val=&quot;off&quot;/&gt;&lt;w:alwaysShowPlaceholderText w:val=&quot;off&quot;/&gt;&lt;w:compat&gt;&lt;w:footnoteLayoutLikeWW8/&gt;&lt;w:shapeLayoutLikeWW8/&gt;&lt;w:alignTablesRowByRow/&gt;&lt;w:forgetLastTabAlignment/&gt;&lt;w:doNotUseHTMLParagraphAutoSpacing/&gt;&lt;w:layoutRawTableWidth/&gt;&lt;w:layoutTableRowsApart/&gt;&lt;w:useWord97LineBreakingRules/&gt;&lt;w:dontAllowFieldEndSelect/&gt;&lt;w:useWord2002TableStyleRules/&gt;&lt;w:useFELayout/&gt;&lt;/w:compat&gt;&lt;wsp:rsids&gt;&lt;wsp:rsidRoot wsp:val=&quot;00FC3678&quot;/&gt;&lt;wsp:rsid wsp:val=&quot;00013D1E&quot;/&gt;&lt;wsp:rsid wsp:val=&quot;00026AC0&quot;/&gt;&lt;wsp:rsid wsp:val=&quot;0005253F&quot;/&gt;&lt;wsp:rsid wsp:val=&quot;000C1B25&quot;/&gt;&lt;wsp:rsid wsp:val=&quot;000E1EDA&quot;/&gt;&lt;wsp:rsid wsp:val=&quot;00127752&quot;/&gt;&lt;wsp:rsid wsp:val=&quot;00140520&quot;/&gt;&lt;wsp:rsid wsp:val=&quot;00151F63&quot;/&gt;&lt;wsp:rsid wsp:val=&quot;00164C58&quot;/&gt;&lt;wsp:rsid wsp:val=&quot;00177180&quot;/&gt;&lt;wsp:rsid wsp:val=&quot;001B0CD6&quot;/&gt;&lt;wsp:rsid wsp:val=&quot;001E2393&quot;/&gt;&lt;wsp:rsid wsp:val=&quot;00210627&quot;/&gt;&lt;wsp:rsid wsp:val=&quot;00244AEE&quot;/&gt;&lt;wsp:rsid wsp:val=&quot;0026556F&quot;/&gt;&lt;wsp:rsid wsp:val=&quot;00281931&quot;/&gt;&lt;wsp:rsid wsp:val=&quot;00296293&quot;/&gt;&lt;wsp:rsid wsp:val=&quot;002B5979&quot;/&gt;&lt;wsp:rsid wsp:val=&quot;002D46CC&quot;/&gt;&lt;wsp:rsid wsp:val=&quot;00305A60&quot;/&gt;&lt;wsp:rsid wsp:val=&quot;00312C21&quot;/&gt;&lt;wsp:rsid wsp:val=&quot;003328E4&quot;/&gt;&lt;wsp:rsid wsp:val=&quot;00355DDD&quot;/&gt;&lt;wsp:rsid wsp:val=&quot;00392495&quot;/&gt;&lt;wsp:rsid wsp:val=&quot;003C1639&quot;/&gt;&lt;wsp:rsid wsp:val=&quot;00405228&quot;/&gt;&lt;wsp:rsid wsp:val=&quot;0043029D&quot;/&gt;&lt;wsp:rsid wsp:val=&quot;00437604&quot;/&gt;&lt;wsp:rsid wsp:val=&quot;00470259&quot;/&gt;&lt;wsp:rsid wsp:val=&quot;004F406C&quot;/&gt;&lt;wsp:rsid wsp:val=&quot;005041EC&quot;/&gt;&lt;wsp:rsid wsp:val=&quot;005053C2&quot;/&gt;&lt;wsp:rsid wsp:val=&quot;00516DD8&quot;/&gt;&lt;wsp:rsid wsp:val=&quot;005212CA&quot;/&gt;&lt;wsp:rsid wsp:val=&quot;005342AF&quot;/&gt;&lt;wsp:rsid wsp:val=&quot;00541604&quot;/&gt;&lt;wsp:rsid wsp:val=&quot;005537D1&quot;/&gt;&lt;wsp:rsid wsp:val=&quot;00575E0A&quot;/&gt;&lt;wsp:rsid wsp:val=&quot;00637D84&quot;/&gt;&lt;wsp:rsid wsp:val=&quot;0067182A&quot;/&gt;&lt;wsp:rsid wsp:val=&quot;00694D2D&quot;/&gt;&lt;wsp:rsid wsp:val=&quot;006E2334&quot;/&gt;&lt;wsp:rsid wsp:val=&quot;00792F07&quot;/&gt;&lt;wsp:rsid wsp:val=&quot;007A518D&quot;/&gt;&lt;wsp:rsid wsp:val=&quot;007F4644&quot;/&gt;&lt;wsp:rsid wsp:val=&quot;007F7B33&quot;/&gt;&lt;wsp:rsid wsp:val=&quot;00861C5D&quot;/&gt;&lt;wsp:rsid wsp:val=&quot;008929D7&quot;/&gt;&lt;wsp:rsid wsp:val=&quot;008A2B05&quot;/&gt;&lt;wsp:rsid wsp:val=&quot;008B1F6A&quot;/&gt;&lt;wsp:rsid wsp:val=&quot;008E0C5F&quot;/&gt;&lt;wsp:rsid wsp:val=&quot;008F3AD9&quot;/&gt;&lt;wsp:rsid wsp:val=&quot;00925C6A&quot;/&gt;&lt;wsp:rsid wsp:val=&quot;00957CB3&quot;/&gt;&lt;wsp:rsid wsp:val=&quot;009618A6&quot;/&gt;&lt;wsp:rsid wsp:val=&quot;009A31CE&quot;/&gt;&lt;wsp:rsid wsp:val=&quot;009B445B&quot;/&gt;&lt;wsp:rsid wsp:val=&quot;009D7C33&quot;/&gt;&lt;wsp:rsid wsp:val=&quot;009F5CBF&quot;/&gt;&lt;wsp:rsid wsp:val=&quot;00A0155D&quot;/&gt;&lt;wsp:rsid wsp:val=&quot;00A91307&quot;/&gt;&lt;wsp:rsid wsp:val=&quot;00AB3506&quot;/&gt;&lt;wsp:rsid wsp:val=&quot;00AD12A1&quot;/&gt;&lt;wsp:rsid wsp:val=&quot;00B7251F&quot;/&gt;&lt;wsp:rsid wsp:val=&quot;00B82850&quot;/&gt;&lt;wsp:rsid wsp:val=&quot;00BB6867&quot;/&gt;&lt;wsp:rsid wsp:val=&quot;00BC4005&quot;/&gt;&lt;wsp:rsid wsp:val=&quot;00BD34DF&quot;/&gt;&lt;wsp:rsid wsp:val=&quot;00C03D2D&quot;/&gt;&lt;wsp:rsid wsp:val=&quot;00C22841&quot;/&gt;&lt;wsp:rsid wsp:val=&quot;00C5219B&quot;/&gt;&lt;wsp:rsid wsp:val=&quot;00C646B1&quot;/&gt;&lt;wsp:rsid wsp:val=&quot;00C90CAF&quot;/&gt;&lt;wsp:rsid wsp:val=&quot;00C97586&quot;/&gt;&lt;wsp:rsid wsp:val=&quot;00CA6730&quot;/&gt;&lt;wsp:rsid wsp:val=&quot;00CB71D6&quot;/&gt;&lt;wsp:rsid wsp:val=&quot;00CD7887&quot;/&gt;&lt;wsp:rsid wsp:val=&quot;00CE02CB&quot;/&gt;&lt;wsp:rsid wsp:val=&quot;00D66026&quot;/&gt;&lt;wsp:rsid wsp:val=&quot;00D661C5&quot;/&gt;&lt;wsp:rsid wsp:val=&quot;00D75942&quot;/&gt;&lt;wsp:rsid wsp:val=&quot;00DB45F4&quot;/&gt;&lt;wsp:rsid wsp:val=&quot;00EF3966&quot;/&gt;&lt;wsp:rsid wsp:val=&quot;00F106E6&quot;/&gt;&lt;wsp:rsid wsp:val=&quot;00F6584F&quot;/&gt;&lt;wsp:rsid wsp:val=&quot;00F8636A&quot;/&gt;&lt;wsp:rsid wsp:val=&quot;00FC3678&quot;/&gt;&lt;wsp:rsid wsp:val=&quot;00FD061F&quot;/&gt;&lt;/wsp:rsids&gt;&lt;/w:docPr&gt;&lt;w:body&gt;&lt;wx:sect&gt;&lt;w:p wsp:rsidR=&quot;00C5219B&quot; wsp:rsidRPr=&quot;00C5219B&quot; wsp:rsidRDefault=&quot;00C5219B&quot; wsp:rsidP=&quot;00C5219B&quot;&gt;&lt;m:oMathPara&gt;&lt;m:oMathParaPr&gt;&lt;m:jc m:val=&quot;left&quot;/&gt;&lt;/m:oMathParaPr&gt;&lt;m:oMath&gt;&lt;m:r&gt;&lt;m:rPr&gt;&lt;m:sty m:val=&quot;bi&quot;/&gt;&lt;/m:rPr&gt;&lt;w:rPr&gt;&lt;w:rFonts w:ascii=&quot;Cambria Math&quot; w:h-ansi=&quot;Cambria Math&quot;/&gt;&lt;wx:font wx:val=&quot;Cambria Math&quot;/&gt;&lt;w:b/&gt;&lt;w:b-cs/&gt;&lt;w:i/&gt;&lt;w:sz w:val=&quot;16&quot;/&gt;&lt;w:sz-cs w:val=&quot;16&quot;/&gt;&lt;w:lang w:val=&quot;EN-GB&quot; w:fareast=&quot;FI&quot;/&gt;&lt;/w:rPr&gt;&lt;m:t&gt;PRP&lt;/m:t&gt;&lt;/m:r&gt;&lt;m:r&gt;&lt;w:rPr&gt;&lt;w:rFonts w:ascii=&quot;Cambria Math&quot; w:h-ansi=&quot;Cambria Math&quot;/&gt;&lt;wx:font wx:val=&quot;Cambria Math&quot;/&gt;&lt;w:i/&gt;&lt;w:sz w:val=&quot;16&quot;/&gt;&lt;w:sz-cs w:val=&quot;16&quot;/&gt;&lt;w:lang w:val=&quot;EN-GB&quot; w:fareast=&quot;FI&quot;/&gt;&lt;/w:rPr&gt;&lt;m:t&gt;=&lt;/m:t&gt;&lt;/m:r&gt;&lt;m:r&gt;&lt;m:rPr&gt;&lt;m:sty m:val=&quot;bi&quot;/&gt;&lt;/m:rPr&gt;&lt;w:rPr&gt;&lt;w:rFonts w:ascii=&quot;Cambria Math&quot; w:h-ansi=&quot;Cambria Math&quot;/&gt;&lt;wx:font wx:val=&quot;Cambria Math&quot;/&gt;&lt;w:b/&gt;&lt;w:b-cs/&gt;&lt;w:i/&gt;&lt;w:sz w:val=&quot;16&quot;/&gt;&lt;w:sz-cs w:val=&quot;16&quot;/&gt;&lt;w:lang w:val=&quot;EN-GB&quot; w:fareast=&quot;FI&quot;/&gt;&lt;/w:rPr&gt;&lt;m:t&gt;BP&lt;/m:t&gt;&lt;/m:r&gt;&lt;m:r&gt;&lt;w:rPr&gt;&lt;w:rFonts w:ascii=&quot;Cambria Math&quot; w:h-ansi=&quot;Cambria Math&quot;/&gt;&lt;wx:font wx:val=&quot;Cambria Math&quot;/&gt;&lt;w:i/&gt;&lt;w:sz w:val=&quot;16&quot;/&gt;&lt;w:sz-cs w:val=&quot;16&quot;/&gt;&lt;w:lang w:val=&quot;EN-GB&quot; w:fareast=&quot;FI&quot;/&gt;&lt;/w:rPr&gt;&lt;m:t&gt;+&lt;/m:t&gt;&lt;/m:r&gt;&lt;m:r&gt;&lt;m:rPr&gt;&lt;m:sty m:val=&quot;bi&quot;/&gt;&lt;/m:rPr&gt;&lt;w:rPr&gt;&lt;w:rFonts w:ascii=&quot;Cambria Math&quot; w:h-ansi=&quot;Cambria Math&quot;/&gt;&lt;wx:font wx:val=&quot;Cambria Math&quot;/&gt;&lt;w:b/&gt;&lt;w:b-cs/&gt;&lt;w:i/&gt;&lt;w:sz w:val=&quot;16&quot;/&gt;&lt;w:sz-cs w:val=&quot;16&quot;/&gt;&lt;w:lang w:val=&quot;EN-GB&quot; w:fareast=&quot;FI&quot;/&gt;&lt;/w:rPr&gt;&lt;m:t&gt;TAX&lt;/m:t&gt;&lt;/m:r&gt;&lt;m:r&gt;&lt;w:rPr&gt;&lt;w:rFonts w:ascii=&quot;Cambria Math&quot; w:h-ansi=&quot;Cambria Math&quot;/&gt;&lt;wx:font wx:val=&quot;Cambria Math&quot;/&gt;&lt;w:i/&gt;&lt;w:sz w:val=&quot;16&quot;/&gt;&lt;w:sz-cs w:val=&quot;16&quot;/&gt;&lt;w:lang w:val=&quot;EN-GB&quot; w:fareast=&quot;FI&quot;/&gt;&lt;/w:rPr&gt;&lt;m:t&gt;-&lt;/m:t&gt;&lt;/m:r&gt;&lt;m:r&gt;&lt;m:rPr&gt;&lt;m:sty m:val=&quot;bi&quot;/&gt;&lt;/m:rPr&gt;&lt;w:rPr&gt;&lt;w:rFonts w:ascii=&quot;Cambria Math&quot; w:h-ansi=&quot;Cambria Math&quot;/&gt;&lt;wx:font wx:val=&quot;Cambria Math&quot;/&gt;&lt;w:b/&gt;&lt;w:b-cs/&gt;&lt;w:i/&gt;&lt;w:sz w:val=&quot;16&quot;/&gt;&lt;w:sz-cs w:val=&quot;16&quot;/&gt;&lt;w:lang w:val=&quot;EN-GB&quot; w:fareast=&quot;FI&quot;/&gt;&lt;/w:rPr&gt;&lt;m:t&gt;SUB&lt;/m:t&gt;&lt;/m:r&gt;&lt;/m:oMath&gt;&lt;/m:oMathPara&gt;&lt;/w:p&gt;&lt;w:sectPr wsp:rsidR=&quot;00000000&quot; wsp:rsidRPr=&quot;00C5219B&quot;&gt;&lt;w:pgSz w:w=&quot;12240&quot; w:h=&quot;15840&quot;/&gt;&lt;w:pgMar w:top=&quot;1440&quot; w:right=&quot;1440&quot; w:bottom=&quot;1440&quot; w:left=&quot;1440&quot; w:header=&quot;708&quot; w:footer=&quot;708&quot; w:gutter=&quot;0&quot;/&gt;&lt;w:cols w:space=&quot;708&quot;/&gt;&lt;/w:sectPr&gt;&lt;/wx:sect&gt;&lt;/w:body&gt;&lt;/w:wordDocument&gt;">
                  <v:imagedata r:id="rId15" o:title="" chromakey="white"/>
                </v:shape>
              </w:pict>
            </w:r>
          </w:p>
          <w:p w14:paraId="1577EA5B" w14:textId="77777777" w:rsidR="00CD7887" w:rsidRPr="000D70CC" w:rsidRDefault="00CD7887" w:rsidP="000D70CC">
            <w:pPr>
              <w:jc w:val="both"/>
              <w:rPr>
                <w:rFonts w:eastAsia="Calibri"/>
                <w:color w:val="000000"/>
                <w:sz w:val="16"/>
                <w:szCs w:val="16"/>
                <w:lang w:val="en-GB" w:eastAsia="fi-FI"/>
              </w:rPr>
            </w:pPr>
          </w:p>
        </w:tc>
        <w:tc>
          <w:tcPr>
            <w:tcW w:w="3345" w:type="dxa"/>
          </w:tcPr>
          <w:p w14:paraId="346672E9" w14:textId="77777777" w:rsidR="00CD7887" w:rsidRPr="000D70CC" w:rsidRDefault="00CD7887" w:rsidP="000D70CC">
            <w:pPr>
              <w:jc w:val="both"/>
              <w:rPr>
                <w:rFonts w:eastAsia="Calibri"/>
                <w:color w:val="000000"/>
                <w:sz w:val="16"/>
                <w:szCs w:val="16"/>
                <w:lang w:val="en-GB" w:eastAsia="fi-FI"/>
              </w:rPr>
            </w:pPr>
            <w:r w:rsidRPr="000D70CC">
              <w:rPr>
                <w:rFonts w:eastAsia="Calibri"/>
                <w:color w:val="000000"/>
                <w:sz w:val="16"/>
                <w:szCs w:val="16"/>
                <w:lang w:val="en-GB" w:eastAsia="fi-FI"/>
              </w:rPr>
              <w:t>PRP = Producer price</w:t>
            </w:r>
          </w:p>
          <w:p w14:paraId="595323EB" w14:textId="77777777" w:rsidR="00CD7887" w:rsidRPr="000D70CC" w:rsidRDefault="00CD7887" w:rsidP="000D70CC">
            <w:pPr>
              <w:jc w:val="both"/>
              <w:rPr>
                <w:rFonts w:eastAsia="Calibri"/>
                <w:color w:val="000000"/>
                <w:sz w:val="16"/>
                <w:szCs w:val="16"/>
                <w:lang w:val="en-GB" w:eastAsia="fi-FI"/>
              </w:rPr>
            </w:pPr>
            <w:r w:rsidRPr="000D70CC">
              <w:rPr>
                <w:rFonts w:eastAsia="Calibri"/>
                <w:color w:val="000000"/>
                <w:sz w:val="16"/>
                <w:szCs w:val="16"/>
                <w:lang w:val="en-GB" w:eastAsia="fi-FI"/>
              </w:rPr>
              <w:t>BP = Basic price</w:t>
            </w:r>
          </w:p>
          <w:p w14:paraId="6595CEF4" w14:textId="77777777" w:rsidR="00CD7887" w:rsidRPr="000D70CC" w:rsidRDefault="00CD7887" w:rsidP="000D70CC">
            <w:pPr>
              <w:jc w:val="both"/>
              <w:rPr>
                <w:rFonts w:eastAsia="Calibri"/>
                <w:color w:val="000000"/>
                <w:sz w:val="16"/>
                <w:szCs w:val="16"/>
                <w:lang w:val="en-GB" w:eastAsia="fi-FI"/>
              </w:rPr>
            </w:pPr>
            <w:r w:rsidRPr="000D70CC">
              <w:rPr>
                <w:rFonts w:eastAsia="Calibri"/>
                <w:color w:val="000000"/>
                <w:sz w:val="16"/>
                <w:szCs w:val="16"/>
                <w:lang w:val="en-GB" w:eastAsia="fi-FI"/>
              </w:rPr>
              <w:t>TAX = Taxes on products excluding invoiced VAT</w:t>
            </w:r>
          </w:p>
          <w:p w14:paraId="3F3145A6" w14:textId="77777777" w:rsidR="00CD7887" w:rsidRPr="000D70CC" w:rsidRDefault="00CD7887" w:rsidP="000D70CC">
            <w:pPr>
              <w:jc w:val="both"/>
              <w:rPr>
                <w:rFonts w:eastAsia="Calibri"/>
                <w:color w:val="000000"/>
                <w:sz w:val="16"/>
                <w:szCs w:val="16"/>
                <w:lang w:val="en-GB" w:eastAsia="fi-FI"/>
              </w:rPr>
            </w:pPr>
            <w:r w:rsidRPr="000D70CC">
              <w:rPr>
                <w:rFonts w:eastAsia="Calibri"/>
                <w:color w:val="000000"/>
                <w:sz w:val="16"/>
                <w:szCs w:val="16"/>
                <w:lang w:val="en-GB" w:eastAsia="fi-FI"/>
              </w:rPr>
              <w:t>SUB = Subsidies on products</w:t>
            </w:r>
          </w:p>
          <w:p w14:paraId="6049D76E" w14:textId="77777777" w:rsidR="00CD7887" w:rsidRPr="000D70CC" w:rsidRDefault="00CD7887" w:rsidP="000D70CC">
            <w:pPr>
              <w:jc w:val="both"/>
              <w:rPr>
                <w:rFonts w:eastAsia="Calibri"/>
                <w:color w:val="000000"/>
                <w:sz w:val="16"/>
                <w:szCs w:val="16"/>
                <w:lang w:val="en-GB" w:eastAsia="fi-FI"/>
              </w:rPr>
            </w:pPr>
          </w:p>
        </w:tc>
      </w:tr>
      <w:tr w:rsidR="00CD7887" w:rsidRPr="000A2DBE" w14:paraId="4EEA7BB5" w14:textId="77777777" w:rsidTr="000D70CC">
        <w:tc>
          <w:tcPr>
            <w:tcW w:w="2336" w:type="dxa"/>
          </w:tcPr>
          <w:p w14:paraId="597633FE" w14:textId="77777777" w:rsidR="00CD7887" w:rsidRPr="000D70CC" w:rsidRDefault="00CD7887" w:rsidP="000D70CC">
            <w:pPr>
              <w:rPr>
                <w:rFonts w:eastAsia="Calibri"/>
                <w:b/>
                <w:bCs/>
                <w:color w:val="000000"/>
                <w:sz w:val="16"/>
                <w:szCs w:val="16"/>
                <w:lang w:val="en-GB" w:eastAsia="fi-FI"/>
              </w:rPr>
            </w:pPr>
            <w:r w:rsidRPr="000D70CC">
              <w:rPr>
                <w:rFonts w:eastAsia="Calibri"/>
                <w:b/>
                <w:bCs/>
                <w:color w:val="000000"/>
                <w:sz w:val="16"/>
                <w:szCs w:val="16"/>
                <w:lang w:val="en-GB" w:eastAsia="fi-FI"/>
              </w:rPr>
              <w:t>Definition of purchaser price.</w:t>
            </w:r>
          </w:p>
        </w:tc>
        <w:tc>
          <w:tcPr>
            <w:tcW w:w="3345" w:type="dxa"/>
          </w:tcPr>
          <w:p w14:paraId="26B57C94" w14:textId="77777777" w:rsidR="00CD7887" w:rsidRPr="000D70CC" w:rsidRDefault="003B602A" w:rsidP="000D70CC">
            <w:pPr>
              <w:jc w:val="both"/>
              <w:rPr>
                <w:rFonts w:eastAsia="Calibri"/>
                <w:color w:val="000000"/>
                <w:sz w:val="16"/>
                <w:szCs w:val="16"/>
                <w:lang w:val="en-GB" w:eastAsia="fi-FI"/>
              </w:rPr>
            </w:pPr>
            <w:r>
              <w:rPr>
                <w:rFonts w:ascii="Calibri" w:eastAsia="Calibri" w:hAnsi="Calibri"/>
                <w:color w:val="000000"/>
                <w:sz w:val="22"/>
                <w:szCs w:val="22"/>
              </w:rPr>
              <w:pict w14:anchorId="2D0190E4">
                <v:shape id="_x0000_i1030" type="#_x0000_t75" style="width:95.25pt;height:9.9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20&quot;/&gt;&lt;w:stylePaneFormatFilter w:val=&quot;3F01&quot;/&gt;&lt;w:defaultTabStop w:val=&quot;720&quot;/&gt;&lt;w:displayHorizontalDrawingGridEvery w:val=&quot;0&quot;/&gt;&lt;w:displayVerticalDrawingGridEvery w:val=&quot;0&quot;/&gt;&lt;w:useMarginsForDrawingGridOrigin/&gt;&lt;w:characterSpacingControl w:val=&quot;DontCompress&quot;/&gt;&lt;w:optimizeForBrowser/&gt;&lt;w:targetScreenSz w:val=&quot;800x600&quot;/&gt;&lt;w:validateAgainstSchema/&gt;&lt;w:saveInvalidXML w:val=&quot;off&quot;/&gt;&lt;w:ignoreMixedContent w:val=&quot;off&quot;/&gt;&lt;w:alwaysShowPlaceholderText w:val=&quot;off&quot;/&gt;&lt;w:compat&gt;&lt;w:footnoteLayoutLikeWW8/&gt;&lt;w:shapeLayoutLikeWW8/&gt;&lt;w:alignTablesRowByRow/&gt;&lt;w:forgetLastTabAlignment/&gt;&lt;w:doNotUseHTMLParagraphAutoSpacing/&gt;&lt;w:layoutRawTableWidth/&gt;&lt;w:layoutTableRowsApart/&gt;&lt;w:useWord97LineBreakingRules/&gt;&lt;w:dontAllowFieldEndSelect/&gt;&lt;w:useWord2002TableStyleRules/&gt;&lt;w:useFELayout/&gt;&lt;/w:compat&gt;&lt;wsp:rsids&gt;&lt;wsp:rsidRoot wsp:val=&quot;00FC3678&quot;/&gt;&lt;wsp:rsid wsp:val=&quot;00013D1E&quot;/&gt;&lt;wsp:rsid wsp:val=&quot;00026AC0&quot;/&gt;&lt;wsp:rsid wsp:val=&quot;0005253F&quot;/&gt;&lt;wsp:rsid wsp:val=&quot;000C1B25&quot;/&gt;&lt;wsp:rsid wsp:val=&quot;000E1EDA&quot;/&gt;&lt;wsp:rsid wsp:val=&quot;00127752&quot;/&gt;&lt;wsp:rsid wsp:val=&quot;00140520&quot;/&gt;&lt;wsp:rsid wsp:val=&quot;00151F63&quot;/&gt;&lt;wsp:rsid wsp:val=&quot;00164C58&quot;/&gt;&lt;wsp:rsid wsp:val=&quot;00177180&quot;/&gt;&lt;wsp:rsid wsp:val=&quot;001B0CD6&quot;/&gt;&lt;wsp:rsid wsp:val=&quot;001E2393&quot;/&gt;&lt;wsp:rsid wsp:val=&quot;00210627&quot;/&gt;&lt;wsp:rsid wsp:val=&quot;00244AEE&quot;/&gt;&lt;wsp:rsid wsp:val=&quot;0026556F&quot;/&gt;&lt;wsp:rsid wsp:val=&quot;00281931&quot;/&gt;&lt;wsp:rsid wsp:val=&quot;00296293&quot;/&gt;&lt;wsp:rsid wsp:val=&quot;002B5979&quot;/&gt;&lt;wsp:rsid wsp:val=&quot;002D46CC&quot;/&gt;&lt;wsp:rsid wsp:val=&quot;00305A60&quot;/&gt;&lt;wsp:rsid wsp:val=&quot;00312C21&quot;/&gt;&lt;wsp:rsid wsp:val=&quot;003328E4&quot;/&gt;&lt;wsp:rsid wsp:val=&quot;00355DDD&quot;/&gt;&lt;wsp:rsid wsp:val=&quot;00392495&quot;/&gt;&lt;wsp:rsid wsp:val=&quot;003C1639&quot;/&gt;&lt;wsp:rsid wsp:val=&quot;00405228&quot;/&gt;&lt;wsp:rsid wsp:val=&quot;0043029D&quot;/&gt;&lt;wsp:rsid wsp:val=&quot;00437604&quot;/&gt;&lt;wsp:rsid wsp:val=&quot;00470259&quot;/&gt;&lt;wsp:rsid wsp:val=&quot;0047771F&quot;/&gt;&lt;wsp:rsid wsp:val=&quot;004F406C&quot;/&gt;&lt;wsp:rsid wsp:val=&quot;005041EC&quot;/&gt;&lt;wsp:rsid wsp:val=&quot;005053C2&quot;/&gt;&lt;wsp:rsid wsp:val=&quot;00516DD8&quot;/&gt;&lt;wsp:rsid wsp:val=&quot;005212CA&quot;/&gt;&lt;wsp:rsid wsp:val=&quot;005342AF&quot;/&gt;&lt;wsp:rsid wsp:val=&quot;00541604&quot;/&gt;&lt;wsp:rsid wsp:val=&quot;005537D1&quot;/&gt;&lt;wsp:rsid wsp:val=&quot;00575E0A&quot;/&gt;&lt;wsp:rsid wsp:val=&quot;00637D84&quot;/&gt;&lt;wsp:rsid wsp:val=&quot;0067182A&quot;/&gt;&lt;wsp:rsid wsp:val=&quot;00694D2D&quot;/&gt;&lt;wsp:rsid wsp:val=&quot;006E2334&quot;/&gt;&lt;wsp:rsid wsp:val=&quot;00792F07&quot;/&gt;&lt;wsp:rsid wsp:val=&quot;007A518D&quot;/&gt;&lt;wsp:rsid wsp:val=&quot;007F4644&quot;/&gt;&lt;wsp:rsid wsp:val=&quot;007F7B33&quot;/&gt;&lt;wsp:rsid wsp:val=&quot;00861C5D&quot;/&gt;&lt;wsp:rsid wsp:val=&quot;008929D7&quot;/&gt;&lt;wsp:rsid wsp:val=&quot;008A2B05&quot;/&gt;&lt;wsp:rsid wsp:val=&quot;008B1F6A&quot;/&gt;&lt;wsp:rsid wsp:val=&quot;008E0C5F&quot;/&gt;&lt;wsp:rsid wsp:val=&quot;008F3AD9&quot;/&gt;&lt;wsp:rsid wsp:val=&quot;00925C6A&quot;/&gt;&lt;wsp:rsid wsp:val=&quot;00957CB3&quot;/&gt;&lt;wsp:rsid wsp:val=&quot;009618A6&quot;/&gt;&lt;wsp:rsid wsp:val=&quot;009A31CE&quot;/&gt;&lt;wsp:rsid wsp:val=&quot;009B445B&quot;/&gt;&lt;wsp:rsid wsp:val=&quot;009D7C33&quot;/&gt;&lt;wsp:rsid wsp:val=&quot;009F5CBF&quot;/&gt;&lt;wsp:rsid wsp:val=&quot;00A0155D&quot;/&gt;&lt;wsp:rsid wsp:val=&quot;00A91307&quot;/&gt;&lt;wsp:rsid wsp:val=&quot;00AB3506&quot;/&gt;&lt;wsp:rsid wsp:val=&quot;00AD12A1&quot;/&gt;&lt;wsp:rsid wsp:val=&quot;00B7251F&quot;/&gt;&lt;wsp:rsid wsp:val=&quot;00B82850&quot;/&gt;&lt;wsp:rsid wsp:val=&quot;00BB6867&quot;/&gt;&lt;wsp:rsid wsp:val=&quot;00BC4005&quot;/&gt;&lt;wsp:rsid wsp:val=&quot;00BD34DF&quot;/&gt;&lt;wsp:rsid wsp:val=&quot;00C03D2D&quot;/&gt;&lt;wsp:rsid wsp:val=&quot;00C22841&quot;/&gt;&lt;wsp:rsid wsp:val=&quot;00C646B1&quot;/&gt;&lt;wsp:rsid wsp:val=&quot;00C90CAF&quot;/&gt;&lt;wsp:rsid wsp:val=&quot;00C97586&quot;/&gt;&lt;wsp:rsid wsp:val=&quot;00CA6730&quot;/&gt;&lt;wsp:rsid wsp:val=&quot;00CB71D6&quot;/&gt;&lt;wsp:rsid wsp:val=&quot;00CD7887&quot;/&gt;&lt;wsp:rsid wsp:val=&quot;00CE02CB&quot;/&gt;&lt;wsp:rsid wsp:val=&quot;00D66026&quot;/&gt;&lt;wsp:rsid wsp:val=&quot;00D661C5&quot;/&gt;&lt;wsp:rsid wsp:val=&quot;00D75942&quot;/&gt;&lt;wsp:rsid wsp:val=&quot;00DB45F4&quot;/&gt;&lt;wsp:rsid wsp:val=&quot;00EF3966&quot;/&gt;&lt;wsp:rsid wsp:val=&quot;00F106E6&quot;/&gt;&lt;wsp:rsid wsp:val=&quot;00F6584F&quot;/&gt;&lt;wsp:rsid wsp:val=&quot;00F8636A&quot;/&gt;&lt;wsp:rsid wsp:val=&quot;00FC3678&quot;/&gt;&lt;wsp:rsid wsp:val=&quot;00FD061F&quot;/&gt;&lt;/wsp:rsids&gt;&lt;/w:docPr&gt;&lt;w:body&gt;&lt;wx:sect&gt;&lt;w:p wsp:rsidR=&quot;0047771F&quot; wsp:rsidRPr=&quot;0047771F&quot; wsp:rsidRDefault=&quot;0047771F&quot; wsp:rsidP=&quot;0047771F&quot;&gt;&lt;m:oMathPara&gt;&lt;m:oMathParaPr&gt;&lt;m:jc m:val=&quot;left&quot;/&gt;&lt;/m:oMathParaPr&gt;&lt;m:oMath&gt;&lt;m:r&gt;&lt;m:rPr&gt;&lt;m:sty m:val=&quot;bi&quot;/&gt;&lt;/m:rPr&gt;&lt;w:rPr&gt;&lt;w:rFonts w:ascii=&quot;Cambria Math&quot; w:h-ansi=&quot;Cambria Math&quot;/&gt;&lt;wx:font wx:val=&quot;Cambria Math&quot;/&gt;&lt;w:b/&gt;&lt;w:b-cs/&gt;&lt;w:i/&gt;&lt;w:sz w:val=&quot;16&quot;/&gt;&lt;w:sz-cs w:val=&quot;16&quot;/&gt;&lt;w:lang w:val=&quot;EN-GB&quot; w:fareast=&quot;FI&quot;/&gt;&lt;/w:rPr&gt;&lt;m:t&gt;PUP&lt;/m:t&gt;&lt;/m:r&gt;&lt;m:r&gt;&lt;w:rPr&gt;&lt;w:rFonts w:ascii=&quot;Cambria Math&quot; w:h-ansi=&quot;Cambria Math&quot;/&gt;&lt;wx:font wx:val=&quot;Cambria Math&quot;/&gt;&lt;w:i/&gt;&lt;w:sz w:val=&quot;16&quot;/&gt;&lt;w:sz-cs w:val=&quot;16&quot;/&gt;&lt;w:lang w:val=&quot;EN-GB&quot; w:fareast=&quot;FI&quot;/&gt;&lt;/w:rPr&gt;&lt;m:t&gt;=&lt;/m:t&gt;&lt;/m:r&gt;&lt;m:r&gt;&lt;m:rPr&gt;&lt;m:sty m:val=&quot;bi&quot;/&gt;&lt;/m:rPr&gt;&lt;w:rPr&gt;&lt;w:rFonts w:ascii=&quot;Cambria Math&quot; w:h-ansi=&quot;Cambria Math&quot;/&gt;&lt;wx:font wx:val=&quot;Cambria Math&quot;/&gt;&lt;w:b/&gt;&lt;w:b-cs/&gt;&lt;w:i/&gt;&lt;w:sz w:val=&quot;16&quot;/&gt;&lt;w:sz-cs w:val=&quot;16&quot;/&gt;&lt;w:lang w:val=&quot;EN-GB&quot; w:fareast=&quot;FI&quot;/&gt;&lt;/w:rPr&gt;&lt;m:t&gt;PRP&lt;/m:t&gt;&lt;/m:r&gt;&lt;m:r&gt;&lt;w:rPr&gt;&lt;w:rFonts w:ascii=&quot;Cambria Math&quot; w:h-ansi=&quot;Cambria Math&quot;/&gt;&lt;wx:font wx:val=&quot;Cambria Math&quot;/&gt;&lt;w:i/&gt;&lt;w:sz w:val=&quot;16&quot;/&gt;&lt;w:sz-cs w:val=&quot;16&quot;/&gt;&lt;w:lang w:val=&quot;EN-GB&quot; w:fareast=&quot;FI&quot;/&gt;&lt;/w:rPr&gt;&lt;m:t&gt;+&lt;/m:t&gt;&lt;/m:r&gt;&lt;m:r&gt;&lt;m:rPr&gt;&lt;m:sty m:val=&quot;bi&quot;/&gt;&lt;/m:rPr&gt;&lt;w:rPr&gt;&lt;w:rFonts w:ascii=&quot;Cambria Math&quot; w:h-ansi=&quot;Cambria Math&quot;/&gt;&lt;wx:font wx:val=&quot;Cambria Math&quot;/&gt;&lt;w:b/&gt;&lt;w:b-cs/&gt;&lt;w:i/&gt;&lt;w:sz w:val=&quot;16&quot;/&gt;&lt;w:sz-cs w:val=&quot;16&quot;/&gt;&lt;w:lang w:val=&quot;EN-GB&quot; w:fareast=&quot;FI&quot;/&gt;&lt;/w:rPr&gt;&lt;m:t&gt;TTM&lt;/m:t&gt;&lt;/m:r&gt;&lt;m:r&gt;&lt;w:rPr&gt;&lt;w:rFonts w:ascii=&quot;Cambria Math&quot; w:h-ansi=&quot;Cambria Math&quot;/&gt;&lt;wx:font wx:val=&quot;Cambria Math&quot;/&gt;&lt;w:i/&gt;&lt;w:sz w:val=&quot;16&quot;/&gt;&lt;w:sz-cs w:val=&quot;16&quot;/&gt;&lt;w:lang w:val=&quot;EN-GB&quot; w:fareast=&quot;FI&quot;/&gt;&lt;/w:rPr&gt;&lt;m:t&gt;+&lt;/m:t&gt;&lt;/m:r&gt;&lt;m:r&gt;&lt;m:rPr&gt;&lt;m:sty m:val=&quot;bi&quot;/&gt;&lt;/m:rPr&gt;&lt;w:rPr&gt;&lt;w:rFonts w:ascii=&quot;Cambria Math&quot; w:h-ansi=&quot;Cambria Math&quot;/&gt;&lt;wx:font wx:val=&quot;Cambria Math&quot;/&gt;&lt;w:b/&gt;&lt;w:b-cs/&gt;&lt;w:i/&gt;&lt;w:sz w:val=&quot;16&quot;/&gt;&lt;w:sz-cs w:val=&quot;16&quot;/&gt;&lt;w:lang w:val=&quot;EN-GB&quot; w:fareast=&quot;FI&quot;/&gt;&lt;/w:rPr&gt;&lt;m:t&gt;VAT&lt;/m:t&gt;&lt;/m:r&gt;&lt;/m:oMath&gt;&lt;/m:oMathPara&gt;&lt;/w:p&gt;&lt;w:sectPr wsp:rsidR=&quot;00000000&quot; wsp:rsidRPr=&quot;0047771F&quot;&gt;&lt;w:pgSz w:w=&quot;12240&quot; w:h=&quot;15840&quot;/&gt;&lt;w:pgMar w:top=&quot;1440&quot; w:right=&quot;1440&quot; w:bottom=&quot;1440&quot; w:left=&quot;1440&quot; w:header=&quot;708&quot; w:footer=&quot;708&quot; w:gutter=&quot;0&quot;/&gt;&lt;w:cols w:space=&quot;708&quot;/&gt;&lt;/w:sectPr&gt;&lt;/wx:sect&gt;&lt;/w:body&gt;&lt;/w:wordDocument&gt;">
                  <v:imagedata r:id="rId16" o:title="" chromakey="white"/>
                </v:shape>
              </w:pict>
            </w:r>
          </w:p>
        </w:tc>
        <w:tc>
          <w:tcPr>
            <w:tcW w:w="3345" w:type="dxa"/>
          </w:tcPr>
          <w:p w14:paraId="1B79036C" w14:textId="77777777" w:rsidR="00CD7887" w:rsidRPr="000D70CC" w:rsidRDefault="00CD7887" w:rsidP="000D70CC">
            <w:pPr>
              <w:jc w:val="both"/>
              <w:rPr>
                <w:rFonts w:eastAsia="Calibri"/>
                <w:color w:val="000000"/>
                <w:sz w:val="16"/>
                <w:szCs w:val="16"/>
                <w:lang w:val="en-GB" w:eastAsia="fi-FI"/>
              </w:rPr>
            </w:pPr>
            <w:r w:rsidRPr="000D70CC">
              <w:rPr>
                <w:rFonts w:eastAsia="Calibri"/>
                <w:color w:val="000000"/>
                <w:sz w:val="16"/>
                <w:szCs w:val="16"/>
                <w:lang w:val="en-GB" w:eastAsia="fi-FI"/>
              </w:rPr>
              <w:t>PUP = Purchaser price</w:t>
            </w:r>
          </w:p>
          <w:p w14:paraId="0C850EEB" w14:textId="77777777" w:rsidR="00CD7887" w:rsidRPr="000D70CC" w:rsidRDefault="00CD7887" w:rsidP="000D70CC">
            <w:pPr>
              <w:jc w:val="both"/>
              <w:rPr>
                <w:rFonts w:eastAsia="Calibri"/>
                <w:color w:val="000000"/>
                <w:sz w:val="16"/>
                <w:szCs w:val="16"/>
                <w:lang w:val="en-GB" w:eastAsia="fi-FI"/>
              </w:rPr>
            </w:pPr>
            <w:r w:rsidRPr="000D70CC">
              <w:rPr>
                <w:rFonts w:eastAsia="Calibri"/>
                <w:color w:val="000000"/>
                <w:sz w:val="16"/>
                <w:szCs w:val="16"/>
                <w:lang w:val="en-GB" w:eastAsia="fi-FI"/>
              </w:rPr>
              <w:t>PRP= Producer price</w:t>
            </w:r>
          </w:p>
          <w:p w14:paraId="679A0830" w14:textId="77777777" w:rsidR="00CD7887" w:rsidRPr="000D70CC" w:rsidRDefault="00CD7887" w:rsidP="000D70CC">
            <w:pPr>
              <w:jc w:val="both"/>
              <w:rPr>
                <w:rFonts w:eastAsia="Calibri"/>
                <w:color w:val="000000"/>
                <w:sz w:val="16"/>
                <w:szCs w:val="16"/>
                <w:lang w:val="en-GB" w:eastAsia="fi-FI"/>
              </w:rPr>
            </w:pPr>
            <w:r w:rsidRPr="000D70CC">
              <w:rPr>
                <w:rFonts w:eastAsia="Calibri"/>
                <w:color w:val="000000"/>
                <w:sz w:val="16"/>
                <w:szCs w:val="16"/>
                <w:lang w:val="en-GB" w:eastAsia="fi-FI"/>
              </w:rPr>
              <w:t>TTM = Trade and transport margins</w:t>
            </w:r>
          </w:p>
          <w:p w14:paraId="1B3909D5" w14:textId="77777777" w:rsidR="00CD7887" w:rsidRPr="000D70CC" w:rsidRDefault="00CD7887" w:rsidP="000D70CC">
            <w:pPr>
              <w:jc w:val="both"/>
              <w:rPr>
                <w:rFonts w:eastAsia="Calibri"/>
                <w:color w:val="000000"/>
                <w:sz w:val="16"/>
                <w:szCs w:val="16"/>
                <w:lang w:val="en-GB" w:eastAsia="fi-FI"/>
              </w:rPr>
            </w:pPr>
            <w:r w:rsidRPr="000D70CC">
              <w:rPr>
                <w:rFonts w:eastAsia="Calibri"/>
                <w:color w:val="000000"/>
                <w:sz w:val="16"/>
                <w:szCs w:val="16"/>
                <w:lang w:val="en-GB" w:eastAsia="fi-FI"/>
              </w:rPr>
              <w:t>VAT = VAT not deductible by the purchaser</w:t>
            </w:r>
          </w:p>
          <w:p w14:paraId="763AF589" w14:textId="77777777" w:rsidR="00CD7887" w:rsidRPr="000D70CC" w:rsidRDefault="00CD7887" w:rsidP="000D70CC">
            <w:pPr>
              <w:jc w:val="both"/>
              <w:rPr>
                <w:rFonts w:eastAsia="Calibri"/>
                <w:color w:val="000000"/>
                <w:sz w:val="16"/>
                <w:szCs w:val="16"/>
                <w:lang w:val="en-GB" w:eastAsia="fi-FI"/>
              </w:rPr>
            </w:pPr>
          </w:p>
        </w:tc>
      </w:tr>
      <w:tr w:rsidR="00CD7887" w:rsidRPr="000A2DBE" w14:paraId="43E681E0" w14:textId="77777777" w:rsidTr="000D70CC">
        <w:tc>
          <w:tcPr>
            <w:tcW w:w="2336" w:type="dxa"/>
          </w:tcPr>
          <w:p w14:paraId="1498C12C" w14:textId="77777777" w:rsidR="00CD7887" w:rsidRPr="000D70CC" w:rsidRDefault="00CD7887" w:rsidP="000D70CC">
            <w:pPr>
              <w:rPr>
                <w:rFonts w:eastAsia="Calibri"/>
                <w:b/>
                <w:bCs/>
                <w:color w:val="000000"/>
                <w:sz w:val="16"/>
                <w:szCs w:val="16"/>
                <w:lang w:val="en-GB" w:eastAsia="fi-FI"/>
              </w:rPr>
            </w:pPr>
            <w:r w:rsidRPr="000D70CC">
              <w:rPr>
                <w:rFonts w:eastAsia="Calibri"/>
                <w:b/>
                <w:bCs/>
                <w:color w:val="000000"/>
                <w:sz w:val="16"/>
                <w:szCs w:val="16"/>
                <w:lang w:val="en-GB" w:eastAsia="fi-FI"/>
              </w:rPr>
              <w:t>Definition of purchaser price when producer price is dismantled according to the definition of producer price.</w:t>
            </w:r>
          </w:p>
        </w:tc>
        <w:tc>
          <w:tcPr>
            <w:tcW w:w="3345" w:type="dxa"/>
          </w:tcPr>
          <w:p w14:paraId="43377679" w14:textId="77777777" w:rsidR="00CD7887" w:rsidRPr="000D70CC" w:rsidRDefault="003B602A" w:rsidP="000D70CC">
            <w:pPr>
              <w:jc w:val="both"/>
              <w:rPr>
                <w:rFonts w:eastAsia="Calibri"/>
                <w:color w:val="000000"/>
                <w:sz w:val="16"/>
                <w:szCs w:val="16"/>
                <w:lang w:val="en-GB" w:eastAsia="fi-FI"/>
              </w:rPr>
            </w:pPr>
            <w:bookmarkStart w:id="0" w:name="_Hlk128065964"/>
            <w:r>
              <w:rPr>
                <w:rFonts w:ascii="Calibri" w:eastAsia="Calibri" w:hAnsi="Calibri"/>
                <w:color w:val="000000"/>
                <w:sz w:val="22"/>
                <w:szCs w:val="22"/>
              </w:rPr>
              <w:pict w14:anchorId="3020337A">
                <v:shape id="_x0000_i1031" type="#_x0000_t75" style="width:141.25pt;height:9.9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20&quot;/&gt;&lt;w:stylePaneFormatFilter w:val=&quot;3F01&quot;/&gt;&lt;w:defaultTabStop w:val=&quot;720&quot;/&gt;&lt;w:displayHorizontalDrawingGridEvery w:val=&quot;0&quot;/&gt;&lt;w:displayVerticalDrawingGridEvery w:val=&quot;0&quot;/&gt;&lt;w:useMarginsForDrawingGridOrigin/&gt;&lt;w:characterSpacingControl w:val=&quot;DontCompress&quot;/&gt;&lt;w:optimizeForBrowser/&gt;&lt;w:targetScreenSz w:val=&quot;800x600&quot;/&gt;&lt;w:validateAgainstSchema/&gt;&lt;w:saveInvalidXML w:val=&quot;off&quot;/&gt;&lt;w:ignoreMixedContent w:val=&quot;off&quot;/&gt;&lt;w:alwaysShowPlaceholderText w:val=&quot;off&quot;/&gt;&lt;w:compat&gt;&lt;w:footnoteLayoutLikeWW8/&gt;&lt;w:shapeLayoutLikeWW8/&gt;&lt;w:alignTablesRowByRow/&gt;&lt;w:forgetLastTabAlignment/&gt;&lt;w:doNotUseHTMLParagraphAutoSpacing/&gt;&lt;w:layoutRawTableWidth/&gt;&lt;w:layoutTableRowsApart/&gt;&lt;w:useWord97LineBreakingRules/&gt;&lt;w:dontAllowFieldEndSelect/&gt;&lt;w:useWord2002TableStyleRules/&gt;&lt;w:useFELayout/&gt;&lt;/w:compat&gt;&lt;wsp:rsids&gt;&lt;wsp:rsidRoot wsp:val=&quot;00FC3678&quot;/&gt;&lt;wsp:rsid wsp:val=&quot;00013D1E&quot;/&gt;&lt;wsp:rsid wsp:val=&quot;00026AC0&quot;/&gt;&lt;wsp:rsid wsp:val=&quot;0005253F&quot;/&gt;&lt;wsp:rsid wsp:val=&quot;000C1B25&quot;/&gt;&lt;wsp:rsid wsp:val=&quot;000E1EDA&quot;/&gt;&lt;wsp:rsid wsp:val=&quot;00101EA5&quot;/&gt;&lt;wsp:rsid wsp:val=&quot;00127752&quot;/&gt;&lt;wsp:rsid wsp:val=&quot;00140520&quot;/&gt;&lt;wsp:rsid wsp:val=&quot;00151F63&quot;/&gt;&lt;wsp:rsid wsp:val=&quot;00164C58&quot;/&gt;&lt;wsp:rsid wsp:val=&quot;00177180&quot;/&gt;&lt;wsp:rsid wsp:val=&quot;001B0CD6&quot;/&gt;&lt;wsp:rsid wsp:val=&quot;001E2393&quot;/&gt;&lt;wsp:rsid wsp:val=&quot;00210627&quot;/&gt;&lt;wsp:rsid wsp:val=&quot;00244AEE&quot;/&gt;&lt;wsp:rsid wsp:val=&quot;0026556F&quot;/&gt;&lt;wsp:rsid wsp:val=&quot;00281931&quot;/&gt;&lt;wsp:rsid wsp:val=&quot;00296293&quot;/&gt;&lt;wsp:rsid wsp:val=&quot;002B5979&quot;/&gt;&lt;wsp:rsid wsp:val=&quot;002D46CC&quot;/&gt;&lt;wsp:rsid wsp:val=&quot;00305A60&quot;/&gt;&lt;wsp:rsid wsp:val=&quot;00312C21&quot;/&gt;&lt;wsp:rsid wsp:val=&quot;003328E4&quot;/&gt;&lt;wsp:rsid wsp:val=&quot;00355DDD&quot;/&gt;&lt;wsp:rsid wsp:val=&quot;00392495&quot;/&gt;&lt;wsp:rsid wsp:val=&quot;003C1639&quot;/&gt;&lt;wsp:rsid wsp:val=&quot;00405228&quot;/&gt;&lt;wsp:rsid wsp:val=&quot;0043029D&quot;/&gt;&lt;wsp:rsid wsp:val=&quot;00437604&quot;/&gt;&lt;wsp:rsid wsp:val=&quot;00470259&quot;/&gt;&lt;wsp:rsid wsp:val=&quot;004F406C&quot;/&gt;&lt;wsp:rsid wsp:val=&quot;005041EC&quot;/&gt;&lt;wsp:rsid wsp:val=&quot;005053C2&quot;/&gt;&lt;wsp:rsid wsp:val=&quot;00516DD8&quot;/&gt;&lt;wsp:rsid wsp:val=&quot;005212CA&quot;/&gt;&lt;wsp:rsid wsp:val=&quot;005342AF&quot;/&gt;&lt;wsp:rsid wsp:val=&quot;00541604&quot;/&gt;&lt;wsp:rsid wsp:val=&quot;005537D1&quot;/&gt;&lt;wsp:rsid wsp:val=&quot;00575E0A&quot;/&gt;&lt;wsp:rsid wsp:val=&quot;00637D84&quot;/&gt;&lt;wsp:rsid wsp:val=&quot;0067182A&quot;/&gt;&lt;wsp:rsid wsp:val=&quot;00694D2D&quot;/&gt;&lt;wsp:rsid wsp:val=&quot;006E2334&quot;/&gt;&lt;wsp:rsid wsp:val=&quot;00792F07&quot;/&gt;&lt;wsp:rsid wsp:val=&quot;007A518D&quot;/&gt;&lt;wsp:rsid wsp:val=&quot;007F4644&quot;/&gt;&lt;wsp:rsid wsp:val=&quot;007F7B33&quot;/&gt;&lt;wsp:rsid wsp:val=&quot;00861C5D&quot;/&gt;&lt;wsp:rsid wsp:val=&quot;008929D7&quot;/&gt;&lt;wsp:rsid wsp:val=&quot;008A2B05&quot;/&gt;&lt;wsp:rsid wsp:val=&quot;008B1F6A&quot;/&gt;&lt;wsp:rsid wsp:val=&quot;008E0C5F&quot;/&gt;&lt;wsp:rsid wsp:val=&quot;008F3AD9&quot;/&gt;&lt;wsp:rsid wsp:val=&quot;00925C6A&quot;/&gt;&lt;wsp:rsid wsp:val=&quot;00957CB3&quot;/&gt;&lt;wsp:rsid wsp:val=&quot;009618A6&quot;/&gt;&lt;wsp:rsid wsp:val=&quot;009A31CE&quot;/&gt;&lt;wsp:rsid wsp:val=&quot;009B445B&quot;/&gt;&lt;wsp:rsid wsp:val=&quot;009D7C33&quot;/&gt;&lt;wsp:rsid wsp:val=&quot;009F5CBF&quot;/&gt;&lt;wsp:rsid wsp:val=&quot;00A0155D&quot;/&gt;&lt;wsp:rsid wsp:val=&quot;00A91307&quot;/&gt;&lt;wsp:rsid wsp:val=&quot;00AB3506&quot;/&gt;&lt;wsp:rsid wsp:val=&quot;00AD12A1&quot;/&gt;&lt;wsp:rsid wsp:val=&quot;00B7251F&quot;/&gt;&lt;wsp:rsid wsp:val=&quot;00B82850&quot;/&gt;&lt;wsp:rsid wsp:val=&quot;00BB6867&quot;/&gt;&lt;wsp:rsid wsp:val=&quot;00BC4005&quot;/&gt;&lt;wsp:rsid wsp:val=&quot;00BD34DF&quot;/&gt;&lt;wsp:rsid wsp:val=&quot;00C03D2D&quot;/&gt;&lt;wsp:rsid wsp:val=&quot;00C22841&quot;/&gt;&lt;wsp:rsid wsp:val=&quot;00C646B1&quot;/&gt;&lt;wsp:rsid wsp:val=&quot;00C90CAF&quot;/&gt;&lt;wsp:rsid wsp:val=&quot;00C97586&quot;/&gt;&lt;wsp:rsid wsp:val=&quot;00CA6730&quot;/&gt;&lt;wsp:rsid wsp:val=&quot;00CB71D6&quot;/&gt;&lt;wsp:rsid wsp:val=&quot;00CD7887&quot;/&gt;&lt;wsp:rsid wsp:val=&quot;00CE02CB&quot;/&gt;&lt;wsp:rsid wsp:val=&quot;00D66026&quot;/&gt;&lt;wsp:rsid wsp:val=&quot;00D661C5&quot;/&gt;&lt;wsp:rsid wsp:val=&quot;00D75942&quot;/&gt;&lt;wsp:rsid wsp:val=&quot;00DB45F4&quot;/&gt;&lt;wsp:rsid wsp:val=&quot;00EF3966&quot;/&gt;&lt;wsp:rsid wsp:val=&quot;00F106E6&quot;/&gt;&lt;wsp:rsid wsp:val=&quot;00F6584F&quot;/&gt;&lt;wsp:rsid wsp:val=&quot;00F8636A&quot;/&gt;&lt;wsp:rsid wsp:val=&quot;00FC3678&quot;/&gt;&lt;wsp:rsid wsp:val=&quot;00FD061F&quot;/&gt;&lt;/wsp:rsids&gt;&lt;/w:docPr&gt;&lt;w:body&gt;&lt;wx:sect&gt;&lt;w:p wsp:rsidR=&quot;00101EA5&quot; wsp:rsidRPr=&quot;00101EA5&quot; wsp:rsidRDefault=&quot;00101EA5&quot; wsp:rsidP=&quot;00101EA5&quot;&gt;&lt;m:oMathPara&gt;&lt;m:oMathParaPr&gt;&lt;m:jc m:val=&quot;left&quot;/&gt;&lt;/m:oMathParaPr&gt;&lt;m:oMath&gt;&lt;m:r&gt;&lt;m:rPr&gt;&lt;m:sty m:val=&quot;bi&quot;/&gt;&lt;/m:rPr&gt;&lt;w:rPr&gt;&lt;w:rFonts w:ascii=&quot;Cambria Math&quot; w:h-ansi=&quot;Cambria Math&quot;/&gt;&lt;wx:font wx:val=&quot;Cambria Math&quot;/&gt;&lt;w:b/&gt;&lt;w:b-cs/&gt;&lt;w:i/&gt;&lt;w:sz w:val=&quot;16&quot;/&gt;&lt;w:sz-cs w:val=&quot;16&quot;/&gt;&lt;w:lang w:val=&quot;EN-GB&quot; w:fareast=&quot;FI&quot;/&gt;&lt;/w:rPr&gt;&lt;m:t&gt;PUP&lt;/m:t&gt;&lt;/m:r&gt;&lt;m:r&gt;&lt;w:rPr&gt;&lt;w:rFonts w:ascii=&quot;Cambria Math&quot; w:h-ansi=&quot;Cambria Math&quot;/&gt;&lt;wx:font wx:val=&quot;Cambria Math&quot;/&gt;&lt;w:i/&gt;&lt;w:sz w:val=&quot;16&quot;/&gt;&lt;w:sz-cs w:val=&quot;16&quot;/&gt;&lt;w:lang w:val=&quot;EN-GB&quot; w:fareast=&quot;FI&quot;/&gt;&lt;/w:rPr&gt;&lt;m:t&gt;=&lt;/m:t&gt;&lt;/m:r&gt;&lt;m:r&gt;&lt;m:rPr&gt;&lt;m:sty m:val=&quot;bi&quot;/&gt;&lt;/m:rPr&gt;&lt;w:rPr&gt;&lt;w:rFonts w:ascii=&quot;Cambria Math&quot; w:h-ansi=&quot;Cambria Math&quot;/&gt;&lt;wx:font wx:val=&quot;Cambria Math&quot;/&gt;&lt;w:b/&gt;&lt;w:b-cs/&gt;&lt;w:i/&gt;&lt;w:sz w:val=&quot;16&quot;/&gt;&lt;w:sz-cs w:val=&quot;16&quot;/&gt;&lt;w:lang w:val=&quot;EN-GB&quot; w:fareast=&quot;FI&quot;/&gt;&lt;/w:rPr&gt;&lt;m:t&gt;BP&lt;/m:t&gt;&lt;/m:r&gt;&lt;m:r&gt;&lt;w:rPr&gt;&lt;w:rFonts w:ascii=&quot;Cambria Math&quot; w:h-ansi=&quot;Cambria Math&quot;/&gt;&lt;wx:font wx:val=&quot;Cambria Math&quot;/&gt;&lt;w:i/&gt;&lt;w:sz w:val=&quot;16&quot;/&gt;&lt;w:sz-cs w:val=&quot;16&quot;/&gt;&lt;w:lang w:val=&quot;EN-GB&quot; w:fareast=&quot;FI&quot;/&gt;&lt;/w:rPr&gt;&lt;m:t&gt;+&lt;/m:t&gt;&lt;/m:r&gt;&lt;m:r&gt;&lt;m:rPr&gt;&lt;m:sty m:val=&quot;bi&quot;/&gt;&lt;/m:rPr&gt;&lt;w:rPr&gt;&lt;w:rFonts w:ascii=&quot;Cambria Math&quot; w:h-ansi=&quot;Cambria Math&quot;/&gt;&lt;wx:font wx:val=&quot;Cambria Math&quot;/&gt;&lt;w:b/&gt;&lt;w:b-cs/&gt;&lt;w:i/&gt;&lt;w:sz w:val=&quot;16&quot;/&gt;&lt;w:sz-cs w:val=&quot;16&quot;/&gt;&lt;w:lang w:val=&quot;EN-GB&quot; w:fareast=&quot;FI&quot;/&gt;&lt;/w:rPr&gt;&lt;m:t&gt;TAX&lt;/m:t&gt;&lt;/m:r&gt;&lt;m:r&gt;&lt;w:rPr&gt;&lt;w:rFonts w:ascii=&quot;Cambria Math&quot; w:h-ansi=&quot;Cambria Math&quot;/&gt;&lt;wx:font wx:val=&quot;Cambria Math&quot;/&gt;&lt;w:i/&gt;&lt;w:sz w:val=&quot;16&quot;/&gt;&lt;w:sz-cs w:val=&quot;16&quot;/&gt;&lt;w:lang w:val=&quot;EN-GB&quot; w:fareast=&quot;FI&quot;/&gt;&lt;/w:rPr&gt;&lt;m:t&gt;-&lt;/m:t&gt;&lt;/m:r&gt;&lt;m:r&gt;&lt;m:rPr&gt;&lt;m:sty m:val=&quot;bi&quot;/&gt;&lt;/m:rPr&gt;&lt;w:rPr&gt;&lt;w:rFonts w:ascii=&quot;Cambria Math&quot; w:h-ansi=&quot;Cambria Math&quot;/&gt;&lt;wx:font wx:val=&quot;Cambria Math&quot;/&gt;&lt;w:b/&gt;&lt;w:b-cs/&gt;&lt;w:i/&gt;&lt;w:sz w:val=&quot;16&quot;/&gt;&lt;w:sz-cs w:val=&quot;16&quot;/&gt;&lt;w:lang w:val=&quot;EN-GB&quot; w:fareast=&quot;FI&quot;/&gt;&lt;/w:rPr&gt;&lt;m:t&gt;SUB&lt;/m:t&gt;&lt;/m:r&gt;&lt;m:r&gt;&lt;w:rPr&gt;&lt;w:rFonts w:ascii=&quot;Cambria Math&quot; w:h-ansi=&quot;Cambria Math&quot;/&gt;&lt;wx:font wx:val=&quot;Cambria Math&quot;/&gt;&lt;w:i/&gt;&lt;w:sz w:val=&quot;16&quot;/&gt;&lt;w:sz-cs w:val=&quot;16&quot;/&gt;&lt;w:lang w:val=&quot;EN-GB&quot; w:fareast=&quot;FI&quot;/&gt;&lt;/w:rPr&gt;&lt;m:t&gt;+&lt;/m:t&gt;&lt;/m:r&gt;&lt;m:r&gt;&lt;m:rPr&gt;&lt;m:sty m:val=&quot;bi&quot;/&gt;&lt;/m:rPr&gt;&lt;w:rPr&gt;&lt;w:rFonts w:ascii=&quot;Cambria Math&quot; w:h-ansi=&quot;Cambria Math&quot;/&gt;&lt;wx:font wx:val=&quot;Cambria Math&quot;/&gt;&lt;w:b/&gt;&lt;w:b-cs/&gt;&lt;w:i/&gt;&lt;w:sz w:val=&quot;16&quot;/&gt;&lt;w:sz-cs w:val=&quot;16&quot;/&gt;&lt;w:lang w:val=&quot;EN-GB&quot; w:fareast=&quot;FI&quot;/&gt;&lt;/w:rPr&gt;&lt;m:t&gt;TTM&lt;/m:t&gt;&lt;/m:r&gt;&lt;m:r&gt;&lt;w:rPr&gt;&lt;w:rFonts w:ascii=&quot;Cambria Math&quot; w:h-ansi=&quot;Cambria Math&quot;/&gt;&lt;wx:font wx:val=&quot;Cambria Math&quot;/&gt;&lt;w:i/&gt;&lt;w:sz w:val=&quot;16&quot;/&gt;&lt;w:sz-cs w:val=&quot;16&quot;/&gt;&lt;w:lang w:val=&quot;EN-GB&quot; w:fareast=&quot;FI&quot;/&gt;&lt;/w:rPr&gt;&lt;m:t&gt;+&lt;/m:t&gt;&lt;/m:r&gt;&lt;m:r&gt;&lt;m:rPr&gt;&lt;m:sty m:val=&quot;bi&quot;/&gt;&lt;/m:rPr&gt;&lt;w:rPr&gt;&lt;w:rFonts w:ascii=&quot;Cambria Math&quot; w:h-ansi=&quot;Cambria Math&quot;/&gt;&lt;wx:font wx:val=&quot;Cambria Math&quot;/&gt;&lt;w:b/&gt;&lt;w:b-cs/&gt;&lt;w:i/&gt;&lt;w:sz w:val=&quot;16&quot;/&gt;&lt;w:sz-cs w:val=&quot;16&quot;/&gt;&lt;w:lang w:val=&quot;EN-GB&quot; w:fareast=&quot;FI&quot;/&gt;&lt;/w:rPr&gt;&lt;m:t&gt;VAT&lt;/m:t&gt;&lt;/m:r&gt;&lt;/m:oMath&gt;&lt;/m:oMathPara&gt;&lt;/w:p&gt;&lt;w:sectPr wsp:rsidR=&quot;00000000&quot; wsp:rsidRPr=&quot;00101EA5&quot;&gt;&lt;w:pgSz w:w=&quot;12240&quot; w:h=&quot;15840&quot;/&gt;&lt;w:pgMar w:top=&quot;1440&quot; w:right=&quot;1440&quot; w:bottom=&quot;1440&quot; w:left=&quot;1440&quot; w:header=&quot;708&quot; w:footer=&quot;708&quot; w:gutter=&quot;0&quot;/&gt;&lt;w:cols w:space=&quot;708&quot;/&gt;&lt;/w:sectPr&gt;&lt;/wx:sect&gt;&lt;/w:body&gt;&lt;/w:wordDocument&gt;">
                  <v:imagedata r:id="rId17" o:title="" chromakey="white"/>
                </v:shape>
              </w:pict>
            </w:r>
          </w:p>
          <w:bookmarkEnd w:id="0"/>
          <w:p w14:paraId="41C8D05B" w14:textId="77777777" w:rsidR="00CD7887" w:rsidRPr="000D70CC" w:rsidRDefault="00CD7887" w:rsidP="000D70CC">
            <w:pPr>
              <w:jc w:val="both"/>
              <w:rPr>
                <w:rFonts w:eastAsia="Calibri"/>
                <w:color w:val="000000"/>
                <w:sz w:val="16"/>
                <w:szCs w:val="16"/>
                <w:lang w:val="en-GB" w:eastAsia="fi-FI"/>
              </w:rPr>
            </w:pPr>
          </w:p>
        </w:tc>
        <w:tc>
          <w:tcPr>
            <w:tcW w:w="3345" w:type="dxa"/>
          </w:tcPr>
          <w:p w14:paraId="4FEE0913" w14:textId="77777777" w:rsidR="00CD7887" w:rsidRPr="000D70CC" w:rsidRDefault="00CD7887" w:rsidP="000D70CC">
            <w:pPr>
              <w:jc w:val="both"/>
              <w:rPr>
                <w:rFonts w:eastAsia="Calibri"/>
                <w:color w:val="000000"/>
                <w:sz w:val="16"/>
                <w:szCs w:val="16"/>
                <w:lang w:val="en-GB" w:eastAsia="fi-FI"/>
              </w:rPr>
            </w:pPr>
            <w:r w:rsidRPr="000D70CC">
              <w:rPr>
                <w:rFonts w:eastAsia="Calibri"/>
                <w:color w:val="000000"/>
                <w:sz w:val="16"/>
                <w:szCs w:val="16"/>
                <w:lang w:val="en-GB" w:eastAsia="fi-FI"/>
              </w:rPr>
              <w:t>PUP = Purchaser price</w:t>
            </w:r>
          </w:p>
          <w:p w14:paraId="79DF0BD2" w14:textId="77777777" w:rsidR="00CD7887" w:rsidRPr="000D70CC" w:rsidRDefault="00CD7887" w:rsidP="000D70CC">
            <w:pPr>
              <w:jc w:val="both"/>
              <w:rPr>
                <w:rFonts w:eastAsia="Calibri"/>
                <w:color w:val="000000"/>
                <w:sz w:val="16"/>
                <w:szCs w:val="16"/>
                <w:lang w:val="en-GB" w:eastAsia="fi-FI"/>
              </w:rPr>
            </w:pPr>
            <w:r w:rsidRPr="000D70CC">
              <w:rPr>
                <w:rFonts w:eastAsia="Calibri"/>
                <w:color w:val="000000"/>
                <w:sz w:val="16"/>
                <w:szCs w:val="16"/>
                <w:lang w:val="en-GB" w:eastAsia="fi-FI"/>
              </w:rPr>
              <w:t>BP = Basic price</w:t>
            </w:r>
          </w:p>
          <w:p w14:paraId="7CD56308" w14:textId="77777777" w:rsidR="00CD7887" w:rsidRPr="000D70CC" w:rsidRDefault="00CD7887" w:rsidP="000D70CC">
            <w:pPr>
              <w:jc w:val="both"/>
              <w:rPr>
                <w:rFonts w:eastAsia="Calibri"/>
                <w:color w:val="000000"/>
                <w:sz w:val="16"/>
                <w:szCs w:val="16"/>
                <w:lang w:val="en-GB" w:eastAsia="fi-FI"/>
              </w:rPr>
            </w:pPr>
            <w:r w:rsidRPr="000D70CC">
              <w:rPr>
                <w:rFonts w:eastAsia="Calibri"/>
                <w:color w:val="000000"/>
                <w:sz w:val="16"/>
                <w:szCs w:val="16"/>
                <w:lang w:val="en-GB" w:eastAsia="fi-FI"/>
              </w:rPr>
              <w:t>TAX = Taxes on products excluding invoiced VAT</w:t>
            </w:r>
          </w:p>
          <w:p w14:paraId="214531E7" w14:textId="77777777" w:rsidR="00CD7887" w:rsidRPr="000D70CC" w:rsidRDefault="00CD7887" w:rsidP="000D70CC">
            <w:pPr>
              <w:jc w:val="both"/>
              <w:rPr>
                <w:rFonts w:eastAsia="Calibri"/>
                <w:color w:val="000000"/>
                <w:sz w:val="16"/>
                <w:szCs w:val="16"/>
                <w:lang w:val="en-GB" w:eastAsia="fi-FI"/>
              </w:rPr>
            </w:pPr>
            <w:r w:rsidRPr="000D70CC">
              <w:rPr>
                <w:rFonts w:eastAsia="Calibri"/>
                <w:color w:val="000000"/>
                <w:sz w:val="16"/>
                <w:szCs w:val="16"/>
                <w:lang w:val="en-GB" w:eastAsia="fi-FI"/>
              </w:rPr>
              <w:t>SUB = Subsidies on products</w:t>
            </w:r>
          </w:p>
          <w:p w14:paraId="76983877" w14:textId="77777777" w:rsidR="00CD7887" w:rsidRPr="000D70CC" w:rsidRDefault="00CD7887" w:rsidP="000D70CC">
            <w:pPr>
              <w:jc w:val="both"/>
              <w:rPr>
                <w:rFonts w:eastAsia="Calibri"/>
                <w:color w:val="000000"/>
                <w:sz w:val="16"/>
                <w:szCs w:val="16"/>
                <w:lang w:val="en-GB" w:eastAsia="fi-FI"/>
              </w:rPr>
            </w:pPr>
            <w:r w:rsidRPr="000D70CC">
              <w:rPr>
                <w:rFonts w:eastAsia="Calibri"/>
                <w:color w:val="000000"/>
                <w:sz w:val="16"/>
                <w:szCs w:val="16"/>
                <w:lang w:val="en-GB" w:eastAsia="fi-FI"/>
              </w:rPr>
              <w:t>TTM = Trade and transport margins</w:t>
            </w:r>
          </w:p>
          <w:p w14:paraId="48BB2D5C" w14:textId="77777777" w:rsidR="00CD7887" w:rsidRPr="000D70CC" w:rsidRDefault="00CD7887" w:rsidP="000D70CC">
            <w:pPr>
              <w:jc w:val="both"/>
              <w:rPr>
                <w:rFonts w:eastAsia="Calibri"/>
                <w:color w:val="000000"/>
                <w:sz w:val="16"/>
                <w:szCs w:val="16"/>
                <w:lang w:val="en-GB" w:eastAsia="fi-FI"/>
              </w:rPr>
            </w:pPr>
            <w:r w:rsidRPr="000D70CC">
              <w:rPr>
                <w:rFonts w:eastAsia="Calibri"/>
                <w:color w:val="000000"/>
                <w:sz w:val="16"/>
                <w:szCs w:val="16"/>
                <w:lang w:val="en-GB" w:eastAsia="fi-FI"/>
              </w:rPr>
              <w:t>VAT = VAT not deductible by the purchaser</w:t>
            </w:r>
          </w:p>
          <w:p w14:paraId="4FC7ED46" w14:textId="77777777" w:rsidR="00CD7887" w:rsidRPr="000D70CC" w:rsidRDefault="00CD7887" w:rsidP="000D70CC">
            <w:pPr>
              <w:jc w:val="both"/>
              <w:rPr>
                <w:rFonts w:eastAsia="Calibri"/>
                <w:color w:val="000000"/>
                <w:sz w:val="16"/>
                <w:szCs w:val="16"/>
                <w:lang w:val="en-GB" w:eastAsia="fi-FI"/>
              </w:rPr>
            </w:pPr>
          </w:p>
        </w:tc>
      </w:tr>
      <w:tr w:rsidR="00CD7887" w:rsidRPr="000A2DBE" w14:paraId="7D4E6EFC" w14:textId="77777777" w:rsidTr="000D70CC">
        <w:tc>
          <w:tcPr>
            <w:tcW w:w="2336" w:type="dxa"/>
          </w:tcPr>
          <w:p w14:paraId="7D115A58" w14:textId="77777777" w:rsidR="00CD7887" w:rsidRPr="000D70CC" w:rsidRDefault="00CD7887" w:rsidP="000D70CC">
            <w:pPr>
              <w:rPr>
                <w:rFonts w:eastAsia="Calibri"/>
                <w:b/>
                <w:bCs/>
                <w:color w:val="000000"/>
                <w:sz w:val="16"/>
                <w:szCs w:val="16"/>
                <w:lang w:val="en-GB" w:eastAsia="fi-FI"/>
              </w:rPr>
            </w:pPr>
            <w:r w:rsidRPr="000D70CC">
              <w:rPr>
                <w:rFonts w:eastAsia="Calibri"/>
                <w:b/>
                <w:bCs/>
                <w:color w:val="000000"/>
                <w:sz w:val="16"/>
                <w:szCs w:val="16"/>
                <w:lang w:val="en-GB" w:eastAsia="fi-FI"/>
              </w:rPr>
              <w:t>Basic price conversion factor that can be used to estimate the difference between purchaser price (financial account price) and basic price.</w:t>
            </w:r>
          </w:p>
          <w:p w14:paraId="1DC3D85C" w14:textId="77777777" w:rsidR="00CD7887" w:rsidRPr="000D70CC" w:rsidRDefault="00CD7887" w:rsidP="000D70CC">
            <w:pPr>
              <w:rPr>
                <w:rFonts w:eastAsia="Calibri"/>
                <w:b/>
                <w:bCs/>
                <w:color w:val="000000"/>
                <w:sz w:val="16"/>
                <w:szCs w:val="16"/>
                <w:lang w:val="en-GB" w:eastAsia="fi-FI"/>
              </w:rPr>
            </w:pPr>
          </w:p>
        </w:tc>
        <w:tc>
          <w:tcPr>
            <w:tcW w:w="3345" w:type="dxa"/>
          </w:tcPr>
          <w:p w14:paraId="7D4FF498" w14:textId="77777777" w:rsidR="00CD7887" w:rsidRPr="000D70CC" w:rsidRDefault="003B602A" w:rsidP="000D70CC">
            <w:pPr>
              <w:jc w:val="both"/>
              <w:rPr>
                <w:rFonts w:eastAsia="Calibri"/>
                <w:color w:val="000000"/>
                <w:sz w:val="16"/>
                <w:szCs w:val="16"/>
                <w:lang w:val="en-GB" w:eastAsia="fi-FI"/>
              </w:rPr>
            </w:pPr>
            <w:r>
              <w:rPr>
                <w:rFonts w:ascii="Calibri" w:eastAsia="Calibri" w:hAnsi="Calibri"/>
                <w:color w:val="000000"/>
                <w:sz w:val="22"/>
                <w:szCs w:val="22"/>
              </w:rPr>
              <w:pict w14:anchorId="5E638F15">
                <v:shape id="_x0000_i1032" type="#_x0000_t75" style="width:151.2pt;height:18.3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20&quot;/&gt;&lt;w:stylePaneFormatFilter w:val=&quot;3F01&quot;/&gt;&lt;w:defaultTabStop w:val=&quot;720&quot;/&gt;&lt;w:displayHorizontalDrawingGridEvery w:val=&quot;0&quot;/&gt;&lt;w:displayVerticalDrawingGridEvery w:val=&quot;0&quot;/&gt;&lt;w:useMarginsForDrawingGridOrigin/&gt;&lt;w:characterSpacingControl w:val=&quot;DontCompress&quot;/&gt;&lt;w:optimizeForBrowser/&gt;&lt;w:targetScreenSz w:val=&quot;800x600&quot;/&gt;&lt;w:validateAgainstSchema/&gt;&lt;w:saveInvalidXML w:val=&quot;off&quot;/&gt;&lt;w:ignoreMixedContent w:val=&quot;off&quot;/&gt;&lt;w:alwaysShowPlaceholderText w:val=&quot;off&quot;/&gt;&lt;w:compat&gt;&lt;w:footnoteLayoutLikeWW8/&gt;&lt;w:shapeLayoutLikeWW8/&gt;&lt;w:alignTablesRowByRow/&gt;&lt;w:forgetLastTabAlignment/&gt;&lt;w:doNotUseHTMLParagraphAutoSpacing/&gt;&lt;w:layoutRawTableWidth/&gt;&lt;w:layoutTableRowsApart/&gt;&lt;w:useWord97LineBreakingRules/&gt;&lt;w:dontAllowFieldEndSelect/&gt;&lt;w:useWord2002TableStyleRules/&gt;&lt;w:useFELayout/&gt;&lt;/w:compat&gt;&lt;wsp:rsids&gt;&lt;wsp:rsidRoot wsp:val=&quot;00FC3678&quot;/&gt;&lt;wsp:rsid wsp:val=&quot;00013D1E&quot;/&gt;&lt;wsp:rsid wsp:val=&quot;00026AC0&quot;/&gt;&lt;wsp:rsid wsp:val=&quot;0005253F&quot;/&gt;&lt;wsp:rsid wsp:val=&quot;000C1B25&quot;/&gt;&lt;wsp:rsid wsp:val=&quot;000E1EDA&quot;/&gt;&lt;wsp:rsid wsp:val=&quot;00127752&quot;/&gt;&lt;wsp:rsid wsp:val=&quot;00140520&quot;/&gt;&lt;wsp:rsid wsp:val=&quot;00151F63&quot;/&gt;&lt;wsp:rsid wsp:val=&quot;00164C58&quot;/&gt;&lt;wsp:rsid wsp:val=&quot;00177180&quot;/&gt;&lt;wsp:rsid wsp:val=&quot;001B0CD6&quot;/&gt;&lt;wsp:rsid wsp:val=&quot;001E2393&quot;/&gt;&lt;wsp:rsid wsp:val=&quot;00210627&quot;/&gt;&lt;wsp:rsid wsp:val=&quot;00244AEE&quot;/&gt;&lt;wsp:rsid wsp:val=&quot;0026556F&quot;/&gt;&lt;wsp:rsid wsp:val=&quot;00281931&quot;/&gt;&lt;wsp:rsid wsp:val=&quot;00296293&quot;/&gt;&lt;wsp:rsid wsp:val=&quot;002B5979&quot;/&gt;&lt;wsp:rsid wsp:val=&quot;002D46CC&quot;/&gt;&lt;wsp:rsid wsp:val=&quot;00305A60&quot;/&gt;&lt;wsp:rsid wsp:val=&quot;00312C21&quot;/&gt;&lt;wsp:rsid wsp:val=&quot;003328E4&quot;/&gt;&lt;wsp:rsid wsp:val=&quot;00354D02&quot;/&gt;&lt;wsp:rsid wsp:val=&quot;00355DDD&quot;/&gt;&lt;wsp:rsid wsp:val=&quot;00392495&quot;/&gt;&lt;wsp:rsid wsp:val=&quot;003C1639&quot;/&gt;&lt;wsp:rsid wsp:val=&quot;00405228&quot;/&gt;&lt;wsp:rsid wsp:val=&quot;0043029D&quot;/&gt;&lt;wsp:rsid wsp:val=&quot;00437604&quot;/&gt;&lt;wsp:rsid wsp:val=&quot;00470259&quot;/&gt;&lt;wsp:rsid wsp:val=&quot;004F406C&quot;/&gt;&lt;wsp:rsid wsp:val=&quot;005041EC&quot;/&gt;&lt;wsp:rsid wsp:val=&quot;005053C2&quot;/&gt;&lt;wsp:rsid wsp:val=&quot;00516DD8&quot;/&gt;&lt;wsp:rsid wsp:val=&quot;005212CA&quot;/&gt;&lt;wsp:rsid wsp:val=&quot;005342AF&quot;/&gt;&lt;wsp:rsid wsp:val=&quot;00541604&quot;/&gt;&lt;wsp:rsid wsp:val=&quot;005537D1&quot;/&gt;&lt;wsp:rsid wsp:val=&quot;00575E0A&quot;/&gt;&lt;wsp:rsid wsp:val=&quot;00637D84&quot;/&gt;&lt;wsp:rsid wsp:val=&quot;0067182A&quot;/&gt;&lt;wsp:rsid wsp:val=&quot;00694D2D&quot;/&gt;&lt;wsp:rsid wsp:val=&quot;006E2334&quot;/&gt;&lt;wsp:rsid wsp:val=&quot;00792F07&quot;/&gt;&lt;wsp:rsid wsp:val=&quot;007A518D&quot;/&gt;&lt;wsp:rsid wsp:val=&quot;007F4644&quot;/&gt;&lt;wsp:rsid wsp:val=&quot;007F7B33&quot;/&gt;&lt;wsp:rsid wsp:val=&quot;00861C5D&quot;/&gt;&lt;wsp:rsid wsp:val=&quot;008929D7&quot;/&gt;&lt;wsp:rsid wsp:val=&quot;008A2B05&quot;/&gt;&lt;wsp:rsid wsp:val=&quot;008B1F6A&quot;/&gt;&lt;wsp:rsid wsp:val=&quot;008E0C5F&quot;/&gt;&lt;wsp:rsid wsp:val=&quot;008F3AD9&quot;/&gt;&lt;wsp:rsid wsp:val=&quot;00925C6A&quot;/&gt;&lt;wsp:rsid wsp:val=&quot;00957CB3&quot;/&gt;&lt;wsp:rsid wsp:val=&quot;009618A6&quot;/&gt;&lt;wsp:rsid wsp:val=&quot;009A31CE&quot;/&gt;&lt;wsp:rsid wsp:val=&quot;009B445B&quot;/&gt;&lt;wsp:rsid wsp:val=&quot;009D7C33&quot;/&gt;&lt;wsp:rsid wsp:val=&quot;009F5CBF&quot;/&gt;&lt;wsp:rsid wsp:val=&quot;00A0155D&quot;/&gt;&lt;wsp:rsid wsp:val=&quot;00A91307&quot;/&gt;&lt;wsp:rsid wsp:val=&quot;00AB3506&quot;/&gt;&lt;wsp:rsid wsp:val=&quot;00AD12A1&quot;/&gt;&lt;wsp:rsid wsp:val=&quot;00B7251F&quot;/&gt;&lt;wsp:rsid wsp:val=&quot;00B82850&quot;/&gt;&lt;wsp:rsid wsp:val=&quot;00BB6867&quot;/&gt;&lt;wsp:rsid wsp:val=&quot;00BC4005&quot;/&gt;&lt;wsp:rsid wsp:val=&quot;00BD34DF&quot;/&gt;&lt;wsp:rsid wsp:val=&quot;00C03D2D&quot;/&gt;&lt;wsp:rsid wsp:val=&quot;00C22841&quot;/&gt;&lt;wsp:rsid wsp:val=&quot;00C646B1&quot;/&gt;&lt;wsp:rsid wsp:val=&quot;00C90CAF&quot;/&gt;&lt;wsp:rsid wsp:val=&quot;00C97586&quot;/&gt;&lt;wsp:rsid wsp:val=&quot;00CA6730&quot;/&gt;&lt;wsp:rsid wsp:val=&quot;00CB71D6&quot;/&gt;&lt;wsp:rsid wsp:val=&quot;00CD7887&quot;/&gt;&lt;wsp:rsid wsp:val=&quot;00CE02CB&quot;/&gt;&lt;wsp:rsid wsp:val=&quot;00D66026&quot;/&gt;&lt;wsp:rsid wsp:val=&quot;00D661C5&quot;/&gt;&lt;wsp:rsid wsp:val=&quot;00D75942&quot;/&gt;&lt;wsp:rsid wsp:val=&quot;00DB45F4&quot;/&gt;&lt;wsp:rsid wsp:val=&quot;00EF3966&quot;/&gt;&lt;wsp:rsid wsp:val=&quot;00F106E6&quot;/&gt;&lt;wsp:rsid wsp:val=&quot;00F6584F&quot;/&gt;&lt;wsp:rsid wsp:val=&quot;00F8636A&quot;/&gt;&lt;wsp:rsid wsp:val=&quot;00FC3678&quot;/&gt;&lt;wsp:rsid wsp:val=&quot;00FD061F&quot;/&gt;&lt;/wsp:rsids&gt;&lt;/w:docPr&gt;&lt;w:body&gt;&lt;wx:sect&gt;&lt;w:p wsp:rsidR=&quot;00354D02&quot; wsp:rsidRPr=&quot;00354D02&quot; wsp:rsidRDefault=&quot;00354D02&quot; wsp:rsidP=&quot;00354D02&quot;&gt;&lt;m:oMathPara&gt;&lt;m:oMathParaPr&gt;&lt;m:jc m:val=&quot;left&quot;/&gt;&lt;/m:oMathParaPr&gt;&lt;m:oMath&gt;&lt;m:r&gt;&lt;m:rPr&gt;&lt;m:sty m:val=&quot;bi&quot;/&gt;&lt;/m:rPr&gt;&lt;w:rPr&gt;&lt;w:rFonts w:ascii=&quot;Cambria Math&quot; w:h-ansi=&quot;Cambria Math&quot;/&gt;&lt;wx:font wx:val=&quot;Cambria Math&quot;/&gt;&lt;w:b/&gt;&lt;w:b-cs/&gt;&lt;w:i/&gt;&lt;w:sz w:val=&quot;16&quot;/&gt;&lt;w:sz-cs w:val=&quot;16&quot;/&gt;&lt;w:lang w:val=&quot;EN-GB&quot; w:fareast=&quot;FI&quot;/&gt;&lt;/w:rPr&gt;&lt;m:t&gt;BPCF&lt;/m:t&gt;&lt;/m:r&gt;&lt;m:r&gt;&lt;w:rPr&gt;&lt;w:rFonts w:ascii=&quot;Cambria Math&quot; w:h-ansi=&quot;Cambria Math&quot;/&gt;&lt;wx:font wx:val=&quot;Cambria Math&quot;/&gt;&lt;w:i/&gt;&lt;w:sz w:val=&quot;16&quot;/&gt;&lt;w:sz-cs w:val=&quot;16&quot;/&gt;&lt;w:lang w:val=&quot;EN-GB&quot; w:fareast=&quot;FI&quot;/&gt;&lt;/w:rPr&gt;&lt;m:t&gt;=&lt;/m:t&gt;&lt;/m:r&gt;&lt;m:f&gt;&lt;m:fPr&gt;&lt;m:ctrlPr&gt;&lt;w:rPr&gt;&lt;w:rFonts w:ascii=&quot;Cambria Math&quot; w:h-ansi=&quot;Cambria Math&quot;/&gt;&lt;wx:font wx:val=&quot;Cambria Math&quot;/&gt;&lt;w:i/&gt;&lt;w:sz w:val=&quot;16&quot;/&gt;&lt;w:sz-cs w:val=&quot;16&quot;/&gt;&lt;w:lang w:val=&quot;EN-GB&quot; w:fareast=&quot;FI&quot;/&gt;&lt;/w:rPr&gt;&lt;/m:ctrlPr&gt;&lt;/m:fPr&gt;&lt;m:num&gt;&lt;m:r&gt;&lt;m:rPr&gt;&lt;m:sty m:val=&quot;bi&quot;/&gt;&lt;/m:rPr&gt;&lt;w:rPr&gt;&lt;w:rFonts w:ascii=&quot;Cambria Math&quot; w:h-ansi=&quot;Cambria Math&quot;/&gt;&lt;wx:font wx:val=&quot;Cambria Math&quot;/&gt;&lt;w:b/&gt;&lt;w:b-cs/&gt;&lt;w:i/&gt;&lt;w:sz w:val=&quot;16&quot;/&gt;&lt;w:sz-cs w:val=&quot;16&quot;/&gt;&lt;w:lang w:val=&quot;EN-GB&quot; w:fareast=&quot;FI&quot;/&gt;&lt;/w:rPr&gt;&lt;m:t&gt;TAX&lt;/m:t&gt;&lt;/m:r&gt;&lt;m:r&gt;&lt;w:rPr&gt;&lt;w:rFonts w:ascii=&quot;Cambria Math&quot; w:h-ansi=&quot;Cambria Math&quot;/&gt;&lt;wx:font wx:val=&quot;Cambria Math&quot;/&gt;&lt;w:i/&gt;&lt;w:sz w:val=&quot;16&quot;/&gt;&lt;w:sz-cs w:val=&quot;16&quot;/&gt;&lt;w:lang w:val=&quot;EN-GB&quot; w:fareast=&quot;FI&quot;/&gt;&lt;/w:rPr&gt;&lt;m:t&gt;-&lt;/m:t&gt;&lt;/m:r&gt;&lt;m:r&gt;&lt;m:rPr&gt;&lt;m:sty m:val=&quot;bi&quot;/&gt;&lt;/m:rPr&gt;&lt;w:rPr&gt;&lt;w:rFonts w:ascii=&quot;Cambria Math&quot; w:h-ansi=&quot;Cambria Math&quot;/&gt;&lt;wx:font wx:val=&quot;Cambria Math&quot;/&gt;&lt;w:b/&gt;&lt;w:b-cs/&gt;&lt;w:i/&gt;&lt;w:sz w:val=&quot;16&quot;/&gt;&lt;w:sz-cs w:val=&quot;16&quot;/&gt;&lt;w:lang w:val=&quot;EN-GB&quot; w:fareast=&quot;FI&quot;/&gt;&lt;/w:rPr&gt;&lt;m:t&gt;SUB&lt;/m:t&gt;&lt;/m:r&gt;&lt;m:r&gt;&lt;w:rPr&gt;&lt;w:rFonts w:ascii=&quot;Cambria Math&quot; w:h-ansi=&quot;Cambria Math&quot;/&gt;&lt;wx:font wx:val=&quot;Cambria Math&quot;/&gt;&lt;w:i/&gt;&lt;w:sz w:val=&quot;16&quot;/&gt;&lt;w:sz-cs w:val=&quot;16&quot;/&gt;&lt;w:lang w:val=&quot;EN-GB&quot; w:fareast=&quot;FI&quot;/&gt;&lt;/w:rPr&gt;&lt;m:t&gt;+&lt;/m:t&gt;&lt;/m:r&gt;&lt;m:r&gt;&lt;m:rPr&gt;&lt;m:sty m:val=&quot;bi&quot;/&gt;&lt;/m:rPr&gt;&lt;w:rPr&gt;&lt;w:rFonts w:ascii=&quot;Cambria Math&quot; w:h-ansi=&quot;Cambria Math&quot;/&gt;&lt;wx:font wx:val=&quot;Cambria Math&quot;/&gt;&lt;w:b/&gt;&lt;w:b-cs/&gt;&lt;w:i/&gt;&lt;w:sz w:val=&quot;16&quot;/&gt;&lt;w:sz-cs w:val=&quot;16&quot;/&gt;&lt;w:lang w:val=&quot;EN-GB&quot; w:fareast=&quot;FI&quot;/&gt;&lt;/w:rPr&gt;&lt;m:t&gt;VAT&lt;/m:t&gt;&lt;/m:r&gt;&lt;m:r&gt;&lt;w:rPr&gt;&lt;w:rFonts w:ascii=&quot;Cambria Math&quot; w:h-ansi=&quot;Cambria Math&quot;/&gt;&lt;wx:font wx:val=&quot;Cambria Math&quot;/&gt;&lt;w:i/&gt;&lt;w:sz w:val=&quot;16&quot;/&gt;&lt;w:sz-cs w:val=&quot;16&quot;/&gt;&lt;w:lang w:val=&quot;EN-GB&quot; w:fareast=&quot;FI&quot;/&gt;&lt;/w:rPr&gt;&lt;m:t&gt;+&lt;/m:t&gt;&lt;/m:r&gt;&lt;m:r&gt;&lt;m:rPr&gt;&lt;m:sty m:val=&quot;bi&quot;/&gt;&lt;/m:rPr&gt;&lt;w:rPr&gt;&lt;w:rFonts w:ascii=&quot;Cambria Math&quot; w:h-ansi=&quot;Cambria Math&quot;/&gt;&lt;wx:font wx:val=&quot;Cambria Math&quot;/&gt;&lt;w:b/&gt;&lt;w:b-cs/&gt;&lt;w:i/&gt;&lt;w:sz w:val=&quot;16&quot;/&gt;&lt;w:sz-cs w:val=&quot;16&quot;/&gt;&lt;w:lang w:val=&quot;EN-GB&quot; w:fareast=&quot;FI&quot;/&gt;&lt;/w:rPr&gt;&lt;m:t&gt;TTM&lt;/m:t&gt;&lt;/m:r&gt;&lt;/m:num&gt;&lt;m:den&gt;&lt;m:r&gt;&lt;m:rPr&gt;&lt;m:sty m:val=&quot;bi&quot;/&gt;&lt;/m:rPr&gt;&lt;w:rPr&gt;&lt;w:rFonts w:ascii=&quot;Cambria Math&quot; w:h-ansi=&quot;Cambria Math&quot;/&gt;&lt;wx:font wx:val=&quot;Cambria Math&quot;/&gt;&lt;w:b/&gt;&lt;w:b-cs/&gt;&lt;w:i/&gt;&lt;w:sz w:val=&quot;16&quot;/&gt;&lt;w:sz-cs w:val=&quot;16&quot;/&gt;&lt;w:lang w:val=&quot;EN-GB&quot; w:fareast=&quot;FI&quot;/&gt;&lt;/w:rPr&gt;&lt;m:t&gt;SUP&lt;/m:t&gt;&lt;/m:r&gt;&lt;m:r&gt;&lt;w:rPr&gt;&lt;w:rFonts w:ascii=&quot;Cambria Math&quot; w:h-ansi=&quot;Cambria Math&quot;/&gt;&lt;wx:font wx:val=&quot;Cambria Math&quot;/&gt;&lt;w:i/&gt;&lt;w:sz w:val=&quot;16&quot;/&gt;&lt;w:sz-cs w:val=&quot;16&quot;/&gt;&lt;w:lang w:val=&quot;EN-GB&quot; w:fareast=&quot;FI&quot;/&gt;&lt;/w:rPr&gt;&lt;m:t&gt;+&lt;/m:t&gt;&lt;/m:r&gt;&lt;m:r&gt;&lt;m:rPr&gt;&lt;m:sty m:val=&quot;bi&quot;/&gt;&lt;/m:rPr&gt;&lt;w:rPr&gt;&lt;w:rFonts w:ascii=&quot;Cambria Math&quot; w:h-ansi=&quot;Cambria Math&quot;/&gt;&lt;wx:font wx:val=&quot;Cambria Math&quot;/&gt;&lt;w:b/&gt;&lt;w:b-cs/&gt;&lt;w:i/&gt;&lt;w:sz w:val=&quot;16&quot;/&gt;&lt;w:sz-cs w:val=&quot;16&quot;/&gt;&lt;w:lang w:val=&quot;EN-GB&quot; w:fareast=&quot;FI&quot;/&gt;&lt;/w:rPr&gt;&lt;m:t&gt;TAX&lt;/m:t&gt;&lt;/m:r&gt;&lt;m:r&gt;&lt;w:rPr&gt;&lt;w:rFonts w:ascii=&quot;Cambria Math&quot; w:h-ansi=&quot;Cambria Math&quot;/&gt;&lt;wx:font wx:val=&quot;Cambria Math&quot;/&gt;&lt;w:i/&gt;&lt;w:sz w:val=&quot;16&quot;/&gt;&lt;w:sz-cs w:val=&quot;16&quot;/&gt;&lt;w:lang w:val=&quot;EN-GB&quot; w:fareast=&quot;FI&quot;/&gt;&lt;/w:rPr&gt;&lt;m:t&gt;-&lt;/m:t&gt;&lt;/m:r&gt;&lt;m:r&gt;&lt;m:rPr&gt;&lt;m:sty m:val=&quot;bi&quot;/&gt;&lt;/m:rPr&gt;&lt;w:rPr&gt;&lt;w:rFonts w:ascii=&quot;Cambria Math&quot; w:h-ansi=&quot;Cambria Math&quot;/&gt;&lt;wx:font wx:val=&quot;Cambria Math&quot;/&gt;&lt;w:b/&gt;&lt;w:b-cs/&gt;&lt;w:i/&gt;&lt;w:sz w:val=&quot;16&quot;/&gt;&lt;w:sz-cs w:val=&quot;16&quot;/&gt;&lt;w:lang w:val=&quot;EN-GB&quot; w:fareast=&quot;FI&quot;/&gt;&lt;/w:rPr&gt;&lt;m:t&gt;SUB&lt;/m:t&gt;&lt;/m:r&gt;&lt;m:r&gt;&lt;w:rPr&gt;&lt;w:rFonts w:ascii=&quot;Cambria Math&quot; w:h-ansi=&quot;Cambria Math&quot;/&gt;&lt;wx:font wx:val=&quot;Cambria Math&quot;/&gt;&lt;w:i/&gt;&lt;w:sz w:val=&quot;16&quot;/&gt;&lt;w:sz-cs w:val=&quot;16&quot;/&gt;&lt;w:lang w:val=&quot;EN-GB&quot; w:fareast=&quot;FI&quot;/&gt;&lt;/w:rPr&gt;&lt;m:t&gt;+&lt;/m:t&gt;&lt;/m:r&gt;&lt;m:r&gt;&lt;m:rPr&gt;&lt;m:sty m:val=&quot;bi&quot;/&gt;&lt;/m:rPr&gt;&lt;w:rPr&gt;&lt;w:rFonts w:ascii=&quot;Cambria Math&quot; w:h-ansi=&quot;Cambria Math&quot;/&gt;&lt;wx:font wx:val=&quot;Cambria Math&quot;/&gt;&lt;w:b/&gt;&lt;w:b-cs/&gt;&lt;w:i/&gt;&lt;w:sz w:val=&quot;16&quot;/&gt;&lt;w:sz-cs w:val=&quot;16&quot;/&gt;&lt;w:lang w:val=&quot;EN-GB&quot; w:fareast=&quot;FI&quot;/&gt;&lt;/w:rPr&gt;&lt;m:t&gt;VAT&lt;/m:t&gt;&lt;/m:r&gt;&lt;m:r&gt;&lt;w:rPr&gt;&lt;w:rFonts w:ascii=&quot;Cambria Math&quot; w:h-ansi=&quot;Cambria Math&quot;/&gt;&lt;wx:font wx:val=&quot;Cambria Math&quot;/&gt;&lt;w:i/&gt;&lt;w:sz w:val=&quot;16&quot;/&gt;&lt;w:sz-cs w:val=&quot;16&quot;/&gt;&lt;w:lang w:val=&quot;EN-GB&quot; w:fareast=&quot;FI&quot;/&gt;&lt;/w:rPr&gt;&lt;m:t&gt;+&lt;/m:t&gt;&lt;/m:r&gt;&lt;m:r&gt;&lt;m:rPr&gt;&lt;m:sty m:val=&quot;bi&quot;/&gt;&lt;/m:rPr&gt;&lt;w:rPr&gt;&lt;w:rFonts w:ascii=&quot;Cambria Math&quot; w:h-ansi=&quot;Cambria Math&quot;/&gt;&lt;wx:font wx:val=&quot;Cambria Math&quot;/&gt;&lt;w:b/&gt;&lt;w:b-cs/&gt;&lt;w:i/&gt;&lt;w:sz w:val=&quot;16&quot;/&gt;&lt;w:sz-cs w:val=&quot;16&quot;/&gt;&lt;w:lang w:val=&quot;EN-GB&quot; w:fareast=&quot;FI&quot;/&gt;&lt;/w:rPr&gt;&lt;m:t&gt;TTM&lt;/m:t&gt;&lt;/m:r&gt;&lt;/m:den&gt;&lt;/m:f&gt;&lt;/m:oMath&gt;&lt;/m:oMathPara&gt;&lt;/w:p&gt;&lt;w:sectPr wsp:rsidR=&quot;00000000&quot; wsp:rsidRPr=&quot;00354D02&quot;&gt;&lt;w:pgSz w:w=&quot;12240&quot; w:h=&quot;15840&quot;/&gt;&lt;w:pgMar w:top=&quot;1440&quot; w:right=&quot;1440&quot; w:bottom=&quot;1440&quot; w:left=&quot;1440&quot; w:header=&quot;708&quot; w:footer=&quot;708&quot; w:gutter=&quot;0&quot;/&gt;&lt;w:cols w:space=&quot;708&quot;/&gt;&lt;/w:sectPr&gt;&lt;/wx:sect&gt;&lt;/w:body&gt;&lt;/w:wordDocument&gt;">
                  <v:imagedata r:id="rId18" o:title="" chromakey="white"/>
                </v:shape>
              </w:pict>
            </w:r>
          </w:p>
        </w:tc>
        <w:tc>
          <w:tcPr>
            <w:tcW w:w="3345" w:type="dxa"/>
          </w:tcPr>
          <w:p w14:paraId="7F676DBE" w14:textId="77777777" w:rsidR="00CD7887" w:rsidRPr="000D70CC" w:rsidRDefault="00CD7887" w:rsidP="000D70CC">
            <w:pPr>
              <w:jc w:val="both"/>
              <w:rPr>
                <w:rFonts w:eastAsia="Calibri"/>
                <w:color w:val="000000"/>
                <w:sz w:val="16"/>
                <w:szCs w:val="16"/>
                <w:lang w:val="en-GB" w:eastAsia="fi-FI"/>
              </w:rPr>
            </w:pPr>
            <w:r w:rsidRPr="000D70CC">
              <w:rPr>
                <w:rFonts w:eastAsia="Calibri"/>
                <w:color w:val="000000"/>
                <w:sz w:val="16"/>
                <w:szCs w:val="16"/>
                <w:lang w:val="en-GB" w:eastAsia="fi-FI"/>
              </w:rPr>
              <w:t>BPCF = Basic price conversion factor</w:t>
            </w:r>
          </w:p>
          <w:p w14:paraId="3DE9FC0C" w14:textId="77777777" w:rsidR="00CD7887" w:rsidRPr="000D70CC" w:rsidRDefault="00CD7887" w:rsidP="000D70CC">
            <w:pPr>
              <w:jc w:val="both"/>
              <w:rPr>
                <w:rFonts w:eastAsia="Calibri"/>
                <w:color w:val="000000"/>
                <w:sz w:val="16"/>
                <w:szCs w:val="16"/>
                <w:lang w:val="en-GB" w:eastAsia="fi-FI"/>
              </w:rPr>
            </w:pPr>
            <w:r w:rsidRPr="000D70CC">
              <w:rPr>
                <w:rFonts w:eastAsia="Calibri"/>
                <w:color w:val="000000"/>
                <w:sz w:val="16"/>
                <w:szCs w:val="16"/>
                <w:lang w:val="en-GB" w:eastAsia="fi-FI"/>
              </w:rPr>
              <w:t>TAX = Taxes on products excluding invoiced VAT</w:t>
            </w:r>
          </w:p>
          <w:p w14:paraId="54773319" w14:textId="77777777" w:rsidR="00CD7887" w:rsidRPr="000D70CC" w:rsidRDefault="00CD7887" w:rsidP="000D70CC">
            <w:pPr>
              <w:jc w:val="both"/>
              <w:rPr>
                <w:rFonts w:eastAsia="Calibri"/>
                <w:color w:val="000000"/>
                <w:sz w:val="16"/>
                <w:szCs w:val="16"/>
                <w:lang w:val="en-GB" w:eastAsia="fi-FI"/>
              </w:rPr>
            </w:pPr>
            <w:r w:rsidRPr="000D70CC">
              <w:rPr>
                <w:rFonts w:eastAsia="Calibri"/>
                <w:color w:val="000000"/>
                <w:sz w:val="16"/>
                <w:szCs w:val="16"/>
                <w:lang w:val="en-GB" w:eastAsia="fi-FI"/>
              </w:rPr>
              <w:t>SUB = Subsidies on products</w:t>
            </w:r>
          </w:p>
          <w:p w14:paraId="7BF01EA5" w14:textId="77777777" w:rsidR="00CD7887" w:rsidRPr="000D70CC" w:rsidRDefault="00CD7887" w:rsidP="000D70CC">
            <w:pPr>
              <w:jc w:val="both"/>
              <w:rPr>
                <w:rFonts w:eastAsia="Calibri"/>
                <w:color w:val="000000"/>
                <w:sz w:val="16"/>
                <w:szCs w:val="16"/>
                <w:lang w:val="en-GB" w:eastAsia="fi-FI"/>
              </w:rPr>
            </w:pPr>
            <w:r w:rsidRPr="000D70CC">
              <w:rPr>
                <w:rFonts w:eastAsia="Calibri"/>
                <w:color w:val="000000"/>
                <w:sz w:val="16"/>
                <w:szCs w:val="16"/>
                <w:lang w:val="en-GB" w:eastAsia="fi-FI"/>
              </w:rPr>
              <w:t>VAT = VAT not deductible by the purchaser</w:t>
            </w:r>
          </w:p>
          <w:p w14:paraId="45D4949B" w14:textId="77777777" w:rsidR="00CD7887" w:rsidRPr="000D70CC" w:rsidRDefault="00CD7887" w:rsidP="000D70CC">
            <w:pPr>
              <w:jc w:val="both"/>
              <w:rPr>
                <w:rFonts w:eastAsia="Calibri"/>
                <w:color w:val="000000"/>
                <w:sz w:val="16"/>
                <w:szCs w:val="16"/>
                <w:lang w:val="en-GB" w:eastAsia="fi-FI"/>
              </w:rPr>
            </w:pPr>
            <w:r w:rsidRPr="000D70CC">
              <w:rPr>
                <w:rFonts w:eastAsia="Calibri"/>
                <w:color w:val="000000"/>
                <w:sz w:val="16"/>
                <w:szCs w:val="16"/>
                <w:lang w:val="en-GB" w:eastAsia="fi-FI"/>
              </w:rPr>
              <w:t>TTM = Trade and transport margins</w:t>
            </w:r>
          </w:p>
          <w:p w14:paraId="0755D11C" w14:textId="77777777" w:rsidR="00CD7887" w:rsidRPr="000D70CC" w:rsidRDefault="00CD7887" w:rsidP="000D70CC">
            <w:pPr>
              <w:jc w:val="both"/>
              <w:rPr>
                <w:rFonts w:eastAsia="Calibri"/>
                <w:color w:val="000000"/>
                <w:sz w:val="16"/>
                <w:szCs w:val="16"/>
                <w:lang w:val="en-GB" w:eastAsia="fi-FI"/>
              </w:rPr>
            </w:pPr>
            <w:r w:rsidRPr="000D70CC">
              <w:rPr>
                <w:rFonts w:eastAsia="Calibri"/>
                <w:color w:val="000000"/>
                <w:sz w:val="16"/>
                <w:szCs w:val="16"/>
                <w:lang w:val="en-GB" w:eastAsia="fi-FI"/>
              </w:rPr>
              <w:t>SUP = Total supply per sector</w:t>
            </w:r>
          </w:p>
          <w:p w14:paraId="0243C7A3" w14:textId="77777777" w:rsidR="00CD7887" w:rsidRPr="000D70CC" w:rsidRDefault="00CD7887" w:rsidP="000D70CC">
            <w:pPr>
              <w:jc w:val="both"/>
              <w:rPr>
                <w:rFonts w:eastAsia="Calibri"/>
                <w:color w:val="000000"/>
                <w:sz w:val="16"/>
                <w:szCs w:val="16"/>
                <w:lang w:val="en-GB" w:eastAsia="fi-FI"/>
              </w:rPr>
            </w:pPr>
          </w:p>
        </w:tc>
      </w:tr>
      <w:tr w:rsidR="00CD7887" w:rsidRPr="000A2DBE" w14:paraId="07D4D9BB" w14:textId="77777777" w:rsidTr="000D70CC">
        <w:tc>
          <w:tcPr>
            <w:tcW w:w="2336" w:type="dxa"/>
          </w:tcPr>
          <w:p w14:paraId="4504B149" w14:textId="77777777" w:rsidR="00CD7887" w:rsidRPr="000D70CC" w:rsidRDefault="00CD7887" w:rsidP="000D70CC">
            <w:pPr>
              <w:rPr>
                <w:rFonts w:eastAsia="Calibri"/>
                <w:b/>
                <w:bCs/>
                <w:color w:val="000000"/>
                <w:sz w:val="16"/>
                <w:szCs w:val="16"/>
                <w:lang w:val="en-GB" w:eastAsia="fi-FI"/>
              </w:rPr>
            </w:pPr>
            <w:r w:rsidRPr="000D70CC">
              <w:rPr>
                <w:rFonts w:eastAsia="Calibri"/>
                <w:b/>
                <w:bCs/>
                <w:color w:val="000000"/>
                <w:sz w:val="16"/>
                <w:szCs w:val="16"/>
                <w:lang w:val="en-GB" w:eastAsia="fi-FI"/>
              </w:rPr>
              <w:t>Final harmonization of financial accounting prices including inflation and basic price adjustments.</w:t>
            </w:r>
          </w:p>
        </w:tc>
        <w:tc>
          <w:tcPr>
            <w:tcW w:w="3345" w:type="dxa"/>
          </w:tcPr>
          <w:p w14:paraId="6012121D" w14:textId="77777777" w:rsidR="00CD7887" w:rsidRPr="000D70CC" w:rsidRDefault="003B602A" w:rsidP="000D70CC">
            <w:pPr>
              <w:jc w:val="both"/>
              <w:rPr>
                <w:rFonts w:eastAsia="Calibri"/>
                <w:color w:val="000000"/>
                <w:sz w:val="16"/>
                <w:szCs w:val="16"/>
                <w:lang w:val="en-GB" w:eastAsia="fi-FI"/>
              </w:rPr>
            </w:pPr>
            <w:r>
              <w:rPr>
                <w:rFonts w:ascii="Calibri" w:eastAsia="Calibri" w:hAnsi="Calibri"/>
                <w:color w:val="000000"/>
                <w:sz w:val="22"/>
                <w:szCs w:val="22"/>
              </w:rPr>
              <w:pict w14:anchorId="2C750893">
                <v:shape id="_x0000_i1033" type="#_x0000_t75" style="width:100.25pt;height:9.9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20&quot;/&gt;&lt;w:stylePaneFormatFilter w:val=&quot;3F01&quot;/&gt;&lt;w:defaultTabStop w:val=&quot;720&quot;/&gt;&lt;w:displayHorizontalDrawingGridEvery w:val=&quot;0&quot;/&gt;&lt;w:displayVerticalDrawingGridEvery w:val=&quot;0&quot;/&gt;&lt;w:useMarginsForDrawingGridOrigin/&gt;&lt;w:characterSpacingControl w:val=&quot;DontCompress&quot;/&gt;&lt;w:optimizeForBrowser/&gt;&lt;w:targetScreenSz w:val=&quot;800x600&quot;/&gt;&lt;w:validateAgainstSchema/&gt;&lt;w:saveInvalidXML w:val=&quot;off&quot;/&gt;&lt;w:ignoreMixedContent w:val=&quot;off&quot;/&gt;&lt;w:alwaysShowPlaceholderText w:val=&quot;off&quot;/&gt;&lt;w:compat&gt;&lt;w:footnoteLayoutLikeWW8/&gt;&lt;w:shapeLayoutLikeWW8/&gt;&lt;w:alignTablesRowByRow/&gt;&lt;w:forgetLastTabAlignment/&gt;&lt;w:doNotUseHTMLParagraphAutoSpacing/&gt;&lt;w:layoutRawTableWidth/&gt;&lt;w:layoutTableRowsApart/&gt;&lt;w:useWord97LineBreakingRules/&gt;&lt;w:dontAllowFieldEndSelect/&gt;&lt;w:useWord2002TableStyleRules/&gt;&lt;w:useFELayout/&gt;&lt;/w:compat&gt;&lt;wsp:rsids&gt;&lt;wsp:rsidRoot wsp:val=&quot;00FC3678&quot;/&gt;&lt;wsp:rsid wsp:val=&quot;00013D1E&quot;/&gt;&lt;wsp:rsid wsp:val=&quot;00026AC0&quot;/&gt;&lt;wsp:rsid wsp:val=&quot;0005253F&quot;/&gt;&lt;wsp:rsid wsp:val=&quot;000C1B25&quot;/&gt;&lt;wsp:rsid wsp:val=&quot;000E1EDA&quot;/&gt;&lt;wsp:rsid wsp:val=&quot;00127752&quot;/&gt;&lt;wsp:rsid wsp:val=&quot;00140520&quot;/&gt;&lt;wsp:rsid wsp:val=&quot;00151F63&quot;/&gt;&lt;wsp:rsid wsp:val=&quot;00164C58&quot;/&gt;&lt;wsp:rsid wsp:val=&quot;00177180&quot;/&gt;&lt;wsp:rsid wsp:val=&quot;001B0CD6&quot;/&gt;&lt;wsp:rsid wsp:val=&quot;001E2393&quot;/&gt;&lt;wsp:rsid wsp:val=&quot;00210627&quot;/&gt;&lt;wsp:rsid wsp:val=&quot;00244AEE&quot;/&gt;&lt;wsp:rsid wsp:val=&quot;0026556F&quot;/&gt;&lt;wsp:rsid wsp:val=&quot;00281931&quot;/&gt;&lt;wsp:rsid wsp:val=&quot;00296293&quot;/&gt;&lt;wsp:rsid wsp:val=&quot;002B5979&quot;/&gt;&lt;wsp:rsid wsp:val=&quot;002D46CC&quot;/&gt;&lt;wsp:rsid wsp:val=&quot;00305A60&quot;/&gt;&lt;wsp:rsid wsp:val=&quot;00312C21&quot;/&gt;&lt;wsp:rsid wsp:val=&quot;003328E4&quot;/&gt;&lt;wsp:rsid wsp:val=&quot;00355DDD&quot;/&gt;&lt;wsp:rsid wsp:val=&quot;00392495&quot;/&gt;&lt;wsp:rsid wsp:val=&quot;003C1271&quot;/&gt;&lt;wsp:rsid wsp:val=&quot;003C1639&quot;/&gt;&lt;wsp:rsid wsp:val=&quot;00405228&quot;/&gt;&lt;wsp:rsid wsp:val=&quot;0043029D&quot;/&gt;&lt;wsp:rsid wsp:val=&quot;00437604&quot;/&gt;&lt;wsp:rsid wsp:val=&quot;00470259&quot;/&gt;&lt;wsp:rsid wsp:val=&quot;004F406C&quot;/&gt;&lt;wsp:rsid wsp:val=&quot;005041EC&quot;/&gt;&lt;wsp:rsid wsp:val=&quot;005053C2&quot;/&gt;&lt;wsp:rsid wsp:val=&quot;00516DD8&quot;/&gt;&lt;wsp:rsid wsp:val=&quot;005212CA&quot;/&gt;&lt;wsp:rsid wsp:val=&quot;005342AF&quot;/&gt;&lt;wsp:rsid wsp:val=&quot;00541604&quot;/&gt;&lt;wsp:rsid wsp:val=&quot;005537D1&quot;/&gt;&lt;wsp:rsid wsp:val=&quot;00575E0A&quot;/&gt;&lt;wsp:rsid wsp:val=&quot;00637D84&quot;/&gt;&lt;wsp:rsid wsp:val=&quot;0067182A&quot;/&gt;&lt;wsp:rsid wsp:val=&quot;00694D2D&quot;/&gt;&lt;wsp:rsid wsp:val=&quot;006E2334&quot;/&gt;&lt;wsp:rsid wsp:val=&quot;00792F07&quot;/&gt;&lt;wsp:rsid wsp:val=&quot;007A518D&quot;/&gt;&lt;wsp:rsid wsp:val=&quot;007F4644&quot;/&gt;&lt;wsp:rsid wsp:val=&quot;007F7B33&quot;/&gt;&lt;wsp:rsid wsp:val=&quot;00861C5D&quot;/&gt;&lt;wsp:rsid wsp:val=&quot;008929D7&quot;/&gt;&lt;wsp:rsid wsp:val=&quot;008A2B05&quot;/&gt;&lt;wsp:rsid wsp:val=&quot;008B1F6A&quot;/&gt;&lt;wsp:rsid wsp:val=&quot;008E0C5F&quot;/&gt;&lt;wsp:rsid wsp:val=&quot;008F3AD9&quot;/&gt;&lt;wsp:rsid wsp:val=&quot;00925C6A&quot;/&gt;&lt;wsp:rsid wsp:val=&quot;00957CB3&quot;/&gt;&lt;wsp:rsid wsp:val=&quot;009618A6&quot;/&gt;&lt;wsp:rsid wsp:val=&quot;009A31CE&quot;/&gt;&lt;wsp:rsid wsp:val=&quot;009B445B&quot;/&gt;&lt;wsp:rsid wsp:val=&quot;009D7C33&quot;/&gt;&lt;wsp:rsid wsp:val=&quot;009F5CBF&quot;/&gt;&lt;wsp:rsid wsp:val=&quot;00A0155D&quot;/&gt;&lt;wsp:rsid wsp:val=&quot;00A91307&quot;/&gt;&lt;wsp:rsid wsp:val=&quot;00AB3506&quot;/&gt;&lt;wsp:rsid wsp:val=&quot;00AD12A1&quot;/&gt;&lt;wsp:rsid wsp:val=&quot;00B7251F&quot;/&gt;&lt;wsp:rsid wsp:val=&quot;00B82850&quot;/&gt;&lt;wsp:rsid wsp:val=&quot;00BB6867&quot;/&gt;&lt;wsp:rsid wsp:val=&quot;00BC4005&quot;/&gt;&lt;wsp:rsid wsp:val=&quot;00BD34DF&quot;/&gt;&lt;wsp:rsid wsp:val=&quot;00C03D2D&quot;/&gt;&lt;wsp:rsid wsp:val=&quot;00C22841&quot;/&gt;&lt;wsp:rsid wsp:val=&quot;00C646B1&quot;/&gt;&lt;wsp:rsid wsp:val=&quot;00C90CAF&quot;/&gt;&lt;wsp:rsid wsp:val=&quot;00C97586&quot;/&gt;&lt;wsp:rsid wsp:val=&quot;00CA6730&quot;/&gt;&lt;wsp:rsid wsp:val=&quot;00CB71D6&quot;/&gt;&lt;wsp:rsid wsp:val=&quot;00CD7887&quot;/&gt;&lt;wsp:rsid wsp:val=&quot;00CE02CB&quot;/&gt;&lt;wsp:rsid wsp:val=&quot;00D66026&quot;/&gt;&lt;wsp:rsid wsp:val=&quot;00D661C5&quot;/&gt;&lt;wsp:rsid wsp:val=&quot;00D75942&quot;/&gt;&lt;wsp:rsid wsp:val=&quot;00DB45F4&quot;/&gt;&lt;wsp:rsid wsp:val=&quot;00EF3966&quot;/&gt;&lt;wsp:rsid wsp:val=&quot;00F106E6&quot;/&gt;&lt;wsp:rsid wsp:val=&quot;00F6584F&quot;/&gt;&lt;wsp:rsid wsp:val=&quot;00F8636A&quot;/&gt;&lt;wsp:rsid wsp:val=&quot;00FC3678&quot;/&gt;&lt;wsp:rsid wsp:val=&quot;00FD061F&quot;/&gt;&lt;/wsp:rsids&gt;&lt;/w:docPr&gt;&lt;w:body&gt;&lt;wx:sect&gt;&lt;w:p wsp:rsidR=&quot;003C1271&quot; wsp:rsidRPr=&quot;003C1271&quot; wsp:rsidRDefault=&quot;003C1271&quot; wsp:rsidP=&quot;003C1271&quot;&gt;&lt;m:oMathPara&gt;&lt;m:oMathParaPr&gt;&lt;m:jc m:val=&quot;left&quot;/&gt;&lt;/m:oMathParaPr&gt;&lt;m:oMath&gt;&lt;m:r&gt;&lt;m:rPr&gt;&lt;m:sty m:val=&quot;bi&quot;/&gt;&lt;/m:rPr&gt;&lt;w:rPr&gt;&lt;w:rFonts w:ascii=&quot;Cambria Math&quot; w:h-ansi=&quot;Cambria Math&quot;/&gt;&lt;wx:font wx:val=&quot;Cambria Math&quot;/&gt;&lt;w:b/&gt;&lt;w:b-cs/&gt;&lt;w:i/&gt;&lt;w:sz w:val=&quot;16&quot;/&gt;&lt;w:sz-cs w:val=&quot;16&quot;/&gt;&lt;w:lang w:val=&quot;EN-GB&quot; w:fareast=&quot;FI&quot;/&gt;&lt;/w:rPr&gt;&lt;m:t&gt;HP&lt;/m:t&gt;&lt;/m:r&gt;&lt;m:r&gt;&lt;w:rPr&gt;&lt;w:rFonts w:ascii=&quot;Cambria Math&quot; w:h-ansi=&quot;Cambria Math&quot;/&gt;&lt;wx:font wx:val=&quot;Cambria Math&quot;/&gt;&lt;w:i/&gt;&lt;w:sz w:val=&quot;16&quot;/&gt;&lt;w:sz-cs w:val=&quot;16&quot;/&gt;&lt;w:lang w:val=&quot;EN-GB&quot; w:fareast=&quot;FI&quot;/&gt;&lt;/w:rPr&gt;&lt;m:t&gt;=&lt;/m:t&gt;&lt;/m:r&gt;&lt;m:r&gt;&lt;m:rPr&gt;&lt;m:sty m:val=&quot;bi&quot;/&gt;&lt;/m:rPr&gt;&lt;w:rPr&gt;&lt;w:rFonts w:ascii=&quot;Cambria Math&quot; w:h-ansi=&quot;Cambria Math&quot;/&gt;&lt;wx:font wx:val=&quot;Cambria Math&quot;/&gt;&lt;w:b/&gt;&lt;w:b-cs/&gt;&lt;w:i/&gt;&lt;w:sz w:val=&quot;16&quot;/&gt;&lt;w:sz-cs w:val=&quot;16&quot;/&gt;&lt;w:lang w:val=&quot;EN-GB&quot; w:fareast=&quot;FI&quot;/&gt;&lt;/w:rPr&gt;&lt;m:t&gt;IAP&lt;/m:t&gt;&lt;/m:r&gt;&lt;m:r&gt;&lt;w:rPr&gt;&lt;w:rFonts w:ascii=&quot;Cambria Math&quot; w:h-ansi=&quot;Cambria Math&quot;/&gt;&lt;wx:font wx:val=&quot;Cambria Math&quot;/&gt;&lt;w:i/&gt;&lt;w:sz w:val=&quot;16&quot;/&gt;&lt;w:sz-cs w:val=&quot;16&quot;/&gt;&lt;w:lang w:val=&quot;EN-GB&quot; w:fareast=&quot;FI&quot;/&gt;&lt;/w:rPr&gt;&lt;m:t&gt;-(&lt;/m:t&gt;&lt;/m:r&gt;&lt;m:r&gt;&lt;m:rPr&gt;&lt;m:sty m:val=&quot;bi&quot;/&gt;&lt;/m:rPr&gt;&lt;w:rPr&gt;&lt;w:rFonts w:ascii=&quot;Cambria Math&quot; w:h-ansi=&quot;Cambria Math&quot;/&gt;&lt;wx:font wx:val=&quot;Cambria Math&quot;/&gt;&lt;w:b/&gt;&lt;w:b-cs/&gt;&lt;w:i/&gt;&lt;w:sz w:val=&quot;16&quot;/&gt;&lt;w:sz-cs w:val=&quot;16&quot;/&gt;&lt;w:lang w:val=&quot;EN-GB&quot; w:fareast=&quot;FI&quot;/&gt;&lt;/w:rPr&gt;&lt;m:t&gt;IAP&lt;/m:t&gt;&lt;/m:r&gt;&lt;m:r&gt;&lt;w:rPr&gt;&lt;w:rFonts w:ascii=&quot;Cambria Math&quot; w:h-ansi=&quot;Cambria Math&quot;/&gt;&lt;wx:font wx:val=&quot;Cambria Math&quot;/&gt;&lt;w:i/&gt;&lt;w:sz w:val=&quot;16&quot;/&gt;&lt;w:sz-cs w:val=&quot;16&quot;/&gt;&lt;w:lang w:val=&quot;EN-GB&quot; w:fareast=&quot;FI&quot;/&gt;&lt;/w:rPr&gt;&lt;m:t&gt; Ã—&lt;/m:t&gt;&lt;/m:r&gt;&lt;m:r&gt;&lt;m:rPr&gt;&lt;m:sty m:val=&quot;bi&quot;/&gt;&lt;/m:rPr&gt;&lt;w:rPr&gt;&lt;w:rFonts w:ascii=&quot;Cambria Math&quot; w:h-ansi=&quot;Cambria Math&quot;/&gt;&lt;wx:font wx:val=&quot;Cambria Math&quot;/&gt;&lt;w:b/&gt;&lt;w:b-cs/&gt;&lt;w:i/&gt;&lt;w:sz w:val=&quot;16&quot;/&gt;&lt;w:sz-cs w:val=&quot;16&quot;/&gt;&lt;w:lang w:val=&quot;EN-GB&quot; w:fareast=&quot;FI&quot;/&gt;&lt;/w:rPr&gt;&lt;m:t&gt;BPCF&lt;/m:t&gt;&lt;/m:r&gt;&lt;m:r&gt;&lt;w:rPr&gt;&lt;w:rFonts w:ascii=&quot;Cambria Math&quot; w:h-ansi=&quot;Cambria Math&quot;/&gt;&lt;wx:font wx:val=&quot;Cambria Math&quot;/&gt;&lt;w:i/&gt;&lt;w:sz w:val=&quot;16&quot;/&gt;&lt;w:sz-cs w:val=&quot;16&quot;/&gt;&lt;w:lang w:val=&quot;EN-GB&quot; w:fareast=&quot;FI&quot;/&gt;&lt;/w:rPr&gt;&lt;m:t&gt;)&lt;/m:t&gt;&lt;/m:r&gt;&lt;/m:oMath&gt;&lt;/m:oMathPara&gt;&lt;/w:p&gt;&lt;w:sectPr wsp:rsidR=&quot;00000000&quot; wsp:rsidRPr=&quot;003C1271&quot;&gt;&lt;w:pgSz w:w=&quot;12240&quot; w:h=&quot;15840&quot;/&gt;&lt;w:pgMar w:top=&quot;1440&quot; w:right=&quot;1440&quot; w:bottom=&quot;1440&quot; w:left=&quot;1440&quot; w:header=&quot;708&quot; w:footer=&quot;708&quot; w:gutter=&quot;0&quot;/&gt;&lt;w:cols w:space=&quot;708&quot;/&gt;&lt;/w:sectPr&gt;&lt;/wx:sect&gt;&lt;/w:body&gt;&lt;/w:wordDocument&gt;">
                  <v:imagedata r:id="rId19" o:title="" chromakey="white"/>
                </v:shape>
              </w:pict>
            </w:r>
          </w:p>
        </w:tc>
        <w:tc>
          <w:tcPr>
            <w:tcW w:w="3345" w:type="dxa"/>
          </w:tcPr>
          <w:p w14:paraId="304DBF26" w14:textId="77777777" w:rsidR="00CD7887" w:rsidRPr="000D70CC" w:rsidRDefault="00CD7887" w:rsidP="000D70CC">
            <w:pPr>
              <w:jc w:val="both"/>
              <w:rPr>
                <w:rFonts w:eastAsia="Calibri"/>
                <w:color w:val="000000"/>
                <w:sz w:val="16"/>
                <w:szCs w:val="16"/>
                <w:lang w:val="en-GB" w:eastAsia="fi-FI"/>
              </w:rPr>
            </w:pPr>
            <w:r w:rsidRPr="000D70CC">
              <w:rPr>
                <w:rFonts w:eastAsia="Calibri"/>
                <w:color w:val="000000"/>
                <w:sz w:val="16"/>
                <w:szCs w:val="16"/>
                <w:lang w:val="en-GB" w:eastAsia="fi-FI"/>
              </w:rPr>
              <w:t>HP = Harmonized price</w:t>
            </w:r>
          </w:p>
          <w:p w14:paraId="31AADBC3" w14:textId="77777777" w:rsidR="00CD7887" w:rsidRPr="000D70CC" w:rsidRDefault="00CD7887" w:rsidP="000D70CC">
            <w:pPr>
              <w:jc w:val="both"/>
              <w:rPr>
                <w:rFonts w:eastAsia="Calibri"/>
                <w:color w:val="000000"/>
                <w:sz w:val="16"/>
                <w:szCs w:val="16"/>
                <w:lang w:val="en-GB" w:eastAsia="fi-FI"/>
              </w:rPr>
            </w:pPr>
            <w:r w:rsidRPr="000D70CC">
              <w:rPr>
                <w:rFonts w:eastAsia="Calibri"/>
                <w:color w:val="000000"/>
                <w:sz w:val="16"/>
                <w:szCs w:val="16"/>
                <w:lang w:val="en-GB" w:eastAsia="fi-FI"/>
              </w:rPr>
              <w:t>IAP = Inflation adjusted price</w:t>
            </w:r>
          </w:p>
          <w:p w14:paraId="02BDA235" w14:textId="77777777" w:rsidR="00CD7887" w:rsidRPr="000D70CC" w:rsidRDefault="00CD7887" w:rsidP="000D70CC">
            <w:pPr>
              <w:jc w:val="both"/>
              <w:rPr>
                <w:rFonts w:eastAsia="Calibri"/>
                <w:color w:val="000000"/>
                <w:sz w:val="16"/>
                <w:szCs w:val="16"/>
                <w:lang w:val="en-GB" w:eastAsia="fi-FI"/>
              </w:rPr>
            </w:pPr>
            <w:r w:rsidRPr="000D70CC">
              <w:rPr>
                <w:rFonts w:eastAsia="Calibri"/>
                <w:color w:val="000000"/>
                <w:sz w:val="16"/>
                <w:szCs w:val="16"/>
                <w:lang w:val="en-GB" w:eastAsia="fi-FI"/>
              </w:rPr>
              <w:t>FAP = Financial account price</w:t>
            </w:r>
          </w:p>
          <w:p w14:paraId="400480FA" w14:textId="77777777" w:rsidR="00CD7887" w:rsidRPr="000D70CC" w:rsidRDefault="00CD7887" w:rsidP="000D70CC">
            <w:pPr>
              <w:jc w:val="both"/>
              <w:rPr>
                <w:rFonts w:eastAsia="Calibri"/>
                <w:color w:val="000000"/>
                <w:sz w:val="16"/>
                <w:szCs w:val="16"/>
                <w:lang w:val="en-GB" w:eastAsia="fi-FI"/>
              </w:rPr>
            </w:pPr>
            <w:r w:rsidRPr="000D70CC">
              <w:rPr>
                <w:rFonts w:eastAsia="Calibri"/>
                <w:color w:val="000000"/>
                <w:sz w:val="16"/>
                <w:szCs w:val="16"/>
                <w:lang w:val="en-GB" w:eastAsia="fi-FI"/>
              </w:rPr>
              <w:t>BPCF = Basic price conversion factor</w:t>
            </w:r>
          </w:p>
        </w:tc>
      </w:tr>
    </w:tbl>
    <w:p w14:paraId="0BB19C6D" w14:textId="77777777" w:rsidR="00CD7887" w:rsidRDefault="00CD7887" w:rsidP="00CD7887">
      <w:pPr>
        <w:rPr>
          <w:b/>
          <w:bCs/>
        </w:rPr>
      </w:pPr>
    </w:p>
    <w:p w14:paraId="37CAABA2" w14:textId="77777777" w:rsidR="00586489" w:rsidRDefault="00586489" w:rsidP="00CD7887">
      <w:pPr>
        <w:rPr>
          <w:b/>
          <w:bCs/>
        </w:rPr>
      </w:pPr>
    </w:p>
    <w:p w14:paraId="75273BDE" w14:textId="77777777" w:rsidR="003A3335" w:rsidRDefault="003A3335" w:rsidP="00CD7887">
      <w:pPr>
        <w:rPr>
          <w:b/>
          <w:bCs/>
        </w:rPr>
      </w:pPr>
    </w:p>
    <w:p w14:paraId="7D30A191" w14:textId="0673B882" w:rsidR="00586489" w:rsidRPr="00E157B4" w:rsidRDefault="00586489" w:rsidP="00586489">
      <w:pPr>
        <w:rPr>
          <w:b/>
          <w:bCs/>
          <w:lang w:val="en-GB"/>
        </w:rPr>
      </w:pPr>
      <w:r w:rsidRPr="00586489">
        <w:rPr>
          <w:b/>
          <w:bCs/>
          <w:lang w:val="fi-FI"/>
        </w:rPr>
        <w:fldChar w:fldCharType="begin"/>
      </w:r>
      <w:r w:rsidRPr="00E157B4">
        <w:rPr>
          <w:b/>
          <w:bCs/>
          <w:lang w:val="en-GB"/>
        </w:rPr>
        <w:instrText xml:space="preserve"> INCLUDEPICTURE "\\\\fileservices.ad.jyu.fi\\homes\\sasaelge\\Downloads\\Figure_5.jpg" \* MERGEFORMATINET </w:instrText>
      </w:r>
      <w:r w:rsidRPr="00586489">
        <w:rPr>
          <w:b/>
          <w:bCs/>
          <w:lang w:val="fi-FI"/>
        </w:rPr>
        <w:fldChar w:fldCharType="separate"/>
      </w:r>
      <w:r w:rsidRPr="00586489">
        <w:rPr>
          <w:b/>
          <w:bCs/>
        </w:rPr>
        <w:fldChar w:fldCharType="end"/>
      </w:r>
    </w:p>
    <w:p w14:paraId="3EADC56F" w14:textId="09D3F5D5" w:rsidR="00015137" w:rsidRPr="00015137" w:rsidRDefault="00015137" w:rsidP="00015137">
      <w:pPr>
        <w:jc w:val="center"/>
        <w:rPr>
          <w:b/>
          <w:bCs/>
          <w:sz w:val="20"/>
          <w:lang w:val="fi-FI"/>
        </w:rPr>
      </w:pPr>
      <w:r w:rsidRPr="00015137">
        <w:rPr>
          <w:b/>
          <w:bCs/>
          <w:sz w:val="20"/>
          <w:lang w:val="fi-FI"/>
        </w:rPr>
        <w:fldChar w:fldCharType="begin"/>
      </w:r>
      <w:r w:rsidRPr="00015137">
        <w:rPr>
          <w:b/>
          <w:bCs/>
          <w:sz w:val="20"/>
          <w:lang w:val="fi-FI"/>
        </w:rPr>
        <w:instrText xml:space="preserve"> INCLUDEPICTURE "C:\\Users\\sasaelge\\OneDrive - Jyväskylän yliopisto\\TEAMS\\General\\Biodiversity Footprint of JYU\\Submission\\IndustrialEcology\\Figure_5.jpg" \* MERGEFORMATINET </w:instrText>
      </w:r>
      <w:r w:rsidRPr="00015137">
        <w:rPr>
          <w:b/>
          <w:bCs/>
          <w:sz w:val="20"/>
          <w:lang w:val="fi-FI"/>
        </w:rPr>
        <w:fldChar w:fldCharType="separate"/>
      </w:r>
      <w:r w:rsidR="003B602A">
        <w:rPr>
          <w:b/>
          <w:bCs/>
          <w:sz w:val="20"/>
          <w:lang w:val="fi-FI"/>
        </w:rPr>
        <w:fldChar w:fldCharType="begin"/>
      </w:r>
      <w:r w:rsidR="003B602A">
        <w:rPr>
          <w:b/>
          <w:bCs/>
          <w:sz w:val="20"/>
          <w:lang w:val="fi-FI"/>
        </w:rPr>
        <w:instrText xml:space="preserve"> </w:instrText>
      </w:r>
      <w:r w:rsidR="003B602A">
        <w:rPr>
          <w:b/>
          <w:bCs/>
          <w:sz w:val="20"/>
          <w:lang w:val="fi-FI"/>
        </w:rPr>
        <w:instrText>INCLUDEPICTURE  "C:\\Users\\sasaelge\\OneDrive - Jyväskylän yliopisto\\TEAMS\\General\\Biodiversity Footprint of JYU\\Submission\\IndustrialEcology\\Figure_5.jpg" \* MERGEFORMATINET</w:instrText>
      </w:r>
      <w:r w:rsidR="003B602A">
        <w:rPr>
          <w:b/>
          <w:bCs/>
          <w:sz w:val="20"/>
          <w:lang w:val="fi-FI"/>
        </w:rPr>
        <w:instrText xml:space="preserve"> </w:instrText>
      </w:r>
      <w:r w:rsidR="003B602A">
        <w:rPr>
          <w:b/>
          <w:bCs/>
          <w:sz w:val="20"/>
          <w:lang w:val="fi-FI"/>
        </w:rPr>
        <w:fldChar w:fldCharType="separate"/>
      </w:r>
      <w:r w:rsidR="003B602A">
        <w:rPr>
          <w:b/>
          <w:bCs/>
          <w:sz w:val="20"/>
          <w:lang w:val="fi-FI"/>
        </w:rPr>
        <w:pict w14:anchorId="7B48890B">
          <v:shape id="_x0000_i1034" type="#_x0000_t75" alt="" style="width:461.9pt;height:127.95pt">
            <v:imagedata r:id="rId20" r:href="rId21"/>
          </v:shape>
        </w:pict>
      </w:r>
      <w:r w:rsidR="003B602A">
        <w:rPr>
          <w:b/>
          <w:bCs/>
          <w:sz w:val="20"/>
          <w:lang w:val="fi-FI"/>
        </w:rPr>
        <w:fldChar w:fldCharType="end"/>
      </w:r>
      <w:r w:rsidRPr="00015137">
        <w:rPr>
          <w:b/>
          <w:bCs/>
          <w:sz w:val="20"/>
        </w:rPr>
        <w:fldChar w:fldCharType="end"/>
      </w:r>
    </w:p>
    <w:p w14:paraId="4DB3237F" w14:textId="79EC2461" w:rsidR="00586489" w:rsidRPr="00586489" w:rsidRDefault="00586489" w:rsidP="00586489">
      <w:pPr>
        <w:rPr>
          <w:b/>
          <w:bCs/>
          <w:sz w:val="20"/>
        </w:rPr>
      </w:pPr>
      <w:r>
        <w:rPr>
          <w:b/>
          <w:bCs/>
          <w:sz w:val="20"/>
        </w:rPr>
        <w:t>Fig</w:t>
      </w:r>
      <w:r w:rsidR="00015137">
        <w:rPr>
          <w:b/>
          <w:bCs/>
          <w:sz w:val="20"/>
        </w:rPr>
        <w:t>.</w:t>
      </w:r>
      <w:r>
        <w:rPr>
          <w:b/>
          <w:bCs/>
          <w:sz w:val="20"/>
        </w:rPr>
        <w:t xml:space="preserve"> S1 </w:t>
      </w:r>
      <w:r w:rsidRPr="006A38FD">
        <w:rPr>
          <w:sz w:val="20"/>
        </w:rPr>
        <w:t>Quadrant of opportunities for mitigating the biodiversity and carbon footprints of the University of Jyväskylä in 2023. Horizontal and vertical lines represent the median consumption (€, in both panels) and biodiversity footprint intensity (pBDe/€) in panel A and carbon footprint intensity impact factor (kgCO2e/€) in panel B.  The dashed lines show how large share (%) a certain point in the graph amounts of the total footprint.</w:t>
      </w:r>
    </w:p>
    <w:p w14:paraId="65365A55" w14:textId="77777777" w:rsidR="003A3335" w:rsidRDefault="003A3335" w:rsidP="00CD7887">
      <w:pPr>
        <w:rPr>
          <w:b/>
          <w:bCs/>
        </w:rPr>
      </w:pPr>
    </w:p>
    <w:p w14:paraId="71345DC5" w14:textId="77777777" w:rsidR="003A3335" w:rsidRDefault="003A3335" w:rsidP="00CD7887">
      <w:pPr>
        <w:rPr>
          <w:b/>
          <w:bCs/>
        </w:rPr>
      </w:pPr>
    </w:p>
    <w:p w14:paraId="7D1890F5" w14:textId="77777777" w:rsidR="003A3335" w:rsidRDefault="003A3335" w:rsidP="00CD7887">
      <w:pPr>
        <w:rPr>
          <w:b/>
          <w:bCs/>
        </w:rPr>
      </w:pPr>
    </w:p>
    <w:p w14:paraId="327DF47A" w14:textId="77777777" w:rsidR="003A3335" w:rsidRPr="003A3335" w:rsidRDefault="003A3335" w:rsidP="00CD7887">
      <w:pPr>
        <w:rPr>
          <w:b/>
          <w:bCs/>
        </w:rPr>
      </w:pPr>
    </w:p>
    <w:p w14:paraId="2518AE56" w14:textId="6A3517E0" w:rsidR="00CD7887" w:rsidRPr="00E157B4" w:rsidRDefault="00273667" w:rsidP="00CD7887">
      <w:pPr>
        <w:rPr>
          <w:b/>
          <w:bCs/>
          <w:szCs w:val="24"/>
          <w:lang w:val="en-GB"/>
        </w:rPr>
      </w:pPr>
      <w:r w:rsidRPr="00E157B4">
        <w:rPr>
          <w:b/>
          <w:bCs/>
          <w:szCs w:val="24"/>
          <w:lang w:val="en-GB"/>
        </w:rPr>
        <w:t>Supplementary</w:t>
      </w:r>
      <w:r w:rsidR="00CD7887" w:rsidRPr="00E157B4">
        <w:rPr>
          <w:b/>
          <w:bCs/>
          <w:szCs w:val="24"/>
          <w:lang w:val="en-GB"/>
        </w:rPr>
        <w:t xml:space="preserve"> References</w:t>
      </w:r>
    </w:p>
    <w:p w14:paraId="3EE4CDB1" w14:textId="77777777" w:rsidR="00CD7887" w:rsidRPr="00E157B4" w:rsidRDefault="00CD7887" w:rsidP="00CD7887">
      <w:pPr>
        <w:rPr>
          <w:b/>
          <w:bCs/>
          <w:sz w:val="20"/>
          <w:lang w:val="en-GB"/>
        </w:rPr>
      </w:pPr>
    </w:p>
    <w:p w14:paraId="5D559144" w14:textId="66D921BA" w:rsidR="00055DD8" w:rsidRDefault="00055DD8" w:rsidP="00AA14EA">
      <w:pPr>
        <w:pStyle w:val="Bibliography"/>
        <w:rPr>
          <w:sz w:val="20"/>
          <w:lang w:val="en-GB"/>
        </w:rPr>
      </w:pPr>
      <w:r w:rsidRPr="00055DD8">
        <w:rPr>
          <w:sz w:val="20"/>
          <w:lang w:val="pt-PT"/>
        </w:rPr>
        <w:t xml:space="preserve">Alvarez, S., Blanquer, M., &amp; Rubio, A. (2014). </w:t>
      </w:r>
      <w:r w:rsidRPr="00AA14EA">
        <w:rPr>
          <w:sz w:val="20"/>
          <w:lang w:val="en-GB"/>
        </w:rPr>
        <w:t>Carbon footprint using the</w:t>
      </w:r>
      <w:r w:rsidRPr="00AA14EA">
        <w:rPr>
          <w:sz w:val="20"/>
          <w:lang w:val="en-GB"/>
        </w:rPr>
        <w:t xml:space="preserve"> </w:t>
      </w:r>
      <w:r w:rsidRPr="00AA14EA">
        <w:rPr>
          <w:sz w:val="20"/>
          <w:lang w:val="en-GB"/>
        </w:rPr>
        <w:t>Compound Method based on Financial Accounts. The case of the School</w:t>
      </w:r>
      <w:r w:rsidRPr="00AA14EA">
        <w:rPr>
          <w:sz w:val="20"/>
          <w:lang w:val="en-GB"/>
        </w:rPr>
        <w:t xml:space="preserve"> </w:t>
      </w:r>
      <w:r w:rsidRPr="00AA14EA">
        <w:rPr>
          <w:sz w:val="20"/>
          <w:lang w:val="en-GB"/>
        </w:rPr>
        <w:t xml:space="preserve">of Forestry Engineering, Technical University of Madrid. </w:t>
      </w:r>
      <w:r w:rsidRPr="00055DD8">
        <w:rPr>
          <w:sz w:val="20"/>
          <w:lang w:val="fi-FI"/>
        </w:rPr>
        <w:t>Journal of Cleaner</w:t>
      </w:r>
      <w:r>
        <w:rPr>
          <w:sz w:val="20"/>
          <w:lang w:val="fi-FI"/>
        </w:rPr>
        <w:t xml:space="preserve"> </w:t>
      </w:r>
      <w:r w:rsidRPr="00055DD8">
        <w:rPr>
          <w:sz w:val="20"/>
          <w:lang w:val="fi-FI"/>
        </w:rPr>
        <w:t xml:space="preserve">Production, 66, 224–232. </w:t>
      </w:r>
      <w:hyperlink r:id="rId22" w:history="1">
        <w:r w:rsidRPr="00055DD8">
          <w:rPr>
            <w:rStyle w:val="Hyperlink"/>
            <w:sz w:val="20"/>
            <w:lang w:val="fi-FI"/>
          </w:rPr>
          <w:t>https://doi.org/10.1016/j.jclepro.2013.11.050</w:t>
        </w:r>
      </w:hyperlink>
    </w:p>
    <w:p w14:paraId="366C447C" w14:textId="77777777" w:rsidR="00AA14EA" w:rsidRPr="00AA14EA" w:rsidRDefault="00AA14EA" w:rsidP="00AA14EA">
      <w:pPr>
        <w:rPr>
          <w:lang w:val="en-GB"/>
        </w:rPr>
      </w:pPr>
    </w:p>
    <w:p w14:paraId="7E63EE37" w14:textId="418C2F4E" w:rsidR="00AA14EA" w:rsidRPr="00AA14EA" w:rsidRDefault="00AA14EA" w:rsidP="00AA14EA">
      <w:pPr>
        <w:rPr>
          <w:sz w:val="20"/>
          <w:lang w:val="en-GB"/>
        </w:rPr>
      </w:pPr>
      <w:r w:rsidRPr="00AA14EA">
        <w:rPr>
          <w:sz w:val="20"/>
          <w:lang w:val="pt-PT"/>
        </w:rPr>
        <w:t xml:space="preserve">Arena, M., Conte, A., &amp; Melacini, M. (2015). </w:t>
      </w:r>
      <w:r w:rsidRPr="00AA14EA">
        <w:rPr>
          <w:sz w:val="20"/>
          <w:lang w:val="en-GB"/>
        </w:rPr>
        <w:t>Linking environmental accounting</w:t>
      </w:r>
      <w:r>
        <w:rPr>
          <w:sz w:val="20"/>
          <w:lang w:val="en-GB"/>
        </w:rPr>
        <w:t xml:space="preserve"> </w:t>
      </w:r>
      <w:r w:rsidRPr="00AA14EA">
        <w:rPr>
          <w:sz w:val="20"/>
          <w:lang w:val="en-GB"/>
        </w:rPr>
        <w:t>to reward systems: The case of the Environmental Profit and Loss Account.</w:t>
      </w:r>
      <w:r>
        <w:rPr>
          <w:sz w:val="20"/>
          <w:lang w:val="en-GB"/>
        </w:rPr>
        <w:t xml:space="preserve"> </w:t>
      </w:r>
      <w:r w:rsidRPr="00AA14EA">
        <w:rPr>
          <w:sz w:val="20"/>
          <w:lang w:val="en-GB"/>
        </w:rPr>
        <w:t>Journal of Cleaner Production, 108, 625–636.</w:t>
      </w:r>
    </w:p>
    <w:p w14:paraId="6A6E4E60" w14:textId="4D20C6D9" w:rsidR="00AA14EA" w:rsidRPr="00AA14EA" w:rsidRDefault="00AA14EA" w:rsidP="00055DD8">
      <w:pPr>
        <w:rPr>
          <w:sz w:val="20"/>
          <w:lang w:val="en-GB"/>
        </w:rPr>
      </w:pPr>
      <w:hyperlink r:id="rId23" w:history="1">
        <w:r w:rsidRPr="00AA14EA">
          <w:rPr>
            <w:rStyle w:val="Hyperlink"/>
            <w:sz w:val="20"/>
            <w:lang w:val="en-GB"/>
          </w:rPr>
          <w:t>https://doi.org/10.1016/j.jclepro.2015.07.068</w:t>
        </w:r>
      </w:hyperlink>
    </w:p>
    <w:p w14:paraId="39BFC510" w14:textId="77777777" w:rsidR="00AA14EA" w:rsidRDefault="00AA14EA" w:rsidP="00CD7887">
      <w:pPr>
        <w:pStyle w:val="Bibliography"/>
        <w:rPr>
          <w:sz w:val="20"/>
          <w:lang w:val="en-GB"/>
        </w:rPr>
      </w:pPr>
    </w:p>
    <w:p w14:paraId="3DDAAB65" w14:textId="1D270A83" w:rsidR="00BB7AF3" w:rsidRPr="00BB7AF3" w:rsidRDefault="00BB7AF3" w:rsidP="00CD7887">
      <w:pPr>
        <w:pStyle w:val="Bibliography"/>
        <w:rPr>
          <w:sz w:val="20"/>
          <w:lang w:val="en-GB"/>
        </w:rPr>
      </w:pPr>
      <w:r w:rsidRPr="00BB7AF3">
        <w:rPr>
          <w:sz w:val="20"/>
          <w:lang w:val="en-GB"/>
        </w:rPr>
        <w:t>Bebbington, J., Gray, R., Hibbitt, C., &amp; Kirk, E. (2001). Full Cost Accounting: An</w:t>
      </w:r>
      <w:r>
        <w:rPr>
          <w:sz w:val="20"/>
          <w:lang w:val="en-GB"/>
        </w:rPr>
        <w:t xml:space="preserve"> </w:t>
      </w:r>
      <w:r w:rsidRPr="00BB7AF3">
        <w:rPr>
          <w:sz w:val="20"/>
          <w:lang w:val="en-GB"/>
        </w:rPr>
        <w:t>Agenda for Action. The Association of Chartered Certified Accountants.</w:t>
      </w:r>
    </w:p>
    <w:p w14:paraId="667AFA29" w14:textId="77777777" w:rsidR="00BB7AF3" w:rsidRDefault="00BB7AF3" w:rsidP="00CD7887">
      <w:pPr>
        <w:pStyle w:val="Bibliography"/>
        <w:rPr>
          <w:sz w:val="20"/>
          <w:lang w:val="en-GB"/>
        </w:rPr>
      </w:pPr>
    </w:p>
    <w:p w14:paraId="307FB075" w14:textId="28A5C987" w:rsidR="00BB7AF3" w:rsidRPr="00BB7AF3" w:rsidRDefault="00BB7AF3" w:rsidP="00BB7AF3">
      <w:pPr>
        <w:pStyle w:val="Bibliography"/>
        <w:rPr>
          <w:sz w:val="20"/>
          <w:lang w:val="en-GB"/>
        </w:rPr>
      </w:pPr>
      <w:r w:rsidRPr="00BB7AF3">
        <w:rPr>
          <w:sz w:val="20"/>
          <w:lang w:val="en-GB"/>
        </w:rPr>
        <w:t>Burchell, S., Clubb, C., Hopwood, A., Hughes, J., &amp; Nahapiet, J. (1980). The roles</w:t>
      </w:r>
      <w:r>
        <w:rPr>
          <w:sz w:val="20"/>
          <w:lang w:val="en-GB"/>
        </w:rPr>
        <w:t xml:space="preserve"> </w:t>
      </w:r>
      <w:r w:rsidRPr="00BB7AF3">
        <w:rPr>
          <w:sz w:val="20"/>
          <w:lang w:val="en-GB"/>
        </w:rPr>
        <w:t>of accounting in organizations and society. Accounting, Organizations and</w:t>
      </w:r>
      <w:r>
        <w:rPr>
          <w:sz w:val="20"/>
          <w:lang w:val="en-GB"/>
        </w:rPr>
        <w:t xml:space="preserve"> </w:t>
      </w:r>
      <w:r w:rsidRPr="00BB7AF3">
        <w:rPr>
          <w:sz w:val="20"/>
          <w:lang w:val="en-GB"/>
        </w:rPr>
        <w:t xml:space="preserve">Society, 5(1), 5–27. </w:t>
      </w:r>
      <w:hyperlink r:id="rId24" w:history="1">
        <w:r w:rsidRPr="00BB7AF3">
          <w:rPr>
            <w:rStyle w:val="Hyperlink"/>
            <w:sz w:val="20"/>
            <w:lang w:val="en-GB"/>
          </w:rPr>
          <w:t>https://doi.org/10.1016/0361-3682(80)90017-3</w:t>
        </w:r>
      </w:hyperlink>
    </w:p>
    <w:p w14:paraId="28CEF1C8" w14:textId="77777777" w:rsidR="00BB7AF3" w:rsidRDefault="00BB7AF3" w:rsidP="00CD7887">
      <w:pPr>
        <w:pStyle w:val="Bibliography"/>
        <w:rPr>
          <w:sz w:val="20"/>
          <w:lang w:val="en-GB"/>
        </w:rPr>
      </w:pPr>
    </w:p>
    <w:p w14:paraId="3B8BD17F" w14:textId="3DEEA3C6" w:rsidR="00BB7AF3" w:rsidRPr="00BB7AF3" w:rsidRDefault="00BB7AF3" w:rsidP="00BB7AF3">
      <w:pPr>
        <w:rPr>
          <w:sz w:val="20"/>
          <w:lang w:val="en-GB"/>
        </w:rPr>
      </w:pPr>
      <w:r w:rsidRPr="00BB7AF3">
        <w:rPr>
          <w:sz w:val="20"/>
          <w:lang w:val="en-GB"/>
        </w:rPr>
        <w:t>Burritt, R. L., Hahn, T., &amp; Schaltegger, St. (2002). Towards a Comprehensive</w:t>
      </w:r>
      <w:r>
        <w:rPr>
          <w:sz w:val="20"/>
          <w:lang w:val="en-GB"/>
        </w:rPr>
        <w:t xml:space="preserve"> </w:t>
      </w:r>
      <w:r w:rsidRPr="00BB7AF3">
        <w:rPr>
          <w:sz w:val="20"/>
          <w:lang w:val="en-GB"/>
        </w:rPr>
        <w:t>Framework for Environmental Management Accounting—Links Between</w:t>
      </w:r>
      <w:r>
        <w:rPr>
          <w:sz w:val="20"/>
          <w:lang w:val="en-GB"/>
        </w:rPr>
        <w:t xml:space="preserve"> </w:t>
      </w:r>
      <w:r w:rsidRPr="00BB7AF3">
        <w:rPr>
          <w:sz w:val="20"/>
          <w:lang w:val="en-GB"/>
        </w:rPr>
        <w:t>Business Actors and Environmental Management Accounting Tools.</w:t>
      </w:r>
      <w:r>
        <w:rPr>
          <w:sz w:val="20"/>
          <w:lang w:val="en-GB"/>
        </w:rPr>
        <w:t xml:space="preserve"> </w:t>
      </w:r>
      <w:r w:rsidRPr="00BB7AF3">
        <w:rPr>
          <w:sz w:val="20"/>
          <w:lang w:val="en-GB"/>
        </w:rPr>
        <w:t>Australian Accounting Review, 12(27), 39–50.</w:t>
      </w:r>
    </w:p>
    <w:p w14:paraId="7DF0DB1C" w14:textId="77777777" w:rsidR="00BB7AF3" w:rsidRPr="00BB7AF3" w:rsidRDefault="00BB7AF3" w:rsidP="00BB7AF3">
      <w:pPr>
        <w:rPr>
          <w:sz w:val="20"/>
          <w:lang w:val="en-GB"/>
        </w:rPr>
      </w:pPr>
      <w:hyperlink r:id="rId25" w:history="1">
        <w:r w:rsidRPr="00BB7AF3">
          <w:rPr>
            <w:rStyle w:val="Hyperlink"/>
            <w:sz w:val="20"/>
            <w:lang w:val="en-GB"/>
          </w:rPr>
          <w:t>https://doi.org/10.1111/j.1835-2561.2002.tb00202.x</w:t>
        </w:r>
      </w:hyperlink>
    </w:p>
    <w:p w14:paraId="76F5ADD3" w14:textId="77777777" w:rsidR="00BB7AF3" w:rsidRPr="00BB7AF3" w:rsidRDefault="00BB7AF3" w:rsidP="00BB7AF3">
      <w:pPr>
        <w:rPr>
          <w:lang w:val="en-GB"/>
        </w:rPr>
      </w:pPr>
    </w:p>
    <w:p w14:paraId="6AB3DED5" w14:textId="401961EF" w:rsidR="00661166" w:rsidRDefault="00661166" w:rsidP="00CD7887">
      <w:pPr>
        <w:pStyle w:val="Bibliography"/>
        <w:rPr>
          <w:sz w:val="20"/>
          <w:lang w:val="en-GB"/>
        </w:rPr>
      </w:pPr>
      <w:r w:rsidRPr="00661166">
        <w:rPr>
          <w:sz w:val="20"/>
          <w:lang w:val="en-GB"/>
        </w:rPr>
        <w:t xml:space="preserve">Chaudhary, A., &amp; Brooks, T. M. (2018). Land Use Intensity-Specific Global Characterization Factors to Assess Product Biodiversity Footprints. Environmental Science and Technology, 52(9), 5094–5104. </w:t>
      </w:r>
      <w:hyperlink r:id="rId26" w:history="1">
        <w:r w:rsidRPr="00407FD2">
          <w:rPr>
            <w:rStyle w:val="Hyperlink"/>
            <w:sz w:val="20"/>
            <w:lang w:val="en-GB"/>
          </w:rPr>
          <w:t>https://doi.org/10.1021/acs.est.7b05570</w:t>
        </w:r>
      </w:hyperlink>
      <w:r>
        <w:rPr>
          <w:sz w:val="20"/>
          <w:lang w:val="en-GB"/>
        </w:rPr>
        <w:t xml:space="preserve"> </w:t>
      </w:r>
    </w:p>
    <w:p w14:paraId="117881ED" w14:textId="77777777" w:rsidR="00661166" w:rsidRPr="006A38FD" w:rsidRDefault="00661166" w:rsidP="006A38FD">
      <w:pPr>
        <w:rPr>
          <w:lang w:val="en-GB"/>
        </w:rPr>
      </w:pPr>
    </w:p>
    <w:p w14:paraId="571D0DD4" w14:textId="01AB383C" w:rsidR="000D76ED" w:rsidRPr="006A38FD" w:rsidRDefault="000D76ED" w:rsidP="00CD7887">
      <w:pPr>
        <w:pStyle w:val="Bibliography"/>
        <w:rPr>
          <w:sz w:val="20"/>
          <w:lang w:val="pt-PT"/>
        </w:rPr>
      </w:pPr>
      <w:r w:rsidRPr="000D76ED">
        <w:rPr>
          <w:sz w:val="20"/>
          <w:lang w:val="en-GB"/>
        </w:rPr>
        <w:t xml:space="preserve">Crawford, R. H., Bontinck, P. A., Stephan, A., Wiedmann, T., &amp; Yu, M. (2018). Hybrid life cycle inventory methods – A review. Journal of Cleaner Production, 172, 1273–1288. </w:t>
      </w:r>
      <w:hyperlink r:id="rId27" w:history="1">
        <w:r w:rsidRPr="006A38FD">
          <w:rPr>
            <w:rStyle w:val="Hyperlink"/>
            <w:sz w:val="20"/>
            <w:lang w:val="pt-PT"/>
          </w:rPr>
          <w:t>https://doi.org/10.1016/J.JCLEPRO.2017.10.176</w:t>
        </w:r>
      </w:hyperlink>
      <w:r w:rsidRPr="006A38FD">
        <w:rPr>
          <w:sz w:val="20"/>
          <w:lang w:val="pt-PT"/>
        </w:rPr>
        <w:t xml:space="preserve"> </w:t>
      </w:r>
    </w:p>
    <w:p w14:paraId="10A868B7" w14:textId="77777777" w:rsidR="000D76ED" w:rsidRPr="006A38FD" w:rsidRDefault="000D76ED" w:rsidP="00CD7887">
      <w:pPr>
        <w:pStyle w:val="Bibliography"/>
        <w:rPr>
          <w:sz w:val="20"/>
          <w:lang w:val="pt-PT"/>
        </w:rPr>
      </w:pPr>
    </w:p>
    <w:p w14:paraId="27C60122" w14:textId="2099048E" w:rsidR="00BB720F" w:rsidRPr="00E157B4" w:rsidRDefault="00BB720F" w:rsidP="00CD7887">
      <w:pPr>
        <w:pStyle w:val="Bibliography"/>
        <w:rPr>
          <w:sz w:val="20"/>
          <w:lang w:val="en-GB"/>
        </w:rPr>
      </w:pPr>
      <w:r w:rsidRPr="00BB720F">
        <w:rPr>
          <w:sz w:val="20"/>
          <w:lang w:val="pt-PT"/>
        </w:rPr>
        <w:lastRenderedPageBreak/>
        <w:t xml:space="preserve">Damiani, M., Sinkko, T., Caldeira, C., Tosches, D., Robuchon, M., &amp; Sala, S. (2023). </w:t>
      </w:r>
      <w:r w:rsidRPr="006A38FD">
        <w:rPr>
          <w:sz w:val="20"/>
          <w:lang w:val="en-GB"/>
        </w:rPr>
        <w:t xml:space="preserve">Critical review of methods and models for biodiversity impact assessment and their applicability in the LCA context. </w:t>
      </w:r>
      <w:r w:rsidRPr="00E157B4">
        <w:rPr>
          <w:sz w:val="20"/>
          <w:lang w:val="en-GB"/>
        </w:rPr>
        <w:t xml:space="preserve">Environmental Impact Assessment Review, 101, 107134. </w:t>
      </w:r>
      <w:hyperlink r:id="rId28" w:history="1">
        <w:r w:rsidRPr="00E157B4">
          <w:rPr>
            <w:rStyle w:val="Hyperlink"/>
            <w:sz w:val="20"/>
            <w:lang w:val="en-GB"/>
          </w:rPr>
          <w:t>https://doi.org/10.1016/j.eiar.2023.107134</w:t>
        </w:r>
      </w:hyperlink>
      <w:r w:rsidRPr="00E157B4">
        <w:rPr>
          <w:sz w:val="20"/>
          <w:lang w:val="en-GB"/>
        </w:rPr>
        <w:t xml:space="preserve"> </w:t>
      </w:r>
    </w:p>
    <w:p w14:paraId="72264838" w14:textId="77777777" w:rsidR="00BB720F" w:rsidRPr="00E157B4" w:rsidRDefault="00BB720F" w:rsidP="006A38FD">
      <w:pPr>
        <w:rPr>
          <w:lang w:val="en-GB"/>
        </w:rPr>
      </w:pPr>
    </w:p>
    <w:p w14:paraId="41AD8880" w14:textId="29507C41" w:rsidR="00556B60" w:rsidRDefault="00556B60" w:rsidP="00CD7887">
      <w:pPr>
        <w:pStyle w:val="Bibliography"/>
        <w:rPr>
          <w:sz w:val="20"/>
          <w:lang w:val="en-GB"/>
        </w:rPr>
      </w:pPr>
      <w:r w:rsidRPr="00E157B4">
        <w:rPr>
          <w:sz w:val="20"/>
          <w:lang w:val="en-GB"/>
        </w:rPr>
        <w:t xml:space="preserve">El Geneidy, S., Baumeister, S., Govigli, V. M., Orfanidou, T., &amp; Wallius, V. (2021). </w:t>
      </w:r>
      <w:r w:rsidRPr="00556B60">
        <w:rPr>
          <w:sz w:val="20"/>
          <w:lang w:val="en-GB"/>
        </w:rPr>
        <w:t xml:space="preserve">The carbon footprint of a knowledge organization and emission scenarios for a post-COVID-19 world. Environmental Impact Assessment Review, 91(July), 106645. </w:t>
      </w:r>
      <w:hyperlink r:id="rId29" w:history="1">
        <w:r w:rsidRPr="00407FD2">
          <w:rPr>
            <w:rStyle w:val="Hyperlink"/>
            <w:sz w:val="20"/>
            <w:lang w:val="en-GB"/>
          </w:rPr>
          <w:t>https://doi.org/10.1016/j.eiar.2021.106645</w:t>
        </w:r>
      </w:hyperlink>
      <w:r>
        <w:rPr>
          <w:sz w:val="20"/>
          <w:lang w:val="en-GB"/>
        </w:rPr>
        <w:t xml:space="preserve"> </w:t>
      </w:r>
    </w:p>
    <w:p w14:paraId="395A6F97" w14:textId="77777777" w:rsidR="00556B60" w:rsidRDefault="00556B60" w:rsidP="00CD7887">
      <w:pPr>
        <w:pStyle w:val="Bibliography"/>
        <w:rPr>
          <w:sz w:val="20"/>
          <w:lang w:val="en-GB"/>
        </w:rPr>
      </w:pPr>
    </w:p>
    <w:p w14:paraId="5D77CC92" w14:textId="0FBB8ABB" w:rsidR="00A6523C" w:rsidRDefault="00A6523C" w:rsidP="00CD7887">
      <w:pPr>
        <w:pStyle w:val="Bibliography"/>
        <w:rPr>
          <w:sz w:val="20"/>
          <w:lang w:val="en-GB"/>
        </w:rPr>
      </w:pPr>
      <w:r w:rsidRPr="00A6523C">
        <w:rPr>
          <w:sz w:val="20"/>
          <w:lang w:val="en-GB"/>
        </w:rPr>
        <w:t xml:space="preserve">European Commission, International Monetary Fund, Organisation for Economic Co-operation and Development, United Nations, &amp; World Bank. (n.d.). System of National Accounts 2008. Available at: </w:t>
      </w:r>
      <w:hyperlink r:id="rId30" w:history="1">
        <w:r w:rsidRPr="00407FD2">
          <w:rPr>
            <w:rStyle w:val="Hyperlink"/>
            <w:sz w:val="20"/>
            <w:lang w:val="en-GB"/>
          </w:rPr>
          <w:t>https://unstats.un.org/unsd/nationalaccount/docs/sna2008.pdf</w:t>
        </w:r>
      </w:hyperlink>
      <w:r>
        <w:rPr>
          <w:sz w:val="20"/>
          <w:lang w:val="en-GB"/>
        </w:rPr>
        <w:t xml:space="preserve"> </w:t>
      </w:r>
    </w:p>
    <w:p w14:paraId="57EFD946" w14:textId="77777777" w:rsidR="00A6523C" w:rsidRPr="006A38FD" w:rsidRDefault="00A6523C" w:rsidP="006A38FD">
      <w:pPr>
        <w:rPr>
          <w:lang w:val="en-GB"/>
        </w:rPr>
      </w:pPr>
    </w:p>
    <w:p w14:paraId="276F4346" w14:textId="28C5D57E" w:rsidR="00B86553" w:rsidRPr="006A38FD" w:rsidRDefault="00B86553" w:rsidP="00CD7887">
      <w:pPr>
        <w:pStyle w:val="Bibliography"/>
        <w:rPr>
          <w:sz w:val="20"/>
          <w:lang w:val="en-GB"/>
        </w:rPr>
      </w:pPr>
      <w:r w:rsidRPr="00B86553">
        <w:rPr>
          <w:sz w:val="20"/>
          <w:lang w:val="en-GB"/>
        </w:rPr>
        <w:t xml:space="preserve">eurostat. (2008). </w:t>
      </w:r>
      <w:r w:rsidRPr="00B86553">
        <w:rPr>
          <w:i/>
          <w:iCs/>
          <w:sz w:val="20"/>
          <w:lang w:val="en-GB"/>
        </w:rPr>
        <w:t>NACE Rev. 2: Statistical classification of economic activities in the European Community</w:t>
      </w:r>
      <w:r w:rsidRPr="00B86553">
        <w:rPr>
          <w:sz w:val="20"/>
          <w:lang w:val="en-GB"/>
        </w:rPr>
        <w:t xml:space="preserve">. European Communities. </w:t>
      </w:r>
      <w:hyperlink r:id="rId31" w:history="1">
        <w:r w:rsidRPr="00CF6CEA">
          <w:rPr>
            <w:rStyle w:val="Hyperlink"/>
            <w:sz w:val="20"/>
            <w:lang w:val="en-GB"/>
          </w:rPr>
          <w:t>https://ec.europa.eu/eurostat/documents/3859598/5902521/KS-RA-07-015-EN.PDF.pdf/dd5443f5-b886-40e4-920d-9df03590ff91?t=1414781457000</w:t>
        </w:r>
      </w:hyperlink>
      <w:r>
        <w:rPr>
          <w:sz w:val="20"/>
          <w:lang w:val="en-GB"/>
        </w:rPr>
        <w:t xml:space="preserve"> </w:t>
      </w:r>
    </w:p>
    <w:p w14:paraId="72749D08" w14:textId="77777777" w:rsidR="00B86553" w:rsidRPr="006A38FD" w:rsidRDefault="00B86553" w:rsidP="006A38FD">
      <w:pPr>
        <w:rPr>
          <w:lang w:val="en-GB"/>
        </w:rPr>
      </w:pPr>
    </w:p>
    <w:p w14:paraId="7EB93C7B" w14:textId="489C0708" w:rsidR="00CD0B40" w:rsidRPr="006A38FD" w:rsidRDefault="00CD0B40" w:rsidP="00CD7887">
      <w:pPr>
        <w:pStyle w:val="Bibliography"/>
        <w:rPr>
          <w:sz w:val="20"/>
          <w:lang w:val="en-GB"/>
        </w:rPr>
      </w:pPr>
      <w:r w:rsidRPr="006A38FD">
        <w:rPr>
          <w:sz w:val="20"/>
          <w:lang w:val="pt-PT"/>
        </w:rPr>
        <w:t xml:space="preserve">Fazio, S., Castellani, V., Sala, S., Schau, EM., Secchi, M., &amp; Zampori, L. (2018). </w:t>
      </w:r>
      <w:r w:rsidRPr="00CD0B40">
        <w:rPr>
          <w:i/>
          <w:iCs/>
          <w:sz w:val="20"/>
          <w:lang w:val="en-GB"/>
        </w:rPr>
        <w:t>Supporting information to the characterisation factors of recommended EF Life Cycle Impact Assessment methods</w:t>
      </w:r>
      <w:r w:rsidRPr="00CD0B40">
        <w:rPr>
          <w:sz w:val="20"/>
          <w:lang w:val="en-GB"/>
        </w:rPr>
        <w:t xml:space="preserve"> (EUR 28888 EN). European Commission. </w:t>
      </w:r>
      <w:hyperlink r:id="rId32" w:history="1">
        <w:r w:rsidRPr="00CF6CEA">
          <w:rPr>
            <w:rStyle w:val="Hyperlink"/>
            <w:sz w:val="20"/>
            <w:lang w:val="en-GB"/>
          </w:rPr>
          <w:t>https://data.europa.eu/doi/10.2760/671368</w:t>
        </w:r>
      </w:hyperlink>
      <w:r>
        <w:rPr>
          <w:sz w:val="20"/>
          <w:lang w:val="en-GB"/>
        </w:rPr>
        <w:t xml:space="preserve"> </w:t>
      </w:r>
    </w:p>
    <w:p w14:paraId="23522F33" w14:textId="77777777" w:rsidR="00CD0B40" w:rsidRPr="006A38FD" w:rsidRDefault="00CD0B40" w:rsidP="006A38FD"/>
    <w:p w14:paraId="22E97C63" w14:textId="77777777" w:rsidR="006D3EDD" w:rsidRPr="006A38FD" w:rsidRDefault="006D3EDD" w:rsidP="00CD7887">
      <w:pPr>
        <w:pStyle w:val="Bibliography"/>
        <w:rPr>
          <w:sz w:val="20"/>
          <w:lang w:val="en-GB"/>
        </w:rPr>
      </w:pPr>
      <w:r w:rsidRPr="006D3EDD">
        <w:rPr>
          <w:sz w:val="20"/>
        </w:rPr>
        <w:t xml:space="preserve">Forster, P., T. Storelvmo, K. Armour, W. Collins, J.-L. Dufresne, D. Frame, D.J. Lunt, T. Mauritsen, M.D. Palmer, M. Watanabe, M. Wild, and H. Zhang, 2021: The Earth’s Energy Budget, Climate </w:t>
      </w:r>
      <w:proofErr w:type="gramStart"/>
      <w:r w:rsidRPr="006D3EDD">
        <w:rPr>
          <w:sz w:val="20"/>
        </w:rPr>
        <w:t>Feedbacks</w:t>
      </w:r>
      <w:proofErr w:type="gramEnd"/>
      <w:r w:rsidRPr="006D3EDD">
        <w:rPr>
          <w:sz w:val="20"/>
        </w:rPr>
        <w:t>, and Climate Sensitivity. In</w:t>
      </w:r>
      <w:r w:rsidRPr="006D3EDD">
        <w:rPr>
          <w:i/>
          <w:iCs/>
          <w:sz w:val="20"/>
        </w:rPr>
        <w:t xml:space="preserve"> Climate Change 2021: The Physical Science Basis. Contribution of Working Group I to the Sixth Assessment Report of the Intergovernmental Panel on Climate Change</w:t>
      </w:r>
      <w:r w:rsidRPr="006D3EDD">
        <w:rPr>
          <w:sz w:val="20"/>
        </w:rPr>
        <w:t xml:space="preserve"> [Masson-Delmotte, V., P. Zhai, A. Pirani, S.L. Connors, C. Péan, S. Berger, N. Caud, Y. Chen, L. Goldfarb, M.I. Gomis, M. Huang, K. Leitzell, E. Lonnoy, J.B.R. Matthews, T.K. Maycock, T. Waterfield, O. Yelekçi, R. Yu, and B. Zhou (eds.)]. Cambridge University Press, Cambridge, United Kingdom and New York, NY, USA, pp. 923–1054, doi: </w:t>
      </w:r>
      <w:hyperlink r:id="rId33" w:history="1">
        <w:r w:rsidRPr="006D3EDD">
          <w:rPr>
            <w:rStyle w:val="Hyperlink"/>
            <w:sz w:val="20"/>
          </w:rPr>
          <w:t>10.1017/9781009157896.009</w:t>
        </w:r>
      </w:hyperlink>
      <w:r>
        <w:rPr>
          <w:sz w:val="20"/>
        </w:rPr>
        <w:t xml:space="preserve"> </w:t>
      </w:r>
    </w:p>
    <w:p w14:paraId="7255B907" w14:textId="77777777" w:rsidR="006D3EDD" w:rsidRPr="006A38FD" w:rsidRDefault="006D3EDD" w:rsidP="006A38FD">
      <w:pPr>
        <w:rPr>
          <w:lang w:val="en-GB"/>
        </w:rPr>
      </w:pPr>
    </w:p>
    <w:p w14:paraId="6DAFD6DB" w14:textId="54439FB5" w:rsidR="00D9668D" w:rsidRPr="00D9668D" w:rsidRDefault="00D9668D" w:rsidP="00D9668D">
      <w:pPr>
        <w:pStyle w:val="Bibliography"/>
        <w:rPr>
          <w:sz w:val="20"/>
          <w:lang w:val="en-GB"/>
        </w:rPr>
      </w:pPr>
      <w:r w:rsidRPr="00D9668D">
        <w:rPr>
          <w:sz w:val="20"/>
          <w:lang w:val="en-GB"/>
        </w:rPr>
        <w:t>Gray, R. (1992). Accounting and environmentalism: An exploration of the</w:t>
      </w:r>
      <w:r>
        <w:rPr>
          <w:sz w:val="20"/>
          <w:lang w:val="en-GB"/>
        </w:rPr>
        <w:t xml:space="preserve"> </w:t>
      </w:r>
      <w:r w:rsidRPr="00D9668D">
        <w:rPr>
          <w:sz w:val="20"/>
          <w:lang w:val="en-GB"/>
        </w:rPr>
        <w:t>challenge of gently accounting for accountability, transparency and</w:t>
      </w:r>
      <w:r>
        <w:rPr>
          <w:sz w:val="20"/>
          <w:lang w:val="en-GB"/>
        </w:rPr>
        <w:t xml:space="preserve"> </w:t>
      </w:r>
      <w:r w:rsidRPr="00D9668D">
        <w:rPr>
          <w:sz w:val="20"/>
          <w:lang w:val="en-GB"/>
        </w:rPr>
        <w:t>sustainability. Accounting, Organizations and Society, 17(5), 399–425.</w:t>
      </w:r>
    </w:p>
    <w:p w14:paraId="5271A0B3" w14:textId="2F58425F" w:rsidR="00D9668D" w:rsidRPr="00D9668D" w:rsidRDefault="00D9668D" w:rsidP="00550258">
      <w:pPr>
        <w:pStyle w:val="Bibliography"/>
        <w:rPr>
          <w:sz w:val="20"/>
          <w:lang w:val="fi-FI"/>
        </w:rPr>
      </w:pPr>
      <w:hyperlink r:id="rId34" w:history="1">
        <w:r w:rsidRPr="00D9668D">
          <w:rPr>
            <w:rStyle w:val="Hyperlink"/>
            <w:sz w:val="20"/>
            <w:lang w:val="fi-FI"/>
          </w:rPr>
          <w:t>https://doi.org/10.1016/0361-3682(92)90038-T</w:t>
        </w:r>
      </w:hyperlink>
    </w:p>
    <w:p w14:paraId="1DEBF887" w14:textId="77777777" w:rsidR="00D9668D" w:rsidRDefault="00D9668D" w:rsidP="00550258">
      <w:pPr>
        <w:pStyle w:val="Bibliography"/>
        <w:rPr>
          <w:sz w:val="20"/>
          <w:lang w:val="en-GB"/>
        </w:rPr>
      </w:pPr>
    </w:p>
    <w:p w14:paraId="5DA8444B" w14:textId="4F7A3264" w:rsidR="00550258" w:rsidRPr="006A38FD" w:rsidRDefault="00550258" w:rsidP="00550258">
      <w:pPr>
        <w:pStyle w:val="Bibliography"/>
        <w:rPr>
          <w:sz w:val="20"/>
          <w:lang w:val="en-GB"/>
        </w:rPr>
      </w:pPr>
      <w:r w:rsidRPr="006A38FD">
        <w:rPr>
          <w:sz w:val="20"/>
          <w:lang w:val="en-GB"/>
        </w:rPr>
        <w:t xml:space="preserve">Hellweg, S., Benetto, E., Huijbregts, M. A. J., Verones, F., &amp; Wood, R. (2023). Life-cycle assessment to guide solutions for the triple planetary crisis. Nature Reviews Earth &amp; Environment, 4(7), 471–486. </w:t>
      </w:r>
      <w:hyperlink r:id="rId35" w:history="1">
        <w:r w:rsidRPr="006A38FD">
          <w:rPr>
            <w:rStyle w:val="Hyperlink"/>
            <w:sz w:val="20"/>
            <w:lang w:val="en-GB"/>
          </w:rPr>
          <w:t>https://doi.org/10.1038/s43017-023-00449-2</w:t>
        </w:r>
      </w:hyperlink>
      <w:r w:rsidRPr="006A38FD">
        <w:rPr>
          <w:sz w:val="20"/>
          <w:lang w:val="en-GB"/>
        </w:rPr>
        <w:t xml:space="preserve"> </w:t>
      </w:r>
    </w:p>
    <w:p w14:paraId="1B50C9BD" w14:textId="77777777" w:rsidR="00550258" w:rsidRPr="006A38FD" w:rsidRDefault="00550258" w:rsidP="006A38FD">
      <w:pPr>
        <w:rPr>
          <w:lang w:val="en-GB"/>
        </w:rPr>
      </w:pPr>
    </w:p>
    <w:p w14:paraId="05581EFF" w14:textId="77777777" w:rsidR="00550258" w:rsidRPr="00E157B4" w:rsidRDefault="00550258" w:rsidP="00550258">
      <w:pPr>
        <w:pStyle w:val="Bibliography"/>
        <w:rPr>
          <w:sz w:val="20"/>
          <w:lang w:val="en-GB"/>
        </w:rPr>
      </w:pPr>
      <w:r w:rsidRPr="006A38FD">
        <w:rPr>
          <w:sz w:val="20"/>
          <w:lang w:val="en-GB"/>
        </w:rPr>
        <w:t xml:space="preserve">Hellweg, S., &amp; Milà i Canals, L. (2014). Emerging approaches, challenges and opportunities in life cycle assessment. </w:t>
      </w:r>
      <w:r w:rsidRPr="00E157B4">
        <w:rPr>
          <w:sz w:val="20"/>
          <w:lang w:val="en-GB"/>
        </w:rPr>
        <w:t>Science, 344(6188), 1109–1113. https://doi.org/10.1126/science.1248361</w:t>
      </w:r>
    </w:p>
    <w:p w14:paraId="20A9CD1E" w14:textId="77777777" w:rsidR="00550258" w:rsidRDefault="00550258" w:rsidP="00550258">
      <w:pPr>
        <w:rPr>
          <w:lang w:val="en-GB"/>
        </w:rPr>
      </w:pPr>
    </w:p>
    <w:p w14:paraId="613E21C7" w14:textId="32846062" w:rsidR="00735B1D" w:rsidRPr="00735B1D" w:rsidRDefault="00735B1D" w:rsidP="00550258">
      <w:pPr>
        <w:rPr>
          <w:sz w:val="20"/>
          <w:lang w:val="en-GB"/>
        </w:rPr>
      </w:pPr>
      <w:r w:rsidRPr="00735B1D">
        <w:rPr>
          <w:sz w:val="20"/>
          <w:lang w:val="en-GB"/>
        </w:rPr>
        <w:t>Houdet, J., Ding, H., Quétier, F., Addison, P., &amp; Deshmukh, P. (2020). Adapting</w:t>
      </w:r>
      <w:r w:rsidRPr="00735B1D">
        <w:rPr>
          <w:sz w:val="20"/>
          <w:lang w:val="en-GB"/>
        </w:rPr>
        <w:t xml:space="preserve"> </w:t>
      </w:r>
      <w:r w:rsidRPr="00735B1D">
        <w:rPr>
          <w:sz w:val="20"/>
          <w:lang w:val="en-GB"/>
        </w:rPr>
        <w:t>double-entry bookkeeping to renewable natural capital: An application to</w:t>
      </w:r>
      <w:r w:rsidRPr="00735B1D">
        <w:rPr>
          <w:sz w:val="20"/>
          <w:lang w:val="en-GB"/>
        </w:rPr>
        <w:t xml:space="preserve"> </w:t>
      </w:r>
      <w:r w:rsidRPr="00735B1D">
        <w:rPr>
          <w:sz w:val="20"/>
          <w:lang w:val="en-GB"/>
        </w:rPr>
        <w:t>corporate net biodiversity impact accounting and disclosure. Ecosystem</w:t>
      </w:r>
      <w:r w:rsidRPr="00735B1D">
        <w:rPr>
          <w:sz w:val="20"/>
          <w:lang w:val="en-GB"/>
        </w:rPr>
        <w:t xml:space="preserve"> </w:t>
      </w:r>
      <w:r w:rsidRPr="00735B1D">
        <w:rPr>
          <w:sz w:val="20"/>
          <w:lang w:val="en-GB"/>
        </w:rPr>
        <w:t xml:space="preserve">Services, 45, 101104. </w:t>
      </w:r>
      <w:hyperlink r:id="rId36" w:history="1">
        <w:r w:rsidRPr="00735B1D">
          <w:rPr>
            <w:rStyle w:val="Hyperlink"/>
            <w:sz w:val="20"/>
            <w:lang w:val="en-GB"/>
          </w:rPr>
          <w:t>https://doi.org/10.1016/j.ecoser.2020.101104</w:t>
        </w:r>
      </w:hyperlink>
    </w:p>
    <w:p w14:paraId="3AE56E5B" w14:textId="77777777" w:rsidR="00735B1D" w:rsidRDefault="00735B1D" w:rsidP="003A33D7">
      <w:pPr>
        <w:rPr>
          <w:sz w:val="20"/>
          <w:lang w:val="en-GB"/>
        </w:rPr>
      </w:pPr>
    </w:p>
    <w:p w14:paraId="2D2EBF62" w14:textId="5FA0E7B2" w:rsidR="003A33D7" w:rsidRPr="006A38FD" w:rsidRDefault="003A33D7" w:rsidP="003A33D7">
      <w:pPr>
        <w:rPr>
          <w:sz w:val="20"/>
          <w:lang w:val="en-GB"/>
        </w:rPr>
      </w:pPr>
      <w:r w:rsidRPr="006A38FD">
        <w:rPr>
          <w:sz w:val="20"/>
          <w:lang w:val="en-GB"/>
        </w:rPr>
        <w:t xml:space="preserve">IPBES (2019): Summary for policymakers of the global assessment report on biodiversity and ecosystem services of the Intergovernmental Science-Policy Platform on Biodiversity and Ecosystem Services. S. Díaz, J. Settele, E. S. Brondízio, H. T. Ngo, M. Guèze, J. Agard, A. Arneth, P. Balvanera, K. A. Brauman, S. H. M. Butchart, K. M. A. Chan, L. A. Garibaldi, K. Ichii, J. Liu, S. M. Subramanian, G. F. Midgley, P. Miloslavich, Z. Molnár, D. Obura, A. Pfaff, S. Polasky, A. Purvis, J. Razzaque, B. Reyers, R. Roy Chowdhury, Y. J. Shin, I. J. Visseren-Hamakers, K. J. Willis, and C. N. Zayas (eds.). IPBES secretariat, Bonn, Germany. 56 pages. </w:t>
      </w:r>
      <w:hyperlink r:id="rId37" w:history="1">
        <w:r w:rsidRPr="006A38FD">
          <w:rPr>
            <w:rStyle w:val="Hyperlink"/>
            <w:sz w:val="20"/>
            <w:lang w:val="en-GB"/>
          </w:rPr>
          <w:t>https://doi.org/10.5281/zenodo.3553579</w:t>
        </w:r>
      </w:hyperlink>
      <w:r w:rsidRPr="006A38FD">
        <w:rPr>
          <w:sz w:val="20"/>
          <w:lang w:val="en-GB"/>
        </w:rPr>
        <w:t xml:space="preserve"> </w:t>
      </w:r>
    </w:p>
    <w:p w14:paraId="7570D104" w14:textId="77777777" w:rsidR="003A33D7" w:rsidRPr="006A38FD" w:rsidRDefault="003A33D7" w:rsidP="003A33D7">
      <w:pPr>
        <w:rPr>
          <w:sz w:val="20"/>
          <w:lang w:val="en-GB"/>
        </w:rPr>
      </w:pPr>
    </w:p>
    <w:p w14:paraId="50C7BFFA" w14:textId="25BBE2E9" w:rsidR="00737037" w:rsidRPr="00737037" w:rsidRDefault="003A33D7" w:rsidP="00737037">
      <w:pPr>
        <w:rPr>
          <w:sz w:val="20"/>
          <w:lang w:val="en-GB"/>
        </w:rPr>
      </w:pPr>
      <w:r w:rsidRPr="006A38FD">
        <w:rPr>
          <w:sz w:val="20"/>
          <w:lang w:val="en-GB"/>
        </w:rPr>
        <w:t xml:space="preserve">IPCC. (2022). Climate Change 2022: Impacts, Adaptation and Vulnerability (Contribution of Working Group II to the Sixth Assessment Report of the Intergovernmental Panel on Climate Change [H.-O. </w:t>
      </w:r>
      <w:r w:rsidRPr="006A38FD">
        <w:rPr>
          <w:sz w:val="20"/>
          <w:lang w:val="en-GB"/>
        </w:rPr>
        <w:lastRenderedPageBreak/>
        <w:t>Pörtner, D.C. Roberts, M. Tignor, E.S. Poloczanska, K. Mintenbeck, A. Alegría, M. Craig, S. Langsdorf, S. Löschke, V. Möller, A. Okem, B. Rama (Eds.)], p. 3056). Cambridge University Press. Cambridge University Press, Cambridge, UK and New York, NY, USA. doi:10.1017/9781009325844</w:t>
      </w:r>
    </w:p>
    <w:p w14:paraId="4C5C3027" w14:textId="77777777" w:rsidR="00737037" w:rsidRDefault="00737037" w:rsidP="00CD7887">
      <w:pPr>
        <w:pStyle w:val="Bibliography"/>
        <w:rPr>
          <w:sz w:val="20"/>
          <w:lang w:val="fi-FI"/>
        </w:rPr>
      </w:pPr>
    </w:p>
    <w:p w14:paraId="50227798" w14:textId="28767EB5" w:rsidR="00CD7887" w:rsidRDefault="00CD7887" w:rsidP="00CD7887">
      <w:pPr>
        <w:pStyle w:val="Bibliography"/>
        <w:rPr>
          <w:sz w:val="20"/>
        </w:rPr>
      </w:pPr>
      <w:r w:rsidRPr="00C601C3">
        <w:rPr>
          <w:sz w:val="20"/>
          <w:lang w:val="fi-FI"/>
        </w:rPr>
        <w:t xml:space="preserve">Jalkanen, J., Nieminen, E., Ahola, A., Salo, P., Pekkonen, M., Luoma, E., Kettunen, A., Halme, P., Pappila, M., Kotiaho, J., &amp; Kujala, H. (2025). Heikennys- ja </w:t>
      </w:r>
      <w:proofErr w:type="gramStart"/>
      <w:r w:rsidRPr="00C601C3">
        <w:rPr>
          <w:sz w:val="20"/>
          <w:lang w:val="fi-FI"/>
        </w:rPr>
        <w:t>hyvitysalueiden  luonnonarvohehtaarien</w:t>
      </w:r>
      <w:proofErr w:type="gramEnd"/>
      <w:r w:rsidRPr="00C601C3">
        <w:rPr>
          <w:sz w:val="20"/>
          <w:lang w:val="fi-FI"/>
        </w:rPr>
        <w:t xml:space="preserve"> laskeminen luonnonsuojelulain mukaisessa ekologisessa kompensaatiossa. Suomen ympäristökeskuksen raportteja. </w:t>
      </w:r>
      <w:r>
        <w:rPr>
          <w:sz w:val="20"/>
        </w:rPr>
        <w:t xml:space="preserve">Available at: </w:t>
      </w:r>
      <w:hyperlink r:id="rId38" w:history="1">
        <w:r w:rsidRPr="008A2235">
          <w:rPr>
            <w:rStyle w:val="Hyperlink"/>
            <w:sz w:val="20"/>
          </w:rPr>
          <w:t>https://helda.helsinki.fi/server/api/core/bitstreams/abed1c82-7101-4604-8bac-38b5eb6ee36d/content</w:t>
        </w:r>
      </w:hyperlink>
      <w:r>
        <w:rPr>
          <w:sz w:val="20"/>
        </w:rPr>
        <w:t xml:space="preserve"> </w:t>
      </w:r>
    </w:p>
    <w:p w14:paraId="5552E4E6" w14:textId="77777777" w:rsidR="00BE2AC9" w:rsidRDefault="00BE2AC9" w:rsidP="00BE2AC9"/>
    <w:p w14:paraId="6A7D669F" w14:textId="139E0FF4" w:rsidR="00A54396" w:rsidRDefault="00A54396" w:rsidP="00737037">
      <w:pPr>
        <w:rPr>
          <w:sz w:val="20"/>
          <w:lang w:val="en-GB"/>
        </w:rPr>
      </w:pPr>
      <w:r w:rsidRPr="002F4C9E">
        <w:rPr>
          <w:sz w:val="20"/>
          <w:lang w:val="fi-FI"/>
        </w:rPr>
        <w:t xml:space="preserve">Jalkanen, J., Nieminen, E., Ahola, A., Luoma, E., Pekkonen, M., Halme, P., Kotiaho, J. S., &amp; Kujala, H. (2026). </w:t>
      </w:r>
      <w:r w:rsidRPr="002F4C9E">
        <w:rPr>
          <w:sz w:val="20"/>
          <w:lang w:val="en-GB"/>
        </w:rPr>
        <w:t xml:space="preserve">Defining ecologically realistic biodiversity offset multipliers with the Response-based Habitat Hectare Assessment of Biodiversity Gains (REHAB) (s. 2026.01.26.701764). bioRxiv. </w:t>
      </w:r>
      <w:hyperlink r:id="rId39" w:history="1">
        <w:r w:rsidRPr="002F4C9E">
          <w:rPr>
            <w:rStyle w:val="Hyperlink"/>
            <w:sz w:val="20"/>
            <w:lang w:val="en-GB"/>
          </w:rPr>
          <w:t>https://doi.org/10.64898/2026.01.26.701764</w:t>
        </w:r>
      </w:hyperlink>
      <w:r>
        <w:rPr>
          <w:sz w:val="20"/>
          <w:lang w:val="en-GB"/>
        </w:rPr>
        <w:t xml:space="preserve"> </w:t>
      </w:r>
    </w:p>
    <w:p w14:paraId="3E93BAC5" w14:textId="77777777" w:rsidR="00A54396" w:rsidRDefault="00A54396" w:rsidP="00737037">
      <w:pPr>
        <w:rPr>
          <w:sz w:val="20"/>
          <w:lang w:val="en-GB"/>
        </w:rPr>
      </w:pPr>
    </w:p>
    <w:p w14:paraId="17186D0E" w14:textId="5AFD32D3" w:rsidR="00737037" w:rsidRPr="00056F44" w:rsidRDefault="00737037" w:rsidP="00737037">
      <w:pPr>
        <w:rPr>
          <w:sz w:val="20"/>
          <w:lang w:val="en-GB"/>
        </w:rPr>
      </w:pPr>
      <w:r w:rsidRPr="00737037">
        <w:rPr>
          <w:sz w:val="20"/>
          <w:lang w:val="en-GB"/>
        </w:rPr>
        <w:t>Jasch, C. (2003). The use of Environmental Management Accounting (EMA) for</w:t>
      </w:r>
      <w:r w:rsidRPr="00737037">
        <w:rPr>
          <w:sz w:val="20"/>
          <w:lang w:val="en-GB"/>
        </w:rPr>
        <w:t xml:space="preserve"> </w:t>
      </w:r>
      <w:r w:rsidRPr="00737037">
        <w:rPr>
          <w:sz w:val="20"/>
          <w:lang w:val="en-GB"/>
        </w:rPr>
        <w:t xml:space="preserve">identifying environmental costs. </w:t>
      </w:r>
      <w:r w:rsidRPr="00056F44">
        <w:rPr>
          <w:sz w:val="20"/>
          <w:lang w:val="en-GB"/>
        </w:rPr>
        <w:t xml:space="preserve">Journal of Cleaner Production, 11(6), 667–676. </w:t>
      </w:r>
      <w:hyperlink r:id="rId40" w:history="1">
        <w:r w:rsidRPr="00056F44">
          <w:rPr>
            <w:rStyle w:val="Hyperlink"/>
            <w:sz w:val="20"/>
            <w:lang w:val="en-GB"/>
          </w:rPr>
          <w:t>https://doi.org/10.1016/S0959-6526(02)00107-5</w:t>
        </w:r>
      </w:hyperlink>
    </w:p>
    <w:p w14:paraId="057DCEC2" w14:textId="77777777" w:rsidR="00737037" w:rsidRDefault="00737037" w:rsidP="00BE2AC9">
      <w:pPr>
        <w:rPr>
          <w:sz w:val="20"/>
          <w:lang w:val="en-GB"/>
        </w:rPr>
      </w:pPr>
    </w:p>
    <w:p w14:paraId="59841696" w14:textId="690E7862" w:rsidR="00140797" w:rsidRPr="00056F44" w:rsidRDefault="00140797" w:rsidP="00140797">
      <w:pPr>
        <w:rPr>
          <w:sz w:val="20"/>
          <w:lang w:val="en-GB"/>
        </w:rPr>
      </w:pPr>
      <w:r w:rsidRPr="00056F44">
        <w:rPr>
          <w:sz w:val="20"/>
          <w:lang w:val="en-GB"/>
        </w:rPr>
        <w:t>Jasinski, D., Meredith, J., &amp; Kirwan, K. (2015). A comprehensive review of full</w:t>
      </w:r>
      <w:r w:rsidRPr="00056F44">
        <w:rPr>
          <w:sz w:val="20"/>
          <w:lang w:val="en-GB"/>
        </w:rPr>
        <w:t xml:space="preserve"> </w:t>
      </w:r>
      <w:r w:rsidRPr="00056F44">
        <w:rPr>
          <w:sz w:val="20"/>
          <w:lang w:val="en-GB"/>
        </w:rPr>
        <w:t>cost accounting methods and their applicability to the automotive</w:t>
      </w:r>
      <w:r w:rsidRPr="00056F44">
        <w:rPr>
          <w:sz w:val="20"/>
          <w:lang w:val="en-GB"/>
        </w:rPr>
        <w:t xml:space="preserve"> </w:t>
      </w:r>
      <w:r w:rsidRPr="00056F44">
        <w:rPr>
          <w:sz w:val="20"/>
          <w:lang w:val="en-GB"/>
        </w:rPr>
        <w:t>industry. Journal of Cleaner Production, 108, 1123–1139.</w:t>
      </w:r>
    </w:p>
    <w:p w14:paraId="3B636A89" w14:textId="77777777" w:rsidR="00140797" w:rsidRPr="00056F44" w:rsidRDefault="00140797" w:rsidP="00140797">
      <w:pPr>
        <w:rPr>
          <w:sz w:val="20"/>
          <w:lang w:val="en-GB"/>
        </w:rPr>
      </w:pPr>
      <w:hyperlink r:id="rId41" w:history="1">
        <w:r w:rsidRPr="00056F44">
          <w:rPr>
            <w:rStyle w:val="Hyperlink"/>
            <w:sz w:val="20"/>
            <w:lang w:val="en-GB"/>
          </w:rPr>
          <w:t>https://doi.org/10.1016/j.jclepro.2015.06.04</w:t>
        </w:r>
      </w:hyperlink>
    </w:p>
    <w:p w14:paraId="6FFACEC7" w14:textId="77777777" w:rsidR="00140797" w:rsidRPr="00056F44" w:rsidRDefault="00140797" w:rsidP="00140797">
      <w:pPr>
        <w:rPr>
          <w:sz w:val="20"/>
          <w:lang w:val="en-GB"/>
        </w:rPr>
      </w:pPr>
      <w:r w:rsidRPr="00056F44">
        <w:rPr>
          <w:sz w:val="20"/>
          <w:lang w:val="en-GB"/>
        </w:rPr>
        <w:t> </w:t>
      </w:r>
    </w:p>
    <w:p w14:paraId="03DB8D4D" w14:textId="77777777" w:rsidR="00140797" w:rsidRPr="00056F44" w:rsidRDefault="00140797" w:rsidP="00140797">
      <w:pPr>
        <w:rPr>
          <w:sz w:val="20"/>
          <w:lang w:val="en-GB"/>
        </w:rPr>
      </w:pPr>
      <w:r w:rsidRPr="00056F44">
        <w:rPr>
          <w:sz w:val="20"/>
          <w:lang w:val="en-GB"/>
        </w:rPr>
        <w:t>Jørgensen, R., McManamon, D., Bullock, S., Taylor, J., Sireyjol, A., &amp; Schmidt, J.</w:t>
      </w:r>
    </w:p>
    <w:p w14:paraId="5C9A7547" w14:textId="27B3AF52" w:rsidR="00140797" w:rsidRPr="00056F44" w:rsidRDefault="00140797" w:rsidP="00140797">
      <w:pPr>
        <w:rPr>
          <w:sz w:val="20"/>
          <w:lang w:val="en-GB"/>
        </w:rPr>
      </w:pPr>
      <w:r w:rsidRPr="00056F44">
        <w:rPr>
          <w:sz w:val="20"/>
          <w:lang w:val="en-GB"/>
        </w:rPr>
        <w:t>(2014). Novo Nordisk’ s environmental profit and loss account.</w:t>
      </w:r>
    </w:p>
    <w:p w14:paraId="2C92047A" w14:textId="77777777" w:rsidR="00140797" w:rsidRPr="00056F44" w:rsidRDefault="00140797" w:rsidP="00140797">
      <w:pPr>
        <w:rPr>
          <w:sz w:val="20"/>
          <w:lang w:val="en-GB"/>
        </w:rPr>
      </w:pPr>
      <w:hyperlink r:id="rId42" w:history="1">
        <w:r w:rsidRPr="00056F44">
          <w:rPr>
            <w:rStyle w:val="Hyperlink"/>
            <w:sz w:val="20"/>
            <w:lang w:val="en-GB"/>
          </w:rPr>
          <w:t>https://www2.mst.dk/udgiv/publications/2014/02/978-87-93178-02-1.pdf</w:t>
        </w:r>
      </w:hyperlink>
      <w:r w:rsidRPr="00056F44">
        <w:rPr>
          <w:sz w:val="20"/>
          <w:lang w:val="en-GB"/>
        </w:rPr>
        <w:t xml:space="preserve"> </w:t>
      </w:r>
    </w:p>
    <w:p w14:paraId="24DC168F" w14:textId="77777777" w:rsidR="00140797" w:rsidRDefault="00140797" w:rsidP="00BE2AC9">
      <w:pPr>
        <w:rPr>
          <w:sz w:val="20"/>
          <w:lang w:val="en-GB"/>
        </w:rPr>
      </w:pPr>
    </w:p>
    <w:p w14:paraId="68242DDC" w14:textId="369ECF27" w:rsidR="00EC036E" w:rsidRPr="006A38FD" w:rsidRDefault="00EC036E" w:rsidP="00BE2AC9">
      <w:pPr>
        <w:rPr>
          <w:sz w:val="20"/>
          <w:lang w:val="en-GB"/>
        </w:rPr>
      </w:pPr>
      <w:r w:rsidRPr="006A38FD">
        <w:rPr>
          <w:sz w:val="20"/>
          <w:lang w:val="en-GB"/>
        </w:rPr>
        <w:t>JYU.Wisdom Biodiversity Footprint Te</w:t>
      </w:r>
      <w:r>
        <w:rPr>
          <w:sz w:val="20"/>
          <w:lang w:val="en-GB"/>
        </w:rPr>
        <w:t xml:space="preserve">am. (2026). </w:t>
      </w:r>
      <w:r w:rsidRPr="00EC036E">
        <w:rPr>
          <w:sz w:val="20"/>
          <w:lang w:val="en-GB"/>
        </w:rPr>
        <w:t xml:space="preserve">BIOVALENT: Biodiversity Footprint Database [Data set]. Zenodo. </w:t>
      </w:r>
      <w:hyperlink r:id="rId43" w:history="1">
        <w:r w:rsidRPr="00CF6CEA">
          <w:rPr>
            <w:rStyle w:val="Hyperlink"/>
            <w:sz w:val="20"/>
            <w:lang w:val="en-GB"/>
          </w:rPr>
          <w:t>https://doi.org/10.5281/zenodo.8369650</w:t>
        </w:r>
      </w:hyperlink>
      <w:r>
        <w:rPr>
          <w:sz w:val="20"/>
          <w:lang w:val="en-GB"/>
        </w:rPr>
        <w:t xml:space="preserve"> </w:t>
      </w:r>
    </w:p>
    <w:p w14:paraId="4F0036C0" w14:textId="77777777" w:rsidR="00EC036E" w:rsidRPr="006A38FD" w:rsidRDefault="00EC036E" w:rsidP="00BE2AC9">
      <w:pPr>
        <w:rPr>
          <w:sz w:val="20"/>
          <w:lang w:val="en-GB"/>
        </w:rPr>
      </w:pPr>
    </w:p>
    <w:p w14:paraId="564137D2" w14:textId="5C788B9A" w:rsidR="000170D9" w:rsidRPr="00E157B4" w:rsidRDefault="000170D9" w:rsidP="00BE2AC9">
      <w:pPr>
        <w:rPr>
          <w:sz w:val="20"/>
          <w:lang w:val="en-GB"/>
        </w:rPr>
      </w:pPr>
      <w:r w:rsidRPr="006A38FD">
        <w:rPr>
          <w:sz w:val="20"/>
          <w:lang w:val="en-GB"/>
        </w:rPr>
        <w:t xml:space="preserve">Kitzes, J. (2013). An introduction to </w:t>
      </w:r>
      <w:proofErr w:type="gramStart"/>
      <w:r w:rsidRPr="006A38FD">
        <w:rPr>
          <w:sz w:val="20"/>
          <w:lang w:val="en-GB"/>
        </w:rPr>
        <w:t>environmentally-extended</w:t>
      </w:r>
      <w:proofErr w:type="gramEnd"/>
      <w:r w:rsidRPr="006A38FD">
        <w:rPr>
          <w:sz w:val="20"/>
          <w:lang w:val="en-GB"/>
        </w:rPr>
        <w:t xml:space="preserve"> input-output analysis. </w:t>
      </w:r>
      <w:r w:rsidRPr="00E157B4">
        <w:rPr>
          <w:sz w:val="20"/>
          <w:lang w:val="en-GB"/>
        </w:rPr>
        <w:t xml:space="preserve">Resources, 2(4), 489–503. </w:t>
      </w:r>
      <w:hyperlink r:id="rId44" w:history="1">
        <w:r w:rsidRPr="00E157B4">
          <w:rPr>
            <w:rStyle w:val="Hyperlink"/>
            <w:sz w:val="20"/>
            <w:lang w:val="en-GB"/>
          </w:rPr>
          <w:t>https://doi.org/10.3390/resources2040489</w:t>
        </w:r>
      </w:hyperlink>
      <w:r w:rsidRPr="00E157B4">
        <w:rPr>
          <w:sz w:val="20"/>
          <w:lang w:val="en-GB"/>
        </w:rPr>
        <w:t xml:space="preserve"> </w:t>
      </w:r>
    </w:p>
    <w:p w14:paraId="1F07457D" w14:textId="77777777" w:rsidR="000170D9" w:rsidRPr="00E157B4" w:rsidRDefault="000170D9" w:rsidP="00BE2AC9">
      <w:pPr>
        <w:rPr>
          <w:sz w:val="20"/>
          <w:lang w:val="en-GB"/>
        </w:rPr>
      </w:pPr>
    </w:p>
    <w:p w14:paraId="750189D9" w14:textId="77777777" w:rsidR="002A1B19" w:rsidRPr="00E157B4" w:rsidRDefault="002A1B19" w:rsidP="00BE2AC9">
      <w:pPr>
        <w:rPr>
          <w:sz w:val="20"/>
          <w:lang w:val="en-GB"/>
        </w:rPr>
      </w:pPr>
      <w:r w:rsidRPr="00E157B4">
        <w:rPr>
          <w:sz w:val="20"/>
          <w:lang w:val="en-GB"/>
        </w:rPr>
        <w:t xml:space="preserve">Larsen, H. N., Pettersen, J., Solli, C., &amp; Hertwich, E. G. (2013). </w:t>
      </w:r>
      <w:r w:rsidRPr="006A38FD">
        <w:rPr>
          <w:sz w:val="20"/>
          <w:lang w:val="en-GB"/>
        </w:rPr>
        <w:t xml:space="preserve">Investigating the Carbon Footprint of a University—The case of NTNU. </w:t>
      </w:r>
      <w:r w:rsidRPr="00E157B4">
        <w:rPr>
          <w:i/>
          <w:iCs/>
          <w:sz w:val="20"/>
          <w:lang w:val="en-GB"/>
        </w:rPr>
        <w:t>Journal of Cleaner Production</w:t>
      </w:r>
      <w:r w:rsidRPr="00E157B4">
        <w:rPr>
          <w:sz w:val="20"/>
          <w:lang w:val="en-GB"/>
        </w:rPr>
        <w:t xml:space="preserve">, </w:t>
      </w:r>
      <w:r w:rsidRPr="00E157B4">
        <w:rPr>
          <w:i/>
          <w:iCs/>
          <w:sz w:val="20"/>
          <w:lang w:val="en-GB"/>
        </w:rPr>
        <w:t>48</w:t>
      </w:r>
      <w:r w:rsidRPr="00E157B4">
        <w:rPr>
          <w:sz w:val="20"/>
          <w:lang w:val="en-GB"/>
        </w:rPr>
        <w:t xml:space="preserve">, 39–47. </w:t>
      </w:r>
      <w:hyperlink r:id="rId45" w:history="1">
        <w:r w:rsidRPr="00E157B4">
          <w:rPr>
            <w:rStyle w:val="Hyperlink"/>
            <w:sz w:val="20"/>
            <w:lang w:val="en-GB"/>
          </w:rPr>
          <w:t>https://doi.org/10.1016/j.jclepro.2011.10.007</w:t>
        </w:r>
      </w:hyperlink>
      <w:r w:rsidRPr="00E157B4">
        <w:rPr>
          <w:sz w:val="20"/>
          <w:lang w:val="en-GB"/>
        </w:rPr>
        <w:t xml:space="preserve"> </w:t>
      </w:r>
    </w:p>
    <w:p w14:paraId="571247EF" w14:textId="77777777" w:rsidR="002A1B19" w:rsidRPr="00E157B4" w:rsidRDefault="002A1B19" w:rsidP="00CD7887">
      <w:pPr>
        <w:pStyle w:val="Bibliography"/>
        <w:rPr>
          <w:sz w:val="20"/>
          <w:lang w:val="en-GB"/>
        </w:rPr>
      </w:pPr>
    </w:p>
    <w:p w14:paraId="735E90A2" w14:textId="17907960" w:rsidR="00E20175" w:rsidRDefault="00E20175" w:rsidP="00154CF9">
      <w:pPr>
        <w:rPr>
          <w:sz w:val="20"/>
          <w:lang w:val="en-GB"/>
        </w:rPr>
      </w:pPr>
      <w:r w:rsidRPr="00E20175">
        <w:rPr>
          <w:sz w:val="20"/>
          <w:lang w:val="en-GB"/>
        </w:rPr>
        <w:t xml:space="preserve">Leontief, W. (1970). Environmental Repercussions and the Economic Structure: An Input-Output Approach. The Review of Economics and Statistics, 52(3), 262–271. </w:t>
      </w:r>
      <w:hyperlink r:id="rId46" w:history="1">
        <w:r w:rsidRPr="00407FD2">
          <w:rPr>
            <w:rStyle w:val="Hyperlink"/>
            <w:sz w:val="20"/>
            <w:lang w:val="en-GB"/>
          </w:rPr>
          <w:t>https://doi.org/10.2307/1926294</w:t>
        </w:r>
      </w:hyperlink>
      <w:r>
        <w:rPr>
          <w:sz w:val="20"/>
          <w:lang w:val="en-GB"/>
        </w:rPr>
        <w:t xml:space="preserve"> </w:t>
      </w:r>
    </w:p>
    <w:p w14:paraId="0DDF9DE0" w14:textId="77777777" w:rsidR="00E20175" w:rsidRDefault="00E20175" w:rsidP="00154CF9">
      <w:pPr>
        <w:rPr>
          <w:sz w:val="20"/>
          <w:lang w:val="en-GB"/>
        </w:rPr>
      </w:pPr>
    </w:p>
    <w:p w14:paraId="56B85A23" w14:textId="1C8D16F8" w:rsidR="00154CF9" w:rsidRPr="00E157B4" w:rsidRDefault="00154CF9" w:rsidP="00154CF9">
      <w:pPr>
        <w:rPr>
          <w:sz w:val="20"/>
          <w:lang w:val="en-GB"/>
        </w:rPr>
      </w:pPr>
      <w:r w:rsidRPr="006A38FD">
        <w:rPr>
          <w:sz w:val="20"/>
          <w:lang w:val="en-GB"/>
        </w:rPr>
        <w:t xml:space="preserve">Lenzen, M., Moran, D., Kanemoto, K., Foran, B., Lobefaro, L., &amp; Geschke, A. (2012). International trade drives biodiversity threats in developing nations. </w:t>
      </w:r>
      <w:r w:rsidRPr="00E157B4">
        <w:rPr>
          <w:sz w:val="20"/>
          <w:lang w:val="en-GB"/>
        </w:rPr>
        <w:t xml:space="preserve">Nature, 486(7401), 109–112. </w:t>
      </w:r>
      <w:hyperlink r:id="rId47" w:history="1">
        <w:r w:rsidRPr="00E157B4">
          <w:rPr>
            <w:rStyle w:val="Hyperlink"/>
            <w:sz w:val="20"/>
            <w:lang w:val="en-GB"/>
          </w:rPr>
          <w:t>https://doi.org/10.1038/nature11145</w:t>
        </w:r>
      </w:hyperlink>
      <w:r w:rsidRPr="00E157B4">
        <w:rPr>
          <w:sz w:val="20"/>
          <w:lang w:val="en-GB"/>
        </w:rPr>
        <w:t xml:space="preserve"> </w:t>
      </w:r>
    </w:p>
    <w:p w14:paraId="7966E0A8" w14:textId="790172E8" w:rsidR="00154CF9" w:rsidRDefault="00154CF9" w:rsidP="006A38FD">
      <w:pPr>
        <w:rPr>
          <w:lang w:val="en-GB"/>
        </w:rPr>
      </w:pPr>
    </w:p>
    <w:p w14:paraId="308E5E3C" w14:textId="0D1359B9" w:rsidR="00056F44" w:rsidRPr="00A54396" w:rsidRDefault="00056F44" w:rsidP="00056F44">
      <w:pPr>
        <w:rPr>
          <w:sz w:val="20"/>
          <w:lang w:val="en-GB"/>
        </w:rPr>
      </w:pPr>
      <w:r w:rsidRPr="00056F44">
        <w:rPr>
          <w:sz w:val="20"/>
          <w:lang w:val="en-GB"/>
        </w:rPr>
        <w:t>Maas, K., Schaltegger, S., &amp; Crutzen, N. (2016). Integrating corporate</w:t>
      </w:r>
      <w:r w:rsidRPr="00056F44">
        <w:rPr>
          <w:sz w:val="20"/>
          <w:lang w:val="en-GB"/>
        </w:rPr>
        <w:t xml:space="preserve"> </w:t>
      </w:r>
      <w:r w:rsidRPr="00056F44">
        <w:rPr>
          <w:sz w:val="20"/>
          <w:lang w:val="en-GB"/>
        </w:rPr>
        <w:t>sustainability assessment, management accounting, control, and reporting.</w:t>
      </w:r>
      <w:r w:rsidRPr="00056F44">
        <w:rPr>
          <w:sz w:val="20"/>
          <w:lang w:val="en-GB"/>
        </w:rPr>
        <w:t xml:space="preserve"> </w:t>
      </w:r>
      <w:r w:rsidRPr="00A54396">
        <w:rPr>
          <w:sz w:val="20"/>
          <w:lang w:val="en-GB"/>
        </w:rPr>
        <w:t>Journal of Cleaner Production, 136, 237–248.</w:t>
      </w:r>
    </w:p>
    <w:p w14:paraId="60C1F551" w14:textId="77777777" w:rsidR="00056F44" w:rsidRPr="00A54396" w:rsidRDefault="00056F44" w:rsidP="00056F44">
      <w:pPr>
        <w:rPr>
          <w:sz w:val="20"/>
          <w:lang w:val="en-GB"/>
        </w:rPr>
      </w:pPr>
      <w:hyperlink r:id="rId48" w:history="1">
        <w:r w:rsidRPr="00A54396">
          <w:rPr>
            <w:rStyle w:val="Hyperlink"/>
            <w:sz w:val="20"/>
            <w:lang w:val="en-GB"/>
          </w:rPr>
          <w:t>https://doi.org/10.1016/j.jclepro.2016.05.008</w:t>
        </w:r>
      </w:hyperlink>
    </w:p>
    <w:p w14:paraId="20E8105D" w14:textId="77777777" w:rsidR="00056F44" w:rsidRDefault="00056F44" w:rsidP="00CD7887">
      <w:pPr>
        <w:pStyle w:val="Bibliography"/>
        <w:rPr>
          <w:sz w:val="20"/>
          <w:lang w:val="en-GB"/>
        </w:rPr>
      </w:pPr>
    </w:p>
    <w:p w14:paraId="7AC5751A" w14:textId="4EAEBF27" w:rsidR="00CF4EB7" w:rsidRPr="006A38FD" w:rsidRDefault="00CF4EB7" w:rsidP="00CD7887">
      <w:pPr>
        <w:pStyle w:val="Bibliography"/>
        <w:rPr>
          <w:sz w:val="20"/>
          <w:lang w:val="en-GB"/>
        </w:rPr>
      </w:pPr>
      <w:r w:rsidRPr="00E157B4">
        <w:rPr>
          <w:sz w:val="20"/>
          <w:lang w:val="en-GB"/>
        </w:rPr>
        <w:t xml:space="preserve">Marques, A., Martins, I. S., Kastner, T., Plutzar, C., Theurl, M. C., Eisenmenger, N., Huijbregts, M. A. J., Wood, R., Stadler, K., Bruckner, M., Canelas, J., Hilbers, J. P., Tukker, A., Erb, K., &amp; Pereira, H. M. (2019). </w:t>
      </w:r>
      <w:r w:rsidRPr="006A38FD">
        <w:rPr>
          <w:sz w:val="20"/>
          <w:lang w:val="en-GB"/>
        </w:rPr>
        <w:t xml:space="preserve">Increasing impacts of land use on biodiversity and carbon sequestration driven by population and economic growth. Nature Ecology &amp; Evolution, 3. </w:t>
      </w:r>
      <w:hyperlink r:id="rId49" w:history="1">
        <w:r w:rsidRPr="006A38FD">
          <w:rPr>
            <w:rStyle w:val="Hyperlink"/>
            <w:sz w:val="20"/>
            <w:lang w:val="en-GB"/>
          </w:rPr>
          <w:t>https://doi.org/10.1038/s41559-019-0824-3</w:t>
        </w:r>
      </w:hyperlink>
      <w:r w:rsidRPr="006A38FD">
        <w:rPr>
          <w:sz w:val="20"/>
          <w:lang w:val="en-GB"/>
        </w:rPr>
        <w:t xml:space="preserve"> </w:t>
      </w:r>
    </w:p>
    <w:p w14:paraId="042A7231" w14:textId="77777777" w:rsidR="00CF4EB7" w:rsidRDefault="00CF4EB7" w:rsidP="006A38FD">
      <w:pPr>
        <w:rPr>
          <w:lang w:val="en-GB"/>
        </w:rPr>
      </w:pPr>
    </w:p>
    <w:p w14:paraId="5E2FB705" w14:textId="24EB8A1E" w:rsidR="00A54396" w:rsidRPr="00A54396" w:rsidRDefault="00A54396" w:rsidP="00A54396">
      <w:pPr>
        <w:rPr>
          <w:sz w:val="20"/>
          <w:lang w:val="en-GB"/>
        </w:rPr>
      </w:pPr>
      <w:r w:rsidRPr="00A54396">
        <w:rPr>
          <w:sz w:val="20"/>
          <w:lang w:val="en-GB"/>
        </w:rPr>
        <w:t>Matulis, B. S. (2014). The economic valuation of nature: A question of justice?</w:t>
      </w:r>
      <w:r>
        <w:rPr>
          <w:sz w:val="20"/>
          <w:lang w:val="en-GB"/>
        </w:rPr>
        <w:t xml:space="preserve"> </w:t>
      </w:r>
      <w:r w:rsidRPr="00A54396">
        <w:rPr>
          <w:sz w:val="20"/>
          <w:lang w:val="en-GB"/>
        </w:rPr>
        <w:t>Ecological Economics, 104, 155–157.</w:t>
      </w:r>
      <w:r>
        <w:rPr>
          <w:sz w:val="20"/>
          <w:lang w:val="en-GB"/>
        </w:rPr>
        <w:t xml:space="preserve"> </w:t>
      </w:r>
      <w:hyperlink r:id="rId50" w:history="1">
        <w:r w:rsidR="00B92436" w:rsidRPr="008F206C">
          <w:rPr>
            <w:rStyle w:val="Hyperlink"/>
            <w:sz w:val="20"/>
            <w:lang w:val="en-GB"/>
          </w:rPr>
          <w:t>https://doi.org/10.1016/j.ecolecon.2014.04.010</w:t>
        </w:r>
      </w:hyperlink>
      <w:r w:rsidR="00B92436">
        <w:rPr>
          <w:sz w:val="20"/>
          <w:lang w:val="en-GB"/>
        </w:rPr>
        <w:t xml:space="preserve"> </w:t>
      </w:r>
    </w:p>
    <w:p w14:paraId="7484235F" w14:textId="12D729D5" w:rsidR="00A54396" w:rsidRPr="002C5656" w:rsidRDefault="00A54396" w:rsidP="006A38FD">
      <w:pPr>
        <w:rPr>
          <w:sz w:val="20"/>
          <w:lang w:val="en-GB"/>
        </w:rPr>
      </w:pPr>
      <w:r w:rsidRPr="00A54396">
        <w:rPr>
          <w:sz w:val="20"/>
          <w:lang w:val="en-GB"/>
        </w:rPr>
        <w:lastRenderedPageBreak/>
        <w:t>Maunders, K. T., &amp; Burritt, R. L. (1991). Accounting and Ecological Crisis.</w:t>
      </w:r>
      <w:r>
        <w:rPr>
          <w:sz w:val="20"/>
          <w:lang w:val="en-GB"/>
        </w:rPr>
        <w:t xml:space="preserve"> </w:t>
      </w:r>
      <w:r w:rsidRPr="00A54396">
        <w:rPr>
          <w:sz w:val="20"/>
          <w:lang w:val="en-GB"/>
        </w:rPr>
        <w:t>Accounting, Auditing &amp; Accountability Journal, 4(3), 9–26.</w:t>
      </w:r>
      <w:r>
        <w:rPr>
          <w:sz w:val="20"/>
          <w:lang w:val="en-GB"/>
        </w:rPr>
        <w:t xml:space="preserve"> </w:t>
      </w:r>
      <w:hyperlink r:id="rId51" w:history="1">
        <w:r w:rsidRPr="008F206C">
          <w:rPr>
            <w:rStyle w:val="Hyperlink"/>
            <w:sz w:val="20"/>
            <w:lang w:val="en-GB"/>
          </w:rPr>
          <w:t>https://www.emerald.com/insight/content/doi/10.1108/09513579110003277/full/pdf?title=accounting-and-ecological-crisis</w:t>
        </w:r>
      </w:hyperlink>
    </w:p>
    <w:p w14:paraId="76B7EC2C" w14:textId="77777777" w:rsidR="00856994" w:rsidRPr="00856994" w:rsidRDefault="00856994" w:rsidP="00CD7887">
      <w:pPr>
        <w:pStyle w:val="Bibliography"/>
        <w:rPr>
          <w:sz w:val="20"/>
          <w:lang w:val="en-GB"/>
        </w:rPr>
      </w:pPr>
    </w:p>
    <w:p w14:paraId="6B6B6C22" w14:textId="705E8F9A" w:rsidR="00A6584F" w:rsidRPr="006A38FD" w:rsidRDefault="00A6584F" w:rsidP="00CD7887">
      <w:pPr>
        <w:pStyle w:val="Bibliography"/>
        <w:rPr>
          <w:sz w:val="20"/>
          <w:lang w:val="en-GB"/>
        </w:rPr>
      </w:pPr>
      <w:r w:rsidRPr="002F4C9E">
        <w:rPr>
          <w:sz w:val="20"/>
          <w:lang w:val="pt-PT"/>
        </w:rPr>
        <w:t xml:space="preserve">Marques, A., Verones, F., Kok, M. T., Huijbregts, M. A., &amp; Pereira, H. M. (2017). </w:t>
      </w:r>
      <w:r w:rsidRPr="006A38FD">
        <w:rPr>
          <w:sz w:val="20"/>
          <w:lang w:val="en-GB"/>
        </w:rPr>
        <w:t xml:space="preserve">How to quantify biodiversity footprints of consumption? A review of multi-regional input–output analysis and life cycle assessment. Current Opinion in Environmental Sustainability, 29, 75–81. </w:t>
      </w:r>
      <w:hyperlink r:id="rId52" w:history="1">
        <w:r w:rsidRPr="006A38FD">
          <w:rPr>
            <w:rStyle w:val="Hyperlink"/>
            <w:sz w:val="20"/>
            <w:lang w:val="en-GB"/>
          </w:rPr>
          <w:t>https://doi.org/10.1016/j.cosust.2018.01.005</w:t>
        </w:r>
      </w:hyperlink>
      <w:r w:rsidRPr="006A38FD">
        <w:rPr>
          <w:sz w:val="20"/>
          <w:lang w:val="en-GB"/>
        </w:rPr>
        <w:t xml:space="preserve"> </w:t>
      </w:r>
    </w:p>
    <w:p w14:paraId="1320463F" w14:textId="77777777" w:rsidR="00A6584F" w:rsidRPr="006A38FD" w:rsidRDefault="00A6584F" w:rsidP="00CD7887">
      <w:pPr>
        <w:pStyle w:val="Bibliography"/>
        <w:rPr>
          <w:sz w:val="20"/>
          <w:lang w:val="en-GB"/>
        </w:rPr>
      </w:pPr>
    </w:p>
    <w:p w14:paraId="4D45BBFC" w14:textId="06B1680C" w:rsidR="002C5656" w:rsidRPr="002C5656" w:rsidRDefault="002C5656" w:rsidP="002C5656">
      <w:pPr>
        <w:pStyle w:val="Bibliography"/>
        <w:rPr>
          <w:sz w:val="20"/>
          <w:lang w:val="en-GB"/>
        </w:rPr>
      </w:pPr>
      <w:r w:rsidRPr="002C5656">
        <w:rPr>
          <w:sz w:val="20"/>
          <w:lang w:val="en-GB"/>
        </w:rPr>
        <w:t>Miller, P., &amp; Power, M. (2013). Accounting, Organizing, and Economizing:</w:t>
      </w:r>
      <w:r>
        <w:rPr>
          <w:sz w:val="20"/>
          <w:lang w:val="en-GB"/>
        </w:rPr>
        <w:t xml:space="preserve"> </w:t>
      </w:r>
      <w:r w:rsidRPr="002C5656">
        <w:rPr>
          <w:sz w:val="20"/>
          <w:lang w:val="en-GB"/>
        </w:rPr>
        <w:t>Connecting Accounting Research and Organization Theory. The Academy</w:t>
      </w:r>
      <w:r>
        <w:rPr>
          <w:sz w:val="20"/>
          <w:lang w:val="en-GB"/>
        </w:rPr>
        <w:t xml:space="preserve"> </w:t>
      </w:r>
      <w:r w:rsidRPr="002C5656">
        <w:rPr>
          <w:sz w:val="20"/>
          <w:lang w:val="en-GB"/>
        </w:rPr>
        <w:t>of Management Annals, 7(1), 557–605.</w:t>
      </w:r>
    </w:p>
    <w:p w14:paraId="0749A1BF" w14:textId="77777777" w:rsidR="002C5656" w:rsidRPr="002C5656" w:rsidRDefault="002C5656" w:rsidP="002C5656">
      <w:pPr>
        <w:pStyle w:val="Bibliography"/>
        <w:rPr>
          <w:sz w:val="20"/>
          <w:lang w:val="en-GB"/>
        </w:rPr>
      </w:pPr>
      <w:hyperlink r:id="rId53" w:history="1">
        <w:r w:rsidRPr="002C5656">
          <w:rPr>
            <w:rStyle w:val="Hyperlink"/>
            <w:sz w:val="20"/>
            <w:lang w:val="en-GB"/>
          </w:rPr>
          <w:t>https://doi.org/10.1080/19416520.2013.783668</w:t>
        </w:r>
      </w:hyperlink>
    </w:p>
    <w:p w14:paraId="2ECEBEC8" w14:textId="77777777" w:rsidR="002C5656" w:rsidRPr="002C5656" w:rsidRDefault="002C5656" w:rsidP="002C5656">
      <w:pPr>
        <w:pStyle w:val="Bibliography"/>
        <w:rPr>
          <w:sz w:val="20"/>
          <w:lang w:val="en-GB"/>
        </w:rPr>
      </w:pPr>
      <w:r w:rsidRPr="002C5656">
        <w:rPr>
          <w:sz w:val="20"/>
          <w:lang w:val="en-GB"/>
        </w:rPr>
        <w:t> </w:t>
      </w:r>
    </w:p>
    <w:p w14:paraId="11CB84B0" w14:textId="0B1F35CD" w:rsidR="002C5656" w:rsidRPr="00541944" w:rsidRDefault="002C5656" w:rsidP="002C5656">
      <w:pPr>
        <w:pStyle w:val="Bibliography"/>
        <w:rPr>
          <w:sz w:val="20"/>
          <w:lang w:val="en-GB"/>
        </w:rPr>
      </w:pPr>
      <w:r w:rsidRPr="002C5656">
        <w:rPr>
          <w:sz w:val="20"/>
          <w:lang w:val="en-GB"/>
        </w:rPr>
        <w:t xml:space="preserve">Milne, M. J. (1996). </w:t>
      </w:r>
      <w:r w:rsidRPr="00265C4E">
        <w:rPr>
          <w:sz w:val="20"/>
          <w:lang w:val="en-GB"/>
        </w:rPr>
        <w:t>On sustainability; the environment and management</w:t>
      </w:r>
      <w:r w:rsidRPr="00265C4E">
        <w:rPr>
          <w:sz w:val="20"/>
          <w:lang w:val="en-GB"/>
        </w:rPr>
        <w:t xml:space="preserve"> </w:t>
      </w:r>
      <w:r w:rsidRPr="00265C4E">
        <w:rPr>
          <w:sz w:val="20"/>
          <w:lang w:val="en-GB"/>
        </w:rPr>
        <w:t xml:space="preserve">accounting. </w:t>
      </w:r>
      <w:r w:rsidRPr="00541944">
        <w:rPr>
          <w:sz w:val="20"/>
          <w:lang w:val="en-GB"/>
        </w:rPr>
        <w:t>Management Accounting Research, 7(1), 135–161.</w:t>
      </w:r>
      <w:r w:rsidRPr="00541944">
        <w:rPr>
          <w:sz w:val="20"/>
          <w:lang w:val="en-GB"/>
        </w:rPr>
        <w:t xml:space="preserve"> </w:t>
      </w:r>
      <w:hyperlink r:id="rId54" w:history="1">
        <w:r w:rsidRPr="00541944">
          <w:rPr>
            <w:rStyle w:val="Hyperlink"/>
            <w:sz w:val="20"/>
            <w:lang w:val="en-GB"/>
          </w:rPr>
          <w:t>https://doi.org/10.1006/mare.1996.0007</w:t>
        </w:r>
      </w:hyperlink>
    </w:p>
    <w:p w14:paraId="50D7AF6C" w14:textId="77777777" w:rsidR="002C5656" w:rsidRPr="00541944" w:rsidRDefault="002C5656" w:rsidP="00CD7887">
      <w:pPr>
        <w:pStyle w:val="Bibliography"/>
        <w:rPr>
          <w:sz w:val="20"/>
          <w:lang w:val="en-GB"/>
        </w:rPr>
      </w:pPr>
    </w:p>
    <w:p w14:paraId="583395F5" w14:textId="05ACCA40" w:rsidR="00CD7887" w:rsidRPr="00612B37" w:rsidRDefault="00CD7887" w:rsidP="00CD7887">
      <w:pPr>
        <w:pStyle w:val="Bibliography"/>
        <w:rPr>
          <w:sz w:val="20"/>
        </w:rPr>
      </w:pPr>
      <w:r w:rsidRPr="00541944">
        <w:rPr>
          <w:sz w:val="20"/>
          <w:lang w:val="en-GB"/>
        </w:rPr>
        <w:t xml:space="preserve">Moilanen, A., &amp; Kotiaho, J. S. (2018). </w:t>
      </w:r>
      <w:r w:rsidRPr="00612B37">
        <w:rPr>
          <w:sz w:val="20"/>
        </w:rPr>
        <w:t xml:space="preserve">Fifteen operationally important decisions in the planning of biodiversity offsets. </w:t>
      </w:r>
      <w:r w:rsidRPr="00612B37">
        <w:rPr>
          <w:i/>
          <w:iCs/>
          <w:sz w:val="20"/>
        </w:rPr>
        <w:t>Biological Conservation</w:t>
      </w:r>
      <w:r w:rsidRPr="00612B37">
        <w:rPr>
          <w:sz w:val="20"/>
        </w:rPr>
        <w:t xml:space="preserve">, </w:t>
      </w:r>
      <w:r w:rsidRPr="00612B37">
        <w:rPr>
          <w:i/>
          <w:iCs/>
          <w:sz w:val="20"/>
        </w:rPr>
        <w:t>227</w:t>
      </w:r>
      <w:r w:rsidRPr="00612B37">
        <w:rPr>
          <w:sz w:val="20"/>
        </w:rPr>
        <w:t xml:space="preserve">, 112–120. </w:t>
      </w:r>
      <w:hyperlink r:id="rId55" w:history="1">
        <w:r w:rsidRPr="008A2235">
          <w:rPr>
            <w:rStyle w:val="Hyperlink"/>
            <w:sz w:val="20"/>
          </w:rPr>
          <w:t>https://doi.org/10.1016/j.biocon.2018.09.002</w:t>
        </w:r>
      </w:hyperlink>
      <w:r>
        <w:rPr>
          <w:sz w:val="20"/>
        </w:rPr>
        <w:t xml:space="preserve"> </w:t>
      </w:r>
    </w:p>
    <w:p w14:paraId="4E0CC540" w14:textId="77777777" w:rsidR="00CD7887" w:rsidRDefault="00CD7887" w:rsidP="00CD7887">
      <w:pPr>
        <w:pStyle w:val="Bibliography"/>
        <w:rPr>
          <w:sz w:val="20"/>
        </w:rPr>
      </w:pPr>
      <w:r w:rsidRPr="00612B37">
        <w:rPr>
          <w:sz w:val="20"/>
        </w:rPr>
        <w:t xml:space="preserve">Natural Resources Institute Finland. (2023). </w:t>
      </w:r>
      <w:r w:rsidRPr="0007174D">
        <w:rPr>
          <w:sz w:val="20"/>
        </w:rPr>
        <w:t>Implementation of the METSO Programme by the ELY Centres in 2008-2022—Land purchases by the state, private nature reserves and fixed-term nature reserves [Dataset].</w:t>
      </w:r>
      <w:r w:rsidRPr="00612B37">
        <w:rPr>
          <w:sz w:val="20"/>
        </w:rPr>
        <w:t xml:space="preserve"> </w:t>
      </w:r>
      <w:r>
        <w:rPr>
          <w:sz w:val="20"/>
        </w:rPr>
        <w:t xml:space="preserve">Available at: </w:t>
      </w:r>
      <w:hyperlink r:id="rId56" w:history="1">
        <w:r w:rsidRPr="008A2235">
          <w:rPr>
            <w:rStyle w:val="Hyperlink"/>
            <w:sz w:val="20"/>
          </w:rPr>
          <w:t>https://statdb.luke.fi/PXWeb/pxweb/en/LUKE/LUKE__04%20Metsa__02%20Rakenne%20ja%20tuotanto__04%20Metsien%20suojelu/11_Etela_suomen_metso_ely.px/?rxid=e17f8ff1-eff4-4052-9566-f3fb8c3ca63a</w:t>
        </w:r>
      </w:hyperlink>
      <w:r>
        <w:rPr>
          <w:sz w:val="20"/>
        </w:rPr>
        <w:t xml:space="preserve"> </w:t>
      </w:r>
    </w:p>
    <w:p w14:paraId="5AF7FBA5" w14:textId="77777777" w:rsidR="00BE2AC9" w:rsidRDefault="00BE2AC9" w:rsidP="00BE2AC9"/>
    <w:p w14:paraId="767DC925" w14:textId="282F53CA" w:rsidR="0052490E" w:rsidRPr="006A38FD" w:rsidRDefault="0052490E" w:rsidP="00BE2AC9">
      <w:pPr>
        <w:rPr>
          <w:sz w:val="20"/>
        </w:rPr>
      </w:pPr>
      <w:r w:rsidRPr="006A38FD">
        <w:rPr>
          <w:sz w:val="20"/>
        </w:rPr>
        <w:t xml:space="preserve">Nakamura, S., &amp; Nansai, K. (2016). Input–Output and Hybrid LCA. In M. Finkbeiner (Ed.), Special Types of Life Cycle Assessment (pp. 219–291). Springer Netherlands. </w:t>
      </w:r>
      <w:hyperlink r:id="rId57" w:history="1">
        <w:r w:rsidRPr="006A38FD">
          <w:rPr>
            <w:rStyle w:val="Hyperlink"/>
            <w:sz w:val="20"/>
          </w:rPr>
          <w:t>https://doi.org/10.1007/978-94-017-7610-3_6</w:t>
        </w:r>
      </w:hyperlink>
      <w:r>
        <w:rPr>
          <w:sz w:val="20"/>
        </w:rPr>
        <w:t xml:space="preserve"> </w:t>
      </w:r>
    </w:p>
    <w:p w14:paraId="529A9956" w14:textId="77777777" w:rsidR="0052490E" w:rsidRDefault="0052490E" w:rsidP="00CD7887">
      <w:pPr>
        <w:pStyle w:val="Bibliography"/>
        <w:rPr>
          <w:sz w:val="20"/>
        </w:rPr>
      </w:pPr>
    </w:p>
    <w:p w14:paraId="0FF94CB1" w14:textId="77777777" w:rsidR="00CD7887" w:rsidRDefault="00CD7887" w:rsidP="00CD7887">
      <w:pPr>
        <w:pStyle w:val="Bibliography"/>
        <w:rPr>
          <w:sz w:val="20"/>
        </w:rPr>
      </w:pPr>
      <w:r w:rsidRPr="00612B37">
        <w:rPr>
          <w:sz w:val="20"/>
        </w:rPr>
        <w:t>Nature Conservation Act</w:t>
      </w:r>
      <w:r>
        <w:rPr>
          <w:sz w:val="20"/>
        </w:rPr>
        <w:t xml:space="preserve"> </w:t>
      </w:r>
      <w:r w:rsidRPr="00612B37">
        <w:rPr>
          <w:sz w:val="20"/>
        </w:rPr>
        <w:t>(2023).</w:t>
      </w:r>
      <w:r>
        <w:rPr>
          <w:sz w:val="20"/>
        </w:rPr>
        <w:t xml:space="preserve"> Nature Conservation Act 9/2023. Available at:</w:t>
      </w:r>
      <w:r w:rsidRPr="00612B37">
        <w:rPr>
          <w:sz w:val="20"/>
        </w:rPr>
        <w:t xml:space="preserve"> </w:t>
      </w:r>
      <w:hyperlink r:id="rId58" w:history="1">
        <w:r w:rsidRPr="008A2235">
          <w:rPr>
            <w:rStyle w:val="Hyperlink"/>
            <w:sz w:val="20"/>
          </w:rPr>
          <w:t>https://finlex.fi/api/media/statute-foreign-language-translation/12665/mainPdf/main.pdf?timestamp=2023-01-05T00%3A00%3A00.000Z</w:t>
        </w:r>
      </w:hyperlink>
      <w:r>
        <w:rPr>
          <w:sz w:val="20"/>
        </w:rPr>
        <w:t xml:space="preserve"> </w:t>
      </w:r>
    </w:p>
    <w:p w14:paraId="69FFCA9C" w14:textId="77777777" w:rsidR="00BE2AC9" w:rsidRDefault="00BE2AC9" w:rsidP="00BE2AC9"/>
    <w:p w14:paraId="63D3621A" w14:textId="4952C995" w:rsidR="00265C4E" w:rsidRPr="00265C4E" w:rsidRDefault="00265C4E" w:rsidP="00265C4E">
      <w:pPr>
        <w:rPr>
          <w:sz w:val="20"/>
          <w:lang w:val="en-GB"/>
        </w:rPr>
      </w:pPr>
      <w:r w:rsidRPr="00265C4E">
        <w:rPr>
          <w:sz w:val="20"/>
          <w:lang w:val="en-GB"/>
        </w:rPr>
        <w:t>Nedopil, C. (2023). Integrating biodiversity into financial decision-making:</w:t>
      </w:r>
      <w:r w:rsidRPr="00265C4E">
        <w:rPr>
          <w:sz w:val="20"/>
          <w:lang w:val="en-GB"/>
        </w:rPr>
        <w:t xml:space="preserve"> </w:t>
      </w:r>
      <w:r w:rsidRPr="00265C4E">
        <w:rPr>
          <w:sz w:val="20"/>
          <w:lang w:val="en-GB"/>
        </w:rPr>
        <w:t>Challenges and four principles. Business Strategy and the Environment, 32(4),</w:t>
      </w:r>
      <w:r w:rsidRPr="00265C4E">
        <w:rPr>
          <w:sz w:val="20"/>
          <w:lang w:val="en-GB"/>
        </w:rPr>
        <w:t xml:space="preserve"> </w:t>
      </w:r>
      <w:r w:rsidRPr="00265C4E">
        <w:rPr>
          <w:sz w:val="20"/>
          <w:lang w:val="en-GB"/>
        </w:rPr>
        <w:t xml:space="preserve">1619–1633. </w:t>
      </w:r>
      <w:hyperlink r:id="rId59" w:history="1">
        <w:r w:rsidRPr="00265C4E">
          <w:rPr>
            <w:rStyle w:val="Hyperlink"/>
            <w:sz w:val="20"/>
            <w:lang w:val="en-GB"/>
          </w:rPr>
          <w:t>https://doi.org/10.1002/bse.3208</w:t>
        </w:r>
      </w:hyperlink>
    </w:p>
    <w:p w14:paraId="3459D401" w14:textId="77777777" w:rsidR="00265C4E" w:rsidRDefault="00265C4E" w:rsidP="00BE2AC9">
      <w:pPr>
        <w:rPr>
          <w:sz w:val="20"/>
        </w:rPr>
      </w:pPr>
    </w:p>
    <w:p w14:paraId="697C851D" w14:textId="43BFA4EE" w:rsidR="00265C4E" w:rsidRPr="00174E12" w:rsidRDefault="00265C4E" w:rsidP="00BE2AC9">
      <w:pPr>
        <w:rPr>
          <w:sz w:val="20"/>
          <w:lang w:val="en-GB"/>
        </w:rPr>
      </w:pPr>
      <w:r w:rsidRPr="00265C4E">
        <w:rPr>
          <w:sz w:val="20"/>
          <w:lang w:val="en-GB"/>
        </w:rPr>
        <w:t xml:space="preserve">Nicholls, J. A. (2020). </w:t>
      </w:r>
      <w:r w:rsidRPr="00541944">
        <w:rPr>
          <w:sz w:val="20"/>
          <w:lang w:val="en-GB"/>
        </w:rPr>
        <w:t>Integrating financial, social and environmental accounting.</w:t>
      </w:r>
      <w:r w:rsidRPr="00541944">
        <w:rPr>
          <w:sz w:val="20"/>
          <w:lang w:val="en-GB"/>
        </w:rPr>
        <w:t xml:space="preserve"> </w:t>
      </w:r>
      <w:r w:rsidRPr="00174E12">
        <w:rPr>
          <w:sz w:val="20"/>
          <w:lang w:val="en-GB"/>
        </w:rPr>
        <w:t>Sustainability Accounting, Management and Policy Journal, 11(4), 745–769.</w:t>
      </w:r>
      <w:r w:rsidRPr="00174E12">
        <w:rPr>
          <w:sz w:val="20"/>
          <w:lang w:val="en-GB"/>
        </w:rPr>
        <w:t xml:space="preserve"> </w:t>
      </w:r>
      <w:hyperlink r:id="rId60" w:history="1">
        <w:r w:rsidRPr="00174E12">
          <w:rPr>
            <w:rStyle w:val="Hyperlink"/>
            <w:sz w:val="20"/>
            <w:lang w:val="en-GB"/>
          </w:rPr>
          <w:t>https://doi.org/10.1108/SAMPJ-01-2019-003</w:t>
        </w:r>
      </w:hyperlink>
    </w:p>
    <w:p w14:paraId="47E00AE1" w14:textId="77777777" w:rsidR="00265C4E" w:rsidRDefault="00265C4E" w:rsidP="00BE2AC9">
      <w:pPr>
        <w:rPr>
          <w:sz w:val="20"/>
        </w:rPr>
      </w:pPr>
    </w:p>
    <w:p w14:paraId="150CB83D" w14:textId="09E514C1" w:rsidR="00FB0513" w:rsidRPr="00E157B4" w:rsidRDefault="00FB0513" w:rsidP="00BE2AC9">
      <w:pPr>
        <w:rPr>
          <w:sz w:val="20"/>
          <w:lang w:val="pt-PT"/>
        </w:rPr>
      </w:pPr>
      <w:r w:rsidRPr="006A38FD">
        <w:rPr>
          <w:sz w:val="20"/>
        </w:rPr>
        <w:t xml:space="preserve">Pörtner, H.-O., Scholes, R. J., Agard, J., Archer, E., Arneth, A., Bai, X., Barnes, D., Burrows, M., Chan, L., Cheung, W. L. (William), Diamond, S., Donatti, C., Duarte, C., Eisenhauer, N., Foden, W., Gasalla, M. A., Handa, C., Hickler, T., Hoegh-Guldberg, O., … Ngo, H. (2021). Scientific outcome of the IPBES-IPCC co-sponsored workshop on biodiversity and climate change. </w:t>
      </w:r>
      <w:r w:rsidRPr="00E157B4">
        <w:rPr>
          <w:sz w:val="20"/>
          <w:lang w:val="pt-PT"/>
        </w:rPr>
        <w:t xml:space="preserve">Zenodo. Available at: </w:t>
      </w:r>
      <w:hyperlink r:id="rId61" w:history="1">
        <w:r w:rsidRPr="00E157B4">
          <w:rPr>
            <w:rStyle w:val="Hyperlink"/>
            <w:sz w:val="20"/>
            <w:lang w:val="pt-PT"/>
          </w:rPr>
          <w:t>https://doi.org/10.5281/zenodo.5101125</w:t>
        </w:r>
      </w:hyperlink>
      <w:r w:rsidRPr="00E157B4">
        <w:rPr>
          <w:sz w:val="20"/>
          <w:lang w:val="pt-PT"/>
        </w:rPr>
        <w:t xml:space="preserve"> </w:t>
      </w:r>
    </w:p>
    <w:p w14:paraId="2404AF6A" w14:textId="77777777" w:rsidR="00FB0513" w:rsidRDefault="00FB0513" w:rsidP="00CD7887">
      <w:pPr>
        <w:pStyle w:val="Bibliography"/>
        <w:rPr>
          <w:sz w:val="20"/>
          <w:lang w:val="pt-PT"/>
        </w:rPr>
      </w:pPr>
    </w:p>
    <w:p w14:paraId="62CA3246" w14:textId="77777777" w:rsidR="006A5AAA" w:rsidRPr="006A38FD" w:rsidRDefault="006A5AAA" w:rsidP="00CD7887">
      <w:pPr>
        <w:pStyle w:val="Bibliography"/>
        <w:rPr>
          <w:sz w:val="20"/>
          <w:lang w:val="en-GB"/>
        </w:rPr>
      </w:pPr>
      <w:r w:rsidRPr="006A5AAA">
        <w:rPr>
          <w:sz w:val="20"/>
          <w:lang w:val="pt-PT"/>
        </w:rPr>
        <w:t xml:space="preserve">Román-Palacios, C., Moraga-López, D., &amp; Wiens, J. J. (2022). </w:t>
      </w:r>
      <w:r w:rsidRPr="006A5AAA">
        <w:rPr>
          <w:sz w:val="20"/>
          <w:lang w:val="en-GB"/>
        </w:rPr>
        <w:t xml:space="preserve">The origins of global biodiversity on land, sea and freshwater. </w:t>
      </w:r>
      <w:r w:rsidRPr="006A5AAA">
        <w:rPr>
          <w:i/>
          <w:iCs/>
          <w:sz w:val="20"/>
          <w:lang w:val="en-GB"/>
        </w:rPr>
        <w:t>Ecology Letters</w:t>
      </w:r>
      <w:r w:rsidRPr="006A5AAA">
        <w:rPr>
          <w:sz w:val="20"/>
          <w:lang w:val="en-GB"/>
        </w:rPr>
        <w:t xml:space="preserve">, </w:t>
      </w:r>
      <w:r w:rsidRPr="006A5AAA">
        <w:rPr>
          <w:i/>
          <w:iCs/>
          <w:sz w:val="20"/>
          <w:lang w:val="en-GB"/>
        </w:rPr>
        <w:t>25</w:t>
      </w:r>
      <w:r w:rsidRPr="006A5AAA">
        <w:rPr>
          <w:sz w:val="20"/>
          <w:lang w:val="en-GB"/>
        </w:rPr>
        <w:t xml:space="preserve">(6), 1376–1386. </w:t>
      </w:r>
      <w:hyperlink r:id="rId62" w:history="1">
        <w:r w:rsidRPr="006A5AAA">
          <w:rPr>
            <w:rStyle w:val="Hyperlink"/>
            <w:sz w:val="20"/>
            <w:lang w:val="en-GB"/>
          </w:rPr>
          <w:t>https://doi.org/10.1111/ele.13999</w:t>
        </w:r>
      </w:hyperlink>
      <w:r w:rsidRPr="006A5AAA">
        <w:rPr>
          <w:sz w:val="20"/>
          <w:lang w:val="en-GB"/>
        </w:rPr>
        <w:t xml:space="preserve"> </w:t>
      </w:r>
      <w:r>
        <w:rPr>
          <w:sz w:val="20"/>
          <w:lang w:val="en-GB"/>
        </w:rPr>
        <w:t xml:space="preserve"> </w:t>
      </w:r>
    </w:p>
    <w:p w14:paraId="01F78D30" w14:textId="77777777" w:rsidR="006A5AAA" w:rsidRDefault="006A5AAA" w:rsidP="006A38FD">
      <w:pPr>
        <w:rPr>
          <w:lang w:val="en-GB"/>
        </w:rPr>
      </w:pPr>
    </w:p>
    <w:p w14:paraId="6EF84C57" w14:textId="699D0FC7" w:rsidR="00541944" w:rsidRPr="00174E12" w:rsidRDefault="00541944" w:rsidP="00541944">
      <w:pPr>
        <w:rPr>
          <w:sz w:val="20"/>
          <w:lang w:val="en-GB"/>
        </w:rPr>
      </w:pPr>
      <w:r w:rsidRPr="00541944">
        <w:rPr>
          <w:sz w:val="20"/>
          <w:lang w:val="en-GB"/>
        </w:rPr>
        <w:t xml:space="preserve">Russell, S., Milne, M. J., &amp; Dey, C. (2017). </w:t>
      </w:r>
      <w:r w:rsidRPr="00174E12">
        <w:rPr>
          <w:sz w:val="20"/>
          <w:lang w:val="en-GB"/>
        </w:rPr>
        <w:t>Accounts of nature and the nature of</w:t>
      </w:r>
      <w:r w:rsidRPr="00174E12">
        <w:rPr>
          <w:sz w:val="20"/>
          <w:lang w:val="en-GB"/>
        </w:rPr>
        <w:t xml:space="preserve"> </w:t>
      </w:r>
      <w:r w:rsidRPr="00174E12">
        <w:rPr>
          <w:sz w:val="20"/>
          <w:lang w:val="en-GB"/>
        </w:rPr>
        <w:t>accounts: Critical reflections on environmental accounting and</w:t>
      </w:r>
      <w:r w:rsidRPr="00174E12">
        <w:rPr>
          <w:sz w:val="20"/>
          <w:lang w:val="en-GB"/>
        </w:rPr>
        <w:t xml:space="preserve"> </w:t>
      </w:r>
      <w:r w:rsidRPr="00174E12">
        <w:rPr>
          <w:sz w:val="20"/>
          <w:lang w:val="en-GB"/>
        </w:rPr>
        <w:t xml:space="preserve">propositions for ecologically informed accounting. </w:t>
      </w:r>
      <w:r w:rsidRPr="00541944">
        <w:rPr>
          <w:sz w:val="20"/>
          <w:lang w:val="fi-FI"/>
        </w:rPr>
        <w:t>Accounting, Auditing</w:t>
      </w:r>
      <w:r>
        <w:rPr>
          <w:sz w:val="20"/>
          <w:lang w:val="fi-FI"/>
        </w:rPr>
        <w:t xml:space="preserve"> </w:t>
      </w:r>
      <w:r w:rsidRPr="00541944">
        <w:rPr>
          <w:sz w:val="20"/>
          <w:lang w:val="fi-FI"/>
        </w:rPr>
        <w:t>and Accountability Journal, 30(7), 1426–1458.</w:t>
      </w:r>
      <w:r>
        <w:rPr>
          <w:sz w:val="20"/>
          <w:lang w:val="fi-FI"/>
        </w:rPr>
        <w:t xml:space="preserve"> </w:t>
      </w:r>
      <w:hyperlink r:id="rId63" w:history="1">
        <w:r w:rsidR="00174E12" w:rsidRPr="00174E12">
          <w:rPr>
            <w:rStyle w:val="Hyperlink"/>
            <w:sz w:val="20"/>
            <w:lang w:val="en-GB"/>
          </w:rPr>
          <w:t>https://doi.org/10.1108/AAAJ-07-2017-3010</w:t>
        </w:r>
      </w:hyperlink>
    </w:p>
    <w:p w14:paraId="7A563E3F" w14:textId="77777777" w:rsidR="00541944" w:rsidRPr="006A38FD" w:rsidRDefault="00541944" w:rsidP="006A38FD">
      <w:pPr>
        <w:rPr>
          <w:lang w:val="en-GB"/>
        </w:rPr>
      </w:pPr>
    </w:p>
    <w:p w14:paraId="2DFE50E8" w14:textId="2547BE20" w:rsidR="00174E12" w:rsidRDefault="00174E12" w:rsidP="00CD7887">
      <w:pPr>
        <w:pStyle w:val="Bibliography"/>
        <w:rPr>
          <w:sz w:val="20"/>
          <w:lang w:val="en-GB"/>
        </w:rPr>
      </w:pPr>
      <w:r w:rsidRPr="00174E12">
        <w:rPr>
          <w:sz w:val="20"/>
          <w:lang w:val="en-GB"/>
        </w:rPr>
        <w:lastRenderedPageBreak/>
        <w:t>Schaltegger, S., &amp; Burritt, R. (2000). Contemporary Environmental Accounting</w:t>
      </w:r>
      <w:r w:rsidRPr="00174E12">
        <w:rPr>
          <w:sz w:val="20"/>
          <w:lang w:val="en-GB"/>
        </w:rPr>
        <w:t xml:space="preserve"> </w:t>
      </w:r>
      <w:r w:rsidRPr="00174E12">
        <w:rPr>
          <w:sz w:val="20"/>
          <w:lang w:val="en-GB"/>
        </w:rPr>
        <w:t xml:space="preserve">Issues, Concepts and Practice. </w:t>
      </w:r>
      <w:r w:rsidRPr="00AB0B15">
        <w:rPr>
          <w:sz w:val="20"/>
          <w:lang w:val="en-GB"/>
        </w:rPr>
        <w:t>Routledge.</w:t>
      </w:r>
      <w:r w:rsidRPr="00AB0B15">
        <w:rPr>
          <w:sz w:val="20"/>
          <w:lang w:val="en-GB"/>
        </w:rPr>
        <w:t xml:space="preserve"> </w:t>
      </w:r>
      <w:hyperlink r:id="rId64" w:history="1">
        <w:r w:rsidRPr="00AB0B15">
          <w:rPr>
            <w:rStyle w:val="Hyperlink"/>
            <w:sz w:val="20"/>
            <w:lang w:val="en-GB"/>
          </w:rPr>
          <w:t>https://doi.org/10.4324/9781351282529</w:t>
        </w:r>
      </w:hyperlink>
    </w:p>
    <w:p w14:paraId="4F3FEC13" w14:textId="77777777" w:rsidR="00174E12" w:rsidRDefault="00174E12" w:rsidP="00CD7887">
      <w:pPr>
        <w:pStyle w:val="Bibliography"/>
        <w:rPr>
          <w:sz w:val="20"/>
          <w:lang w:val="en-GB"/>
        </w:rPr>
      </w:pPr>
    </w:p>
    <w:p w14:paraId="49249D33" w14:textId="47913123" w:rsidR="00AB0B15" w:rsidRPr="00AB0B15" w:rsidRDefault="00AB0B15" w:rsidP="00AB0B15">
      <w:pPr>
        <w:pStyle w:val="Bibliography"/>
        <w:rPr>
          <w:sz w:val="20"/>
          <w:lang w:val="en-GB"/>
        </w:rPr>
      </w:pPr>
      <w:r w:rsidRPr="00AB0B15">
        <w:rPr>
          <w:sz w:val="20"/>
          <w:lang w:val="pt-PT"/>
        </w:rPr>
        <w:t xml:space="preserve">Schmidt, J. H., &amp; de Saxcé, M. (2016). </w:t>
      </w:r>
      <w:r w:rsidRPr="00AB0B15">
        <w:rPr>
          <w:sz w:val="20"/>
          <w:lang w:val="en-GB"/>
        </w:rPr>
        <w:t>Arla Foods Environmental Profit and Loss</w:t>
      </w:r>
      <w:r w:rsidRPr="00AB0B15">
        <w:rPr>
          <w:sz w:val="20"/>
          <w:lang w:val="en-GB"/>
        </w:rPr>
        <w:t xml:space="preserve"> </w:t>
      </w:r>
      <w:r w:rsidRPr="00AB0B15">
        <w:rPr>
          <w:sz w:val="20"/>
          <w:lang w:val="en-GB"/>
        </w:rPr>
        <w:t>Accounting 2014. 1860.</w:t>
      </w:r>
    </w:p>
    <w:p w14:paraId="2F1EB93D" w14:textId="1FEEA556" w:rsidR="00AB0B15" w:rsidRPr="00AB0B15" w:rsidRDefault="00AB0B15" w:rsidP="00CD7887">
      <w:pPr>
        <w:pStyle w:val="Bibliography"/>
        <w:rPr>
          <w:sz w:val="20"/>
          <w:lang w:val="en-GB"/>
        </w:rPr>
      </w:pPr>
      <w:hyperlink r:id="rId65" w:history="1">
        <w:r w:rsidRPr="00AB0B15">
          <w:rPr>
            <w:rStyle w:val="Hyperlink"/>
            <w:sz w:val="20"/>
            <w:lang w:val="en-GB"/>
          </w:rPr>
          <w:t>https://www2.mst.dk/Udgiv/publications/2016/05/978-87-93435-75-9.pdf</w:t>
        </w:r>
      </w:hyperlink>
    </w:p>
    <w:p w14:paraId="6331DBEC" w14:textId="77777777" w:rsidR="00AB0B15" w:rsidRDefault="00AB0B15" w:rsidP="00CD7887">
      <w:pPr>
        <w:pStyle w:val="Bibliography"/>
        <w:rPr>
          <w:sz w:val="20"/>
          <w:lang w:val="en-GB"/>
        </w:rPr>
      </w:pPr>
    </w:p>
    <w:p w14:paraId="10F0112E" w14:textId="6A5893FA" w:rsidR="003A3B02" w:rsidRPr="00A86613" w:rsidRDefault="003A3B02" w:rsidP="00CD7887">
      <w:pPr>
        <w:pStyle w:val="Bibliography"/>
        <w:rPr>
          <w:sz w:val="20"/>
          <w:lang w:val="pt-PT"/>
        </w:rPr>
      </w:pPr>
      <w:r w:rsidRPr="006A38FD">
        <w:rPr>
          <w:sz w:val="20"/>
          <w:lang w:val="en-GB"/>
        </w:rPr>
        <w:t xml:space="preserve">Shin, Y.-J., Midgley, G. F., Archer, E. R. M., Arneth, A., Barnes, D. K. A., Chan, L., Hashimoto, S., Hoegh-Guldberg, O., Insarov, G., Leadley, P., Levin, L. A., Ngo, H. T., Pandit, R., Pires, A. P. F., Pörtner, H.-O., Rogers, A. D., Scholes, R. J., Settele, J., &amp; Smith, P. (2022). Actions to halt biodiversity loss generally benefit the climate. Global Change Biology, 28(9), 2846–2874. </w:t>
      </w:r>
      <w:hyperlink r:id="rId66" w:history="1">
        <w:r w:rsidRPr="006A38FD">
          <w:rPr>
            <w:rStyle w:val="Hyperlink"/>
            <w:sz w:val="20"/>
            <w:lang w:val="pt-PT"/>
          </w:rPr>
          <w:t>https://doi.org/10.1111/gcb.16109</w:t>
        </w:r>
      </w:hyperlink>
      <w:r w:rsidRPr="007D2BD3">
        <w:rPr>
          <w:sz w:val="20"/>
          <w:lang w:val="pt-PT"/>
        </w:rPr>
        <w:t xml:space="preserve"> </w:t>
      </w:r>
    </w:p>
    <w:p w14:paraId="64CFC1AA" w14:textId="77777777" w:rsidR="003A3B02" w:rsidRPr="00A86613" w:rsidRDefault="003A3B02" w:rsidP="00CD7887">
      <w:pPr>
        <w:pStyle w:val="Bibliography"/>
        <w:rPr>
          <w:sz w:val="20"/>
          <w:lang w:val="pt-PT"/>
        </w:rPr>
      </w:pPr>
    </w:p>
    <w:p w14:paraId="11459132" w14:textId="2F157FE2" w:rsidR="00CD7887" w:rsidRDefault="00CD7887" w:rsidP="00CD7887">
      <w:pPr>
        <w:pStyle w:val="Bibliography"/>
        <w:rPr>
          <w:sz w:val="20"/>
        </w:rPr>
      </w:pPr>
      <w:r w:rsidRPr="00C601C3">
        <w:rPr>
          <w:sz w:val="20"/>
          <w:lang w:val="pt-PT"/>
        </w:rPr>
        <w:t>Silva, F. D. F., Fulginiti, L. E., Perrin, R. K.</w:t>
      </w:r>
      <w:r w:rsidR="007D2BD3">
        <w:rPr>
          <w:sz w:val="20"/>
          <w:lang w:val="pt-PT"/>
        </w:rPr>
        <w:t xml:space="preserve"> </w:t>
      </w:r>
      <w:r w:rsidRPr="00C601C3">
        <w:rPr>
          <w:sz w:val="20"/>
          <w:lang w:val="pt-PT"/>
        </w:rPr>
        <w:t xml:space="preserve">(2019). </w:t>
      </w:r>
      <w:r w:rsidRPr="00404046">
        <w:rPr>
          <w:sz w:val="20"/>
        </w:rPr>
        <w:t>The Cost of Forest Preservation in the Brazilian Amazon: The ‘Arc of Deforestation’.</w:t>
      </w:r>
      <w:r w:rsidRPr="00612B37">
        <w:rPr>
          <w:sz w:val="20"/>
        </w:rPr>
        <w:t xml:space="preserve"> </w:t>
      </w:r>
      <w:r>
        <w:rPr>
          <w:sz w:val="20"/>
        </w:rPr>
        <w:t xml:space="preserve">Available at: </w:t>
      </w:r>
      <w:hyperlink r:id="rId67" w:history="1">
        <w:r w:rsidRPr="008A2235">
          <w:rPr>
            <w:rStyle w:val="Hyperlink"/>
            <w:sz w:val="20"/>
          </w:rPr>
          <w:t>https://doi.org/10.22004/AG.ECON.292328</w:t>
        </w:r>
      </w:hyperlink>
      <w:r>
        <w:rPr>
          <w:sz w:val="20"/>
        </w:rPr>
        <w:t xml:space="preserve"> </w:t>
      </w:r>
    </w:p>
    <w:p w14:paraId="34DFD700" w14:textId="77777777" w:rsidR="00BE2AC9" w:rsidRPr="00BE2AC9" w:rsidRDefault="00BE2AC9" w:rsidP="00BE2AC9"/>
    <w:p w14:paraId="0A47D872" w14:textId="77777777" w:rsidR="00CD7887" w:rsidRPr="00612B37" w:rsidRDefault="00CD7887" w:rsidP="00CD7887">
      <w:pPr>
        <w:pStyle w:val="Bibliography"/>
        <w:rPr>
          <w:sz w:val="20"/>
        </w:rPr>
      </w:pPr>
      <w:r w:rsidRPr="00612B37">
        <w:rPr>
          <w:sz w:val="20"/>
        </w:rPr>
        <w:t xml:space="preserve">Stadler, K. (2021). Pymrio – A Python Based Multi-Regional Input-Output Analysis Toolbox. </w:t>
      </w:r>
      <w:r w:rsidRPr="00612B37">
        <w:rPr>
          <w:i/>
          <w:iCs/>
          <w:sz w:val="20"/>
        </w:rPr>
        <w:t>Journal of Open Research Software</w:t>
      </w:r>
      <w:r w:rsidRPr="00612B37">
        <w:rPr>
          <w:sz w:val="20"/>
        </w:rPr>
        <w:t xml:space="preserve">, </w:t>
      </w:r>
      <w:r w:rsidRPr="00612B37">
        <w:rPr>
          <w:i/>
          <w:iCs/>
          <w:sz w:val="20"/>
        </w:rPr>
        <w:t>9</w:t>
      </w:r>
      <w:r w:rsidRPr="00612B37">
        <w:rPr>
          <w:sz w:val="20"/>
        </w:rPr>
        <w:t xml:space="preserve">(1), Article 1. </w:t>
      </w:r>
      <w:hyperlink r:id="rId68" w:history="1">
        <w:r w:rsidRPr="008A2235">
          <w:rPr>
            <w:rStyle w:val="Hyperlink"/>
            <w:sz w:val="20"/>
          </w:rPr>
          <w:t>https://doi.org/10.5334/jors.251</w:t>
        </w:r>
      </w:hyperlink>
      <w:r>
        <w:rPr>
          <w:sz w:val="20"/>
        </w:rPr>
        <w:t xml:space="preserve"> </w:t>
      </w:r>
    </w:p>
    <w:p w14:paraId="01473ECC" w14:textId="77777777" w:rsidR="00CD7887" w:rsidRDefault="00CD7887" w:rsidP="00CD7887">
      <w:pPr>
        <w:pStyle w:val="Bibliography"/>
        <w:rPr>
          <w:sz w:val="20"/>
        </w:rPr>
      </w:pPr>
      <w:r w:rsidRPr="00612B37">
        <w:rPr>
          <w:sz w:val="20"/>
        </w:rPr>
        <w:t xml:space="preserve">Stadler, K. (2022). </w:t>
      </w:r>
      <w:r w:rsidRPr="00257821">
        <w:rPr>
          <w:sz w:val="20"/>
        </w:rPr>
        <w:t>Pymrio – multi regional input output analysis in python.</w:t>
      </w:r>
      <w:r>
        <w:rPr>
          <w:sz w:val="20"/>
        </w:rPr>
        <w:t xml:space="preserve"> Available at:</w:t>
      </w:r>
      <w:r w:rsidRPr="00612B37">
        <w:rPr>
          <w:sz w:val="20"/>
        </w:rPr>
        <w:t xml:space="preserve"> </w:t>
      </w:r>
      <w:hyperlink r:id="rId69" w:history="1">
        <w:r w:rsidRPr="008A2235">
          <w:rPr>
            <w:rStyle w:val="Hyperlink"/>
            <w:sz w:val="20"/>
          </w:rPr>
          <w:t>https://pymrio.readthedocs.io/en/latest/</w:t>
        </w:r>
      </w:hyperlink>
      <w:r>
        <w:rPr>
          <w:sz w:val="20"/>
        </w:rPr>
        <w:t xml:space="preserve"> </w:t>
      </w:r>
    </w:p>
    <w:p w14:paraId="2540C01F" w14:textId="77777777" w:rsidR="00BE2AC9" w:rsidRPr="00BE2AC9" w:rsidRDefault="00BE2AC9" w:rsidP="00BE2AC9"/>
    <w:p w14:paraId="40173EF4" w14:textId="77777777" w:rsidR="00CD7887" w:rsidRDefault="00CD7887" w:rsidP="00CD7887">
      <w:pPr>
        <w:pStyle w:val="Bibliography"/>
        <w:rPr>
          <w:sz w:val="20"/>
        </w:rPr>
      </w:pPr>
      <w:r w:rsidRPr="00612B37">
        <w:rPr>
          <w:sz w:val="20"/>
        </w:rPr>
        <w:t xml:space="preserve">Stadler, K., Wood, R., Bulavskaya, T., Södersten, C. J., Simas, M., Schmidt, S., Usubiaga, A., Acosta-Fernández, J., Kuenen, J., Bruckner, M., Giljum, S., Lutter, S., Merciai, S., Schmidt, J. H., Theurl, M. C., Plutzar, C., Kastner, T., Eisenmenger, N., Erb, K. H., … Tukker, A. (2018). EXIOBASE 3: Developing a Time Series of Detailed Environmentally Extended Multi-Regional Input-Output Tables. </w:t>
      </w:r>
      <w:r w:rsidRPr="00612B37">
        <w:rPr>
          <w:i/>
          <w:iCs/>
          <w:sz w:val="20"/>
        </w:rPr>
        <w:t>Journal of Industrial Ecology</w:t>
      </w:r>
      <w:r w:rsidRPr="00612B37">
        <w:rPr>
          <w:sz w:val="20"/>
        </w:rPr>
        <w:t xml:space="preserve">, </w:t>
      </w:r>
      <w:r w:rsidRPr="00612B37">
        <w:rPr>
          <w:i/>
          <w:iCs/>
          <w:sz w:val="20"/>
        </w:rPr>
        <w:t>22</w:t>
      </w:r>
      <w:r w:rsidRPr="00612B37">
        <w:rPr>
          <w:sz w:val="20"/>
        </w:rPr>
        <w:t xml:space="preserve">(3), 502–515. </w:t>
      </w:r>
      <w:hyperlink r:id="rId70" w:history="1">
        <w:r w:rsidRPr="008A2235">
          <w:rPr>
            <w:rStyle w:val="Hyperlink"/>
            <w:sz w:val="20"/>
          </w:rPr>
          <w:t>https://doi.org/10.1111/jiec.12715</w:t>
        </w:r>
      </w:hyperlink>
      <w:r>
        <w:rPr>
          <w:sz w:val="20"/>
        </w:rPr>
        <w:t xml:space="preserve"> </w:t>
      </w:r>
    </w:p>
    <w:p w14:paraId="56D6E5E0" w14:textId="77777777" w:rsidR="00BE2AC9" w:rsidRDefault="00BE2AC9" w:rsidP="00BE2AC9"/>
    <w:p w14:paraId="0D3DB29F" w14:textId="77777777" w:rsidR="0038676A" w:rsidRPr="006A38FD" w:rsidRDefault="0038676A" w:rsidP="0038676A">
      <w:pPr>
        <w:rPr>
          <w:sz w:val="20"/>
          <w:lang w:val="en-GB"/>
        </w:rPr>
      </w:pPr>
      <w:r w:rsidRPr="006A38FD">
        <w:rPr>
          <w:sz w:val="20"/>
          <w:lang w:val="en-GB"/>
        </w:rPr>
        <w:t xml:space="preserve">[dataset] Stadler, K., Wood, R., Bulavskaya, T., Södersten, C.-J., Simas, M., Schmidt, S., Usubiaga, A., Acosta-Fernández, J., Kuenen, J., Bruckner, M., Giljum, S., Lutter, S., Merciai, S., Schmidt, J. H., Theurl, M. C., Plutzar, C., Kastner, T., Eisenmenger, N., Erb, K.-H., &amp; Tukker, A. (2021). EXIOBASE 3 (3.8.2). [IOT_2011_pxp.zip - MRIO archive for Year 2011 in </w:t>
      </w:r>
      <w:proofErr w:type="gramStart"/>
      <w:r w:rsidRPr="006A38FD">
        <w:rPr>
          <w:sz w:val="20"/>
          <w:lang w:val="en-GB"/>
        </w:rPr>
        <w:t>product by product</w:t>
      </w:r>
      <w:proofErr w:type="gramEnd"/>
      <w:r w:rsidRPr="006A38FD">
        <w:rPr>
          <w:sz w:val="20"/>
          <w:lang w:val="en-GB"/>
        </w:rPr>
        <w:t xml:space="preserve"> format] Retrieved from Zenodo: </w:t>
      </w:r>
      <w:hyperlink r:id="rId71" w:history="1">
        <w:r w:rsidRPr="006A38FD">
          <w:rPr>
            <w:rStyle w:val="Hyperlink"/>
            <w:sz w:val="20"/>
            <w:lang w:val="en-GB"/>
          </w:rPr>
          <w:t>https://doi.org/10.5281/zenodo.3583070</w:t>
        </w:r>
      </w:hyperlink>
      <w:r w:rsidRPr="006A38FD">
        <w:rPr>
          <w:sz w:val="20"/>
          <w:lang w:val="en-GB"/>
        </w:rPr>
        <w:t xml:space="preserve">. Accessed </w:t>
      </w:r>
      <w:proofErr w:type="gramStart"/>
      <w:r w:rsidRPr="006A38FD">
        <w:rPr>
          <w:sz w:val="20"/>
          <w:lang w:val="en-GB"/>
        </w:rPr>
        <w:t>at</w:t>
      </w:r>
      <w:proofErr w:type="gramEnd"/>
      <w:r w:rsidRPr="006A38FD">
        <w:rPr>
          <w:sz w:val="20"/>
          <w:lang w:val="en-GB"/>
        </w:rPr>
        <w:t xml:space="preserve"> 1 March 2023. </w:t>
      </w:r>
    </w:p>
    <w:p w14:paraId="12FA34FD" w14:textId="77777777" w:rsidR="0038676A" w:rsidRPr="006A38FD" w:rsidRDefault="0038676A" w:rsidP="00BE2AC9">
      <w:pPr>
        <w:rPr>
          <w:sz w:val="20"/>
        </w:rPr>
      </w:pPr>
    </w:p>
    <w:p w14:paraId="23CF7C5E" w14:textId="77777777" w:rsidR="00933333" w:rsidRDefault="007D0740" w:rsidP="00BE2AC9">
      <w:pPr>
        <w:pStyle w:val="Bibliography"/>
        <w:rPr>
          <w:sz w:val="20"/>
        </w:rPr>
      </w:pPr>
      <w:r w:rsidRPr="007D0740">
        <w:rPr>
          <w:sz w:val="20"/>
        </w:rPr>
        <w:t>[</w:t>
      </w:r>
      <w:r>
        <w:rPr>
          <w:sz w:val="20"/>
        </w:rPr>
        <w:t>d</w:t>
      </w:r>
      <w:r w:rsidRPr="007D0740">
        <w:rPr>
          <w:sz w:val="20"/>
        </w:rPr>
        <w:t>ataset]</w:t>
      </w:r>
      <w:r>
        <w:rPr>
          <w:sz w:val="20"/>
        </w:rPr>
        <w:t xml:space="preserve"> </w:t>
      </w:r>
      <w:r w:rsidRPr="007D0740">
        <w:rPr>
          <w:sz w:val="20"/>
        </w:rPr>
        <w:t>Statistics Finland. (n.d.). Consumer Price Index (2010=100), yearly data, 2010-2024. Available at: https://pxdata.stat.fi:443/PxWebPxWeb/pxweb/en/StatFin/StatFin__khi/statfin_khi_pxt_11xe.px/</w:t>
      </w:r>
    </w:p>
    <w:p w14:paraId="69E2ED4D" w14:textId="77777777" w:rsidR="00933333" w:rsidRPr="006A38FD" w:rsidRDefault="00933333" w:rsidP="006A38FD"/>
    <w:p w14:paraId="5E2DAF88" w14:textId="1F22BD1A" w:rsidR="00153FEB" w:rsidRPr="00153FEB" w:rsidRDefault="00153FEB" w:rsidP="00BE2AC9">
      <w:pPr>
        <w:pStyle w:val="Bibliography"/>
        <w:rPr>
          <w:sz w:val="20"/>
          <w:lang w:val="en-GB"/>
        </w:rPr>
      </w:pPr>
      <w:r w:rsidRPr="00153FEB">
        <w:rPr>
          <w:sz w:val="20"/>
          <w:lang w:val="en-GB"/>
        </w:rPr>
        <w:t>Thurston, M., &amp; Eckelman, M. J. (2011). Assessing greenhouse gas emissions from</w:t>
      </w:r>
      <w:r>
        <w:rPr>
          <w:sz w:val="20"/>
          <w:lang w:val="en-GB"/>
        </w:rPr>
        <w:t xml:space="preserve"> </w:t>
      </w:r>
      <w:r w:rsidRPr="00153FEB">
        <w:rPr>
          <w:sz w:val="20"/>
          <w:lang w:val="en-GB"/>
        </w:rPr>
        <w:t>university purchases. International Journal of Sustainability in Higher</w:t>
      </w:r>
      <w:r>
        <w:rPr>
          <w:sz w:val="20"/>
          <w:lang w:val="en-GB"/>
        </w:rPr>
        <w:t xml:space="preserve"> </w:t>
      </w:r>
      <w:r w:rsidRPr="00153FEB">
        <w:rPr>
          <w:sz w:val="20"/>
          <w:lang w:val="en-GB"/>
        </w:rPr>
        <w:t>Education, 12(3), 225–235.</w:t>
      </w:r>
      <w:r>
        <w:rPr>
          <w:sz w:val="20"/>
          <w:lang w:val="en-GB"/>
        </w:rPr>
        <w:t xml:space="preserve"> </w:t>
      </w:r>
      <w:hyperlink r:id="rId72" w:history="1">
        <w:r w:rsidRPr="008F206C">
          <w:rPr>
            <w:rStyle w:val="Hyperlink"/>
            <w:sz w:val="20"/>
            <w:lang w:val="en-GB"/>
          </w:rPr>
          <w:t>https://doi.org/10.1108/14676371111148018</w:t>
        </w:r>
      </w:hyperlink>
    </w:p>
    <w:p w14:paraId="546DF269" w14:textId="77777777" w:rsidR="00153FEB" w:rsidRPr="00153FEB" w:rsidRDefault="00153FEB" w:rsidP="00BE2AC9">
      <w:pPr>
        <w:pStyle w:val="Bibliography"/>
        <w:rPr>
          <w:sz w:val="20"/>
          <w:lang w:val="en-GB"/>
        </w:rPr>
      </w:pPr>
    </w:p>
    <w:p w14:paraId="6E1DE277" w14:textId="476AC4D8" w:rsidR="00153FEB" w:rsidRPr="00B92436" w:rsidRDefault="00153FEB" w:rsidP="00153FEB">
      <w:pPr>
        <w:pStyle w:val="Bibliography"/>
        <w:rPr>
          <w:sz w:val="20"/>
          <w:lang w:val="en-GB"/>
        </w:rPr>
      </w:pPr>
      <w:r w:rsidRPr="00153FEB">
        <w:rPr>
          <w:sz w:val="20"/>
          <w:lang w:val="en-GB"/>
        </w:rPr>
        <w:t>Veldman, J., &amp; Jansson, A. (2020). Planetary Boundaries and Corporate Reporting:</w:t>
      </w:r>
      <w:r w:rsidRPr="00153FEB">
        <w:rPr>
          <w:sz w:val="20"/>
          <w:lang w:val="en-GB"/>
        </w:rPr>
        <w:t xml:space="preserve"> </w:t>
      </w:r>
      <w:r w:rsidRPr="00153FEB">
        <w:rPr>
          <w:sz w:val="20"/>
          <w:lang w:val="en-GB"/>
        </w:rPr>
        <w:t xml:space="preserve">The Role of the Conceptual Basis of the Corporation. </w:t>
      </w:r>
      <w:r w:rsidRPr="00B92436">
        <w:rPr>
          <w:sz w:val="20"/>
          <w:lang w:val="en-GB"/>
        </w:rPr>
        <w:t>Accounting, Economics</w:t>
      </w:r>
      <w:r w:rsidRPr="00B92436">
        <w:rPr>
          <w:sz w:val="20"/>
          <w:lang w:val="en-GB"/>
        </w:rPr>
        <w:t xml:space="preserve"> </w:t>
      </w:r>
      <w:r w:rsidRPr="00B92436">
        <w:rPr>
          <w:sz w:val="20"/>
          <w:lang w:val="en-GB"/>
        </w:rPr>
        <w:t xml:space="preserve">and Law: A Convivium, 1–18. </w:t>
      </w:r>
      <w:hyperlink r:id="rId73" w:history="1">
        <w:r w:rsidRPr="00B92436">
          <w:rPr>
            <w:rStyle w:val="Hyperlink"/>
            <w:sz w:val="20"/>
            <w:lang w:val="en-GB"/>
          </w:rPr>
          <w:t>https://doi.org/10.1515/ael-2018-0037</w:t>
        </w:r>
      </w:hyperlink>
    </w:p>
    <w:p w14:paraId="4C5756BE" w14:textId="77777777" w:rsidR="00153FEB" w:rsidRPr="00B92436" w:rsidRDefault="00153FEB" w:rsidP="00BE2AC9">
      <w:pPr>
        <w:pStyle w:val="Bibliography"/>
        <w:rPr>
          <w:sz w:val="20"/>
          <w:lang w:val="en-GB"/>
        </w:rPr>
      </w:pPr>
    </w:p>
    <w:p w14:paraId="41B683EE" w14:textId="08AC12BB" w:rsidR="0038676A" w:rsidRDefault="005841B7" w:rsidP="00BE2AC9">
      <w:pPr>
        <w:pStyle w:val="Bibliography"/>
        <w:rPr>
          <w:sz w:val="20"/>
        </w:rPr>
      </w:pPr>
      <w:r w:rsidRPr="00E157B4">
        <w:rPr>
          <w:sz w:val="20"/>
          <w:lang w:val="fi-FI"/>
        </w:rPr>
        <w:t xml:space="preserve">[dataset] Verones, F. (2021). LC-IMPACT (Version 1.3). </w:t>
      </w:r>
      <w:r w:rsidRPr="005841B7">
        <w:rPr>
          <w:sz w:val="20"/>
        </w:rPr>
        <w:t xml:space="preserve">Retrieved from Zenodo: </w:t>
      </w:r>
      <w:hyperlink r:id="rId74" w:history="1">
        <w:r w:rsidRPr="00CF6CEA">
          <w:rPr>
            <w:rStyle w:val="Hyperlink"/>
            <w:sz w:val="20"/>
          </w:rPr>
          <w:t>https://doi.org/10.5281/zenodo.6200606. Accessed 12 April 2023</w:t>
        </w:r>
      </w:hyperlink>
      <w:r w:rsidRPr="005841B7">
        <w:rPr>
          <w:sz w:val="20"/>
        </w:rPr>
        <w:t>.</w:t>
      </w:r>
      <w:r>
        <w:rPr>
          <w:sz w:val="20"/>
        </w:rPr>
        <w:t xml:space="preserve"> </w:t>
      </w:r>
    </w:p>
    <w:p w14:paraId="11F01CF4" w14:textId="77777777" w:rsidR="005841B7" w:rsidRPr="006A38FD" w:rsidRDefault="005841B7" w:rsidP="006A38FD"/>
    <w:p w14:paraId="439367CD" w14:textId="77777777" w:rsidR="005053C2" w:rsidRPr="00DF01BF" w:rsidRDefault="00CD7887" w:rsidP="00BE2AC9">
      <w:pPr>
        <w:pStyle w:val="Bibliography"/>
        <w:rPr>
          <w:sz w:val="20"/>
        </w:rPr>
      </w:pPr>
      <w:r w:rsidRPr="00DF01BF">
        <w:rPr>
          <w:sz w:val="20"/>
        </w:rPr>
        <w:t xml:space="preserve">Verones, F., Hellweg, S., Antón, A., Azevedo, L. B., Chaudhary, A., Cosme, N., Cucurachi, S., de Baan, L., Dong, Y., Fantke, P., Golsteijn, L., Hauschild, M., Heijungs, R., Jolliet, O., Juraske, R., Larsen, H., Laurent, A., Mutel, C. L., Margni, M., … Huijbregts, M. A. J. (2020). LC-IMPACT: A regionalized life cycle damage assessment method. </w:t>
      </w:r>
      <w:r w:rsidRPr="00DF01BF">
        <w:rPr>
          <w:i/>
          <w:iCs/>
          <w:sz w:val="20"/>
        </w:rPr>
        <w:t>Journal of Industrial Ecology</w:t>
      </w:r>
      <w:r w:rsidRPr="00DF01BF">
        <w:rPr>
          <w:sz w:val="20"/>
        </w:rPr>
        <w:t xml:space="preserve">, </w:t>
      </w:r>
      <w:r w:rsidRPr="00DF01BF">
        <w:rPr>
          <w:i/>
          <w:iCs/>
          <w:sz w:val="20"/>
        </w:rPr>
        <w:t>24</w:t>
      </w:r>
      <w:r w:rsidRPr="00DF01BF">
        <w:rPr>
          <w:sz w:val="20"/>
        </w:rPr>
        <w:t xml:space="preserve">(6), 1201–1219. </w:t>
      </w:r>
      <w:hyperlink r:id="rId75" w:history="1">
        <w:r w:rsidRPr="00DF01BF">
          <w:rPr>
            <w:rStyle w:val="Hyperlink"/>
            <w:sz w:val="20"/>
          </w:rPr>
          <w:t>https://doi.org/10.1111/jiec.13018</w:t>
        </w:r>
      </w:hyperlink>
      <w:r w:rsidRPr="00DF01BF">
        <w:rPr>
          <w:sz w:val="20"/>
        </w:rPr>
        <w:t xml:space="preserve"> </w:t>
      </w:r>
    </w:p>
    <w:p w14:paraId="0901EEEE" w14:textId="77777777" w:rsidR="00DF01BF" w:rsidRPr="006A38FD" w:rsidRDefault="00DF01BF" w:rsidP="00DF01BF">
      <w:pPr>
        <w:rPr>
          <w:sz w:val="20"/>
        </w:rPr>
      </w:pPr>
    </w:p>
    <w:p w14:paraId="2A37D091" w14:textId="77777777" w:rsidR="00DF01BF" w:rsidRDefault="00DF01BF" w:rsidP="00DF01BF">
      <w:pPr>
        <w:rPr>
          <w:sz w:val="20"/>
          <w:lang w:val="en-GB"/>
        </w:rPr>
      </w:pPr>
      <w:r w:rsidRPr="006A38FD">
        <w:rPr>
          <w:sz w:val="20"/>
          <w:lang w:val="en-GB"/>
        </w:rPr>
        <w:t xml:space="preserve">Wernet, G., Bauer, C., Steubing, B., Reinhard, J., Moreno-Ruiz, E., &amp; Weidema, B. (2016). The ecoinvent database version 3 (part I): Overview and methodology. </w:t>
      </w:r>
      <w:r w:rsidRPr="006A38FD">
        <w:rPr>
          <w:i/>
          <w:iCs/>
          <w:sz w:val="20"/>
          <w:lang w:val="en-GB"/>
        </w:rPr>
        <w:t>The International Journal of Life Cycle Assessment</w:t>
      </w:r>
      <w:r w:rsidRPr="006A38FD">
        <w:rPr>
          <w:sz w:val="20"/>
          <w:lang w:val="en-GB"/>
        </w:rPr>
        <w:t xml:space="preserve">, </w:t>
      </w:r>
      <w:r w:rsidRPr="006A38FD">
        <w:rPr>
          <w:i/>
          <w:iCs/>
          <w:sz w:val="20"/>
          <w:lang w:val="en-GB"/>
        </w:rPr>
        <w:t>21</w:t>
      </w:r>
      <w:r w:rsidRPr="006A38FD">
        <w:rPr>
          <w:sz w:val="20"/>
          <w:lang w:val="en-GB"/>
        </w:rPr>
        <w:t xml:space="preserve">(9), 1218–1230. </w:t>
      </w:r>
      <w:hyperlink r:id="rId76" w:history="1">
        <w:r w:rsidRPr="006A38FD">
          <w:rPr>
            <w:rStyle w:val="Hyperlink"/>
            <w:sz w:val="20"/>
            <w:lang w:val="en-GB"/>
          </w:rPr>
          <w:t>https://doi.org/10.1007/s11367-016-1087-8</w:t>
        </w:r>
      </w:hyperlink>
      <w:r w:rsidRPr="006A38FD">
        <w:rPr>
          <w:sz w:val="20"/>
          <w:lang w:val="en-GB"/>
        </w:rPr>
        <w:t xml:space="preserve">  </w:t>
      </w:r>
    </w:p>
    <w:p w14:paraId="3A4915AE" w14:textId="77777777" w:rsidR="00CF4EB7" w:rsidRDefault="00CF4EB7" w:rsidP="00DF01BF">
      <w:pPr>
        <w:rPr>
          <w:sz w:val="20"/>
          <w:lang w:val="en-GB"/>
        </w:rPr>
      </w:pPr>
    </w:p>
    <w:p w14:paraId="20D1873C" w14:textId="418094DF" w:rsidR="00CF4EB7" w:rsidRPr="006A38FD" w:rsidRDefault="00CF4EB7" w:rsidP="00DF01BF">
      <w:pPr>
        <w:rPr>
          <w:sz w:val="20"/>
          <w:lang w:val="en-GB"/>
        </w:rPr>
      </w:pPr>
      <w:r w:rsidRPr="00CF4EB7">
        <w:rPr>
          <w:sz w:val="20"/>
          <w:lang w:val="en-GB"/>
        </w:rPr>
        <w:t xml:space="preserve">Wiebe, R. A., &amp; Wilcove, D. S. (2025). Global biodiversity loss from outsourced deforestation. Nature, 1–6. </w:t>
      </w:r>
      <w:hyperlink r:id="rId77" w:history="1">
        <w:r w:rsidRPr="00407FD2">
          <w:rPr>
            <w:rStyle w:val="Hyperlink"/>
            <w:sz w:val="20"/>
            <w:lang w:val="en-GB"/>
          </w:rPr>
          <w:t>https://doi.org/10.1038/s41586-024-08569-5</w:t>
        </w:r>
      </w:hyperlink>
      <w:r>
        <w:rPr>
          <w:sz w:val="20"/>
          <w:lang w:val="en-GB"/>
        </w:rPr>
        <w:t xml:space="preserve"> </w:t>
      </w:r>
    </w:p>
    <w:p w14:paraId="213DC62A" w14:textId="77777777" w:rsidR="00DF01BF" w:rsidRDefault="00DF01BF" w:rsidP="00DF01BF">
      <w:pPr>
        <w:rPr>
          <w:sz w:val="20"/>
        </w:rPr>
      </w:pPr>
    </w:p>
    <w:p w14:paraId="59E80A07" w14:textId="7CDBFAB0" w:rsidR="00F951D5" w:rsidRPr="00DF01BF" w:rsidRDefault="00F951D5" w:rsidP="006A38FD">
      <w:pPr>
        <w:rPr>
          <w:sz w:val="20"/>
        </w:rPr>
      </w:pPr>
      <w:r>
        <w:rPr>
          <w:sz w:val="20"/>
        </w:rPr>
        <w:t xml:space="preserve">World Bank. (2025). </w:t>
      </w:r>
      <w:r w:rsidRPr="00F951D5">
        <w:rPr>
          <w:sz w:val="20"/>
        </w:rPr>
        <w:t>A Global Database of Inflation</w:t>
      </w:r>
      <w:r>
        <w:rPr>
          <w:sz w:val="20"/>
        </w:rPr>
        <w:t xml:space="preserve">. Retrieved from: </w:t>
      </w:r>
      <w:hyperlink r:id="rId78" w:history="1">
        <w:r w:rsidRPr="00407FD2">
          <w:rPr>
            <w:rStyle w:val="Hyperlink"/>
            <w:sz w:val="20"/>
          </w:rPr>
          <w:t>https://www.worldbank.org/en/research/brief/inflation-database</w:t>
        </w:r>
      </w:hyperlink>
      <w:r>
        <w:rPr>
          <w:sz w:val="20"/>
        </w:rPr>
        <w:t xml:space="preserve"> </w:t>
      </w:r>
    </w:p>
    <w:sectPr w:rsidR="00F951D5" w:rsidRPr="00DF01BF" w:rsidSect="00CD7887">
      <w:headerReference w:type="default" r:id="rId79"/>
      <w:footerReference w:type="default" r:id="rId80"/>
      <w:headerReference w:type="first" r:id="rId81"/>
      <w:pgSz w:w="12240" w:h="15840"/>
      <w:pgMar w:top="1440" w:right="1800" w:bottom="1440" w:left="1800" w:header="720" w:footer="720" w:gutter="0"/>
      <w:lnNumType w:countBy="1" w:restart="continuous"/>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67B4AA" w14:textId="77777777" w:rsidR="003B602A" w:rsidRDefault="003B602A">
      <w:r>
        <w:separator/>
      </w:r>
    </w:p>
  </w:endnote>
  <w:endnote w:type="continuationSeparator" w:id="0">
    <w:p w14:paraId="723D0D98" w14:textId="77777777" w:rsidR="003B602A" w:rsidRDefault="003B60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FD4205" w14:textId="77777777" w:rsidR="00637D84" w:rsidRPr="00DB45F4" w:rsidRDefault="00637D84">
    <w:pPr>
      <w:autoSpaceDE w:val="0"/>
      <w:autoSpaceDN w:val="0"/>
      <w:adjustRightInd w:val="0"/>
      <w:jc w:val="center"/>
      <w:rPr>
        <w:rFonts w:eastAsia="Times New Roman"/>
        <w:szCs w:val="24"/>
      </w:rPr>
    </w:pPr>
    <w:r w:rsidRPr="00DB45F4">
      <w:rPr>
        <w:rFonts w:eastAsia="Times New Roman"/>
        <w:szCs w:val="24"/>
      </w:rPr>
      <w:t>S-</w:t>
    </w:r>
    <w:r w:rsidR="00127752" w:rsidRPr="00DB45F4">
      <w:rPr>
        <w:rStyle w:val="PageNumber"/>
        <w:szCs w:val="24"/>
        <w:lang w:val="en-GB"/>
      </w:rPr>
      <w:fldChar w:fldCharType="begin"/>
    </w:r>
    <w:r w:rsidRPr="00DB45F4">
      <w:rPr>
        <w:rStyle w:val="PageNumber"/>
        <w:szCs w:val="24"/>
        <w:lang w:val="en-GB"/>
      </w:rPr>
      <w:instrText xml:space="preserve"> PAGE </w:instrText>
    </w:r>
    <w:r w:rsidR="00127752" w:rsidRPr="00DB45F4">
      <w:rPr>
        <w:rStyle w:val="PageNumber"/>
        <w:szCs w:val="24"/>
        <w:lang w:val="en-GB"/>
      </w:rPr>
      <w:fldChar w:fldCharType="separate"/>
    </w:r>
    <w:r w:rsidR="005342AF" w:rsidRPr="00DB45F4">
      <w:rPr>
        <w:rStyle w:val="PageNumber"/>
        <w:noProof/>
        <w:szCs w:val="24"/>
        <w:lang w:val="en-GB"/>
      </w:rPr>
      <w:t>1</w:t>
    </w:r>
    <w:r w:rsidR="00127752" w:rsidRPr="00DB45F4">
      <w:rPr>
        <w:rStyle w:val="PageNumber"/>
        <w:szCs w:val="24"/>
        <w:lang w:val="en-GB"/>
      </w:rPr>
      <w:fldChar w:fldCharType="end"/>
    </w:r>
  </w:p>
  <w:p w14:paraId="23DA735D" w14:textId="77777777" w:rsidR="00637D84" w:rsidRDefault="00637D8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495AB9" w14:textId="77777777" w:rsidR="003B602A" w:rsidRDefault="003B602A">
      <w:r>
        <w:separator/>
      </w:r>
    </w:p>
  </w:footnote>
  <w:footnote w:type="continuationSeparator" w:id="0">
    <w:p w14:paraId="1BA44CB5" w14:textId="77777777" w:rsidR="003B602A" w:rsidRDefault="003B60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A93704" w14:textId="326210CE" w:rsidR="00637D84" w:rsidRDefault="00637D84">
    <w:pPr>
      <w:autoSpaceDE w:val="0"/>
      <w:autoSpaceDN w:val="0"/>
      <w:adjustRightInd w:val="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413CE8" w14:textId="77777777" w:rsidR="00637D84" w:rsidRDefault="00637D84">
    <w:pPr>
      <w:pStyle w:val="JIEnormal-noindent"/>
      <w:autoSpaceDE w:val="0"/>
      <w:autoSpaceDN w:val="0"/>
      <w:adjustRightInd w:val="0"/>
      <w:spacing w:line="240" w:lineRule="auto"/>
    </w:pPr>
    <w:r>
      <w:rPr>
        <w:rFonts w:ascii="Arial" w:hAnsi="Arial" w:cs="Arial"/>
        <w:sz w:val="20"/>
      </w:rPr>
      <w:t>2007</w:t>
    </w:r>
    <w:r>
      <w:rPr>
        <w:rFonts w:ascii="Arial" w:hAnsi="Arial" w:cs="Arial"/>
      </w:rPr>
      <w:t xml:space="preserve"> </w:t>
    </w:r>
    <w:r>
      <w:rPr>
        <w:rFonts w:ascii="Arial" w:hAnsi="Arial"/>
        <w:sz w:val="20"/>
      </w:rPr>
      <w:t>Journal of Industrial Ecology – www.mitpressjournals.org/jie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1A09ED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5E4AD6FE"/>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316409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9BCA0C9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0CFED87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83E695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56C88AB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7EA2C36"/>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9564E3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F32148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C337EE4"/>
    <w:multiLevelType w:val="singleLevel"/>
    <w:tmpl w:val="70E47D3E"/>
    <w:lvl w:ilvl="0">
      <w:start w:val="3"/>
      <w:numFmt w:val="bullet"/>
      <w:lvlText w:val="-"/>
      <w:lvlJc w:val="left"/>
      <w:pPr>
        <w:tabs>
          <w:tab w:val="num" w:pos="360"/>
        </w:tabs>
        <w:ind w:left="360" w:hanging="360"/>
      </w:pPr>
      <w:rPr>
        <w:rFonts w:hint="default"/>
      </w:rPr>
    </w:lvl>
  </w:abstractNum>
  <w:abstractNum w:abstractNumId="11" w15:restartNumberingAfterBreak="0">
    <w:nsid w:val="25BF5770"/>
    <w:multiLevelType w:val="singleLevel"/>
    <w:tmpl w:val="33663910"/>
    <w:lvl w:ilvl="0">
      <w:start w:val="1"/>
      <w:numFmt w:val="decimal"/>
      <w:lvlText w:val="(%1)"/>
      <w:lvlJc w:val="left"/>
      <w:pPr>
        <w:tabs>
          <w:tab w:val="num" w:pos="360"/>
        </w:tabs>
        <w:ind w:left="360" w:hanging="360"/>
      </w:pPr>
      <w:rPr>
        <w:rFonts w:hint="default"/>
      </w:rPr>
    </w:lvl>
  </w:abstractNum>
  <w:abstractNum w:abstractNumId="12" w15:restartNumberingAfterBreak="0">
    <w:nsid w:val="25EB5E38"/>
    <w:multiLevelType w:val="singleLevel"/>
    <w:tmpl w:val="BA3E57E0"/>
    <w:lvl w:ilvl="0">
      <w:start w:val="2"/>
      <w:numFmt w:val="bullet"/>
      <w:lvlText w:val="-"/>
      <w:lvlJc w:val="left"/>
      <w:pPr>
        <w:tabs>
          <w:tab w:val="num" w:pos="360"/>
        </w:tabs>
        <w:ind w:left="360" w:hanging="360"/>
      </w:pPr>
      <w:rPr>
        <w:rFonts w:hint="default"/>
      </w:rPr>
    </w:lvl>
  </w:abstractNum>
  <w:abstractNum w:abstractNumId="13" w15:restartNumberingAfterBreak="0">
    <w:nsid w:val="38803DC1"/>
    <w:multiLevelType w:val="singleLevel"/>
    <w:tmpl w:val="A98E3B3E"/>
    <w:lvl w:ilvl="0">
      <w:start w:val="5"/>
      <w:numFmt w:val="decimal"/>
      <w:lvlText w:val="%1."/>
      <w:lvlJc w:val="left"/>
      <w:pPr>
        <w:tabs>
          <w:tab w:val="num" w:pos="360"/>
        </w:tabs>
        <w:ind w:left="360" w:hanging="360"/>
      </w:pPr>
      <w:rPr>
        <w:rFonts w:hint="default"/>
        <w:i/>
      </w:rPr>
    </w:lvl>
  </w:abstractNum>
  <w:abstractNum w:abstractNumId="14" w15:restartNumberingAfterBreak="0">
    <w:nsid w:val="41504999"/>
    <w:multiLevelType w:val="singleLevel"/>
    <w:tmpl w:val="0409000F"/>
    <w:lvl w:ilvl="0">
      <w:start w:val="6"/>
      <w:numFmt w:val="decimal"/>
      <w:lvlText w:val="%1."/>
      <w:lvlJc w:val="left"/>
      <w:pPr>
        <w:tabs>
          <w:tab w:val="num" w:pos="360"/>
        </w:tabs>
        <w:ind w:left="360" w:hanging="360"/>
      </w:pPr>
      <w:rPr>
        <w:rFonts w:hint="default"/>
      </w:rPr>
    </w:lvl>
  </w:abstractNum>
  <w:abstractNum w:abstractNumId="15" w15:restartNumberingAfterBreak="0">
    <w:nsid w:val="4CC42E2B"/>
    <w:multiLevelType w:val="singleLevel"/>
    <w:tmpl w:val="DA742C6E"/>
    <w:lvl w:ilvl="0">
      <w:start w:val="1"/>
      <w:numFmt w:val="decimal"/>
      <w:lvlText w:val="(%1)"/>
      <w:lvlJc w:val="left"/>
      <w:pPr>
        <w:tabs>
          <w:tab w:val="num" w:pos="360"/>
        </w:tabs>
        <w:ind w:left="360" w:hanging="360"/>
      </w:pPr>
      <w:rPr>
        <w:rFonts w:hint="default"/>
      </w:rPr>
    </w:lvl>
  </w:abstractNum>
  <w:abstractNum w:abstractNumId="16" w15:restartNumberingAfterBreak="0">
    <w:nsid w:val="59474098"/>
    <w:multiLevelType w:val="singleLevel"/>
    <w:tmpl w:val="0409000F"/>
    <w:lvl w:ilvl="0">
      <w:start w:val="5"/>
      <w:numFmt w:val="decimal"/>
      <w:lvlText w:val="%1."/>
      <w:lvlJc w:val="left"/>
      <w:pPr>
        <w:tabs>
          <w:tab w:val="num" w:pos="360"/>
        </w:tabs>
        <w:ind w:left="360" w:hanging="360"/>
      </w:pPr>
      <w:rPr>
        <w:rFonts w:hint="default"/>
      </w:rPr>
    </w:lvl>
  </w:abstractNum>
  <w:abstractNum w:abstractNumId="17" w15:restartNumberingAfterBreak="0">
    <w:nsid w:val="616817F5"/>
    <w:multiLevelType w:val="singleLevel"/>
    <w:tmpl w:val="7E1C9194"/>
    <w:lvl w:ilvl="0">
      <w:start w:val="1"/>
      <w:numFmt w:val="lowerRoman"/>
      <w:lvlText w:val="(%1)"/>
      <w:lvlJc w:val="left"/>
      <w:pPr>
        <w:tabs>
          <w:tab w:val="num" w:pos="720"/>
        </w:tabs>
        <w:ind w:left="720" w:hanging="720"/>
      </w:pPr>
      <w:rPr>
        <w:rFonts w:hint="default"/>
      </w:rPr>
    </w:lvl>
  </w:abstractNum>
  <w:abstractNum w:abstractNumId="18" w15:restartNumberingAfterBreak="0">
    <w:nsid w:val="65942637"/>
    <w:multiLevelType w:val="singleLevel"/>
    <w:tmpl w:val="6F9C28B6"/>
    <w:lvl w:ilvl="0">
      <w:start w:val="1"/>
      <w:numFmt w:val="bullet"/>
      <w:lvlText w:val="-"/>
      <w:lvlJc w:val="left"/>
      <w:pPr>
        <w:tabs>
          <w:tab w:val="num" w:pos="360"/>
        </w:tabs>
        <w:ind w:left="360" w:hanging="360"/>
      </w:pPr>
      <w:rPr>
        <w:rFonts w:hint="default"/>
      </w:rPr>
    </w:lvl>
  </w:abstractNum>
  <w:abstractNum w:abstractNumId="19" w15:restartNumberingAfterBreak="0">
    <w:nsid w:val="706348D3"/>
    <w:multiLevelType w:val="singleLevel"/>
    <w:tmpl w:val="2DC06656"/>
    <w:lvl w:ilvl="0">
      <w:start w:val="1"/>
      <w:numFmt w:val="decimal"/>
      <w:lvlText w:val="(%1)"/>
      <w:lvlJc w:val="left"/>
      <w:pPr>
        <w:tabs>
          <w:tab w:val="num" w:pos="360"/>
        </w:tabs>
        <w:ind w:left="360" w:hanging="360"/>
      </w:pPr>
      <w:rPr>
        <w:rFonts w:hint="default"/>
      </w:rPr>
    </w:lvl>
  </w:abstractNum>
  <w:abstractNum w:abstractNumId="20" w15:restartNumberingAfterBreak="0">
    <w:nsid w:val="72F15821"/>
    <w:multiLevelType w:val="singleLevel"/>
    <w:tmpl w:val="58A6672C"/>
    <w:lvl w:ilvl="0">
      <w:start w:val="1"/>
      <w:numFmt w:val="bullet"/>
      <w:lvlText w:val="-"/>
      <w:lvlJc w:val="left"/>
      <w:pPr>
        <w:tabs>
          <w:tab w:val="num" w:pos="360"/>
        </w:tabs>
        <w:ind w:left="360" w:hanging="360"/>
      </w:pPr>
      <w:rPr>
        <w:rFonts w:hint="default"/>
      </w:rPr>
    </w:lvl>
  </w:abstractNum>
  <w:abstractNum w:abstractNumId="21" w15:restartNumberingAfterBreak="0">
    <w:nsid w:val="78326307"/>
    <w:multiLevelType w:val="singleLevel"/>
    <w:tmpl w:val="B70838CA"/>
    <w:lvl w:ilvl="0">
      <w:start w:val="8"/>
      <w:numFmt w:val="bullet"/>
      <w:lvlText w:val="-"/>
      <w:lvlJc w:val="left"/>
      <w:pPr>
        <w:tabs>
          <w:tab w:val="num" w:pos="360"/>
        </w:tabs>
        <w:ind w:left="360" w:hanging="360"/>
      </w:pPr>
      <w:rPr>
        <w:rFonts w:hint="default"/>
      </w:rPr>
    </w:lvl>
  </w:abstractNum>
  <w:abstractNum w:abstractNumId="22" w15:restartNumberingAfterBreak="0">
    <w:nsid w:val="793955C5"/>
    <w:multiLevelType w:val="singleLevel"/>
    <w:tmpl w:val="7CC40C30"/>
    <w:lvl w:ilvl="0">
      <w:start w:val="3"/>
      <w:numFmt w:val="bullet"/>
      <w:lvlText w:val="-"/>
      <w:lvlJc w:val="left"/>
      <w:pPr>
        <w:tabs>
          <w:tab w:val="num" w:pos="360"/>
        </w:tabs>
        <w:ind w:left="360" w:hanging="360"/>
      </w:pPr>
      <w:rPr>
        <w:rFonts w:hint="default"/>
      </w:rPr>
    </w:lvl>
  </w:abstractNum>
  <w:num w:numId="1" w16cid:durableId="1321809373">
    <w:abstractNumId w:val="12"/>
  </w:num>
  <w:num w:numId="2" w16cid:durableId="764960467">
    <w:abstractNumId w:val="17"/>
  </w:num>
  <w:num w:numId="3" w16cid:durableId="264270625">
    <w:abstractNumId w:val="20"/>
  </w:num>
  <w:num w:numId="4" w16cid:durableId="2028290433">
    <w:abstractNumId w:val="15"/>
  </w:num>
  <w:num w:numId="5" w16cid:durableId="1079642174">
    <w:abstractNumId w:val="19"/>
  </w:num>
  <w:num w:numId="6" w16cid:durableId="1799949780">
    <w:abstractNumId w:val="11"/>
  </w:num>
  <w:num w:numId="7" w16cid:durableId="1132334388">
    <w:abstractNumId w:val="14"/>
  </w:num>
  <w:num w:numId="8" w16cid:durableId="838423744">
    <w:abstractNumId w:val="22"/>
  </w:num>
  <w:num w:numId="9" w16cid:durableId="536626000">
    <w:abstractNumId w:val="18"/>
  </w:num>
  <w:num w:numId="10" w16cid:durableId="64838013">
    <w:abstractNumId w:val="21"/>
  </w:num>
  <w:num w:numId="11" w16cid:durableId="1671178884">
    <w:abstractNumId w:val="16"/>
  </w:num>
  <w:num w:numId="12" w16cid:durableId="1358239379">
    <w:abstractNumId w:val="13"/>
  </w:num>
  <w:num w:numId="13" w16cid:durableId="931006685">
    <w:abstractNumId w:val="10"/>
  </w:num>
  <w:num w:numId="14" w16cid:durableId="1155101805">
    <w:abstractNumId w:val="9"/>
  </w:num>
  <w:num w:numId="15" w16cid:durableId="1553155944">
    <w:abstractNumId w:val="7"/>
  </w:num>
  <w:num w:numId="16" w16cid:durableId="444269634">
    <w:abstractNumId w:val="6"/>
  </w:num>
  <w:num w:numId="17" w16cid:durableId="229661680">
    <w:abstractNumId w:val="5"/>
  </w:num>
  <w:num w:numId="18" w16cid:durableId="1376466855">
    <w:abstractNumId w:val="4"/>
  </w:num>
  <w:num w:numId="19" w16cid:durableId="1218972846">
    <w:abstractNumId w:val="8"/>
  </w:num>
  <w:num w:numId="20" w16cid:durableId="304698207">
    <w:abstractNumId w:val="3"/>
  </w:num>
  <w:num w:numId="21" w16cid:durableId="523640475">
    <w:abstractNumId w:val="2"/>
  </w:num>
  <w:num w:numId="22" w16cid:durableId="1174225953">
    <w:abstractNumId w:val="1"/>
  </w:num>
  <w:num w:numId="23" w16cid:durableId="18810450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C3678"/>
    <w:rsid w:val="000007FC"/>
    <w:rsid w:val="000035F5"/>
    <w:rsid w:val="0000368E"/>
    <w:rsid w:val="00012B91"/>
    <w:rsid w:val="00013D1E"/>
    <w:rsid w:val="00015137"/>
    <w:rsid w:val="00016475"/>
    <w:rsid w:val="000170D9"/>
    <w:rsid w:val="00017B9F"/>
    <w:rsid w:val="00021E70"/>
    <w:rsid w:val="000233BB"/>
    <w:rsid w:val="00025928"/>
    <w:rsid w:val="00026AC0"/>
    <w:rsid w:val="00031E57"/>
    <w:rsid w:val="0004078A"/>
    <w:rsid w:val="0005253F"/>
    <w:rsid w:val="000550B0"/>
    <w:rsid w:val="00055DD8"/>
    <w:rsid w:val="00056F44"/>
    <w:rsid w:val="0006095E"/>
    <w:rsid w:val="00061208"/>
    <w:rsid w:val="00061921"/>
    <w:rsid w:val="00062852"/>
    <w:rsid w:val="000654BB"/>
    <w:rsid w:val="00073E43"/>
    <w:rsid w:val="00075ABF"/>
    <w:rsid w:val="00082A55"/>
    <w:rsid w:val="0009336C"/>
    <w:rsid w:val="000943F6"/>
    <w:rsid w:val="00095204"/>
    <w:rsid w:val="000A3705"/>
    <w:rsid w:val="000A418F"/>
    <w:rsid w:val="000B1581"/>
    <w:rsid w:val="000B5417"/>
    <w:rsid w:val="000B6452"/>
    <w:rsid w:val="000C0DFB"/>
    <w:rsid w:val="000C1B25"/>
    <w:rsid w:val="000D70CC"/>
    <w:rsid w:val="000D76ED"/>
    <w:rsid w:val="000E1EDA"/>
    <w:rsid w:val="000E7E2A"/>
    <w:rsid w:val="001025AA"/>
    <w:rsid w:val="00102AB8"/>
    <w:rsid w:val="001174F4"/>
    <w:rsid w:val="00117B6A"/>
    <w:rsid w:val="00122036"/>
    <w:rsid w:val="00125324"/>
    <w:rsid w:val="0012550E"/>
    <w:rsid w:val="0012702D"/>
    <w:rsid w:val="00127752"/>
    <w:rsid w:val="00130623"/>
    <w:rsid w:val="00140520"/>
    <w:rsid w:val="00140797"/>
    <w:rsid w:val="00140C6D"/>
    <w:rsid w:val="00141FD3"/>
    <w:rsid w:val="0014200A"/>
    <w:rsid w:val="00147DD0"/>
    <w:rsid w:val="00151C9D"/>
    <w:rsid w:val="00151F63"/>
    <w:rsid w:val="001530E3"/>
    <w:rsid w:val="00153FEB"/>
    <w:rsid w:val="0015470B"/>
    <w:rsid w:val="00154CF9"/>
    <w:rsid w:val="00156F49"/>
    <w:rsid w:val="00162046"/>
    <w:rsid w:val="0016216F"/>
    <w:rsid w:val="00162E48"/>
    <w:rsid w:val="00163872"/>
    <w:rsid w:val="00164C58"/>
    <w:rsid w:val="001657D0"/>
    <w:rsid w:val="001677BB"/>
    <w:rsid w:val="00174E12"/>
    <w:rsid w:val="00177180"/>
    <w:rsid w:val="00190E24"/>
    <w:rsid w:val="00195B38"/>
    <w:rsid w:val="0019716F"/>
    <w:rsid w:val="001A3681"/>
    <w:rsid w:val="001A4805"/>
    <w:rsid w:val="001A62E3"/>
    <w:rsid w:val="001B0CD6"/>
    <w:rsid w:val="001B40B0"/>
    <w:rsid w:val="001B6986"/>
    <w:rsid w:val="001C0C10"/>
    <w:rsid w:val="001C1A2A"/>
    <w:rsid w:val="001D391A"/>
    <w:rsid w:val="001D684D"/>
    <w:rsid w:val="001E04F0"/>
    <w:rsid w:val="001E2393"/>
    <w:rsid w:val="001E29E8"/>
    <w:rsid w:val="001E623E"/>
    <w:rsid w:val="001E7AD5"/>
    <w:rsid w:val="001E7CEE"/>
    <w:rsid w:val="001E7ECA"/>
    <w:rsid w:val="001F4CF2"/>
    <w:rsid w:val="00204E66"/>
    <w:rsid w:val="00210627"/>
    <w:rsid w:val="00221609"/>
    <w:rsid w:val="00224E3E"/>
    <w:rsid w:val="00225A4D"/>
    <w:rsid w:val="00231EB3"/>
    <w:rsid w:val="0023350F"/>
    <w:rsid w:val="002354BA"/>
    <w:rsid w:val="002417EE"/>
    <w:rsid w:val="0024215F"/>
    <w:rsid w:val="00243EB5"/>
    <w:rsid w:val="00244AEE"/>
    <w:rsid w:val="0026286B"/>
    <w:rsid w:val="002646B6"/>
    <w:rsid w:val="0026556F"/>
    <w:rsid w:val="00265C4E"/>
    <w:rsid w:val="00267A43"/>
    <w:rsid w:val="00271AD5"/>
    <w:rsid w:val="00273667"/>
    <w:rsid w:val="002746E9"/>
    <w:rsid w:val="00281931"/>
    <w:rsid w:val="002828AD"/>
    <w:rsid w:val="002829E3"/>
    <w:rsid w:val="00290E91"/>
    <w:rsid w:val="00291C7F"/>
    <w:rsid w:val="002930BA"/>
    <w:rsid w:val="002946CD"/>
    <w:rsid w:val="00296293"/>
    <w:rsid w:val="002969AF"/>
    <w:rsid w:val="002A1B19"/>
    <w:rsid w:val="002B5979"/>
    <w:rsid w:val="002B70ED"/>
    <w:rsid w:val="002C179E"/>
    <w:rsid w:val="002C5656"/>
    <w:rsid w:val="002D1ADA"/>
    <w:rsid w:val="002D46CC"/>
    <w:rsid w:val="002D62B2"/>
    <w:rsid w:val="002D7C94"/>
    <w:rsid w:val="002E516E"/>
    <w:rsid w:val="002E519A"/>
    <w:rsid w:val="002E6090"/>
    <w:rsid w:val="002F4C9E"/>
    <w:rsid w:val="002F58D9"/>
    <w:rsid w:val="00305A60"/>
    <w:rsid w:val="00312C21"/>
    <w:rsid w:val="00322137"/>
    <w:rsid w:val="00325F3E"/>
    <w:rsid w:val="0032632C"/>
    <w:rsid w:val="00326CBA"/>
    <w:rsid w:val="0032797F"/>
    <w:rsid w:val="003328E4"/>
    <w:rsid w:val="0033542C"/>
    <w:rsid w:val="00342405"/>
    <w:rsid w:val="00342ED4"/>
    <w:rsid w:val="00343BB1"/>
    <w:rsid w:val="00354C05"/>
    <w:rsid w:val="00355DDD"/>
    <w:rsid w:val="0035773C"/>
    <w:rsid w:val="00362F56"/>
    <w:rsid w:val="003652C6"/>
    <w:rsid w:val="00365A8B"/>
    <w:rsid w:val="00372789"/>
    <w:rsid w:val="003747FB"/>
    <w:rsid w:val="00376D2D"/>
    <w:rsid w:val="0037709E"/>
    <w:rsid w:val="00385638"/>
    <w:rsid w:val="0038676A"/>
    <w:rsid w:val="0038753C"/>
    <w:rsid w:val="00391BAC"/>
    <w:rsid w:val="00392495"/>
    <w:rsid w:val="003A3335"/>
    <w:rsid w:val="003A33C1"/>
    <w:rsid w:val="003A33D7"/>
    <w:rsid w:val="003A3B02"/>
    <w:rsid w:val="003A61CE"/>
    <w:rsid w:val="003A755A"/>
    <w:rsid w:val="003B3DDF"/>
    <w:rsid w:val="003B602A"/>
    <w:rsid w:val="003C1639"/>
    <w:rsid w:val="003C1EDD"/>
    <w:rsid w:val="003C6185"/>
    <w:rsid w:val="003D2925"/>
    <w:rsid w:val="003E1DB8"/>
    <w:rsid w:val="003E438D"/>
    <w:rsid w:val="003E6103"/>
    <w:rsid w:val="003F20F5"/>
    <w:rsid w:val="003F6AA6"/>
    <w:rsid w:val="00405228"/>
    <w:rsid w:val="0040534B"/>
    <w:rsid w:val="004068B2"/>
    <w:rsid w:val="00407D3B"/>
    <w:rsid w:val="00411988"/>
    <w:rsid w:val="0043029D"/>
    <w:rsid w:val="00436BE1"/>
    <w:rsid w:val="00437604"/>
    <w:rsid w:val="00442FF0"/>
    <w:rsid w:val="00460CC0"/>
    <w:rsid w:val="00462DE2"/>
    <w:rsid w:val="004648A0"/>
    <w:rsid w:val="00467974"/>
    <w:rsid w:val="00470259"/>
    <w:rsid w:val="004829D2"/>
    <w:rsid w:val="00483B48"/>
    <w:rsid w:val="00483C69"/>
    <w:rsid w:val="004852CA"/>
    <w:rsid w:val="00485BDA"/>
    <w:rsid w:val="004866FA"/>
    <w:rsid w:val="00491287"/>
    <w:rsid w:val="004A00B4"/>
    <w:rsid w:val="004A2A20"/>
    <w:rsid w:val="004B653C"/>
    <w:rsid w:val="004C38A9"/>
    <w:rsid w:val="004C569F"/>
    <w:rsid w:val="004D380A"/>
    <w:rsid w:val="004D4AAD"/>
    <w:rsid w:val="004D5D9E"/>
    <w:rsid w:val="004E5A0B"/>
    <w:rsid w:val="004F0D3E"/>
    <w:rsid w:val="004F0F3E"/>
    <w:rsid w:val="004F406C"/>
    <w:rsid w:val="004F47DC"/>
    <w:rsid w:val="005041EC"/>
    <w:rsid w:val="005053C2"/>
    <w:rsid w:val="00506175"/>
    <w:rsid w:val="0051318D"/>
    <w:rsid w:val="005143C4"/>
    <w:rsid w:val="00515CDE"/>
    <w:rsid w:val="00516DD8"/>
    <w:rsid w:val="005208DF"/>
    <w:rsid w:val="005212CA"/>
    <w:rsid w:val="0052490E"/>
    <w:rsid w:val="005342AF"/>
    <w:rsid w:val="0053592C"/>
    <w:rsid w:val="00541604"/>
    <w:rsid w:val="00541944"/>
    <w:rsid w:val="00544086"/>
    <w:rsid w:val="00544391"/>
    <w:rsid w:val="00545601"/>
    <w:rsid w:val="00550258"/>
    <w:rsid w:val="005537D1"/>
    <w:rsid w:val="00556B60"/>
    <w:rsid w:val="00556DF9"/>
    <w:rsid w:val="00556EED"/>
    <w:rsid w:val="005600A9"/>
    <w:rsid w:val="00561A62"/>
    <w:rsid w:val="00564235"/>
    <w:rsid w:val="0056601F"/>
    <w:rsid w:val="0057099E"/>
    <w:rsid w:val="0057443F"/>
    <w:rsid w:val="00575E0A"/>
    <w:rsid w:val="005841B7"/>
    <w:rsid w:val="00586489"/>
    <w:rsid w:val="005961F3"/>
    <w:rsid w:val="00597DBC"/>
    <w:rsid w:val="005A18A4"/>
    <w:rsid w:val="005A78AA"/>
    <w:rsid w:val="005B118F"/>
    <w:rsid w:val="005D2F45"/>
    <w:rsid w:val="005D3B72"/>
    <w:rsid w:val="005E495A"/>
    <w:rsid w:val="005E7EB0"/>
    <w:rsid w:val="00610F07"/>
    <w:rsid w:val="00615685"/>
    <w:rsid w:val="0063064C"/>
    <w:rsid w:val="00637D84"/>
    <w:rsid w:val="00642E49"/>
    <w:rsid w:val="006469E3"/>
    <w:rsid w:val="006512DB"/>
    <w:rsid w:val="00651A9C"/>
    <w:rsid w:val="00661166"/>
    <w:rsid w:val="006640C8"/>
    <w:rsid w:val="0067182A"/>
    <w:rsid w:val="00675A6E"/>
    <w:rsid w:val="00675D94"/>
    <w:rsid w:val="00681EC1"/>
    <w:rsid w:val="0068527C"/>
    <w:rsid w:val="00687AB5"/>
    <w:rsid w:val="0069353E"/>
    <w:rsid w:val="00694D2D"/>
    <w:rsid w:val="006961B4"/>
    <w:rsid w:val="006A1CA0"/>
    <w:rsid w:val="006A2FC0"/>
    <w:rsid w:val="006A38FD"/>
    <w:rsid w:val="006A5AAA"/>
    <w:rsid w:val="006B5222"/>
    <w:rsid w:val="006D3EDD"/>
    <w:rsid w:val="006E2334"/>
    <w:rsid w:val="006E5A8C"/>
    <w:rsid w:val="006E5FC3"/>
    <w:rsid w:val="006E7C2B"/>
    <w:rsid w:val="00711596"/>
    <w:rsid w:val="007127ED"/>
    <w:rsid w:val="0071628C"/>
    <w:rsid w:val="00717B8B"/>
    <w:rsid w:val="007267C8"/>
    <w:rsid w:val="007276CD"/>
    <w:rsid w:val="00732EAC"/>
    <w:rsid w:val="00735B1D"/>
    <w:rsid w:val="00737037"/>
    <w:rsid w:val="00740EF5"/>
    <w:rsid w:val="00757870"/>
    <w:rsid w:val="00761889"/>
    <w:rsid w:val="00761DA3"/>
    <w:rsid w:val="00764115"/>
    <w:rsid w:val="007656C6"/>
    <w:rsid w:val="00783CA6"/>
    <w:rsid w:val="00786589"/>
    <w:rsid w:val="00792F07"/>
    <w:rsid w:val="0079344A"/>
    <w:rsid w:val="00796683"/>
    <w:rsid w:val="00796E0B"/>
    <w:rsid w:val="007A46A4"/>
    <w:rsid w:val="007A518D"/>
    <w:rsid w:val="007B7FD4"/>
    <w:rsid w:val="007C0794"/>
    <w:rsid w:val="007C286A"/>
    <w:rsid w:val="007C57BF"/>
    <w:rsid w:val="007D0740"/>
    <w:rsid w:val="007D1A76"/>
    <w:rsid w:val="007D2241"/>
    <w:rsid w:val="007D2BD3"/>
    <w:rsid w:val="007E13D0"/>
    <w:rsid w:val="007E45D5"/>
    <w:rsid w:val="007E7EE0"/>
    <w:rsid w:val="007F1CC5"/>
    <w:rsid w:val="007F1F0A"/>
    <w:rsid w:val="007F4644"/>
    <w:rsid w:val="007F7B33"/>
    <w:rsid w:val="008043FF"/>
    <w:rsid w:val="00812029"/>
    <w:rsid w:val="00814E96"/>
    <w:rsid w:val="008179EE"/>
    <w:rsid w:val="008222B8"/>
    <w:rsid w:val="008375D1"/>
    <w:rsid w:val="008409BA"/>
    <w:rsid w:val="00841417"/>
    <w:rsid w:val="00841EDB"/>
    <w:rsid w:val="0084203D"/>
    <w:rsid w:val="008437CF"/>
    <w:rsid w:val="00856994"/>
    <w:rsid w:val="00856A27"/>
    <w:rsid w:val="00860EE4"/>
    <w:rsid w:val="00861C5D"/>
    <w:rsid w:val="008631A7"/>
    <w:rsid w:val="00875282"/>
    <w:rsid w:val="00877028"/>
    <w:rsid w:val="0088265C"/>
    <w:rsid w:val="00882AB0"/>
    <w:rsid w:val="008929D7"/>
    <w:rsid w:val="00897FA2"/>
    <w:rsid w:val="008A2B05"/>
    <w:rsid w:val="008A61E1"/>
    <w:rsid w:val="008B1F6A"/>
    <w:rsid w:val="008B3D14"/>
    <w:rsid w:val="008C3A22"/>
    <w:rsid w:val="008D10D7"/>
    <w:rsid w:val="008E035A"/>
    <w:rsid w:val="008E0C5F"/>
    <w:rsid w:val="008F1DA8"/>
    <w:rsid w:val="008F3AD9"/>
    <w:rsid w:val="008F586B"/>
    <w:rsid w:val="0091133D"/>
    <w:rsid w:val="009214CA"/>
    <w:rsid w:val="00921B1B"/>
    <w:rsid w:val="00923DC5"/>
    <w:rsid w:val="00925C6A"/>
    <w:rsid w:val="00933333"/>
    <w:rsid w:val="009558E9"/>
    <w:rsid w:val="00957CB3"/>
    <w:rsid w:val="009618A6"/>
    <w:rsid w:val="00962FD8"/>
    <w:rsid w:val="00971BFE"/>
    <w:rsid w:val="009726F2"/>
    <w:rsid w:val="0097363E"/>
    <w:rsid w:val="009739AF"/>
    <w:rsid w:val="00976B1B"/>
    <w:rsid w:val="009807DC"/>
    <w:rsid w:val="00980A59"/>
    <w:rsid w:val="00996508"/>
    <w:rsid w:val="00996655"/>
    <w:rsid w:val="009978EB"/>
    <w:rsid w:val="009A31CE"/>
    <w:rsid w:val="009B3483"/>
    <w:rsid w:val="009B378C"/>
    <w:rsid w:val="009B445B"/>
    <w:rsid w:val="009B4F57"/>
    <w:rsid w:val="009C446B"/>
    <w:rsid w:val="009C5095"/>
    <w:rsid w:val="009D1D97"/>
    <w:rsid w:val="009D532C"/>
    <w:rsid w:val="009D7C33"/>
    <w:rsid w:val="009E0DC1"/>
    <w:rsid w:val="009E3665"/>
    <w:rsid w:val="009E415B"/>
    <w:rsid w:val="009F3B3E"/>
    <w:rsid w:val="009F5CBF"/>
    <w:rsid w:val="009F6B77"/>
    <w:rsid w:val="00A0155D"/>
    <w:rsid w:val="00A0702F"/>
    <w:rsid w:val="00A21440"/>
    <w:rsid w:val="00A21507"/>
    <w:rsid w:val="00A2548F"/>
    <w:rsid w:val="00A25B52"/>
    <w:rsid w:val="00A307F7"/>
    <w:rsid w:val="00A3270A"/>
    <w:rsid w:val="00A41ADB"/>
    <w:rsid w:val="00A52A41"/>
    <w:rsid w:val="00A54396"/>
    <w:rsid w:val="00A55117"/>
    <w:rsid w:val="00A56A86"/>
    <w:rsid w:val="00A65105"/>
    <w:rsid w:val="00A6523C"/>
    <w:rsid w:val="00A6584F"/>
    <w:rsid w:val="00A70E6F"/>
    <w:rsid w:val="00A76BFE"/>
    <w:rsid w:val="00A86613"/>
    <w:rsid w:val="00A91307"/>
    <w:rsid w:val="00A92787"/>
    <w:rsid w:val="00AA14EA"/>
    <w:rsid w:val="00AA1F8F"/>
    <w:rsid w:val="00AA24AE"/>
    <w:rsid w:val="00AB0B15"/>
    <w:rsid w:val="00AB3506"/>
    <w:rsid w:val="00AB437B"/>
    <w:rsid w:val="00AB63C3"/>
    <w:rsid w:val="00AC272A"/>
    <w:rsid w:val="00AC386F"/>
    <w:rsid w:val="00AD03C7"/>
    <w:rsid w:val="00AD12A1"/>
    <w:rsid w:val="00AD6C8C"/>
    <w:rsid w:val="00AE6289"/>
    <w:rsid w:val="00AF5556"/>
    <w:rsid w:val="00AF5ADB"/>
    <w:rsid w:val="00AF6D8E"/>
    <w:rsid w:val="00B01667"/>
    <w:rsid w:val="00B031BA"/>
    <w:rsid w:val="00B1200F"/>
    <w:rsid w:val="00B12F54"/>
    <w:rsid w:val="00B1564B"/>
    <w:rsid w:val="00B257DD"/>
    <w:rsid w:val="00B27604"/>
    <w:rsid w:val="00B31083"/>
    <w:rsid w:val="00B31DA2"/>
    <w:rsid w:val="00B32974"/>
    <w:rsid w:val="00B32D71"/>
    <w:rsid w:val="00B366C6"/>
    <w:rsid w:val="00B43477"/>
    <w:rsid w:val="00B46A8C"/>
    <w:rsid w:val="00B47667"/>
    <w:rsid w:val="00B54B7C"/>
    <w:rsid w:val="00B57462"/>
    <w:rsid w:val="00B632F4"/>
    <w:rsid w:val="00B634C8"/>
    <w:rsid w:val="00B63CC3"/>
    <w:rsid w:val="00B655ED"/>
    <w:rsid w:val="00B7251F"/>
    <w:rsid w:val="00B74ECC"/>
    <w:rsid w:val="00B74FF4"/>
    <w:rsid w:val="00B82850"/>
    <w:rsid w:val="00B86553"/>
    <w:rsid w:val="00B906BE"/>
    <w:rsid w:val="00B921F3"/>
    <w:rsid w:val="00B92436"/>
    <w:rsid w:val="00B94DDD"/>
    <w:rsid w:val="00BA073A"/>
    <w:rsid w:val="00BA473D"/>
    <w:rsid w:val="00BA7485"/>
    <w:rsid w:val="00BB6867"/>
    <w:rsid w:val="00BB720F"/>
    <w:rsid w:val="00BB7AF3"/>
    <w:rsid w:val="00BC0D1F"/>
    <w:rsid w:val="00BC1D17"/>
    <w:rsid w:val="00BC4005"/>
    <w:rsid w:val="00BC465D"/>
    <w:rsid w:val="00BC5D2B"/>
    <w:rsid w:val="00BD34DF"/>
    <w:rsid w:val="00BE2AC9"/>
    <w:rsid w:val="00BE689F"/>
    <w:rsid w:val="00BF0598"/>
    <w:rsid w:val="00C011F4"/>
    <w:rsid w:val="00C017B8"/>
    <w:rsid w:val="00C01AEC"/>
    <w:rsid w:val="00C037EA"/>
    <w:rsid w:val="00C03D2D"/>
    <w:rsid w:val="00C10B05"/>
    <w:rsid w:val="00C10F11"/>
    <w:rsid w:val="00C11143"/>
    <w:rsid w:val="00C22841"/>
    <w:rsid w:val="00C314A5"/>
    <w:rsid w:val="00C33EAC"/>
    <w:rsid w:val="00C41CBC"/>
    <w:rsid w:val="00C47002"/>
    <w:rsid w:val="00C553C0"/>
    <w:rsid w:val="00C56AB2"/>
    <w:rsid w:val="00C601C3"/>
    <w:rsid w:val="00C60BA4"/>
    <w:rsid w:val="00C622D5"/>
    <w:rsid w:val="00C646B1"/>
    <w:rsid w:val="00C70938"/>
    <w:rsid w:val="00C82233"/>
    <w:rsid w:val="00C90CAF"/>
    <w:rsid w:val="00C91231"/>
    <w:rsid w:val="00C96FCD"/>
    <w:rsid w:val="00C97586"/>
    <w:rsid w:val="00C97BD1"/>
    <w:rsid w:val="00CA6730"/>
    <w:rsid w:val="00CB3B40"/>
    <w:rsid w:val="00CB71D6"/>
    <w:rsid w:val="00CC1DB0"/>
    <w:rsid w:val="00CC4345"/>
    <w:rsid w:val="00CC762F"/>
    <w:rsid w:val="00CD09D6"/>
    <w:rsid w:val="00CD0B40"/>
    <w:rsid w:val="00CD1234"/>
    <w:rsid w:val="00CD28C6"/>
    <w:rsid w:val="00CD4D67"/>
    <w:rsid w:val="00CD54F8"/>
    <w:rsid w:val="00CD5B94"/>
    <w:rsid w:val="00CD7887"/>
    <w:rsid w:val="00CE017C"/>
    <w:rsid w:val="00CE02CB"/>
    <w:rsid w:val="00CE06E0"/>
    <w:rsid w:val="00CE1000"/>
    <w:rsid w:val="00CE1C7A"/>
    <w:rsid w:val="00CE562B"/>
    <w:rsid w:val="00CE64F7"/>
    <w:rsid w:val="00CF0215"/>
    <w:rsid w:val="00CF3B1F"/>
    <w:rsid w:val="00CF4B6C"/>
    <w:rsid w:val="00CF4EB7"/>
    <w:rsid w:val="00D1348D"/>
    <w:rsid w:val="00D16A6E"/>
    <w:rsid w:val="00D303FC"/>
    <w:rsid w:val="00D31268"/>
    <w:rsid w:val="00D32DC3"/>
    <w:rsid w:val="00D33D24"/>
    <w:rsid w:val="00D47352"/>
    <w:rsid w:val="00D5034C"/>
    <w:rsid w:val="00D51EDC"/>
    <w:rsid w:val="00D533A3"/>
    <w:rsid w:val="00D55C54"/>
    <w:rsid w:val="00D562FA"/>
    <w:rsid w:val="00D66026"/>
    <w:rsid w:val="00D661C5"/>
    <w:rsid w:val="00D75942"/>
    <w:rsid w:val="00D80581"/>
    <w:rsid w:val="00D866E3"/>
    <w:rsid w:val="00D922EB"/>
    <w:rsid w:val="00D9394D"/>
    <w:rsid w:val="00D93CF3"/>
    <w:rsid w:val="00D9668D"/>
    <w:rsid w:val="00DA6057"/>
    <w:rsid w:val="00DB2EAC"/>
    <w:rsid w:val="00DB45F4"/>
    <w:rsid w:val="00DB507F"/>
    <w:rsid w:val="00DB5FE4"/>
    <w:rsid w:val="00DB74CF"/>
    <w:rsid w:val="00DC6721"/>
    <w:rsid w:val="00DC70A7"/>
    <w:rsid w:val="00DD48D2"/>
    <w:rsid w:val="00DD6F90"/>
    <w:rsid w:val="00DE1AF7"/>
    <w:rsid w:val="00DF01BF"/>
    <w:rsid w:val="00DF56C4"/>
    <w:rsid w:val="00E14551"/>
    <w:rsid w:val="00E157B4"/>
    <w:rsid w:val="00E20175"/>
    <w:rsid w:val="00E21298"/>
    <w:rsid w:val="00E40FD8"/>
    <w:rsid w:val="00E53981"/>
    <w:rsid w:val="00E55B1D"/>
    <w:rsid w:val="00E56547"/>
    <w:rsid w:val="00E71DCE"/>
    <w:rsid w:val="00E73964"/>
    <w:rsid w:val="00E75A32"/>
    <w:rsid w:val="00E7717D"/>
    <w:rsid w:val="00E8220E"/>
    <w:rsid w:val="00E83278"/>
    <w:rsid w:val="00E85DCA"/>
    <w:rsid w:val="00E92210"/>
    <w:rsid w:val="00E932C2"/>
    <w:rsid w:val="00E93857"/>
    <w:rsid w:val="00E94830"/>
    <w:rsid w:val="00E96C57"/>
    <w:rsid w:val="00EA33AE"/>
    <w:rsid w:val="00EB3B53"/>
    <w:rsid w:val="00EB4E8A"/>
    <w:rsid w:val="00EC036E"/>
    <w:rsid w:val="00EC2843"/>
    <w:rsid w:val="00EC5E6F"/>
    <w:rsid w:val="00EE6CEC"/>
    <w:rsid w:val="00EF1ED7"/>
    <w:rsid w:val="00EF3966"/>
    <w:rsid w:val="00EF6326"/>
    <w:rsid w:val="00F012C0"/>
    <w:rsid w:val="00F106E6"/>
    <w:rsid w:val="00F12908"/>
    <w:rsid w:val="00F15923"/>
    <w:rsid w:val="00F213C8"/>
    <w:rsid w:val="00F268AA"/>
    <w:rsid w:val="00F30C0A"/>
    <w:rsid w:val="00F37E89"/>
    <w:rsid w:val="00F43D68"/>
    <w:rsid w:val="00F46584"/>
    <w:rsid w:val="00F46EB7"/>
    <w:rsid w:val="00F54D4D"/>
    <w:rsid w:val="00F55D6E"/>
    <w:rsid w:val="00F6584F"/>
    <w:rsid w:val="00F73E05"/>
    <w:rsid w:val="00F74AAF"/>
    <w:rsid w:val="00F83921"/>
    <w:rsid w:val="00F8636A"/>
    <w:rsid w:val="00F86F20"/>
    <w:rsid w:val="00F930AA"/>
    <w:rsid w:val="00F951D5"/>
    <w:rsid w:val="00F955B7"/>
    <w:rsid w:val="00F96DD5"/>
    <w:rsid w:val="00FB0513"/>
    <w:rsid w:val="00FC3678"/>
    <w:rsid w:val="00FC439F"/>
    <w:rsid w:val="00FD061F"/>
    <w:rsid w:val="00FD4DC5"/>
    <w:rsid w:val="00FD655A"/>
    <w:rsid w:val="00FE6CE9"/>
    <w:rsid w:val="00FF5532"/>
    <w:rsid w:val="00FF6497"/>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6AEECCF"/>
  <w15:chartTrackingRefBased/>
  <w15:docId w15:val="{4669C929-0E11-437B-994F-CB07DDA940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fi-FI" w:eastAsia="fi-FI"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37"/>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1"/>
    <w:lsdException w:name="Grid Table 5 Dark" w:uiPriority="42"/>
    <w:lsdException w:name="Grid Table 6 Colorful" w:uiPriority="43"/>
    <w:lsdException w:name="Grid Table 7 Colorful" w:uiPriority="44"/>
    <w:lsdException w:name="Grid Table 1 Light Accent 1" w:uiPriority="45"/>
    <w:lsdException w:name="Grid Table 2 Accent 1" w:uiPriority="40"/>
    <w:lsdException w:name="Grid Table 3 Accent 1" w:uiPriority="46"/>
    <w:lsdException w:name="Grid Table 4 Accent 1" w:uiPriority="47"/>
    <w:lsdException w:name="Grid Table 5 Dark Accent 1" w:uiPriority="48"/>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F4644"/>
    <w:rPr>
      <w:sz w:val="24"/>
      <w:lang w:val="en-US" w:eastAsia="en-US"/>
    </w:rPr>
  </w:style>
  <w:style w:type="paragraph" w:styleId="Heading1">
    <w:name w:val="heading 1"/>
    <w:basedOn w:val="Normal"/>
    <w:next w:val="Normal"/>
    <w:qFormat/>
    <w:rsid w:val="007F4644"/>
    <w:pPr>
      <w:keepNext/>
      <w:spacing w:line="360" w:lineRule="auto"/>
      <w:jc w:val="both"/>
      <w:outlineLvl w:val="0"/>
    </w:pPr>
  </w:style>
  <w:style w:type="paragraph" w:styleId="Heading2">
    <w:name w:val="heading 2"/>
    <w:basedOn w:val="Normal"/>
    <w:next w:val="Normal"/>
    <w:qFormat/>
    <w:rsid w:val="007F4644"/>
    <w:pPr>
      <w:keepNext/>
      <w:outlineLvl w:val="1"/>
    </w:pPr>
    <w:rPr>
      <w:b/>
      <w:sz w:val="32"/>
    </w:rPr>
  </w:style>
  <w:style w:type="paragraph" w:styleId="Heading3">
    <w:name w:val="heading 3"/>
    <w:basedOn w:val="Normal"/>
    <w:next w:val="Normal"/>
    <w:qFormat/>
    <w:rsid w:val="007F4644"/>
    <w:pPr>
      <w:keepNext/>
      <w:outlineLvl w:val="2"/>
    </w:pPr>
    <w:rPr>
      <w:b/>
      <w:i/>
      <w:sz w:val="32"/>
    </w:rPr>
  </w:style>
  <w:style w:type="paragraph" w:styleId="Heading4">
    <w:name w:val="heading 4"/>
    <w:basedOn w:val="Normal"/>
    <w:next w:val="Normal"/>
    <w:qFormat/>
    <w:rsid w:val="007F4644"/>
    <w:pPr>
      <w:keepNext/>
      <w:outlineLvl w:val="3"/>
    </w:pPr>
    <w:rPr>
      <w:b/>
      <w:sz w:val="28"/>
    </w:rPr>
  </w:style>
  <w:style w:type="paragraph" w:styleId="Heading5">
    <w:name w:val="heading 5"/>
    <w:basedOn w:val="Normal"/>
    <w:next w:val="Normal"/>
    <w:qFormat/>
    <w:rsid w:val="007F4644"/>
    <w:pPr>
      <w:keepNext/>
      <w:jc w:val="both"/>
      <w:outlineLvl w:val="4"/>
    </w:pPr>
    <w:rPr>
      <w:b/>
      <w:bCs/>
      <w:sz w:val="22"/>
    </w:rPr>
  </w:style>
  <w:style w:type="paragraph" w:styleId="Heading6">
    <w:name w:val="heading 6"/>
    <w:basedOn w:val="Normal"/>
    <w:next w:val="Normal"/>
    <w:qFormat/>
    <w:rsid w:val="007F4644"/>
    <w:pPr>
      <w:keepNext/>
      <w:outlineLvl w:val="5"/>
    </w:pPr>
    <w:rPr>
      <w:b/>
      <w:i/>
      <w:sz w:val="26"/>
    </w:rPr>
  </w:style>
  <w:style w:type="paragraph" w:styleId="Heading7">
    <w:name w:val="heading 7"/>
    <w:basedOn w:val="Normal"/>
    <w:next w:val="Normal"/>
    <w:qFormat/>
    <w:rsid w:val="007F4644"/>
    <w:pPr>
      <w:keepNext/>
      <w:outlineLvl w:val="6"/>
    </w:pPr>
    <w:rPr>
      <w:b/>
      <w:bCs/>
      <w:i/>
      <w:iCs/>
      <w:sz w:val="26"/>
    </w:rPr>
  </w:style>
  <w:style w:type="paragraph" w:styleId="Heading8">
    <w:name w:val="heading 8"/>
    <w:basedOn w:val="Normal"/>
    <w:next w:val="Normal"/>
    <w:qFormat/>
    <w:rsid w:val="007F4644"/>
    <w:pPr>
      <w:keepNext/>
      <w:jc w:val="both"/>
      <w:outlineLvl w:val="7"/>
    </w:pPr>
    <w:rPr>
      <w:b/>
      <w:sz w:val="32"/>
    </w:rPr>
  </w:style>
  <w:style w:type="paragraph" w:styleId="Heading9">
    <w:name w:val="heading 9"/>
    <w:basedOn w:val="Normal"/>
    <w:next w:val="Normal"/>
    <w:qFormat/>
    <w:rsid w:val="007F4644"/>
    <w:pPr>
      <w:keepNext/>
      <w:jc w:val="both"/>
      <w:outlineLvl w:val="8"/>
    </w:pPr>
    <w:rPr>
      <w:b/>
      <w:sz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semiHidden/>
    <w:rsid w:val="007F4644"/>
    <w:rPr>
      <w:sz w:val="20"/>
    </w:rPr>
  </w:style>
  <w:style w:type="character" w:styleId="FootnoteReference">
    <w:name w:val="footnote reference"/>
    <w:semiHidden/>
    <w:rsid w:val="007F4644"/>
    <w:rPr>
      <w:vertAlign w:val="superscript"/>
    </w:rPr>
  </w:style>
  <w:style w:type="paragraph" w:styleId="BodyText2">
    <w:name w:val="Body Text 2"/>
    <w:basedOn w:val="Normal"/>
    <w:rsid w:val="007F4644"/>
    <w:rPr>
      <w:b/>
    </w:rPr>
  </w:style>
  <w:style w:type="paragraph" w:customStyle="1" w:styleId="JIEnormal-noindent">
    <w:name w:val="JIE normal - no indent"/>
    <w:basedOn w:val="Normal"/>
    <w:rsid w:val="007F4644"/>
    <w:pPr>
      <w:spacing w:line="480" w:lineRule="auto"/>
    </w:pPr>
    <w:rPr>
      <w:rFonts w:ascii="Garamond" w:hAnsi="Garamond"/>
    </w:rPr>
  </w:style>
  <w:style w:type="paragraph" w:customStyle="1" w:styleId="Feature">
    <w:name w:val="Feature"/>
    <w:basedOn w:val="Heading2"/>
    <w:rsid w:val="007F4644"/>
    <w:rPr>
      <w:sz w:val="20"/>
    </w:rPr>
  </w:style>
  <w:style w:type="paragraph" w:styleId="BlockText">
    <w:name w:val="Block Text"/>
    <w:basedOn w:val="Normal"/>
    <w:rsid w:val="007F4644"/>
    <w:pPr>
      <w:ind w:left="720" w:right="720"/>
      <w:jc w:val="both"/>
    </w:pPr>
  </w:style>
  <w:style w:type="paragraph" w:styleId="Footer">
    <w:name w:val="footer"/>
    <w:basedOn w:val="Normal"/>
    <w:rsid w:val="007F4644"/>
    <w:pPr>
      <w:tabs>
        <w:tab w:val="center" w:pos="4320"/>
        <w:tab w:val="right" w:pos="8640"/>
      </w:tabs>
    </w:pPr>
    <w:rPr>
      <w:lang w:val="en-GB"/>
    </w:rPr>
  </w:style>
  <w:style w:type="paragraph" w:styleId="Header">
    <w:name w:val="header"/>
    <w:basedOn w:val="Normal"/>
    <w:rsid w:val="007F4644"/>
    <w:pPr>
      <w:tabs>
        <w:tab w:val="center" w:pos="4320"/>
        <w:tab w:val="right" w:pos="8640"/>
      </w:tabs>
    </w:pPr>
  </w:style>
  <w:style w:type="paragraph" w:styleId="BodyText">
    <w:name w:val="Body Text"/>
    <w:basedOn w:val="Normal"/>
    <w:rsid w:val="007F4644"/>
    <w:pPr>
      <w:jc w:val="center"/>
    </w:pPr>
    <w:rPr>
      <w:b/>
      <w:sz w:val="32"/>
    </w:rPr>
  </w:style>
  <w:style w:type="paragraph" w:customStyle="1" w:styleId="MFAHeading">
    <w:name w:val="MFA Heading"/>
    <w:basedOn w:val="Heading3"/>
    <w:rsid w:val="007F4644"/>
    <w:pPr>
      <w:keepNext w:val="0"/>
      <w:outlineLvl w:val="9"/>
    </w:pPr>
    <w:rPr>
      <w:i w:val="0"/>
      <w:sz w:val="30"/>
    </w:rPr>
  </w:style>
  <w:style w:type="character" w:styleId="PageNumber">
    <w:name w:val="page number"/>
    <w:basedOn w:val="DefaultParagraphFont"/>
    <w:rsid w:val="007F4644"/>
  </w:style>
  <w:style w:type="character" w:styleId="CommentReference">
    <w:name w:val="annotation reference"/>
    <w:semiHidden/>
    <w:rsid w:val="007F4644"/>
    <w:rPr>
      <w:sz w:val="16"/>
    </w:rPr>
  </w:style>
  <w:style w:type="paragraph" w:styleId="CommentText">
    <w:name w:val="annotation text"/>
    <w:basedOn w:val="Normal"/>
    <w:semiHidden/>
    <w:rsid w:val="007F4644"/>
  </w:style>
  <w:style w:type="paragraph" w:styleId="Title">
    <w:name w:val="Title"/>
    <w:basedOn w:val="Normal"/>
    <w:qFormat/>
    <w:rsid w:val="007F4644"/>
    <w:pPr>
      <w:jc w:val="center"/>
    </w:pPr>
    <w:rPr>
      <w:b/>
    </w:rPr>
  </w:style>
  <w:style w:type="paragraph" w:styleId="BodyText3">
    <w:name w:val="Body Text 3"/>
    <w:basedOn w:val="Normal"/>
    <w:rsid w:val="007F4644"/>
    <w:pPr>
      <w:spacing w:line="360" w:lineRule="auto"/>
      <w:jc w:val="both"/>
    </w:pPr>
  </w:style>
  <w:style w:type="paragraph" w:customStyle="1" w:styleId="JIEnormal">
    <w:name w:val="JIE normal"/>
    <w:basedOn w:val="Normal"/>
    <w:rsid w:val="007F4644"/>
    <w:pPr>
      <w:spacing w:line="480" w:lineRule="auto"/>
      <w:ind w:firstLine="720"/>
    </w:pPr>
    <w:rPr>
      <w:rFonts w:ascii="Garamond" w:hAnsi="Garamond"/>
    </w:rPr>
  </w:style>
  <w:style w:type="paragraph" w:customStyle="1" w:styleId="JIEreferencelist">
    <w:name w:val="JIE reference list"/>
    <w:basedOn w:val="Normal"/>
    <w:rsid w:val="007F4644"/>
    <w:pPr>
      <w:spacing w:line="360" w:lineRule="auto"/>
      <w:ind w:left="720" w:hanging="720"/>
    </w:pPr>
    <w:rPr>
      <w:rFonts w:ascii="Garamond" w:hAnsi="Garamond"/>
    </w:rPr>
  </w:style>
  <w:style w:type="character" w:styleId="Hyperlink">
    <w:name w:val="Hyperlink"/>
    <w:rsid w:val="007F4644"/>
    <w:rPr>
      <w:color w:val="0000FF"/>
      <w:u w:val="single"/>
    </w:rPr>
  </w:style>
  <w:style w:type="paragraph" w:customStyle="1" w:styleId="Bibentry2">
    <w:name w:val="Bib entry2"/>
    <w:basedOn w:val="Normal"/>
    <w:rsid w:val="007F4644"/>
    <w:pPr>
      <w:ind w:left="720" w:hanging="720"/>
    </w:pPr>
    <w:rPr>
      <w:szCs w:val="24"/>
    </w:rPr>
  </w:style>
  <w:style w:type="paragraph" w:styleId="BodyTextIndent">
    <w:name w:val="Body Text Indent"/>
    <w:basedOn w:val="Normal"/>
    <w:autoRedefine/>
    <w:rsid w:val="007F4644"/>
    <w:pPr>
      <w:spacing w:before="120" w:after="120" w:line="360" w:lineRule="auto"/>
      <w:ind w:left="720" w:hanging="720"/>
    </w:pPr>
    <w:rPr>
      <w:rFonts w:ascii="Garamond" w:hAnsi="Garamond"/>
    </w:rPr>
  </w:style>
  <w:style w:type="paragraph" w:customStyle="1" w:styleId="Default">
    <w:name w:val="Default"/>
    <w:rsid w:val="007F4644"/>
    <w:pPr>
      <w:autoSpaceDE w:val="0"/>
      <w:autoSpaceDN w:val="0"/>
      <w:adjustRightInd w:val="0"/>
    </w:pPr>
    <w:rPr>
      <w:rFonts w:ascii="Arial" w:eastAsia="Times New Roman" w:hAnsi="Arial" w:cs="Arial"/>
      <w:lang w:val="en-US" w:eastAsia="en-US"/>
    </w:rPr>
  </w:style>
  <w:style w:type="paragraph" w:styleId="BodyTextIndent2">
    <w:name w:val="Body Text Indent 2"/>
    <w:basedOn w:val="Normal"/>
    <w:rsid w:val="007F4644"/>
    <w:pPr>
      <w:autoSpaceDE w:val="0"/>
      <w:autoSpaceDN w:val="0"/>
      <w:adjustRightInd w:val="0"/>
      <w:ind w:left="540"/>
    </w:pPr>
    <w:rPr>
      <w:rFonts w:ascii="Arial" w:eastAsia="Times New Roman" w:hAnsi="Arial" w:cs="Arial"/>
      <w:sz w:val="20"/>
    </w:rPr>
  </w:style>
  <w:style w:type="character" w:styleId="FollowedHyperlink">
    <w:name w:val="FollowedHyperlink"/>
    <w:rsid w:val="007F4644"/>
    <w:rPr>
      <w:color w:val="800080"/>
      <w:u w:val="single"/>
    </w:rPr>
  </w:style>
  <w:style w:type="paragraph" w:styleId="Bibliography">
    <w:name w:val="Bibliography"/>
    <w:basedOn w:val="Normal"/>
    <w:next w:val="Normal"/>
    <w:uiPriority w:val="37"/>
    <w:unhideWhenUsed/>
    <w:rsid w:val="00CD7887"/>
    <w:rPr>
      <w:rFonts w:eastAsia="Times New Roman"/>
    </w:rPr>
  </w:style>
  <w:style w:type="paragraph" w:customStyle="1" w:styleId="SMSubheading">
    <w:name w:val="SM Subheading"/>
    <w:basedOn w:val="Normal"/>
    <w:qFormat/>
    <w:rsid w:val="00CD7887"/>
    <w:rPr>
      <w:rFonts w:eastAsia="Times New Roman"/>
      <w:u w:val="words"/>
    </w:rPr>
  </w:style>
  <w:style w:type="paragraph" w:styleId="NormalWeb">
    <w:name w:val="Normal (Web)"/>
    <w:basedOn w:val="Normal"/>
    <w:uiPriority w:val="99"/>
    <w:rsid w:val="00CD7887"/>
    <w:rPr>
      <w:rFonts w:eastAsia="Times New Roman"/>
      <w:szCs w:val="24"/>
    </w:rPr>
  </w:style>
  <w:style w:type="table" w:customStyle="1" w:styleId="TableGrid1">
    <w:name w:val="Table Grid1"/>
    <w:basedOn w:val="TableNormal"/>
    <w:next w:val="TableGrid"/>
    <w:uiPriority w:val="39"/>
    <w:rsid w:val="00CD788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Table6Colorful5">
    <w:name w:val="List Table 6 Colorful5"/>
    <w:basedOn w:val="TableNormal"/>
    <w:next w:val="ListTable6Colorful"/>
    <w:uiPriority w:val="51"/>
    <w:rsid w:val="00CD7887"/>
    <w:rPr>
      <w:rFonts w:ascii="Calibri" w:eastAsia="Calibri" w:hAnsi="Calibri"/>
      <w:color w:val="000000"/>
      <w:sz w:val="22"/>
      <w:szCs w:val="22"/>
      <w:lang w:eastAsia="en-US"/>
    </w:rPr>
    <w:tblPr>
      <w:tblStyleRowBandSize w:val="1"/>
      <w:tblStyleColBandSize w:val="1"/>
      <w:tblBorders>
        <w:top w:val="single" w:sz="4" w:space="0" w:color="000000"/>
        <w:bottom w:val="single" w:sz="4" w:space="0" w:color="000000"/>
      </w:tblBorders>
    </w:tblPr>
    <w:tblStylePr w:type="firstRow">
      <w:rPr>
        <w:b/>
        <w:bCs/>
      </w:rPr>
      <w:tblPr/>
      <w:tcPr>
        <w:tcBorders>
          <w:bottom w:val="single" w:sz="4" w:space="0" w:color="000000"/>
        </w:tcBorders>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ListTable6Colorful6">
    <w:name w:val="List Table 6 Colorful6"/>
    <w:basedOn w:val="TableNormal"/>
    <w:next w:val="ListTable6Colorful"/>
    <w:uiPriority w:val="51"/>
    <w:rsid w:val="00CD7887"/>
    <w:rPr>
      <w:rFonts w:ascii="Calibri" w:eastAsia="Calibri" w:hAnsi="Calibri"/>
      <w:color w:val="000000"/>
      <w:sz w:val="22"/>
      <w:szCs w:val="22"/>
      <w:lang w:eastAsia="en-US"/>
    </w:rPr>
    <w:tblPr>
      <w:tblStyleRowBandSize w:val="1"/>
      <w:tblStyleColBandSize w:val="1"/>
      <w:tblBorders>
        <w:top w:val="single" w:sz="4" w:space="0" w:color="000000"/>
        <w:bottom w:val="single" w:sz="4" w:space="0" w:color="000000"/>
      </w:tblBorders>
    </w:tblPr>
    <w:tblStylePr w:type="firstRow">
      <w:rPr>
        <w:b/>
        <w:bCs/>
      </w:rPr>
      <w:tblPr/>
      <w:tcPr>
        <w:tcBorders>
          <w:bottom w:val="single" w:sz="4" w:space="0" w:color="000000"/>
        </w:tcBorders>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styleId="TableGrid">
    <w:name w:val="Table Grid"/>
    <w:basedOn w:val="TableNormal"/>
    <w:rsid w:val="00CD78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6Colorful">
    <w:name w:val="List Table 6 Colorful"/>
    <w:basedOn w:val="TableNormal"/>
    <w:uiPriority w:val="49"/>
    <w:rsid w:val="00CD7887"/>
    <w:rPr>
      <w:color w:val="000000"/>
    </w:rPr>
    <w:tblPr>
      <w:tblStyleRowBandSize w:val="1"/>
      <w:tblStyleColBandSize w:val="1"/>
      <w:tblBorders>
        <w:top w:val="single" w:sz="4" w:space="0" w:color="000000"/>
        <w:bottom w:val="single" w:sz="4" w:space="0" w:color="000000"/>
      </w:tblBorders>
    </w:tblPr>
    <w:tblStylePr w:type="firstRow">
      <w:rPr>
        <w:b/>
        <w:bCs/>
      </w:rPr>
      <w:tblPr/>
      <w:tcPr>
        <w:tcBorders>
          <w:bottom w:val="single" w:sz="4" w:space="0" w:color="000000"/>
        </w:tcBorders>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character" w:styleId="LineNumber">
    <w:name w:val="line number"/>
    <w:basedOn w:val="DefaultParagraphFont"/>
    <w:rsid w:val="00CD7887"/>
  </w:style>
  <w:style w:type="paragraph" w:styleId="Revision">
    <w:name w:val="Revision"/>
    <w:hidden/>
    <w:uiPriority w:val="71"/>
    <w:rsid w:val="00C601C3"/>
    <w:rPr>
      <w:sz w:val="24"/>
      <w:lang w:val="en-US" w:eastAsia="en-US"/>
    </w:rPr>
  </w:style>
  <w:style w:type="character" w:styleId="UnresolvedMention">
    <w:name w:val="Unresolved Mention"/>
    <w:uiPriority w:val="99"/>
    <w:semiHidden/>
    <w:unhideWhenUsed/>
    <w:rsid w:val="006D3ED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s://doi.org/10.1021/acs.est.7b05570" TargetMode="External"/><Relationship Id="rId21" Type="http://schemas.openxmlformats.org/officeDocument/2006/relationships/image" Target="file:///C:\Users\sasaelge\OneDrive%20-%20Jyv&#228;skyl&#228;n%20yliopisto\TEAMS\General\Biodiversity%20Footprint%20of%20JYU\Submission\IndustrialEcology\Figure_5.jpg" TargetMode="External"/><Relationship Id="rId42" Type="http://schemas.openxmlformats.org/officeDocument/2006/relationships/hyperlink" Target="https://www2.mst.dk/udgiv/publications/2014/02/978-87-93178-02-1.pdf" TargetMode="External"/><Relationship Id="rId47" Type="http://schemas.openxmlformats.org/officeDocument/2006/relationships/hyperlink" Target="https://doi.org/10.1038/nature11145" TargetMode="External"/><Relationship Id="rId63" Type="http://schemas.openxmlformats.org/officeDocument/2006/relationships/hyperlink" Target="https://doi.org/10.1108/AAAJ-07-2017-3010" TargetMode="External"/><Relationship Id="rId68" Type="http://schemas.openxmlformats.org/officeDocument/2006/relationships/hyperlink" Target="https://doi.org/10.5334/jors.251" TargetMode="External"/><Relationship Id="rId16" Type="http://schemas.openxmlformats.org/officeDocument/2006/relationships/image" Target="media/image6.png"/><Relationship Id="rId11" Type="http://schemas.openxmlformats.org/officeDocument/2006/relationships/image" Target="media/image1.png"/><Relationship Id="rId32" Type="http://schemas.openxmlformats.org/officeDocument/2006/relationships/hyperlink" Target="https://data.europa.eu/doi/10.2760/671368" TargetMode="External"/><Relationship Id="rId37" Type="http://schemas.openxmlformats.org/officeDocument/2006/relationships/hyperlink" Target="https://doi.org/10.5281/zenodo.3553579" TargetMode="External"/><Relationship Id="rId53" Type="http://schemas.openxmlformats.org/officeDocument/2006/relationships/hyperlink" Target="https://doi.org/10.1080/19416520.2013.783668" TargetMode="External"/><Relationship Id="rId58" Type="http://schemas.openxmlformats.org/officeDocument/2006/relationships/hyperlink" Target="https://finlex.fi/api/media/statute-foreign-language-translation/12665/mainPdf/main.pdf?timestamp=2023-01-05T00%3A00%3A00.000Z" TargetMode="External"/><Relationship Id="rId74" Type="http://schemas.openxmlformats.org/officeDocument/2006/relationships/hyperlink" Target="https://doi.org/10.5281/zenodo.6200606.%20Accessed%2012%20April%202023" TargetMode="External"/><Relationship Id="rId79" Type="http://schemas.openxmlformats.org/officeDocument/2006/relationships/header" Target="header1.xml"/><Relationship Id="rId5" Type="http://schemas.openxmlformats.org/officeDocument/2006/relationships/styles" Target="styles.xml"/><Relationship Id="rId61" Type="http://schemas.openxmlformats.org/officeDocument/2006/relationships/hyperlink" Target="https://doi.org/10.5281/zenodo.5101125" TargetMode="External"/><Relationship Id="rId82" Type="http://schemas.openxmlformats.org/officeDocument/2006/relationships/fontTable" Target="fontTable.xml"/><Relationship Id="rId19" Type="http://schemas.openxmlformats.org/officeDocument/2006/relationships/image" Target="media/image9.png"/><Relationship Id="rId14" Type="http://schemas.openxmlformats.org/officeDocument/2006/relationships/image" Target="media/image4.png"/><Relationship Id="rId22" Type="http://schemas.openxmlformats.org/officeDocument/2006/relationships/hyperlink" Target="https://doi.org/10.1016/j.jclepro.2013.11.050" TargetMode="External"/><Relationship Id="rId27" Type="http://schemas.openxmlformats.org/officeDocument/2006/relationships/hyperlink" Target="https://doi.org/10.1016/J.JCLEPRO.2017.10.176" TargetMode="External"/><Relationship Id="rId30" Type="http://schemas.openxmlformats.org/officeDocument/2006/relationships/hyperlink" Target="https://unstats.un.org/unsd/nationalaccount/docs/sna2008.pdf" TargetMode="External"/><Relationship Id="rId35" Type="http://schemas.openxmlformats.org/officeDocument/2006/relationships/hyperlink" Target="https://doi.org/10.1038/s43017-023-00449-2" TargetMode="External"/><Relationship Id="rId43" Type="http://schemas.openxmlformats.org/officeDocument/2006/relationships/hyperlink" Target="https://doi.org/10.5281/zenodo.8369650" TargetMode="External"/><Relationship Id="rId48" Type="http://schemas.openxmlformats.org/officeDocument/2006/relationships/hyperlink" Target="https://doi.org/10.1016/j.jclepro.2016.05.008" TargetMode="External"/><Relationship Id="rId56" Type="http://schemas.openxmlformats.org/officeDocument/2006/relationships/hyperlink" Target="https://statdb.luke.fi/PXWeb/pxweb/en/LUKE/LUKE__04%20Metsa__02%20Rakenne%20ja%20tuotanto__04%20Metsien%20suojelu/11_Etela_suomen_metso_ely.px/?rxid=e17f8ff1-eff4-4052-9566-f3fb8c3ca63a" TargetMode="External"/><Relationship Id="rId64" Type="http://schemas.openxmlformats.org/officeDocument/2006/relationships/hyperlink" Target="https://doi.org/10.4324/9781351282529" TargetMode="External"/><Relationship Id="rId69" Type="http://schemas.openxmlformats.org/officeDocument/2006/relationships/hyperlink" Target="https://pymrio.readthedocs.io/en/latest/" TargetMode="External"/><Relationship Id="rId77" Type="http://schemas.openxmlformats.org/officeDocument/2006/relationships/hyperlink" Target="https://doi.org/10.1038/s41586-024-08569-5" TargetMode="External"/><Relationship Id="rId8" Type="http://schemas.openxmlformats.org/officeDocument/2006/relationships/footnotes" Target="footnotes.xml"/><Relationship Id="rId51" Type="http://schemas.openxmlformats.org/officeDocument/2006/relationships/hyperlink" Target="https://www.emerald.com/insight/content/doi/10.1108/09513579110003277/full/pdf?title=accounting-and-ecological-crisis" TargetMode="External"/><Relationship Id="rId72" Type="http://schemas.openxmlformats.org/officeDocument/2006/relationships/hyperlink" Target="https://doi.org/10.1108/14676371111148018" TargetMode="External"/><Relationship Id="rId80" Type="http://schemas.openxmlformats.org/officeDocument/2006/relationships/footer" Target="footer1.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hyperlink" Target="https://doi.org/10.1111/j.1835-2561.2002.tb00202.x" TargetMode="External"/><Relationship Id="rId33" Type="http://schemas.openxmlformats.org/officeDocument/2006/relationships/hyperlink" Target="https://doi.org/10.1017/9781009157896.009" TargetMode="External"/><Relationship Id="rId38" Type="http://schemas.openxmlformats.org/officeDocument/2006/relationships/hyperlink" Target="https://helda.helsinki.fi/server/api/core/bitstreams/abed1c82-7101-4604-8bac-38b5eb6ee36d/content" TargetMode="External"/><Relationship Id="rId46" Type="http://schemas.openxmlformats.org/officeDocument/2006/relationships/hyperlink" Target="https://doi.org/10.2307/1926294" TargetMode="External"/><Relationship Id="rId59" Type="http://schemas.openxmlformats.org/officeDocument/2006/relationships/hyperlink" Target="https://doi.org/10.1002/bse.3208" TargetMode="External"/><Relationship Id="rId67" Type="http://schemas.openxmlformats.org/officeDocument/2006/relationships/hyperlink" Target="https://doi.org/10.22004/AG.ECON.292328" TargetMode="External"/><Relationship Id="rId20" Type="http://schemas.openxmlformats.org/officeDocument/2006/relationships/image" Target="media/image10.jpeg"/><Relationship Id="rId41" Type="http://schemas.openxmlformats.org/officeDocument/2006/relationships/hyperlink" Target="https://doi.org/10.1016/j.jclepro.2015.06.04" TargetMode="External"/><Relationship Id="rId54" Type="http://schemas.openxmlformats.org/officeDocument/2006/relationships/hyperlink" Target="https://doi.org/10.1006/mare.1996.0007" TargetMode="External"/><Relationship Id="rId62" Type="http://schemas.openxmlformats.org/officeDocument/2006/relationships/hyperlink" Target="https://doi.org/10.1111/ele.13999" TargetMode="External"/><Relationship Id="rId70" Type="http://schemas.openxmlformats.org/officeDocument/2006/relationships/hyperlink" Target="https://doi.org/10.1111/jiec.12715" TargetMode="External"/><Relationship Id="rId75" Type="http://schemas.openxmlformats.org/officeDocument/2006/relationships/hyperlink" Target="https://doi.org/10.1111/jiec.13018" TargetMode="External"/><Relationship Id="rId83"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image" Target="media/image5.png"/><Relationship Id="rId23" Type="http://schemas.openxmlformats.org/officeDocument/2006/relationships/hyperlink" Target="https://doi.org/10.1016/j.jclepro.2015.07.068" TargetMode="External"/><Relationship Id="rId28" Type="http://schemas.openxmlformats.org/officeDocument/2006/relationships/hyperlink" Target="https://doi.org/10.1016/j.eiar.2023.107134" TargetMode="External"/><Relationship Id="rId36" Type="http://schemas.openxmlformats.org/officeDocument/2006/relationships/hyperlink" Target="https://doi.org/10.1016/j.ecoser.2020.101104" TargetMode="External"/><Relationship Id="rId49" Type="http://schemas.openxmlformats.org/officeDocument/2006/relationships/hyperlink" Target="https://doi.org/10.1038/s41559-019-0824-3" TargetMode="External"/><Relationship Id="rId57" Type="http://schemas.openxmlformats.org/officeDocument/2006/relationships/hyperlink" Target="https://doi.org/10.1007/978-94-017-7610-3_6" TargetMode="External"/><Relationship Id="rId10" Type="http://schemas.openxmlformats.org/officeDocument/2006/relationships/hyperlink" Target="mailto:sami.s.elgeneidy@jyu.fi" TargetMode="External"/><Relationship Id="rId31" Type="http://schemas.openxmlformats.org/officeDocument/2006/relationships/hyperlink" Target="https://ec.europa.eu/eurostat/documents/3859598/5902521/KS-RA-07-015-EN.PDF.pdf/dd5443f5-b886-40e4-920d-9df03590ff91?t=1414781457000" TargetMode="External"/><Relationship Id="rId44" Type="http://schemas.openxmlformats.org/officeDocument/2006/relationships/hyperlink" Target="https://doi.org/10.3390/resources2040489" TargetMode="External"/><Relationship Id="rId52" Type="http://schemas.openxmlformats.org/officeDocument/2006/relationships/hyperlink" Target="https://doi.org/10.1016/j.cosust.2018.01.005" TargetMode="External"/><Relationship Id="rId60" Type="http://schemas.openxmlformats.org/officeDocument/2006/relationships/hyperlink" Target="https://doi.org/10.1108/SAMPJ-01-2019-003" TargetMode="External"/><Relationship Id="rId65" Type="http://schemas.openxmlformats.org/officeDocument/2006/relationships/hyperlink" Target="https://www2.mst.dk/Udgiv/publications/2016/05/978-87-93435-75-9.pdf" TargetMode="External"/><Relationship Id="rId73" Type="http://schemas.openxmlformats.org/officeDocument/2006/relationships/hyperlink" Target="https://doi.org/10.1515/ael-2018-0037" TargetMode="External"/><Relationship Id="rId78" Type="http://schemas.openxmlformats.org/officeDocument/2006/relationships/hyperlink" Target="https://www.worldbank.org/en/research/brief/inflation-database" TargetMode="External"/><Relationship Id="rId81" Type="http://schemas.openxmlformats.org/officeDocument/2006/relationships/header" Target="header2.xml"/><Relationship Id="rId4" Type="http://schemas.openxmlformats.org/officeDocument/2006/relationships/numbering" Target="numbering.xml"/><Relationship Id="rId9" Type="http://schemas.openxmlformats.org/officeDocument/2006/relationships/endnotes" Target="endnotes.xml"/><Relationship Id="rId13" Type="http://schemas.openxmlformats.org/officeDocument/2006/relationships/image" Target="media/image3.png"/><Relationship Id="rId18" Type="http://schemas.openxmlformats.org/officeDocument/2006/relationships/image" Target="media/image8.png"/><Relationship Id="rId39" Type="http://schemas.openxmlformats.org/officeDocument/2006/relationships/hyperlink" Target="https://doi.org/10.64898/2026.01.26.701764" TargetMode="External"/><Relationship Id="rId34" Type="http://schemas.openxmlformats.org/officeDocument/2006/relationships/hyperlink" Target="https://doi.org/10.1016/0361-3682(92)90038-T" TargetMode="External"/><Relationship Id="rId50" Type="http://schemas.openxmlformats.org/officeDocument/2006/relationships/hyperlink" Target="https://doi.org/10.1016/j.ecolecon.2014.04.010" TargetMode="External"/><Relationship Id="rId55" Type="http://schemas.openxmlformats.org/officeDocument/2006/relationships/hyperlink" Target="https://doi.org/10.1016/j.biocon.2018.09.002" TargetMode="External"/><Relationship Id="rId76" Type="http://schemas.openxmlformats.org/officeDocument/2006/relationships/hyperlink" Target="https://doi.org/10.1007/s11367-016-1087-8" TargetMode="External"/><Relationship Id="rId7" Type="http://schemas.openxmlformats.org/officeDocument/2006/relationships/webSettings" Target="webSettings.xml"/><Relationship Id="rId71" Type="http://schemas.openxmlformats.org/officeDocument/2006/relationships/hyperlink" Target="https://doi.org/10.5281/zenodo.3583070" TargetMode="External"/><Relationship Id="rId2" Type="http://schemas.openxmlformats.org/officeDocument/2006/relationships/customXml" Target="../customXml/item2.xml"/><Relationship Id="rId29" Type="http://schemas.openxmlformats.org/officeDocument/2006/relationships/hyperlink" Target="https://doi.org/10.1016/j.eiar.2021.106645" TargetMode="External"/><Relationship Id="rId24" Type="http://schemas.openxmlformats.org/officeDocument/2006/relationships/hyperlink" Target="https://doi.org/10.1016/0361-3682(80)90017-3" TargetMode="External"/><Relationship Id="rId40" Type="http://schemas.openxmlformats.org/officeDocument/2006/relationships/hyperlink" Target="https://doi.org/10.1016/S0959-6526(02)00107-5" TargetMode="External"/><Relationship Id="rId45" Type="http://schemas.openxmlformats.org/officeDocument/2006/relationships/hyperlink" Target="https://doi.org/10.1016/j.jclepro.2011.10.007" TargetMode="External"/><Relationship Id="rId66" Type="http://schemas.openxmlformats.org/officeDocument/2006/relationships/hyperlink" Target="https://doi.org/10.1111/gcb.1610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90bcae75-bba1-49c8-9049-7259276ee186">
      <Terms xmlns="http://schemas.microsoft.com/office/infopath/2007/PartnerControls"/>
    </lcf76f155ced4ddcb4097134ff3c332f>
    <_ip_UnifiedCompliancePolicyProperties xmlns="http://schemas.microsoft.com/sharepoint/v3" xsi:nil="true"/>
    <TaxCatchAll xmlns="254648af-a6c6-44c4-9c4e-8d5bd8013525" xsi:nil="true"/>
  </documentManagement>
</p:properties>
</file>

<file path=customXml/item3.xml><?xml version="1.0" encoding="utf-8"?>
<ct:contentTypeSchema xmlns:ct="http://schemas.microsoft.com/office/2006/metadata/contentType" xmlns:ma="http://schemas.microsoft.com/office/2006/metadata/properties/metaAttributes" ct:_="" ma:_="" ma:contentTypeName="Asiakirja" ma:contentTypeID="0x010100BC15B5508B2CD843B3F014368F211506" ma:contentTypeVersion="19" ma:contentTypeDescription="Luo uusi asiakirja." ma:contentTypeScope="" ma:versionID="f009ee0bfef0965641d0128262226201">
  <xsd:schema xmlns:xsd="http://www.w3.org/2001/XMLSchema" xmlns:xs="http://www.w3.org/2001/XMLSchema" xmlns:p="http://schemas.microsoft.com/office/2006/metadata/properties" xmlns:ns1="http://schemas.microsoft.com/sharepoint/v3" xmlns:ns2="90bcae75-bba1-49c8-9049-7259276ee186" xmlns:ns3="254648af-a6c6-44c4-9c4e-8d5bd8013525" targetNamespace="http://schemas.microsoft.com/office/2006/metadata/properties" ma:root="true" ma:fieldsID="7837c1e99e804a64efad99a4254779c4" ns1:_="" ns2:_="" ns3:_="">
    <xsd:import namespace="http://schemas.microsoft.com/sharepoint/v3"/>
    <xsd:import namespace="90bcae75-bba1-49c8-9049-7259276ee186"/>
    <xsd:import namespace="254648af-a6c6-44c4-9c4e-8d5bd801352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SearchProperties" minOccurs="0"/>
                <xsd:element ref="ns2:MediaLengthInSeconds" minOccurs="0"/>
                <xsd:element ref="ns1:_ip_UnifiedCompliancePolicyProperties" minOccurs="0"/>
                <xsd:element ref="ns1:_ip_UnifiedCompliancePolicyUIActio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4" nillable="true" ma:displayName="Yhtenäisen yhteensopivuuskäytännön ominaisuudet" ma:hidden="true" ma:internalName="_ip_UnifiedCompliancePolicyProperties">
      <xsd:simpleType>
        <xsd:restriction base="dms:Note"/>
      </xsd:simpleType>
    </xsd:element>
    <xsd:element name="_ip_UnifiedCompliancePolicyUIAction" ma:index="25" nillable="true" ma:displayName="Yhtenäisen yhteensopivuuskäytännön käyttöliittymän toiminto"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0bcae75-bba1-49c8-9049-7259276ee18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lcf76f155ced4ddcb4097134ff3c332f" ma:index="16" nillable="true" ma:taxonomy="true" ma:internalName="lcf76f155ced4ddcb4097134ff3c332f" ma:taxonomyFieldName="MediaServiceImageTags" ma:displayName="Kuvien tunnisteet" ma:readOnly="false" ma:fieldId="{5cf76f15-5ced-4ddc-b409-7134ff3c332f}" ma:taxonomyMulti="true" ma:sspId="ba830b52-6d58-45b3-9899-c4752b5a1b5a"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LengthInSeconds" ma:index="23" nillable="true" ma:displayName="MediaLengthInSeconds" ma:hidden="true" ma:internalName="MediaLengthInSeconds" ma:readOnly="true">
      <xsd:simpleType>
        <xsd:restriction base="dms:Unknown"/>
      </xsd:simpleType>
    </xsd:element>
    <xsd:element name="MediaServiceLocation" ma:index="26"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54648af-a6c6-44c4-9c4e-8d5bd8013525" elementFormDefault="qualified">
    <xsd:import namespace="http://schemas.microsoft.com/office/2006/documentManagement/types"/>
    <xsd:import namespace="http://schemas.microsoft.com/office/infopath/2007/PartnerControls"/>
    <xsd:element name="SharedWithUsers" ma:index="12" nillable="true" ma:displayName="Jaett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Jakamisen tiedot" ma:internalName="SharedWithDetails" ma:readOnly="true">
      <xsd:simpleType>
        <xsd:restriction base="dms:Note">
          <xsd:maxLength value="255"/>
        </xsd:restriction>
      </xsd:simpleType>
    </xsd:element>
    <xsd:element name="TaxCatchAll" ma:index="17" nillable="true" ma:displayName="Taxonomy Catch All Column" ma:hidden="true" ma:list="{c70c885f-e245-47fa-a64c-7c47f3ef3234}" ma:internalName="TaxCatchAll" ma:showField="CatchAllData" ma:web="254648af-a6c6-44c4-9c4e-8d5bd801352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ältölaji"/>
        <xsd:element ref="dc:title" minOccurs="0" maxOccurs="1" ma:index="4" ma:displayName="Otsikk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65F69D8-8896-4F53-8D3E-CD5B97818961}">
  <ds:schemaRefs>
    <ds:schemaRef ds:uri="http://schemas.microsoft.com/sharepoint/v3/contenttype/forms"/>
  </ds:schemaRefs>
</ds:datastoreItem>
</file>

<file path=customXml/itemProps2.xml><?xml version="1.0" encoding="utf-8"?>
<ds:datastoreItem xmlns:ds="http://schemas.openxmlformats.org/officeDocument/2006/customXml" ds:itemID="{56FEC3F2-CDBD-4205-85A1-EA271E9C5848}">
  <ds:schemaRefs>
    <ds:schemaRef ds:uri="http://schemas.microsoft.com/office/2006/metadata/properties"/>
    <ds:schemaRef ds:uri="http://schemas.microsoft.com/office/infopath/2007/PartnerControls"/>
    <ds:schemaRef ds:uri="http://schemas.microsoft.com/sharepoint/v3"/>
    <ds:schemaRef ds:uri="90bcae75-bba1-49c8-9049-7259276ee186"/>
    <ds:schemaRef ds:uri="254648af-a6c6-44c4-9c4e-8d5bd8013525"/>
  </ds:schemaRefs>
</ds:datastoreItem>
</file>

<file path=customXml/itemProps3.xml><?xml version="1.0" encoding="utf-8"?>
<ds:datastoreItem xmlns:ds="http://schemas.openxmlformats.org/officeDocument/2006/customXml" ds:itemID="{DFC2D430-93E3-4EBC-A5E2-6091666DCE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0bcae75-bba1-49c8-9049-7259276ee186"/>
    <ds:schemaRef ds:uri="254648af-a6c6-44c4-9c4e-8d5bd801352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c167213-36fa-43ce-a5b8-f5dde8fe5ad3}" enabled="1" method="Standard" siteId="{e9662d58-caa4-4bc1-b138-c8b1acab5a11}" removed="0"/>
</clbl:labelList>
</file>

<file path=docProps/app.xml><?xml version="1.0" encoding="utf-8"?>
<Properties xmlns="http://schemas.openxmlformats.org/officeDocument/2006/extended-properties" xmlns:vt="http://schemas.openxmlformats.org/officeDocument/2006/docPropsVTypes">
  <Template>Normal.dotm</Template>
  <TotalTime>138</TotalTime>
  <Pages>19</Pages>
  <Words>6313</Words>
  <Characters>51137</Characters>
  <Application>Microsoft Office Word</Application>
  <DocSecurity>0</DocSecurity>
  <Lines>426</Lines>
  <Paragraphs>114</Paragraphs>
  <ScaleCrop>false</ScaleCrop>
  <HeadingPairs>
    <vt:vector size="2" baseType="variant">
      <vt:variant>
        <vt:lpstr>Title</vt:lpstr>
      </vt:variant>
      <vt:variant>
        <vt:i4>1</vt:i4>
      </vt:variant>
    </vt:vector>
  </HeadingPairs>
  <TitlesOfParts>
    <vt:vector size="1" baseType="lpstr">
      <vt:lpstr>Application of Physical Economy Approaches</vt:lpstr>
    </vt:vector>
  </TitlesOfParts>
  <Company>Griffith University</Company>
  <LinksUpToDate>false</LinksUpToDate>
  <CharactersWithSpaces>57336</CharactersWithSpaces>
  <SharedDoc>false</SharedDoc>
  <HLinks>
    <vt:vector size="216" baseType="variant">
      <vt:variant>
        <vt:i4>8257654</vt:i4>
      </vt:variant>
      <vt:variant>
        <vt:i4>105</vt:i4>
      </vt:variant>
      <vt:variant>
        <vt:i4>0</vt:i4>
      </vt:variant>
      <vt:variant>
        <vt:i4>5</vt:i4>
      </vt:variant>
      <vt:variant>
        <vt:lpwstr>https://www.worldbank.org/en/research/brief/inflation-database</vt:lpwstr>
      </vt:variant>
      <vt:variant>
        <vt:lpwstr/>
      </vt:variant>
      <vt:variant>
        <vt:i4>2752569</vt:i4>
      </vt:variant>
      <vt:variant>
        <vt:i4>102</vt:i4>
      </vt:variant>
      <vt:variant>
        <vt:i4>0</vt:i4>
      </vt:variant>
      <vt:variant>
        <vt:i4>5</vt:i4>
      </vt:variant>
      <vt:variant>
        <vt:lpwstr>https://doi.org/10.1038/s41586-024-08569-5</vt:lpwstr>
      </vt:variant>
      <vt:variant>
        <vt:lpwstr/>
      </vt:variant>
      <vt:variant>
        <vt:i4>262175</vt:i4>
      </vt:variant>
      <vt:variant>
        <vt:i4>99</vt:i4>
      </vt:variant>
      <vt:variant>
        <vt:i4>0</vt:i4>
      </vt:variant>
      <vt:variant>
        <vt:i4>5</vt:i4>
      </vt:variant>
      <vt:variant>
        <vt:lpwstr>https://doi.org/10.1007/s11367-016-1087-8</vt:lpwstr>
      </vt:variant>
      <vt:variant>
        <vt:lpwstr/>
      </vt:variant>
      <vt:variant>
        <vt:i4>2162809</vt:i4>
      </vt:variant>
      <vt:variant>
        <vt:i4>96</vt:i4>
      </vt:variant>
      <vt:variant>
        <vt:i4>0</vt:i4>
      </vt:variant>
      <vt:variant>
        <vt:i4>5</vt:i4>
      </vt:variant>
      <vt:variant>
        <vt:lpwstr>https://doi.org/10.1111/jiec.13018</vt:lpwstr>
      </vt:variant>
      <vt:variant>
        <vt:lpwstr/>
      </vt:variant>
      <vt:variant>
        <vt:i4>6684770</vt:i4>
      </vt:variant>
      <vt:variant>
        <vt:i4>93</vt:i4>
      </vt:variant>
      <vt:variant>
        <vt:i4>0</vt:i4>
      </vt:variant>
      <vt:variant>
        <vt:i4>5</vt:i4>
      </vt:variant>
      <vt:variant>
        <vt:lpwstr>https://doi.org/10.5281/zenodo.6200606. Accessed 12 April 2023</vt:lpwstr>
      </vt:variant>
      <vt:variant>
        <vt:lpwstr/>
      </vt:variant>
      <vt:variant>
        <vt:i4>7405622</vt:i4>
      </vt:variant>
      <vt:variant>
        <vt:i4>90</vt:i4>
      </vt:variant>
      <vt:variant>
        <vt:i4>0</vt:i4>
      </vt:variant>
      <vt:variant>
        <vt:i4>5</vt:i4>
      </vt:variant>
      <vt:variant>
        <vt:lpwstr>https://doi.org/10.5281/zenodo.3583070</vt:lpwstr>
      </vt:variant>
      <vt:variant>
        <vt:lpwstr/>
      </vt:variant>
      <vt:variant>
        <vt:i4>2818168</vt:i4>
      </vt:variant>
      <vt:variant>
        <vt:i4>87</vt:i4>
      </vt:variant>
      <vt:variant>
        <vt:i4>0</vt:i4>
      </vt:variant>
      <vt:variant>
        <vt:i4>5</vt:i4>
      </vt:variant>
      <vt:variant>
        <vt:lpwstr>https://doi.org/10.1111/jiec.12715</vt:lpwstr>
      </vt:variant>
      <vt:variant>
        <vt:lpwstr/>
      </vt:variant>
      <vt:variant>
        <vt:i4>458767</vt:i4>
      </vt:variant>
      <vt:variant>
        <vt:i4>84</vt:i4>
      </vt:variant>
      <vt:variant>
        <vt:i4>0</vt:i4>
      </vt:variant>
      <vt:variant>
        <vt:i4>5</vt:i4>
      </vt:variant>
      <vt:variant>
        <vt:lpwstr>https://pymrio.readthedocs.io/en/latest/</vt:lpwstr>
      </vt:variant>
      <vt:variant>
        <vt:lpwstr/>
      </vt:variant>
      <vt:variant>
        <vt:i4>720990</vt:i4>
      </vt:variant>
      <vt:variant>
        <vt:i4>81</vt:i4>
      </vt:variant>
      <vt:variant>
        <vt:i4>0</vt:i4>
      </vt:variant>
      <vt:variant>
        <vt:i4>5</vt:i4>
      </vt:variant>
      <vt:variant>
        <vt:lpwstr>https://doi.org/10.5334/jors.251</vt:lpwstr>
      </vt:variant>
      <vt:variant>
        <vt:lpwstr/>
      </vt:variant>
      <vt:variant>
        <vt:i4>8060990</vt:i4>
      </vt:variant>
      <vt:variant>
        <vt:i4>78</vt:i4>
      </vt:variant>
      <vt:variant>
        <vt:i4>0</vt:i4>
      </vt:variant>
      <vt:variant>
        <vt:i4>5</vt:i4>
      </vt:variant>
      <vt:variant>
        <vt:lpwstr>https://doi.org/10.22004/AG.ECON.292328</vt:lpwstr>
      </vt:variant>
      <vt:variant>
        <vt:lpwstr/>
      </vt:variant>
      <vt:variant>
        <vt:i4>5832799</vt:i4>
      </vt:variant>
      <vt:variant>
        <vt:i4>75</vt:i4>
      </vt:variant>
      <vt:variant>
        <vt:i4>0</vt:i4>
      </vt:variant>
      <vt:variant>
        <vt:i4>5</vt:i4>
      </vt:variant>
      <vt:variant>
        <vt:lpwstr>https://doi.org/10.1111/gcb.16109</vt:lpwstr>
      </vt:variant>
      <vt:variant>
        <vt:lpwstr/>
      </vt:variant>
      <vt:variant>
        <vt:i4>5898322</vt:i4>
      </vt:variant>
      <vt:variant>
        <vt:i4>72</vt:i4>
      </vt:variant>
      <vt:variant>
        <vt:i4>0</vt:i4>
      </vt:variant>
      <vt:variant>
        <vt:i4>5</vt:i4>
      </vt:variant>
      <vt:variant>
        <vt:lpwstr>https://doi.org/10.1111/ele.13999</vt:lpwstr>
      </vt:variant>
      <vt:variant>
        <vt:lpwstr/>
      </vt:variant>
      <vt:variant>
        <vt:i4>8060981</vt:i4>
      </vt:variant>
      <vt:variant>
        <vt:i4>69</vt:i4>
      </vt:variant>
      <vt:variant>
        <vt:i4>0</vt:i4>
      </vt:variant>
      <vt:variant>
        <vt:i4>5</vt:i4>
      </vt:variant>
      <vt:variant>
        <vt:lpwstr>https://doi.org/10.5281/zenodo.5101125</vt:lpwstr>
      </vt:variant>
      <vt:variant>
        <vt:lpwstr/>
      </vt:variant>
      <vt:variant>
        <vt:i4>3342448</vt:i4>
      </vt:variant>
      <vt:variant>
        <vt:i4>66</vt:i4>
      </vt:variant>
      <vt:variant>
        <vt:i4>0</vt:i4>
      </vt:variant>
      <vt:variant>
        <vt:i4>5</vt:i4>
      </vt:variant>
      <vt:variant>
        <vt:lpwstr>https://finlex.fi/api/media/statute-foreign-language-translation/12665/mainPdf/main.pdf?timestamp=2023-01-05T00%3A00%3A00.000Z</vt:lpwstr>
      </vt:variant>
      <vt:variant>
        <vt:lpwstr/>
      </vt:variant>
      <vt:variant>
        <vt:i4>5111905</vt:i4>
      </vt:variant>
      <vt:variant>
        <vt:i4>63</vt:i4>
      </vt:variant>
      <vt:variant>
        <vt:i4>0</vt:i4>
      </vt:variant>
      <vt:variant>
        <vt:i4>5</vt:i4>
      </vt:variant>
      <vt:variant>
        <vt:lpwstr>https://doi.org/10.1007/978-94-017-7610-3_6</vt:lpwstr>
      </vt:variant>
      <vt:variant>
        <vt:lpwstr/>
      </vt:variant>
      <vt:variant>
        <vt:i4>4063341</vt:i4>
      </vt:variant>
      <vt:variant>
        <vt:i4>60</vt:i4>
      </vt:variant>
      <vt:variant>
        <vt:i4>0</vt:i4>
      </vt:variant>
      <vt:variant>
        <vt:i4>5</vt:i4>
      </vt:variant>
      <vt:variant>
        <vt:lpwstr>https://statdb.luke.fi/PXWeb/pxweb/en/LUKE/LUKE__04 Metsa__02 Rakenne ja tuotanto__04 Metsien suojelu/11_Etela_suomen_metso_ely.px/?rxid=e17f8ff1-eff4-4052-9566-f3fb8c3ca63a</vt:lpwstr>
      </vt:variant>
      <vt:variant>
        <vt:lpwstr/>
      </vt:variant>
      <vt:variant>
        <vt:i4>5111900</vt:i4>
      </vt:variant>
      <vt:variant>
        <vt:i4>57</vt:i4>
      </vt:variant>
      <vt:variant>
        <vt:i4>0</vt:i4>
      </vt:variant>
      <vt:variant>
        <vt:i4>5</vt:i4>
      </vt:variant>
      <vt:variant>
        <vt:lpwstr>https://doi.org/10.1016/j.biocon.2018.09.002</vt:lpwstr>
      </vt:variant>
      <vt:variant>
        <vt:lpwstr/>
      </vt:variant>
      <vt:variant>
        <vt:i4>4915293</vt:i4>
      </vt:variant>
      <vt:variant>
        <vt:i4>54</vt:i4>
      </vt:variant>
      <vt:variant>
        <vt:i4>0</vt:i4>
      </vt:variant>
      <vt:variant>
        <vt:i4>5</vt:i4>
      </vt:variant>
      <vt:variant>
        <vt:lpwstr>https://doi.org/10.1016/j.cosust.2018.01.005</vt:lpwstr>
      </vt:variant>
      <vt:variant>
        <vt:lpwstr/>
      </vt:variant>
      <vt:variant>
        <vt:i4>917528</vt:i4>
      </vt:variant>
      <vt:variant>
        <vt:i4>51</vt:i4>
      </vt:variant>
      <vt:variant>
        <vt:i4>0</vt:i4>
      </vt:variant>
      <vt:variant>
        <vt:i4>5</vt:i4>
      </vt:variant>
      <vt:variant>
        <vt:lpwstr>https://doi.org/10.1038/s41559-019-0824-3</vt:lpwstr>
      </vt:variant>
      <vt:variant>
        <vt:lpwstr/>
      </vt:variant>
      <vt:variant>
        <vt:i4>6553658</vt:i4>
      </vt:variant>
      <vt:variant>
        <vt:i4>48</vt:i4>
      </vt:variant>
      <vt:variant>
        <vt:i4>0</vt:i4>
      </vt:variant>
      <vt:variant>
        <vt:i4>5</vt:i4>
      </vt:variant>
      <vt:variant>
        <vt:lpwstr>https://doi.org/10.1038/nature11145</vt:lpwstr>
      </vt:variant>
      <vt:variant>
        <vt:lpwstr/>
      </vt:variant>
      <vt:variant>
        <vt:i4>2490479</vt:i4>
      </vt:variant>
      <vt:variant>
        <vt:i4>45</vt:i4>
      </vt:variant>
      <vt:variant>
        <vt:i4>0</vt:i4>
      </vt:variant>
      <vt:variant>
        <vt:i4>5</vt:i4>
      </vt:variant>
      <vt:variant>
        <vt:lpwstr>https://doi.org/10.2307/1926294</vt:lpwstr>
      </vt:variant>
      <vt:variant>
        <vt:lpwstr/>
      </vt:variant>
      <vt:variant>
        <vt:i4>4718594</vt:i4>
      </vt:variant>
      <vt:variant>
        <vt:i4>42</vt:i4>
      </vt:variant>
      <vt:variant>
        <vt:i4>0</vt:i4>
      </vt:variant>
      <vt:variant>
        <vt:i4>5</vt:i4>
      </vt:variant>
      <vt:variant>
        <vt:lpwstr>https://doi.org/10.1016/j.jclepro.2011.10.007</vt:lpwstr>
      </vt:variant>
      <vt:variant>
        <vt:lpwstr/>
      </vt:variant>
      <vt:variant>
        <vt:i4>917509</vt:i4>
      </vt:variant>
      <vt:variant>
        <vt:i4>39</vt:i4>
      </vt:variant>
      <vt:variant>
        <vt:i4>0</vt:i4>
      </vt:variant>
      <vt:variant>
        <vt:i4>5</vt:i4>
      </vt:variant>
      <vt:variant>
        <vt:lpwstr>https://doi.org/10.3390/resources2040489</vt:lpwstr>
      </vt:variant>
      <vt:variant>
        <vt:lpwstr/>
      </vt:variant>
      <vt:variant>
        <vt:i4>7471160</vt:i4>
      </vt:variant>
      <vt:variant>
        <vt:i4>36</vt:i4>
      </vt:variant>
      <vt:variant>
        <vt:i4>0</vt:i4>
      </vt:variant>
      <vt:variant>
        <vt:i4>5</vt:i4>
      </vt:variant>
      <vt:variant>
        <vt:lpwstr>https://doi.org/10.5281/zenodo.8369650</vt:lpwstr>
      </vt:variant>
      <vt:variant>
        <vt:lpwstr/>
      </vt:variant>
      <vt:variant>
        <vt:i4>4718593</vt:i4>
      </vt:variant>
      <vt:variant>
        <vt:i4>33</vt:i4>
      </vt:variant>
      <vt:variant>
        <vt:i4>0</vt:i4>
      </vt:variant>
      <vt:variant>
        <vt:i4>5</vt:i4>
      </vt:variant>
      <vt:variant>
        <vt:lpwstr>https://helda.helsinki.fi/server/api/core/bitstreams/abed1c82-7101-4604-8bac-38b5eb6ee36d/content</vt:lpwstr>
      </vt:variant>
      <vt:variant>
        <vt:lpwstr/>
      </vt:variant>
      <vt:variant>
        <vt:i4>7340086</vt:i4>
      </vt:variant>
      <vt:variant>
        <vt:i4>30</vt:i4>
      </vt:variant>
      <vt:variant>
        <vt:i4>0</vt:i4>
      </vt:variant>
      <vt:variant>
        <vt:i4>5</vt:i4>
      </vt:variant>
      <vt:variant>
        <vt:lpwstr>https://doi.org/10.5281/zenodo.3553579</vt:lpwstr>
      </vt:variant>
      <vt:variant>
        <vt:lpwstr/>
      </vt:variant>
      <vt:variant>
        <vt:i4>3080248</vt:i4>
      </vt:variant>
      <vt:variant>
        <vt:i4>27</vt:i4>
      </vt:variant>
      <vt:variant>
        <vt:i4>0</vt:i4>
      </vt:variant>
      <vt:variant>
        <vt:i4>5</vt:i4>
      </vt:variant>
      <vt:variant>
        <vt:lpwstr>https://doi.org/10.1038/s43017-023-00449-2</vt:lpwstr>
      </vt:variant>
      <vt:variant>
        <vt:lpwstr/>
      </vt:variant>
      <vt:variant>
        <vt:i4>327774</vt:i4>
      </vt:variant>
      <vt:variant>
        <vt:i4>24</vt:i4>
      </vt:variant>
      <vt:variant>
        <vt:i4>0</vt:i4>
      </vt:variant>
      <vt:variant>
        <vt:i4>5</vt:i4>
      </vt:variant>
      <vt:variant>
        <vt:lpwstr>https://doi.org/10.1017/9781009157896.009</vt:lpwstr>
      </vt:variant>
      <vt:variant>
        <vt:lpwstr/>
      </vt:variant>
      <vt:variant>
        <vt:i4>589840</vt:i4>
      </vt:variant>
      <vt:variant>
        <vt:i4>21</vt:i4>
      </vt:variant>
      <vt:variant>
        <vt:i4>0</vt:i4>
      </vt:variant>
      <vt:variant>
        <vt:i4>5</vt:i4>
      </vt:variant>
      <vt:variant>
        <vt:lpwstr>https://data.europa.eu/doi/10.2760/671368</vt:lpwstr>
      </vt:variant>
      <vt:variant>
        <vt:lpwstr/>
      </vt:variant>
      <vt:variant>
        <vt:i4>5570588</vt:i4>
      </vt:variant>
      <vt:variant>
        <vt:i4>18</vt:i4>
      </vt:variant>
      <vt:variant>
        <vt:i4>0</vt:i4>
      </vt:variant>
      <vt:variant>
        <vt:i4>5</vt:i4>
      </vt:variant>
      <vt:variant>
        <vt:lpwstr>https://ec.europa.eu/eurostat/documents/3859598/5902521/KS-RA-07-015-EN.PDF.pdf/dd5443f5-b886-40e4-920d-9df03590ff91?t=1414781457000</vt:lpwstr>
      </vt:variant>
      <vt:variant>
        <vt:lpwstr/>
      </vt:variant>
      <vt:variant>
        <vt:i4>4784193</vt:i4>
      </vt:variant>
      <vt:variant>
        <vt:i4>15</vt:i4>
      </vt:variant>
      <vt:variant>
        <vt:i4>0</vt:i4>
      </vt:variant>
      <vt:variant>
        <vt:i4>5</vt:i4>
      </vt:variant>
      <vt:variant>
        <vt:lpwstr>https://unstats.un.org/unsd/nationalaccount/docs/sna2008.pdf</vt:lpwstr>
      </vt:variant>
      <vt:variant>
        <vt:lpwstr/>
      </vt:variant>
      <vt:variant>
        <vt:i4>3801134</vt:i4>
      </vt:variant>
      <vt:variant>
        <vt:i4>12</vt:i4>
      </vt:variant>
      <vt:variant>
        <vt:i4>0</vt:i4>
      </vt:variant>
      <vt:variant>
        <vt:i4>5</vt:i4>
      </vt:variant>
      <vt:variant>
        <vt:lpwstr>https://doi.org/10.1016/j.eiar.2021.106645</vt:lpwstr>
      </vt:variant>
      <vt:variant>
        <vt:lpwstr/>
      </vt:variant>
      <vt:variant>
        <vt:i4>3932202</vt:i4>
      </vt:variant>
      <vt:variant>
        <vt:i4>9</vt:i4>
      </vt:variant>
      <vt:variant>
        <vt:i4>0</vt:i4>
      </vt:variant>
      <vt:variant>
        <vt:i4>5</vt:i4>
      </vt:variant>
      <vt:variant>
        <vt:lpwstr>https://doi.org/10.1016/j.eiar.2023.107134</vt:lpwstr>
      </vt:variant>
      <vt:variant>
        <vt:lpwstr/>
      </vt:variant>
      <vt:variant>
        <vt:i4>4784131</vt:i4>
      </vt:variant>
      <vt:variant>
        <vt:i4>6</vt:i4>
      </vt:variant>
      <vt:variant>
        <vt:i4>0</vt:i4>
      </vt:variant>
      <vt:variant>
        <vt:i4>5</vt:i4>
      </vt:variant>
      <vt:variant>
        <vt:lpwstr>https://doi.org/10.1016/J.JCLEPRO.2017.10.176</vt:lpwstr>
      </vt:variant>
      <vt:variant>
        <vt:lpwstr/>
      </vt:variant>
      <vt:variant>
        <vt:i4>6357098</vt:i4>
      </vt:variant>
      <vt:variant>
        <vt:i4>3</vt:i4>
      </vt:variant>
      <vt:variant>
        <vt:i4>0</vt:i4>
      </vt:variant>
      <vt:variant>
        <vt:i4>5</vt:i4>
      </vt:variant>
      <vt:variant>
        <vt:lpwstr>https://doi.org/10.1021/acs.est.7b05570</vt:lpwstr>
      </vt:variant>
      <vt:variant>
        <vt:lpwstr/>
      </vt:variant>
      <vt:variant>
        <vt:i4>1441886</vt:i4>
      </vt:variant>
      <vt:variant>
        <vt:i4>0</vt:i4>
      </vt:variant>
      <vt:variant>
        <vt:i4>0</vt:i4>
      </vt:variant>
      <vt:variant>
        <vt:i4>5</vt:i4>
      </vt:variant>
      <vt:variant>
        <vt:lpwstr>http://www.wileyonlinelibrary.com/journal/jie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of Physical Economy Approaches</dc:title>
  <dc:subject/>
  <dc:creator>Peter Daniels</dc:creator>
  <cp:keywords/>
  <cp:lastModifiedBy>El Geneidy, Sami</cp:lastModifiedBy>
  <cp:revision>333</cp:revision>
  <cp:lastPrinted>2011-02-03T13:37:00Z</cp:lastPrinted>
  <dcterms:created xsi:type="dcterms:W3CDTF">2026-01-25T13:35:00Z</dcterms:created>
  <dcterms:modified xsi:type="dcterms:W3CDTF">2026-05-29T16:24:00Z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0x010100BC15B5508B2CD843B3F014368F211506</vt:lpwstr>
  </property>
</Properties>
</file>