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723" w:rsidRDefault="00307723" w:rsidP="00307723">
      <w:pPr>
        <w:pStyle w:val="Heading2"/>
      </w:pPr>
      <w:r>
        <w:t>SUPPLEMENTARY METHODS</w:t>
      </w:r>
    </w:p>
    <w:p w:rsidR="00307723" w:rsidRDefault="00307723" w:rsidP="00307723">
      <w:pPr>
        <w:pStyle w:val="BodyText12"/>
        <w:rPr>
          <w:b/>
          <w:color w:val="000000"/>
        </w:rPr>
      </w:pPr>
      <w:r>
        <w:rPr>
          <w:b/>
          <w:color w:val="000000"/>
        </w:rPr>
        <w:t>NLP methodology:</w:t>
      </w:r>
    </w:p>
    <w:p w:rsidR="00307723" w:rsidRDefault="00307723" w:rsidP="00307723">
      <w:pPr>
        <w:pStyle w:val="BodyText12"/>
        <w:numPr>
          <w:ilvl w:val="0"/>
          <w:numId w:val="1"/>
        </w:numPr>
        <w:rPr>
          <w:color w:val="000000"/>
        </w:rPr>
      </w:pPr>
      <w:r>
        <w:rPr>
          <w:color w:val="000000"/>
        </w:rPr>
        <w:t>All clinical notes containing the following terms were extracted: "IgAN", "IgA kidney", "IgA-nephropathy", "immunoglobulin-A nephropathy", "IgA GN", "IgA nephropathy", "IgA neph", "IgA nephro", "Berger’s disease", "Berger’s nephropathy", "Berger neph", "IgA glomerulonephritis", "immunoglobulin A glomerulonephritis", "immunoglobulin-A glomerulonephritis".</w:t>
      </w:r>
    </w:p>
    <w:p w:rsidR="00307723" w:rsidRDefault="00307723" w:rsidP="00307723">
      <w:pPr>
        <w:pStyle w:val="BodyText12"/>
        <w:numPr>
          <w:ilvl w:val="0"/>
          <w:numId w:val="1"/>
        </w:numPr>
        <w:rPr>
          <w:color w:val="000000"/>
        </w:rPr>
      </w:pPr>
      <w:r>
        <w:rPr>
          <w:color w:val="000000"/>
        </w:rPr>
        <w:t>Azure’s Text analytics for Health (TAH) NLP model performed named entity recognition (NER) to identify IgAN diagnoses, as well as assertions (e.g., “the patient was diagnosed with IgAN” versus “the patient was not diagnosed with IgAN”) and relations (e.g., “There is history of IgAN in the patient’s family”)</w:t>
      </w:r>
    </w:p>
    <w:p w:rsidR="00307723" w:rsidRDefault="00307723" w:rsidP="00307723">
      <w:pPr>
        <w:pStyle w:val="BodyText12"/>
        <w:numPr>
          <w:ilvl w:val="0"/>
          <w:numId w:val="1"/>
        </w:numPr>
        <w:rPr>
          <w:color w:val="000000"/>
        </w:rPr>
      </w:pPr>
      <w:r>
        <w:rPr>
          <w:color w:val="000000"/>
        </w:rPr>
        <w:t>The NLP extracted data was cleaned by:</w:t>
      </w:r>
    </w:p>
    <w:p w:rsidR="00307723" w:rsidRDefault="00307723" w:rsidP="00307723">
      <w:pPr>
        <w:pStyle w:val="BodyText12"/>
        <w:numPr>
          <w:ilvl w:val="1"/>
          <w:numId w:val="1"/>
        </w:numPr>
        <w:rPr>
          <w:color w:val="000000"/>
        </w:rPr>
      </w:pPr>
      <w:r>
        <w:rPr>
          <w:color w:val="000000"/>
        </w:rPr>
        <w:t>Removing notes that ruled out IgAN diagnoses or were uncertain about the diagnosis or</w:t>
      </w:r>
    </w:p>
    <w:p w:rsidR="00307723" w:rsidRDefault="00307723" w:rsidP="00307723">
      <w:pPr>
        <w:pStyle w:val="BodyText12"/>
        <w:numPr>
          <w:ilvl w:val="1"/>
          <w:numId w:val="1"/>
        </w:numPr>
        <w:rPr>
          <w:color w:val="000000"/>
        </w:rPr>
      </w:pPr>
      <w:r>
        <w:rPr>
          <w:color w:val="000000"/>
        </w:rPr>
        <w:t>Described IgAN related to another person</w:t>
      </w:r>
    </w:p>
    <w:p w:rsidR="00307723" w:rsidRDefault="00307723" w:rsidP="00307723">
      <w:pPr>
        <w:pStyle w:val="BodyText12"/>
        <w:numPr>
          <w:ilvl w:val="0"/>
          <w:numId w:val="1"/>
        </w:numPr>
        <w:rPr>
          <w:color w:val="000000"/>
        </w:rPr>
      </w:pPr>
      <w:r>
        <w:rPr>
          <w:color w:val="000000"/>
        </w:rPr>
        <w:t>Manual review was performed by humans on a subset of notes to assess the accuracy of the NLP extractions</w:t>
      </w:r>
    </w:p>
    <w:p w:rsidR="00307723" w:rsidRDefault="00307723" w:rsidP="00307723">
      <w:pPr>
        <w:pStyle w:val="BodyText12"/>
        <w:numPr>
          <w:ilvl w:val="0"/>
          <w:numId w:val="1"/>
        </w:numPr>
        <w:rPr>
          <w:color w:val="000000"/>
        </w:rPr>
      </w:pPr>
      <w:r>
        <w:rPr>
          <w:color w:val="000000"/>
        </w:rPr>
        <w:t xml:space="preserve">NLP performance was assessed using precision, recall, and F1-score </w:t>
      </w:r>
    </w:p>
    <w:p w:rsidR="00307723" w:rsidRDefault="00307723" w:rsidP="00307723">
      <w:pPr>
        <w:pStyle w:val="BodyText12"/>
        <w:numPr>
          <w:ilvl w:val="1"/>
          <w:numId w:val="1"/>
        </w:numPr>
        <w:rPr>
          <w:color w:val="000000"/>
        </w:rPr>
      </w:pPr>
      <w:r>
        <w:rPr>
          <w:color w:val="000000"/>
        </w:rPr>
        <w:t xml:space="preserve">Performance metrics were calculated by comparing the NLP annotated notes against notes annotated by humans during manual review </w:t>
      </w:r>
    </w:p>
    <w:p w:rsidR="00307723" w:rsidRDefault="00307723" w:rsidP="00307723">
      <w:pPr>
        <w:pStyle w:val="Heading3"/>
        <w:spacing w:after="0"/>
        <w:ind w:left="0" w:firstLine="0"/>
        <w:rPr>
          <w:color w:val="000000"/>
        </w:rPr>
      </w:pPr>
      <w:r>
        <w:t xml:space="preserve">Supplementary </w:t>
      </w:r>
      <w:r>
        <w:rPr>
          <w:color w:val="000000"/>
        </w:rPr>
        <w:t>Fig. 1 Assessment of NLP extraction performance</w:t>
      </w:r>
    </w:p>
    <w:p w:rsidR="00307723" w:rsidRDefault="00307723" w:rsidP="00307723">
      <w:pPr>
        <w:spacing w:after="0" w:line="240" w:lineRule="auto"/>
        <w:contextualSpacing/>
        <w:rPr>
          <w:sz w:val="20"/>
        </w:rPr>
      </w:pPr>
      <w:r>
        <w:rPr>
          <w:b/>
          <w:sz w:val="20"/>
        </w:rPr>
        <w:t xml:space="preserve">Abbreviations: </w:t>
      </w:r>
      <w:r>
        <w:rPr>
          <w:sz w:val="20"/>
        </w:rPr>
        <w:t>IgAN: immunoglobulin A nephropathy; NLP: natural language processing.</w:t>
      </w:r>
    </w:p>
    <w:p w:rsidR="00307723" w:rsidRDefault="00307723" w:rsidP="00307723">
      <w:pPr>
        <w:spacing w:after="0" w:line="240" w:lineRule="auto"/>
        <w:rPr>
          <w:color w:val="000000"/>
        </w:rPr>
      </w:pPr>
      <w:r>
        <w:rPr>
          <w:sz w:val="20"/>
          <w:vertAlign w:val="superscript"/>
        </w:rPr>
        <w:t xml:space="preserve"> a</w:t>
      </w:r>
      <w:r>
        <w:rPr>
          <w:sz w:val="20"/>
        </w:rPr>
        <w:t>Formula: (number of notes where NLP and manual review both identified IgAN) divided by (number of notes where NLP identified IgAN).</w:t>
      </w:r>
    </w:p>
    <w:p w:rsidR="00307723" w:rsidRDefault="00307723" w:rsidP="00307723">
      <w:pPr>
        <w:spacing w:after="0" w:line="240" w:lineRule="auto"/>
        <w:rPr>
          <w:sz w:val="20"/>
        </w:rPr>
      </w:pPr>
      <w:r>
        <w:rPr>
          <w:sz w:val="20"/>
          <w:vertAlign w:val="superscript"/>
        </w:rPr>
        <w:t>b</w:t>
      </w:r>
      <w:r>
        <w:rPr>
          <w:sz w:val="20"/>
        </w:rPr>
        <w:t>Formula: (number of notes where NLP and manual review both identified IgAN) divided by (number of notes where manual review identified IgAN).</w:t>
      </w:r>
    </w:p>
    <w:p w:rsidR="00307723" w:rsidRDefault="00307723" w:rsidP="00307723">
      <w:pPr>
        <w:spacing w:after="0" w:line="240" w:lineRule="auto"/>
        <w:rPr>
          <w:sz w:val="20"/>
        </w:rPr>
      </w:pPr>
      <w:r>
        <w:rPr>
          <w:sz w:val="20"/>
          <w:vertAlign w:val="superscript"/>
        </w:rPr>
        <w:t>c</w:t>
      </w:r>
      <w:r>
        <w:rPr>
          <w:sz w:val="20"/>
        </w:rPr>
        <w:t>Formula: (2 * precision * recall) divided by (precision + recall).</w:t>
      </w:r>
    </w:p>
    <w:p w:rsidR="00307723" w:rsidRDefault="00307723" w:rsidP="00307723">
      <w:pPr>
        <w:spacing w:after="200" w:line="276" w:lineRule="auto"/>
        <w:rPr>
          <w:sz w:val="20"/>
        </w:rPr>
      </w:pPr>
    </w:p>
    <w:p w:rsidR="00307723" w:rsidRDefault="00307723" w:rsidP="00307723">
      <w:pPr>
        <w:pStyle w:val="Heading2"/>
        <w:rPr>
          <w:b w:val="0"/>
        </w:rPr>
      </w:pPr>
      <w:r>
        <w:t xml:space="preserve">Supplementary Table S1. List of codes used to identify kidney failure </w:t>
      </w:r>
    </w:p>
    <w:tbl>
      <w:tblPr>
        <w:tblStyle w:val="Table"/>
        <w:tblW w:w="0" w:type="auto"/>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2310"/>
        <w:gridCol w:w="10290"/>
      </w:tblGrid>
      <w:tr w:rsidR="00307723" w:rsidTr="00607E45">
        <w:trPr>
          <w:trHeight w:val="315"/>
        </w:trPr>
        <w:tc>
          <w:tcPr>
            <w:tcW w:w="2310" w:type="dxa"/>
            <w:tcBorders>
              <w:top w:val="single" w:sz="8" w:space="0" w:color="000000"/>
              <w:left w:val="nil"/>
              <w:bottom w:val="double" w:sz="6" w:space="0" w:color="000000"/>
              <w:right w:val="nil"/>
            </w:tcBorders>
            <w:tcMar>
              <w:left w:w="108" w:type="dxa"/>
              <w:right w:w="108" w:type="dxa"/>
            </w:tcMar>
            <w:vAlign w:val="center"/>
          </w:tcPr>
          <w:p w:rsidR="00307723" w:rsidRDefault="00307723" w:rsidP="00607E45">
            <w:pPr>
              <w:rPr>
                <w:b/>
                <w:color w:val="000000"/>
                <w:sz w:val="22"/>
              </w:rPr>
            </w:pPr>
            <w:r>
              <w:rPr>
                <w:b/>
                <w:color w:val="000000"/>
                <w:sz w:val="22"/>
              </w:rPr>
              <w:t>Category</w:t>
            </w:r>
          </w:p>
        </w:tc>
        <w:tc>
          <w:tcPr>
            <w:tcW w:w="10290" w:type="dxa"/>
            <w:tcBorders>
              <w:top w:val="single" w:sz="8" w:space="0" w:color="000000"/>
              <w:left w:val="nil"/>
              <w:bottom w:val="double" w:sz="6" w:space="0" w:color="000000"/>
              <w:right w:val="nil"/>
            </w:tcBorders>
            <w:tcMar>
              <w:left w:w="108" w:type="dxa"/>
              <w:right w:w="108" w:type="dxa"/>
            </w:tcMar>
            <w:vAlign w:val="bottom"/>
          </w:tcPr>
          <w:p w:rsidR="00307723" w:rsidRDefault="00307723" w:rsidP="00607E45">
            <w:pPr>
              <w:rPr>
                <w:b/>
                <w:color w:val="000000"/>
                <w:sz w:val="22"/>
              </w:rPr>
            </w:pPr>
            <w:r>
              <w:rPr>
                <w:b/>
                <w:color w:val="000000"/>
                <w:sz w:val="22"/>
              </w:rPr>
              <w:t xml:space="preserve">Codes </w:t>
            </w:r>
          </w:p>
        </w:tc>
      </w:tr>
      <w:tr w:rsidR="00307723" w:rsidTr="00607E45">
        <w:trPr>
          <w:trHeight w:val="300"/>
        </w:trPr>
        <w:tc>
          <w:tcPr>
            <w:tcW w:w="2310" w:type="dxa"/>
            <w:tcBorders>
              <w:top w:val="double" w:sz="6" w:space="0" w:color="000000"/>
              <w:left w:val="nil"/>
              <w:bottom w:val="single" w:sz="8" w:space="0" w:color="000000"/>
              <w:right w:val="nil"/>
            </w:tcBorders>
            <w:tcMar>
              <w:left w:w="108" w:type="dxa"/>
              <w:right w:w="108" w:type="dxa"/>
            </w:tcMar>
            <w:vAlign w:val="center"/>
          </w:tcPr>
          <w:p w:rsidR="00307723" w:rsidRDefault="00307723" w:rsidP="00607E45">
            <w:pPr>
              <w:rPr>
                <w:sz w:val="22"/>
              </w:rPr>
            </w:pPr>
            <w:r>
              <w:rPr>
                <w:sz w:val="22"/>
              </w:rPr>
              <w:t>Kidney Failure</w:t>
            </w:r>
          </w:p>
        </w:tc>
        <w:tc>
          <w:tcPr>
            <w:tcW w:w="10290" w:type="dxa"/>
            <w:tcBorders>
              <w:top w:val="double" w:sz="6" w:space="0" w:color="000000"/>
              <w:left w:val="nil"/>
              <w:bottom w:val="single" w:sz="8" w:space="0" w:color="000000"/>
              <w:right w:val="nil"/>
            </w:tcBorders>
            <w:tcMar>
              <w:left w:w="108" w:type="dxa"/>
              <w:right w:w="108" w:type="dxa"/>
            </w:tcMar>
          </w:tcPr>
          <w:p w:rsidR="00307723" w:rsidRPr="00DC17C7" w:rsidRDefault="00307723" w:rsidP="00607E45">
            <w:pPr>
              <w:rPr>
                <w:sz w:val="22"/>
                <w:lang w:val="pl-PL"/>
              </w:rPr>
            </w:pPr>
            <w:r w:rsidRPr="00DC17C7">
              <w:rPr>
                <w:b/>
                <w:i/>
                <w:sz w:val="22"/>
                <w:lang w:val="pl-PL"/>
              </w:rPr>
              <w:t>ICD-10-CM:</w:t>
            </w:r>
            <w:r w:rsidRPr="00DC17C7">
              <w:rPr>
                <w:lang w:val="pl-PL"/>
              </w:rPr>
              <w:br/>
            </w:r>
            <w:r w:rsidRPr="00DC17C7">
              <w:rPr>
                <w:sz w:val="22"/>
                <w:lang w:val="pl-PL"/>
              </w:rPr>
              <w:t xml:space="preserve"> I12.0, I13.11, I13.2, N17, N18.5, N18.6, N19, T82.4, T82.42, T82.43, T82.49, T82.510, T82.511, T82.520, T82.521, T82.530, T82.531, T82.590, T82.591, T82.858, T82.868, T85.611, T85.621, T85.631, T85.691, T86.1, Z48.22, Z91.15, Z91.151, Z91.158, Z49.31, Z49.32, Z94.0, Z99.2</w:t>
            </w:r>
          </w:p>
          <w:p w:rsidR="00307723" w:rsidRPr="00DC17C7" w:rsidRDefault="00307723" w:rsidP="00607E45">
            <w:pPr>
              <w:rPr>
                <w:b/>
                <w:i/>
                <w:sz w:val="22"/>
                <w:lang w:val="pl-PL"/>
              </w:rPr>
            </w:pPr>
            <w:r w:rsidRPr="00DC17C7">
              <w:rPr>
                <w:b/>
                <w:i/>
                <w:sz w:val="22"/>
                <w:lang w:val="pl-PL"/>
              </w:rPr>
              <w:t>ICD-10-PCS:</w:t>
            </w:r>
          </w:p>
          <w:p w:rsidR="00307723" w:rsidRPr="00DC17C7" w:rsidRDefault="00307723" w:rsidP="00607E45">
            <w:pPr>
              <w:rPr>
                <w:sz w:val="22"/>
                <w:lang w:val="pl-PL"/>
              </w:rPr>
            </w:pPr>
            <w:r w:rsidRPr="00DC17C7">
              <w:rPr>
                <w:sz w:val="22"/>
                <w:lang w:val="pl-PL"/>
              </w:rPr>
              <w:t>0TY00Z0, 0TY00Z1, 0TY00Z2, 0TY10Z0, 0TY10Z1, 0TY10Z2, 3E1M39Z, 5A1D00Z, 5A1D60Z, 5A1D70Z, 5A1D80Z, 5A1D90Z, BT29ZZZ, BT49ZZZ</w:t>
            </w:r>
          </w:p>
          <w:p w:rsidR="00307723" w:rsidRDefault="00307723" w:rsidP="00607E45">
            <w:pPr>
              <w:rPr>
                <w:b/>
                <w:i/>
                <w:sz w:val="22"/>
              </w:rPr>
            </w:pPr>
            <w:r>
              <w:rPr>
                <w:b/>
                <w:i/>
                <w:sz w:val="22"/>
              </w:rPr>
              <w:t xml:space="preserve">HCPCS: </w:t>
            </w:r>
          </w:p>
          <w:p w:rsidR="00307723" w:rsidRDefault="00307723" w:rsidP="00607E45">
            <w:pPr>
              <w:rPr>
                <w:sz w:val="22"/>
              </w:rPr>
            </w:pPr>
            <w:r>
              <w:rPr>
                <w:sz w:val="22"/>
              </w:rPr>
              <w:t>G0257, G0319, G0326, S9335, S9339</w:t>
            </w:r>
          </w:p>
          <w:p w:rsidR="00307723" w:rsidRDefault="00307723" w:rsidP="00607E45">
            <w:pPr>
              <w:rPr>
                <w:b/>
                <w:i/>
                <w:sz w:val="22"/>
              </w:rPr>
            </w:pPr>
            <w:r>
              <w:rPr>
                <w:b/>
                <w:i/>
                <w:sz w:val="22"/>
              </w:rPr>
              <w:t>CPT:</w:t>
            </w:r>
          </w:p>
          <w:p w:rsidR="00307723" w:rsidRDefault="00307723" w:rsidP="00607E45">
            <w:pPr>
              <w:rPr>
                <w:sz w:val="22"/>
              </w:rPr>
            </w:pPr>
            <w:r>
              <w:rPr>
                <w:sz w:val="22"/>
              </w:rPr>
              <w:t>50360, 50365, 50380, 90920, 90921, 90924, 90925, 90935, 90937, 90947, 90951, 90952, 90953, 90954, 909555, 90956, 90957, 90958, 90959, 90960, 90961, 90962, 90963, 90964, 90965, 90966, 90966, 90967, 90967, 90968, 90969, 90970, 90989, 90999, 99512</w:t>
            </w:r>
          </w:p>
          <w:p w:rsidR="00307723" w:rsidRDefault="00307723" w:rsidP="00607E45">
            <w:pPr>
              <w:rPr>
                <w:b/>
                <w:i/>
                <w:sz w:val="22"/>
              </w:rPr>
            </w:pPr>
            <w:r>
              <w:rPr>
                <w:b/>
                <w:i/>
                <w:sz w:val="22"/>
              </w:rPr>
              <w:t>LOINC codes (eGFR laboratory tests):</w:t>
            </w:r>
          </w:p>
          <w:p w:rsidR="00307723" w:rsidRDefault="00307723" w:rsidP="00607E45">
            <w:pPr>
              <w:rPr>
                <w:sz w:val="22"/>
              </w:rPr>
            </w:pPr>
            <w:r>
              <w:rPr>
                <w:sz w:val="22"/>
              </w:rPr>
              <w:t>33914-3, 62238-1, 76633-7, 48643-1, 50044-7, 70969-1, 50384-7, 98979-8, 77147-7, 88293-6, 98980-6, 94677-2, 102097-3, 88294-4, 48642-3, 96591-3, 78006-4, 96592-1, 50383-9, 97952-6, 45064-3, 45065-0, 50210-4, 50261-7, 69405-9, 96083-1</w:t>
            </w:r>
          </w:p>
        </w:tc>
      </w:tr>
    </w:tbl>
    <w:p w:rsidR="00307723" w:rsidRDefault="00307723" w:rsidP="00307723">
      <w:pPr>
        <w:spacing w:after="0" w:line="240" w:lineRule="auto"/>
        <w:jc w:val="both"/>
      </w:pPr>
      <w:r>
        <w:t xml:space="preserve"> </w:t>
      </w:r>
    </w:p>
    <w:p w:rsidR="00307723" w:rsidRDefault="00307723" w:rsidP="00307723">
      <w:pPr>
        <w:spacing w:after="0" w:line="240" w:lineRule="auto"/>
        <w:rPr>
          <w:sz w:val="20"/>
        </w:rPr>
      </w:pPr>
      <w:r>
        <w:rPr>
          <w:b/>
          <w:sz w:val="20"/>
          <w:lang w:val="en-CA"/>
        </w:rPr>
        <w:t xml:space="preserve">Abbreviations: </w:t>
      </w:r>
      <w:r>
        <w:rPr>
          <w:sz w:val="20"/>
          <w:lang w:val="en-CA"/>
        </w:rPr>
        <w:t>CPT: Current Procedural Terminology; eGFR: estimated glomerular filtration rate; HCPC: Healthcare Common Procedure Coding; ICD-10-CM: International Classification of Diseases, Tenth Revision, Clinical Modification; ICD-10-PCS: International Classification of Diseases, Tenth Revision, Procedure Coding System; LOINC: Logical Observation Identifiers, Names, and Codes.</w:t>
      </w:r>
    </w:p>
    <w:p w:rsidR="00766E0D" w:rsidRDefault="00766E0D">
      <w:bookmarkStart w:id="0" w:name="_GoBack"/>
      <w:bookmarkEnd w:id="0"/>
    </w:p>
    <w:sectPr w:rsidR="00766E0D">
      <w:pgSz w:w="15840" w:h="24480"/>
      <w:pgMar w:top="1440" w:right="1440" w:bottom="3859"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F36F5"/>
    <w:multiLevelType w:val="multilevel"/>
    <w:tmpl w:val="1CAE9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723"/>
    <w:rsid w:val="0014564A"/>
    <w:rsid w:val="00151486"/>
    <w:rsid w:val="001705F6"/>
    <w:rsid w:val="002768A1"/>
    <w:rsid w:val="002D1493"/>
    <w:rsid w:val="00307723"/>
    <w:rsid w:val="00424F73"/>
    <w:rsid w:val="00597F41"/>
    <w:rsid w:val="006F66B8"/>
    <w:rsid w:val="00766E0D"/>
    <w:rsid w:val="00791AD3"/>
    <w:rsid w:val="008146CD"/>
    <w:rsid w:val="009176D3"/>
    <w:rsid w:val="0097302C"/>
    <w:rsid w:val="00AE0BE5"/>
    <w:rsid w:val="00BD0FE0"/>
    <w:rsid w:val="00CC1C72"/>
    <w:rsid w:val="00EB56BB"/>
    <w:rsid w:val="00F3248F"/>
    <w:rsid w:val="00F97D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9398A-E807-448E-A5BD-C6676387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aliases w:val="AG Heading 2"/>
    <w:basedOn w:val="Heading6"/>
    <w:link w:val="Heading2Char"/>
    <w:qFormat/>
    <w:rsid w:val="00307723"/>
    <w:pPr>
      <w:keepLines w:val="0"/>
      <w:spacing w:before="0" w:after="240" w:line="264" w:lineRule="auto"/>
      <w:jc w:val="both"/>
      <w:outlineLvl w:val="1"/>
    </w:pPr>
    <w:rPr>
      <w:rFonts w:ascii="Times New Roman" w:eastAsia="Times New Roman" w:hAnsi="Times New Roman" w:cs="Times New Roman"/>
      <w:b/>
      <w:color w:val="000000"/>
      <w:sz w:val="24"/>
      <w:szCs w:val="20"/>
      <w:lang w:val="en-US"/>
    </w:rPr>
  </w:style>
  <w:style w:type="paragraph" w:styleId="Heading3">
    <w:name w:val="heading 3"/>
    <w:aliases w:val="AG Heading 3"/>
    <w:basedOn w:val="Normal"/>
    <w:link w:val="Heading3Char"/>
    <w:qFormat/>
    <w:rsid w:val="00307723"/>
    <w:pPr>
      <w:keepNext/>
      <w:keepLines/>
      <w:spacing w:line="480" w:lineRule="auto"/>
      <w:ind w:left="1395" w:hanging="1395"/>
      <w:outlineLvl w:val="2"/>
    </w:pPr>
    <w:rPr>
      <w:rFonts w:ascii="Times New Roman" w:eastAsia="Times New Roman" w:hAnsi="Times New Roman" w:cs="Times New Roman"/>
      <w:b/>
      <w:sz w:val="24"/>
      <w:szCs w:val="20"/>
      <w:lang w:val="en-US"/>
    </w:rPr>
  </w:style>
  <w:style w:type="paragraph" w:styleId="Heading6">
    <w:name w:val="heading 6"/>
    <w:basedOn w:val="Normal"/>
    <w:next w:val="Normal"/>
    <w:link w:val="Heading6Char"/>
    <w:uiPriority w:val="9"/>
    <w:semiHidden/>
    <w:unhideWhenUsed/>
    <w:qFormat/>
    <w:rsid w:val="00307723"/>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7723"/>
    <w:rPr>
      <w:rFonts w:ascii="Times New Roman" w:eastAsia="Times New Roman" w:hAnsi="Times New Roman" w:cs="Times New Roman"/>
      <w:b/>
      <w:color w:val="000000"/>
      <w:sz w:val="24"/>
      <w:szCs w:val="20"/>
      <w:lang w:val="en-US"/>
    </w:rPr>
  </w:style>
  <w:style w:type="character" w:customStyle="1" w:styleId="Heading3Char">
    <w:name w:val="Heading 3 Char"/>
    <w:basedOn w:val="DefaultParagraphFont"/>
    <w:link w:val="Heading3"/>
    <w:rsid w:val="00307723"/>
    <w:rPr>
      <w:rFonts w:ascii="Times New Roman" w:eastAsia="Times New Roman" w:hAnsi="Times New Roman" w:cs="Times New Roman"/>
      <w:b/>
      <w:sz w:val="24"/>
      <w:szCs w:val="20"/>
      <w:lang w:val="en-US"/>
    </w:rPr>
  </w:style>
  <w:style w:type="paragraph" w:customStyle="1" w:styleId="BodyText12">
    <w:name w:val="Body Text 12"/>
    <w:qFormat/>
    <w:rsid w:val="00307723"/>
    <w:pPr>
      <w:spacing w:after="240" w:line="264" w:lineRule="auto"/>
      <w:jc w:val="both"/>
    </w:pPr>
    <w:rPr>
      <w:rFonts w:ascii="Times New Roman" w:eastAsia="Times New Roman" w:hAnsi="Times New Roman" w:cs="Times New Roman"/>
      <w:sz w:val="24"/>
      <w:szCs w:val="20"/>
      <w:lang w:val="en-US"/>
    </w:rPr>
  </w:style>
  <w:style w:type="table" w:customStyle="1" w:styleId="Table">
    <w:name w:val="Table"/>
    <w:qFormat/>
    <w:rsid w:val="00307723"/>
    <w:pPr>
      <w:spacing w:after="0" w:line="240" w:lineRule="auto"/>
    </w:pPr>
    <w:rPr>
      <w:rFonts w:ascii="Times New Roman" w:eastAsia="Times New Roman" w:hAnsi="Times New Roman" w:cs="Times New Roman"/>
      <w:sz w:val="20"/>
      <w:szCs w:val="20"/>
      <w:lang w:val="en-US"/>
    </w:rPr>
    <w:tblPr>
      <w:tblCellMar>
        <w:top w:w="0" w:type="dxa"/>
        <w:left w:w="0" w:type="dxa"/>
        <w:bottom w:w="0" w:type="dxa"/>
        <w:right w:w="0" w:type="dxa"/>
      </w:tblCellMar>
    </w:tblPr>
  </w:style>
  <w:style w:type="character" w:customStyle="1" w:styleId="Heading6Char">
    <w:name w:val="Heading 6 Char"/>
    <w:basedOn w:val="DefaultParagraphFont"/>
    <w:link w:val="Heading6"/>
    <w:uiPriority w:val="9"/>
    <w:semiHidden/>
    <w:rsid w:val="00307723"/>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Vincy A</dc:creator>
  <cp:keywords/>
  <dc:description/>
  <cp:lastModifiedBy>Vincy A</cp:lastModifiedBy>
  <cp:revision>1</cp:revision>
  <dcterms:created xsi:type="dcterms:W3CDTF">2026-06-12T02:15:00Z</dcterms:created>
  <dcterms:modified xsi:type="dcterms:W3CDTF">2026-06-12T02:16:00Z</dcterms:modified>
</cp:coreProperties>
</file>