
<file path=[Content_Types].xml><?xml version="1.0" encoding="utf-8"?>
<Types xmlns="http://schemas.openxmlformats.org/package/2006/content-types">
  <Default Extension="json" ContentType="application/js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doc" Type="http://schemas.openxmlformats.org/officeDocument/2006/relationships/json" Target="docProps/authors.json"/><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4D5E2" w14:textId="6851B620" w:rsidR="00505287" w:rsidRDefault="00B74D26">
      <w:pPr>
        <w:rPr>
          <w:color w:val="000000"/>
        </w:rPr>
      </w:pPr>
      <w:r>
        <w:rPr>
          <w:b/>
          <w:color w:val="000000"/>
          <w:sz w:val="28"/>
        </w:rPr>
        <w:t xml:space="preserve">Importance of Very Low Proteinuria Levels in Immunoglobulin A Nephropathy: Evidence of a Non-linear Association with Long-Term Kidney Survival </w:t>
      </w:r>
      <w:r>
        <w:rPr>
          <w:b/>
          <w:color w:val="000000"/>
          <w:sz w:val="28"/>
        </w:rPr>
        <w:br/>
      </w:r>
      <w:r>
        <w:rPr>
          <w:color w:val="000000"/>
        </w:rPr>
        <w:t>Joel Iff</w:t>
      </w:r>
      <w:r>
        <w:rPr>
          <w:color w:val="000000"/>
          <w:vertAlign w:val="superscript"/>
        </w:rPr>
        <w:t>1</w:t>
      </w:r>
      <w:r>
        <w:rPr>
          <w:color w:val="000000"/>
        </w:rPr>
        <w:t>, Jiaxuan Liu</w:t>
      </w:r>
      <w:r>
        <w:rPr>
          <w:color w:val="000000"/>
          <w:vertAlign w:val="superscript"/>
        </w:rPr>
        <w:t>1</w:t>
      </w:r>
      <w:r>
        <w:rPr>
          <w:color w:val="000000"/>
        </w:rPr>
        <w:t>, Katherine R. Tuttle</w:t>
      </w:r>
      <w:r>
        <w:rPr>
          <w:color w:val="000000"/>
          <w:vertAlign w:val="superscript"/>
        </w:rPr>
        <w:t>2</w:t>
      </w:r>
      <w:r>
        <w:rPr>
          <w:color w:val="000000"/>
        </w:rPr>
        <w:t>, Gabriel G. Pedra</w:t>
      </w:r>
      <w:r>
        <w:rPr>
          <w:color w:val="000000"/>
          <w:vertAlign w:val="superscript"/>
        </w:rPr>
        <w:t>1</w:t>
      </w:r>
      <w:r>
        <w:rPr>
          <w:color w:val="000000"/>
        </w:rPr>
        <w:t>, Mirko Fillbrunn</w:t>
      </w:r>
      <w:r>
        <w:rPr>
          <w:color w:val="000000"/>
          <w:vertAlign w:val="superscript"/>
        </w:rPr>
        <w:t>3</w:t>
      </w:r>
      <w:r>
        <w:rPr>
          <w:color w:val="000000"/>
        </w:rPr>
        <w:t>, Thomas Padgett</w:t>
      </w:r>
      <w:r>
        <w:rPr>
          <w:color w:val="000000"/>
          <w:vertAlign w:val="superscript"/>
        </w:rPr>
        <w:t>4</w:t>
      </w:r>
      <w:r>
        <w:rPr>
          <w:color w:val="000000"/>
        </w:rPr>
        <w:t>, Manish Maski</w:t>
      </w:r>
      <w:r>
        <w:rPr>
          <w:color w:val="000000"/>
          <w:vertAlign w:val="superscript"/>
        </w:rPr>
        <w:t>1</w:t>
      </w:r>
      <w:r>
        <w:rPr>
          <w:color w:val="000000"/>
        </w:rPr>
        <w:t>, Rui Huang</w:t>
      </w:r>
      <w:r>
        <w:rPr>
          <w:color w:val="000000"/>
          <w:vertAlign w:val="superscript"/>
        </w:rPr>
        <w:t>5</w:t>
      </w:r>
      <w:r>
        <w:rPr>
          <w:color w:val="000000"/>
        </w:rPr>
        <w:t>, Phil McEwan</w:t>
      </w:r>
      <w:r>
        <w:rPr>
          <w:color w:val="000000"/>
          <w:vertAlign w:val="superscript"/>
        </w:rPr>
        <w:t>4</w:t>
      </w:r>
      <w:r>
        <w:rPr>
          <w:color w:val="000000"/>
        </w:rPr>
        <w:t>, Beth Barber</w:t>
      </w:r>
      <w:r>
        <w:rPr>
          <w:color w:val="000000"/>
          <w:vertAlign w:val="superscript"/>
        </w:rPr>
        <w:t>1</w:t>
      </w:r>
    </w:p>
    <w:p w14:paraId="3BEE30FE" w14:textId="77777777" w:rsidR="00505287" w:rsidRDefault="00B74D26">
      <w:pPr>
        <w:rPr>
          <w:color w:val="000000"/>
        </w:rPr>
      </w:pPr>
      <w:r>
        <w:rPr>
          <w:color w:val="000000"/>
          <w:vertAlign w:val="superscript"/>
        </w:rPr>
        <w:t>1</w:t>
      </w:r>
      <w:r>
        <w:rPr>
          <w:color w:val="000000"/>
        </w:rPr>
        <w:t xml:space="preserve"> Vertex Pharmaceuticals Incorporated, Boston, MA, United States. </w:t>
      </w:r>
      <w:r>
        <w:rPr>
          <w:color w:val="000000"/>
        </w:rPr>
        <w:br/>
      </w:r>
      <w:r>
        <w:rPr>
          <w:color w:val="000000"/>
          <w:vertAlign w:val="superscript"/>
        </w:rPr>
        <w:t>2</w:t>
      </w:r>
      <w:r>
        <w:rPr>
          <w:color w:val="000000"/>
        </w:rPr>
        <w:t xml:space="preserve"> Providence Medical Research Center, Providence Inland Northwest Health, Spokane, WA, United States.</w:t>
      </w:r>
    </w:p>
    <w:p w14:paraId="3BDA5DB6" w14:textId="77777777" w:rsidR="00505287" w:rsidRDefault="00B74D26">
      <w:pPr>
        <w:rPr>
          <w:color w:val="000000"/>
        </w:rPr>
      </w:pPr>
      <w:r>
        <w:rPr>
          <w:color w:val="000000"/>
          <w:vertAlign w:val="superscript"/>
        </w:rPr>
        <w:t xml:space="preserve">3 </w:t>
      </w:r>
      <w:r>
        <w:rPr>
          <w:color w:val="000000"/>
        </w:rPr>
        <w:t>Analysis Group Inc., Boston, MA, United States.</w:t>
      </w:r>
    </w:p>
    <w:p w14:paraId="4349D600" w14:textId="77777777" w:rsidR="00505287" w:rsidRDefault="00B74D26">
      <w:pPr>
        <w:rPr>
          <w:color w:val="000000"/>
        </w:rPr>
      </w:pPr>
      <w:r>
        <w:rPr>
          <w:color w:val="000000"/>
          <w:vertAlign w:val="superscript"/>
        </w:rPr>
        <w:t>4</w:t>
      </w:r>
      <w:r>
        <w:rPr>
          <w:color w:val="000000"/>
        </w:rPr>
        <w:t xml:space="preserve"> Health Economics and Outcomes Research Ltd, Cardiff, United Kingdom.</w:t>
      </w:r>
      <w:r>
        <w:rPr>
          <w:color w:val="000000"/>
        </w:rPr>
        <w:br/>
      </w:r>
      <w:r>
        <w:rPr>
          <w:color w:val="000000"/>
          <w:vertAlign w:val="superscript"/>
        </w:rPr>
        <w:t>5</w:t>
      </w:r>
      <w:r>
        <w:rPr>
          <w:color w:val="000000"/>
        </w:rPr>
        <w:t xml:space="preserve"> Analysis Group Inc., London, United Kingdom. </w:t>
      </w:r>
    </w:p>
    <w:p w14:paraId="02A39166" w14:textId="77777777" w:rsidR="00505287" w:rsidRDefault="00B74D26">
      <w:pPr>
        <w:rPr>
          <w:color w:val="000000"/>
        </w:rPr>
      </w:pPr>
      <w:r>
        <w:rPr>
          <w:b/>
          <w:color w:val="000000"/>
        </w:rPr>
        <w:t xml:space="preserve">Corresponding Author: </w:t>
      </w:r>
      <w:r>
        <w:rPr>
          <w:color w:val="000000"/>
        </w:rPr>
        <w:t>Joel Iff, PharmD, PhD</w:t>
      </w:r>
    </w:p>
    <w:p w14:paraId="580DAFE6" w14:textId="77777777" w:rsidR="00505287" w:rsidRDefault="00B74D26">
      <w:pPr>
        <w:rPr>
          <w:color w:val="000000"/>
        </w:rPr>
      </w:pPr>
      <w:r>
        <w:rPr>
          <w:color w:val="000000"/>
        </w:rPr>
        <w:t>Address: 11 Fan Pier Boulevard, Boston MA 02210</w:t>
      </w:r>
    </w:p>
    <w:p w14:paraId="2021ED17" w14:textId="77777777" w:rsidR="00505287" w:rsidRDefault="00B74D26">
      <w:pPr>
        <w:rPr>
          <w:color w:val="000000"/>
        </w:rPr>
      </w:pPr>
      <w:r>
        <w:rPr>
          <w:color w:val="000000"/>
        </w:rPr>
        <w:t xml:space="preserve">Email: </w:t>
      </w:r>
      <w:hyperlink r:id="rId11">
        <w:r w:rsidR="00505287">
          <w:rPr>
            <w:color w:val="0000FF"/>
            <w:u w:val="single"/>
          </w:rPr>
          <w:t>joel_iff@vrtx.com</w:t>
        </w:r>
      </w:hyperlink>
      <w:r>
        <w:rPr>
          <w:color w:val="000000"/>
        </w:rPr>
        <w:t xml:space="preserve"> </w:t>
      </w:r>
    </w:p>
    <w:p w14:paraId="5091505D" w14:textId="77777777" w:rsidR="00505287" w:rsidRDefault="00B74D26">
      <w:pPr>
        <w:rPr>
          <w:b/>
          <w:color w:val="000000"/>
        </w:rPr>
      </w:pPr>
      <w:r>
        <w:rPr>
          <w:b/>
          <w:color w:val="000000"/>
        </w:rPr>
        <w:t>ORCID</w:t>
      </w:r>
    </w:p>
    <w:p w14:paraId="71C4E4C9" w14:textId="77777777" w:rsidR="00505287" w:rsidRDefault="00B74D26">
      <w:pPr>
        <w:rPr>
          <w:color w:val="000000"/>
        </w:rPr>
      </w:pPr>
      <w:r>
        <w:rPr>
          <w:color w:val="000000"/>
        </w:rPr>
        <w:t>0000-0002-1102-0651</w:t>
      </w:r>
    </w:p>
    <w:p w14:paraId="2989ED87" w14:textId="77777777" w:rsidR="00505287" w:rsidRDefault="00505287">
      <w:pPr>
        <w:rPr>
          <w:color w:val="000000"/>
        </w:rPr>
      </w:pPr>
    </w:p>
    <w:p w14:paraId="2B6A2D49" w14:textId="77777777" w:rsidR="00505287" w:rsidRDefault="00505287">
      <w:pPr>
        <w:rPr>
          <w:color w:val="000000"/>
        </w:rPr>
      </w:pPr>
    </w:p>
    <w:p w14:paraId="653DCF50" w14:textId="6BEBF21B" w:rsidR="00505287" w:rsidRDefault="00B74D26" w:rsidP="00B01851">
      <w:pPr>
        <w:rPr>
          <w:color w:val="000000"/>
        </w:rPr>
        <w:sectPr w:rsidR="00505287">
          <w:footerReference w:type="default" r:id="rId12"/>
          <w:pgSz w:w="12240" w:h="15840"/>
          <w:pgMar w:top="1440" w:right="1440" w:bottom="1440" w:left="1440" w:header="708" w:footer="708" w:gutter="0"/>
          <w:cols w:space="708"/>
          <w:docGrid w:linePitch="360"/>
        </w:sectPr>
      </w:pPr>
      <w:r>
        <w:rPr>
          <w:color w:val="000000"/>
          <w:lang w:val="en-AU"/>
        </w:rPr>
        <w:br w:type="page"/>
      </w:r>
    </w:p>
    <w:p w14:paraId="0F472208" w14:textId="154A3196" w:rsidR="00505287" w:rsidRDefault="00B74D26">
      <w:pPr>
        <w:pStyle w:val="Heading2"/>
        <w:rPr>
          <w:color w:val="000000"/>
        </w:rPr>
      </w:pPr>
      <w:r>
        <w:rPr>
          <w:color w:val="000000"/>
        </w:rPr>
        <w:lastRenderedPageBreak/>
        <w:t>S</w:t>
      </w:r>
      <w:r>
        <w:rPr>
          <w:color w:val="000000"/>
        </w:rPr>
        <w:t>upplement</w:t>
      </w:r>
      <w:r w:rsidR="007933CE">
        <w:rPr>
          <w:color w:val="000000"/>
        </w:rPr>
        <w:t>ary Information</w:t>
      </w:r>
    </w:p>
    <w:p w14:paraId="36F14AF3" w14:textId="77777777" w:rsidR="00505287" w:rsidRDefault="00B74D26">
      <w:pPr>
        <w:pStyle w:val="Heading3"/>
        <w:rPr>
          <w:color w:val="000000"/>
        </w:rPr>
      </w:pPr>
      <w:r>
        <w:rPr>
          <w:color w:val="000000"/>
        </w:rPr>
        <w:t xml:space="preserve">Appendix Table 1. Proteinuria and associated hazard of kidney outcomes </w:t>
      </w:r>
    </w:p>
    <w:tbl>
      <w:tblPr>
        <w:tblStyle w:val="Table"/>
        <w:tblW w:w="5000" w:type="pct"/>
        <w:tblInd w:w="0" w:type="dxa"/>
        <w:tblBorders>
          <w:top w:val="nil"/>
          <w:left w:val="nil"/>
          <w:bottom w:val="nil"/>
          <w:right w:val="nil"/>
        </w:tblBorders>
        <w:tblLook w:val="04A0" w:firstRow="1" w:lastRow="0" w:firstColumn="1" w:lastColumn="0" w:noHBand="0" w:noVBand="1"/>
      </w:tblPr>
      <w:tblGrid>
        <w:gridCol w:w="1144"/>
        <w:gridCol w:w="1332"/>
        <w:gridCol w:w="1188"/>
        <w:gridCol w:w="1960"/>
        <w:gridCol w:w="1633"/>
        <w:gridCol w:w="2093"/>
      </w:tblGrid>
      <w:tr w:rsidR="00505287" w14:paraId="093AF19B" w14:textId="77777777">
        <w:trPr>
          <w:trHeight w:val="647"/>
          <w:tblHeader/>
        </w:trPr>
        <w:tc>
          <w:tcPr>
            <w:tcW w:w="611" w:type="pct"/>
            <w:tcBorders>
              <w:top w:val="single" w:sz="4" w:space="0" w:color="000000"/>
              <w:left w:val="single" w:sz="4" w:space="0" w:color="000000"/>
              <w:bottom w:val="single" w:sz="4" w:space="0" w:color="000000"/>
              <w:right w:val="single" w:sz="4" w:space="0" w:color="000000"/>
            </w:tcBorders>
            <w:vAlign w:val="center"/>
          </w:tcPr>
          <w:p w14:paraId="61D50F09" w14:textId="77777777" w:rsidR="00505287" w:rsidRDefault="00B74D26">
            <w:pPr>
              <w:spacing w:after="0" w:line="240" w:lineRule="auto"/>
              <w:rPr>
                <w:b/>
                <w:color w:val="000000"/>
                <w:sz w:val="20"/>
              </w:rPr>
            </w:pPr>
            <w:r>
              <w:rPr>
                <w:b/>
                <w:color w:val="000000"/>
                <w:sz w:val="20"/>
              </w:rPr>
              <w:t>Study</w:t>
            </w:r>
          </w:p>
        </w:tc>
        <w:tc>
          <w:tcPr>
            <w:tcW w:w="712" w:type="pct"/>
            <w:tcBorders>
              <w:top w:val="single" w:sz="4" w:space="0" w:color="000000"/>
              <w:left w:val="single" w:sz="4" w:space="0" w:color="000000"/>
              <w:bottom w:val="single" w:sz="4" w:space="0" w:color="000000"/>
              <w:right w:val="single" w:sz="4" w:space="0" w:color="000000"/>
            </w:tcBorders>
          </w:tcPr>
          <w:p w14:paraId="45AEC667" w14:textId="77777777" w:rsidR="00505287" w:rsidRDefault="00B74D26">
            <w:pPr>
              <w:spacing w:after="0" w:line="240" w:lineRule="auto"/>
              <w:jc w:val="center"/>
              <w:rPr>
                <w:b/>
                <w:color w:val="000000"/>
                <w:sz w:val="20"/>
              </w:rPr>
            </w:pPr>
            <w:r>
              <w:rPr>
                <w:b/>
                <w:color w:val="000000"/>
                <w:sz w:val="20"/>
              </w:rPr>
              <w:t>Kidney Failure Definition</w:t>
            </w:r>
          </w:p>
        </w:tc>
        <w:tc>
          <w:tcPr>
            <w:tcW w:w="635" w:type="pct"/>
            <w:tcBorders>
              <w:top w:val="single" w:sz="4" w:space="0" w:color="000000"/>
              <w:left w:val="single" w:sz="4" w:space="0" w:color="000000"/>
              <w:bottom w:val="single" w:sz="4" w:space="0" w:color="000000"/>
              <w:right w:val="single" w:sz="4" w:space="0" w:color="000000"/>
            </w:tcBorders>
            <w:vAlign w:val="center"/>
          </w:tcPr>
          <w:p w14:paraId="5CFE3A1A" w14:textId="77777777" w:rsidR="00505287" w:rsidRDefault="00B74D26">
            <w:pPr>
              <w:spacing w:after="0" w:line="240" w:lineRule="auto"/>
              <w:jc w:val="center"/>
              <w:rPr>
                <w:b/>
                <w:color w:val="000000"/>
                <w:sz w:val="20"/>
                <w:vertAlign w:val="superscript"/>
              </w:rPr>
            </w:pPr>
            <w:r>
              <w:rPr>
                <w:b/>
                <w:color w:val="000000"/>
                <w:sz w:val="20"/>
              </w:rPr>
              <w:t>Timepoint of Proteinuria Measurement</w:t>
            </w:r>
          </w:p>
        </w:tc>
        <w:tc>
          <w:tcPr>
            <w:tcW w:w="1048" w:type="pct"/>
            <w:tcBorders>
              <w:top w:val="single" w:sz="4" w:space="0" w:color="000000"/>
              <w:left w:val="single" w:sz="4" w:space="0" w:color="000000"/>
              <w:bottom w:val="single" w:sz="4" w:space="0" w:color="000000"/>
              <w:right w:val="single" w:sz="4" w:space="0" w:color="000000"/>
            </w:tcBorders>
            <w:vAlign w:val="center"/>
          </w:tcPr>
          <w:p w14:paraId="2007EBBC" w14:textId="77777777" w:rsidR="00505287" w:rsidRDefault="00B74D26">
            <w:pPr>
              <w:spacing w:after="0" w:line="240" w:lineRule="auto"/>
              <w:jc w:val="center"/>
              <w:rPr>
                <w:b/>
                <w:color w:val="000000"/>
                <w:sz w:val="20"/>
              </w:rPr>
            </w:pPr>
            <w:r>
              <w:rPr>
                <w:b/>
                <w:color w:val="000000"/>
                <w:sz w:val="20"/>
              </w:rPr>
              <w:t xml:space="preserve">Proteinuria </w:t>
            </w:r>
            <w:proofErr w:type="spellStart"/>
            <w:r>
              <w:rPr>
                <w:b/>
                <w:color w:val="000000"/>
                <w:sz w:val="20"/>
              </w:rPr>
              <w:t>Categories</w:t>
            </w:r>
            <w:r>
              <w:rPr>
                <w:b/>
                <w:color w:val="000000"/>
                <w:sz w:val="20"/>
                <w:vertAlign w:val="superscript"/>
              </w:rPr>
              <w:t>a</w:t>
            </w:r>
            <w:proofErr w:type="spellEnd"/>
            <w:r>
              <w:rPr>
                <w:b/>
                <w:color w:val="000000"/>
                <w:sz w:val="20"/>
              </w:rPr>
              <w:t xml:space="preserve"> </w:t>
            </w:r>
          </w:p>
        </w:tc>
        <w:tc>
          <w:tcPr>
            <w:tcW w:w="873" w:type="pct"/>
            <w:tcBorders>
              <w:top w:val="single" w:sz="4" w:space="0" w:color="000000"/>
              <w:left w:val="single" w:sz="4" w:space="0" w:color="000000"/>
              <w:bottom w:val="single" w:sz="4" w:space="0" w:color="000000"/>
              <w:right w:val="single" w:sz="4" w:space="0" w:color="000000"/>
            </w:tcBorders>
            <w:vAlign w:val="center"/>
          </w:tcPr>
          <w:p w14:paraId="6AEB6189" w14:textId="77777777" w:rsidR="00505287" w:rsidRDefault="00B74D26">
            <w:pPr>
              <w:spacing w:after="0" w:line="240" w:lineRule="auto"/>
              <w:jc w:val="center"/>
              <w:rPr>
                <w:b/>
                <w:color w:val="000000"/>
                <w:sz w:val="20"/>
                <w:vertAlign w:val="superscript"/>
              </w:rPr>
            </w:pPr>
            <w:r>
              <w:rPr>
                <w:b/>
                <w:color w:val="000000"/>
                <w:sz w:val="20"/>
              </w:rPr>
              <w:t xml:space="preserve">Mean/median Proteinuria </w:t>
            </w:r>
            <w:proofErr w:type="spellStart"/>
            <w:r>
              <w:rPr>
                <w:b/>
                <w:color w:val="000000"/>
                <w:sz w:val="20"/>
              </w:rPr>
              <w:t>Levels</w:t>
            </w:r>
            <w:r>
              <w:rPr>
                <w:b/>
                <w:color w:val="000000"/>
                <w:sz w:val="20"/>
                <w:vertAlign w:val="superscript"/>
              </w:rPr>
              <w:t>b</w:t>
            </w:r>
            <w:proofErr w:type="spellEnd"/>
          </w:p>
        </w:tc>
        <w:tc>
          <w:tcPr>
            <w:tcW w:w="1119" w:type="pct"/>
            <w:tcBorders>
              <w:top w:val="single" w:sz="4" w:space="0" w:color="000000"/>
              <w:left w:val="single" w:sz="4" w:space="0" w:color="000000"/>
              <w:bottom w:val="single" w:sz="4" w:space="0" w:color="000000"/>
              <w:right w:val="single" w:sz="4" w:space="0" w:color="000000"/>
            </w:tcBorders>
            <w:vAlign w:val="center"/>
          </w:tcPr>
          <w:p w14:paraId="6309C798" w14:textId="77777777" w:rsidR="00505287" w:rsidRDefault="00B74D26">
            <w:pPr>
              <w:spacing w:after="0" w:line="240" w:lineRule="auto"/>
              <w:jc w:val="center"/>
              <w:rPr>
                <w:b/>
                <w:color w:val="000000"/>
                <w:sz w:val="20"/>
              </w:rPr>
            </w:pPr>
            <w:r>
              <w:rPr>
                <w:b/>
                <w:color w:val="000000"/>
                <w:sz w:val="20"/>
              </w:rPr>
              <w:t>Hazard Ratio (95% CI)</w:t>
            </w:r>
          </w:p>
        </w:tc>
      </w:tr>
      <w:tr w:rsidR="00505287" w14:paraId="6BA627F2" w14:textId="77777777">
        <w:trPr>
          <w:trHeight w:val="259"/>
        </w:trPr>
        <w:tc>
          <w:tcPr>
            <w:tcW w:w="611" w:type="pct"/>
            <w:vMerge w:val="restart"/>
            <w:tcBorders>
              <w:top w:val="single" w:sz="4" w:space="0" w:color="000000"/>
              <w:left w:val="single" w:sz="4" w:space="0" w:color="000000"/>
              <w:bottom w:val="nil"/>
              <w:right w:val="single" w:sz="4" w:space="0" w:color="000000"/>
            </w:tcBorders>
            <w:vAlign w:val="center"/>
          </w:tcPr>
          <w:p w14:paraId="3553838D" w14:textId="77777777" w:rsidR="00505287" w:rsidRDefault="00B74D26">
            <w:pPr>
              <w:spacing w:after="0" w:line="240" w:lineRule="auto"/>
              <w:rPr>
                <w:b/>
                <w:color w:val="000000"/>
                <w:sz w:val="20"/>
              </w:rPr>
            </w:pPr>
            <w:r>
              <w:rPr>
                <w:b/>
                <w:color w:val="000000"/>
                <w:sz w:val="20"/>
              </w:rPr>
              <w:t>Ai 2020</w:t>
            </w:r>
          </w:p>
        </w:tc>
        <w:tc>
          <w:tcPr>
            <w:tcW w:w="712" w:type="pct"/>
            <w:vMerge w:val="restart"/>
            <w:tcBorders>
              <w:top w:val="single" w:sz="4" w:space="0" w:color="000000"/>
              <w:left w:val="single" w:sz="4" w:space="0" w:color="000000"/>
              <w:bottom w:val="nil"/>
              <w:right w:val="single" w:sz="4" w:space="0" w:color="000000"/>
            </w:tcBorders>
          </w:tcPr>
          <w:p w14:paraId="5FEA938F" w14:textId="77777777" w:rsidR="00505287" w:rsidRDefault="00B74D26">
            <w:pPr>
              <w:spacing w:after="0" w:line="240" w:lineRule="auto"/>
              <w:jc w:val="center"/>
              <w:rPr>
                <w:sz w:val="20"/>
              </w:rPr>
            </w:pPr>
            <w:proofErr w:type="spellStart"/>
            <w:r>
              <w:rPr>
                <w:color w:val="000000"/>
                <w:sz w:val="20"/>
              </w:rPr>
              <w:t>SCr</w:t>
            </w:r>
            <w:proofErr w:type="spellEnd"/>
            <w:r>
              <w:rPr>
                <w:color w:val="000000"/>
                <w:sz w:val="20"/>
              </w:rPr>
              <w:t xml:space="preserve"> doubling, eGFR &lt;15 mL/min/1.73m</w:t>
            </w:r>
            <w:r>
              <w:rPr>
                <w:color w:val="000000"/>
                <w:sz w:val="20"/>
                <w:vertAlign w:val="superscript"/>
              </w:rPr>
              <w:t>2</w:t>
            </w:r>
            <w:r>
              <w:rPr>
                <w:color w:val="000000"/>
                <w:sz w:val="20"/>
              </w:rPr>
              <w:t>, dialysis, or transplantation</w:t>
            </w:r>
          </w:p>
        </w:tc>
        <w:tc>
          <w:tcPr>
            <w:tcW w:w="635" w:type="pct"/>
            <w:tcBorders>
              <w:top w:val="single" w:sz="4" w:space="0" w:color="000000"/>
              <w:left w:val="single" w:sz="4" w:space="0" w:color="000000"/>
              <w:bottom w:val="nil"/>
              <w:right w:val="single" w:sz="4" w:space="0" w:color="000000"/>
            </w:tcBorders>
          </w:tcPr>
          <w:p w14:paraId="452BBEE6" w14:textId="77777777" w:rsidR="00505287" w:rsidRDefault="00505287">
            <w:pPr>
              <w:spacing w:after="0" w:line="240" w:lineRule="auto"/>
              <w:jc w:val="center"/>
              <w:rPr>
                <w:sz w:val="20"/>
              </w:rPr>
            </w:pPr>
          </w:p>
        </w:tc>
        <w:tc>
          <w:tcPr>
            <w:tcW w:w="1048" w:type="pct"/>
            <w:tcBorders>
              <w:top w:val="single" w:sz="4" w:space="0" w:color="000000"/>
              <w:left w:val="single" w:sz="4" w:space="0" w:color="000000"/>
              <w:bottom w:val="single" w:sz="4" w:space="0" w:color="000000"/>
              <w:right w:val="single" w:sz="4" w:space="0" w:color="000000"/>
            </w:tcBorders>
            <w:vAlign w:val="center"/>
          </w:tcPr>
          <w:p w14:paraId="3A475140" w14:textId="77777777" w:rsidR="00505287" w:rsidRDefault="00B74D26">
            <w:pPr>
              <w:spacing w:after="0" w:line="240" w:lineRule="auto"/>
              <w:jc w:val="center"/>
              <w:rPr>
                <w:sz w:val="20"/>
              </w:rPr>
            </w:pPr>
            <w:r>
              <w:rPr>
                <w:sz w:val="20"/>
              </w:rPr>
              <w:t>≤ 0.30</w:t>
            </w:r>
          </w:p>
        </w:tc>
        <w:tc>
          <w:tcPr>
            <w:tcW w:w="873" w:type="pct"/>
            <w:tcBorders>
              <w:top w:val="single" w:sz="4" w:space="0" w:color="000000"/>
              <w:left w:val="single" w:sz="4" w:space="0" w:color="000000"/>
              <w:bottom w:val="single" w:sz="4" w:space="0" w:color="000000"/>
              <w:right w:val="single" w:sz="4" w:space="0" w:color="000000"/>
            </w:tcBorders>
            <w:vAlign w:val="center"/>
          </w:tcPr>
          <w:p w14:paraId="5D04D9F7" w14:textId="77777777" w:rsidR="00505287" w:rsidRDefault="00B74D26">
            <w:pPr>
              <w:spacing w:after="0" w:line="240" w:lineRule="auto"/>
              <w:jc w:val="center"/>
              <w:rPr>
                <w:color w:val="000000"/>
                <w:sz w:val="20"/>
              </w:rPr>
            </w:pPr>
            <w:r>
              <w:rPr>
                <w:color w:val="000000"/>
                <w:sz w:val="20"/>
              </w:rPr>
              <w:t>0.20</w:t>
            </w:r>
          </w:p>
        </w:tc>
        <w:tc>
          <w:tcPr>
            <w:tcW w:w="1119" w:type="pct"/>
            <w:tcBorders>
              <w:top w:val="single" w:sz="4" w:space="0" w:color="000000"/>
              <w:left w:val="single" w:sz="4" w:space="0" w:color="000000"/>
              <w:bottom w:val="single" w:sz="4" w:space="0" w:color="000000"/>
              <w:right w:val="single" w:sz="4" w:space="0" w:color="000000"/>
            </w:tcBorders>
            <w:vAlign w:val="center"/>
          </w:tcPr>
          <w:p w14:paraId="1E2AD125" w14:textId="77777777" w:rsidR="00505287" w:rsidRDefault="00B74D26">
            <w:pPr>
              <w:spacing w:after="0" w:line="240" w:lineRule="auto"/>
              <w:jc w:val="center"/>
              <w:rPr>
                <w:color w:val="000000"/>
                <w:sz w:val="20"/>
              </w:rPr>
            </w:pPr>
            <w:r>
              <w:rPr>
                <w:color w:val="000000"/>
                <w:sz w:val="20"/>
              </w:rPr>
              <w:t>Ref</w:t>
            </w:r>
          </w:p>
        </w:tc>
      </w:tr>
      <w:tr w:rsidR="00505287" w14:paraId="4CC6C2AA" w14:textId="77777777">
        <w:trPr>
          <w:trHeight w:val="259"/>
        </w:trPr>
        <w:tc>
          <w:tcPr>
            <w:tcW w:w="611" w:type="pct"/>
            <w:vMerge/>
            <w:tcBorders>
              <w:top w:val="nil"/>
              <w:left w:val="single" w:sz="4" w:space="0" w:color="000000"/>
              <w:bottom w:val="nil"/>
              <w:right w:val="single" w:sz="4" w:space="0" w:color="000000"/>
            </w:tcBorders>
            <w:vAlign w:val="center"/>
          </w:tcPr>
          <w:p w14:paraId="60574EE5" w14:textId="77777777" w:rsidR="00505287" w:rsidRDefault="00505287"/>
        </w:tc>
        <w:tc>
          <w:tcPr>
            <w:tcW w:w="712" w:type="pct"/>
            <w:vMerge/>
            <w:tcBorders>
              <w:top w:val="nil"/>
              <w:left w:val="single" w:sz="4" w:space="0" w:color="000000"/>
              <w:bottom w:val="nil"/>
              <w:right w:val="single" w:sz="4" w:space="0" w:color="000000"/>
            </w:tcBorders>
            <w:vAlign w:val="center"/>
          </w:tcPr>
          <w:p w14:paraId="107A9B42" w14:textId="77777777" w:rsidR="00505287" w:rsidRDefault="00505287"/>
        </w:tc>
        <w:tc>
          <w:tcPr>
            <w:tcW w:w="635" w:type="pct"/>
            <w:tcBorders>
              <w:top w:val="nil"/>
              <w:left w:val="single" w:sz="4" w:space="0" w:color="000000"/>
              <w:bottom w:val="nil"/>
              <w:right w:val="single" w:sz="4" w:space="0" w:color="000000"/>
            </w:tcBorders>
            <w:vAlign w:val="center"/>
          </w:tcPr>
          <w:p w14:paraId="4AA2F450" w14:textId="77777777" w:rsidR="00505287" w:rsidRDefault="00B74D26">
            <w:pPr>
              <w:spacing w:after="0" w:line="240" w:lineRule="auto"/>
              <w:jc w:val="center"/>
              <w:rPr>
                <w:sz w:val="20"/>
              </w:rPr>
            </w:pPr>
            <w:r>
              <w:rPr>
                <w:sz w:val="20"/>
              </w:rPr>
              <w:t>Baseline</w:t>
            </w:r>
          </w:p>
        </w:tc>
        <w:tc>
          <w:tcPr>
            <w:tcW w:w="1048" w:type="pct"/>
            <w:tcBorders>
              <w:top w:val="single" w:sz="4" w:space="0" w:color="000000"/>
              <w:left w:val="single" w:sz="4" w:space="0" w:color="000000"/>
              <w:bottom w:val="single" w:sz="4" w:space="0" w:color="000000"/>
              <w:right w:val="single" w:sz="4" w:space="0" w:color="000000"/>
            </w:tcBorders>
            <w:vAlign w:val="center"/>
          </w:tcPr>
          <w:p w14:paraId="688389E3" w14:textId="77777777" w:rsidR="00505287" w:rsidRDefault="00B74D26">
            <w:pPr>
              <w:spacing w:after="0" w:line="240" w:lineRule="auto"/>
              <w:jc w:val="center"/>
              <w:rPr>
                <w:sz w:val="20"/>
              </w:rPr>
            </w:pPr>
            <w:r>
              <w:rPr>
                <w:sz w:val="20"/>
              </w:rPr>
              <w:t>0.31 – 0.50</w:t>
            </w:r>
          </w:p>
        </w:tc>
        <w:tc>
          <w:tcPr>
            <w:tcW w:w="873" w:type="pct"/>
            <w:tcBorders>
              <w:top w:val="single" w:sz="4" w:space="0" w:color="000000"/>
              <w:left w:val="single" w:sz="4" w:space="0" w:color="000000"/>
              <w:bottom w:val="single" w:sz="4" w:space="0" w:color="000000"/>
              <w:right w:val="single" w:sz="4" w:space="0" w:color="000000"/>
            </w:tcBorders>
            <w:vAlign w:val="center"/>
          </w:tcPr>
          <w:p w14:paraId="194DA7BA" w14:textId="77777777" w:rsidR="00505287" w:rsidRDefault="00B74D26">
            <w:pPr>
              <w:spacing w:after="0" w:line="240" w:lineRule="auto"/>
              <w:jc w:val="center"/>
              <w:rPr>
                <w:color w:val="000000"/>
                <w:sz w:val="20"/>
              </w:rPr>
            </w:pPr>
            <w:r>
              <w:rPr>
                <w:color w:val="000000"/>
                <w:sz w:val="20"/>
              </w:rPr>
              <w:t>0.40</w:t>
            </w:r>
          </w:p>
        </w:tc>
        <w:tc>
          <w:tcPr>
            <w:tcW w:w="1119" w:type="pct"/>
            <w:tcBorders>
              <w:top w:val="single" w:sz="4" w:space="0" w:color="000000"/>
              <w:left w:val="single" w:sz="4" w:space="0" w:color="000000"/>
              <w:bottom w:val="single" w:sz="4" w:space="0" w:color="000000"/>
              <w:right w:val="single" w:sz="4" w:space="0" w:color="000000"/>
            </w:tcBorders>
            <w:vAlign w:val="center"/>
          </w:tcPr>
          <w:p w14:paraId="53285160" w14:textId="77777777" w:rsidR="00505287" w:rsidRDefault="00B74D26">
            <w:pPr>
              <w:spacing w:after="0" w:line="240" w:lineRule="auto"/>
              <w:jc w:val="center"/>
              <w:rPr>
                <w:color w:val="000000"/>
                <w:sz w:val="20"/>
              </w:rPr>
            </w:pPr>
            <w:r>
              <w:rPr>
                <w:color w:val="000000"/>
                <w:sz w:val="20"/>
              </w:rPr>
              <w:t>2.72 (0.74 – 9.98)</w:t>
            </w:r>
          </w:p>
        </w:tc>
      </w:tr>
      <w:tr w:rsidR="00505287" w14:paraId="386F588A" w14:textId="77777777">
        <w:trPr>
          <w:trHeight w:val="259"/>
        </w:trPr>
        <w:tc>
          <w:tcPr>
            <w:tcW w:w="611" w:type="pct"/>
            <w:vMerge/>
            <w:tcBorders>
              <w:top w:val="nil"/>
              <w:left w:val="single" w:sz="4" w:space="0" w:color="000000"/>
              <w:bottom w:val="nil"/>
              <w:right w:val="single" w:sz="4" w:space="0" w:color="000000"/>
            </w:tcBorders>
            <w:vAlign w:val="center"/>
          </w:tcPr>
          <w:p w14:paraId="0026D817" w14:textId="77777777" w:rsidR="00505287" w:rsidRDefault="00505287"/>
        </w:tc>
        <w:tc>
          <w:tcPr>
            <w:tcW w:w="712" w:type="pct"/>
            <w:vMerge/>
            <w:tcBorders>
              <w:top w:val="nil"/>
              <w:left w:val="single" w:sz="4" w:space="0" w:color="000000"/>
              <w:bottom w:val="nil"/>
              <w:right w:val="single" w:sz="4" w:space="0" w:color="000000"/>
            </w:tcBorders>
            <w:vAlign w:val="center"/>
          </w:tcPr>
          <w:p w14:paraId="6D3CA625" w14:textId="77777777" w:rsidR="00505287" w:rsidRDefault="00505287"/>
        </w:tc>
        <w:tc>
          <w:tcPr>
            <w:tcW w:w="635" w:type="pct"/>
            <w:tcBorders>
              <w:top w:val="nil"/>
              <w:left w:val="single" w:sz="4" w:space="0" w:color="000000"/>
              <w:bottom w:val="nil"/>
              <w:right w:val="single" w:sz="4" w:space="0" w:color="000000"/>
            </w:tcBorders>
            <w:vAlign w:val="center"/>
          </w:tcPr>
          <w:p w14:paraId="4ABED7B2" w14:textId="77777777" w:rsidR="00505287" w:rsidRDefault="00505287">
            <w:pPr>
              <w:spacing w:after="0" w:line="240" w:lineRule="auto"/>
              <w:jc w:val="center"/>
              <w:rPr>
                <w:sz w:val="20"/>
              </w:rPr>
            </w:pPr>
          </w:p>
        </w:tc>
        <w:tc>
          <w:tcPr>
            <w:tcW w:w="1048" w:type="pct"/>
            <w:tcBorders>
              <w:top w:val="single" w:sz="4" w:space="0" w:color="000000"/>
              <w:left w:val="single" w:sz="4" w:space="0" w:color="000000"/>
              <w:bottom w:val="single" w:sz="4" w:space="0" w:color="000000"/>
              <w:right w:val="single" w:sz="4" w:space="0" w:color="000000"/>
            </w:tcBorders>
            <w:vAlign w:val="center"/>
          </w:tcPr>
          <w:p w14:paraId="1665B24A" w14:textId="77777777" w:rsidR="00505287" w:rsidRDefault="00B74D26">
            <w:pPr>
              <w:spacing w:after="0" w:line="240" w:lineRule="auto"/>
              <w:jc w:val="center"/>
              <w:rPr>
                <w:sz w:val="20"/>
              </w:rPr>
            </w:pPr>
            <w:r>
              <w:rPr>
                <w:sz w:val="20"/>
              </w:rPr>
              <w:t>0.51 – 1.00</w:t>
            </w:r>
          </w:p>
        </w:tc>
        <w:tc>
          <w:tcPr>
            <w:tcW w:w="873" w:type="pct"/>
            <w:tcBorders>
              <w:top w:val="single" w:sz="4" w:space="0" w:color="000000"/>
              <w:left w:val="single" w:sz="4" w:space="0" w:color="000000"/>
              <w:bottom w:val="single" w:sz="4" w:space="0" w:color="000000"/>
              <w:right w:val="single" w:sz="4" w:space="0" w:color="000000"/>
            </w:tcBorders>
            <w:vAlign w:val="center"/>
          </w:tcPr>
          <w:p w14:paraId="56758691" w14:textId="77777777" w:rsidR="00505287" w:rsidRDefault="00B74D26">
            <w:pPr>
              <w:spacing w:after="0" w:line="240" w:lineRule="auto"/>
              <w:jc w:val="center"/>
              <w:rPr>
                <w:color w:val="000000"/>
                <w:sz w:val="20"/>
              </w:rPr>
            </w:pPr>
            <w:r>
              <w:rPr>
                <w:color w:val="000000"/>
                <w:sz w:val="20"/>
              </w:rPr>
              <w:t>0.68</w:t>
            </w:r>
          </w:p>
        </w:tc>
        <w:tc>
          <w:tcPr>
            <w:tcW w:w="1119" w:type="pct"/>
            <w:tcBorders>
              <w:top w:val="single" w:sz="4" w:space="0" w:color="000000"/>
              <w:left w:val="single" w:sz="4" w:space="0" w:color="000000"/>
              <w:bottom w:val="single" w:sz="4" w:space="0" w:color="000000"/>
              <w:right w:val="single" w:sz="4" w:space="0" w:color="000000"/>
            </w:tcBorders>
            <w:vAlign w:val="center"/>
          </w:tcPr>
          <w:p w14:paraId="75B83FAA" w14:textId="77777777" w:rsidR="00505287" w:rsidRDefault="00B74D26">
            <w:pPr>
              <w:spacing w:after="0" w:line="240" w:lineRule="auto"/>
              <w:jc w:val="center"/>
              <w:rPr>
                <w:color w:val="000000"/>
                <w:sz w:val="20"/>
              </w:rPr>
            </w:pPr>
            <w:r>
              <w:rPr>
                <w:color w:val="000000"/>
                <w:sz w:val="20"/>
              </w:rPr>
              <w:t>2.12 (0.67 – 6.70)</w:t>
            </w:r>
          </w:p>
        </w:tc>
      </w:tr>
      <w:tr w:rsidR="00505287" w14:paraId="6D25DD1F" w14:textId="77777777">
        <w:trPr>
          <w:trHeight w:val="259"/>
        </w:trPr>
        <w:tc>
          <w:tcPr>
            <w:tcW w:w="611" w:type="pct"/>
            <w:vMerge/>
            <w:tcBorders>
              <w:top w:val="nil"/>
              <w:left w:val="single" w:sz="4" w:space="0" w:color="000000"/>
              <w:bottom w:val="nil"/>
              <w:right w:val="single" w:sz="4" w:space="0" w:color="000000"/>
            </w:tcBorders>
            <w:vAlign w:val="center"/>
          </w:tcPr>
          <w:p w14:paraId="22A482AC" w14:textId="77777777" w:rsidR="00505287" w:rsidRDefault="00505287"/>
        </w:tc>
        <w:tc>
          <w:tcPr>
            <w:tcW w:w="712" w:type="pct"/>
            <w:vMerge/>
            <w:tcBorders>
              <w:top w:val="nil"/>
              <w:left w:val="single" w:sz="4" w:space="0" w:color="000000"/>
              <w:bottom w:val="single" w:sz="4" w:space="0" w:color="000000"/>
              <w:right w:val="single" w:sz="4" w:space="0" w:color="000000"/>
            </w:tcBorders>
            <w:vAlign w:val="center"/>
          </w:tcPr>
          <w:p w14:paraId="1C35C07A" w14:textId="77777777" w:rsidR="00505287" w:rsidRDefault="00505287"/>
        </w:tc>
        <w:tc>
          <w:tcPr>
            <w:tcW w:w="635" w:type="pct"/>
            <w:tcBorders>
              <w:top w:val="nil"/>
              <w:left w:val="single" w:sz="4" w:space="0" w:color="000000"/>
              <w:bottom w:val="single" w:sz="4" w:space="0" w:color="000000"/>
              <w:right w:val="single" w:sz="4" w:space="0" w:color="000000"/>
            </w:tcBorders>
            <w:vAlign w:val="center"/>
          </w:tcPr>
          <w:p w14:paraId="5525C071" w14:textId="77777777" w:rsidR="00505287" w:rsidRDefault="00505287">
            <w:pPr>
              <w:spacing w:after="0" w:line="240" w:lineRule="auto"/>
              <w:jc w:val="center"/>
              <w:rPr>
                <w:sz w:val="20"/>
              </w:rPr>
            </w:pPr>
          </w:p>
        </w:tc>
        <w:tc>
          <w:tcPr>
            <w:tcW w:w="1048" w:type="pct"/>
            <w:tcBorders>
              <w:top w:val="single" w:sz="4" w:space="0" w:color="000000"/>
              <w:left w:val="single" w:sz="4" w:space="0" w:color="000000"/>
              <w:bottom w:val="single" w:sz="4" w:space="0" w:color="000000"/>
              <w:right w:val="single" w:sz="4" w:space="0" w:color="000000"/>
            </w:tcBorders>
            <w:vAlign w:val="center"/>
          </w:tcPr>
          <w:p w14:paraId="24548AC4" w14:textId="77777777" w:rsidR="00505287" w:rsidRDefault="00B74D26">
            <w:pPr>
              <w:spacing w:after="0" w:line="240" w:lineRule="auto"/>
              <w:jc w:val="center"/>
              <w:rPr>
                <w:sz w:val="20"/>
              </w:rPr>
            </w:pPr>
            <w:r>
              <w:rPr>
                <w:sz w:val="20"/>
              </w:rPr>
              <w:t>&gt; 1.00</w:t>
            </w:r>
          </w:p>
        </w:tc>
        <w:tc>
          <w:tcPr>
            <w:tcW w:w="873" w:type="pct"/>
            <w:tcBorders>
              <w:top w:val="single" w:sz="4" w:space="0" w:color="000000"/>
              <w:left w:val="single" w:sz="4" w:space="0" w:color="000000"/>
              <w:bottom w:val="single" w:sz="4" w:space="0" w:color="000000"/>
              <w:right w:val="single" w:sz="4" w:space="0" w:color="000000"/>
            </w:tcBorders>
            <w:vAlign w:val="center"/>
          </w:tcPr>
          <w:p w14:paraId="5A5C4144" w14:textId="77777777" w:rsidR="00505287" w:rsidRDefault="00B74D26">
            <w:pPr>
              <w:spacing w:after="0" w:line="240" w:lineRule="auto"/>
              <w:jc w:val="center"/>
              <w:rPr>
                <w:color w:val="000000"/>
                <w:sz w:val="20"/>
              </w:rPr>
            </w:pPr>
            <w:r>
              <w:rPr>
                <w:color w:val="000000"/>
                <w:sz w:val="20"/>
              </w:rPr>
              <w:t>1.80</w:t>
            </w:r>
          </w:p>
        </w:tc>
        <w:tc>
          <w:tcPr>
            <w:tcW w:w="1119" w:type="pct"/>
            <w:tcBorders>
              <w:top w:val="single" w:sz="4" w:space="0" w:color="000000"/>
              <w:left w:val="single" w:sz="4" w:space="0" w:color="000000"/>
              <w:bottom w:val="single" w:sz="4" w:space="0" w:color="000000"/>
              <w:right w:val="single" w:sz="4" w:space="0" w:color="000000"/>
            </w:tcBorders>
            <w:vAlign w:val="center"/>
          </w:tcPr>
          <w:p w14:paraId="2040B329" w14:textId="77777777" w:rsidR="00505287" w:rsidRDefault="00B74D26">
            <w:pPr>
              <w:spacing w:after="0" w:line="240" w:lineRule="auto"/>
              <w:jc w:val="center"/>
              <w:rPr>
                <w:color w:val="000000"/>
                <w:sz w:val="20"/>
              </w:rPr>
            </w:pPr>
            <w:r>
              <w:rPr>
                <w:color w:val="000000"/>
                <w:sz w:val="20"/>
              </w:rPr>
              <w:t>6.04 (2.08 – 17.50)</w:t>
            </w:r>
          </w:p>
        </w:tc>
      </w:tr>
      <w:tr w:rsidR="00505287" w14:paraId="18A38D82" w14:textId="77777777">
        <w:trPr>
          <w:trHeight w:val="259"/>
        </w:trPr>
        <w:tc>
          <w:tcPr>
            <w:tcW w:w="611" w:type="pct"/>
            <w:vMerge w:val="restart"/>
            <w:tcBorders>
              <w:top w:val="single" w:sz="4" w:space="0" w:color="000000"/>
              <w:left w:val="single" w:sz="4" w:space="0" w:color="000000"/>
              <w:bottom w:val="nil"/>
              <w:right w:val="single" w:sz="4" w:space="0" w:color="000000"/>
            </w:tcBorders>
            <w:vAlign w:val="center"/>
          </w:tcPr>
          <w:p w14:paraId="60A0D510" w14:textId="77777777" w:rsidR="00505287" w:rsidRDefault="00B74D26">
            <w:pPr>
              <w:spacing w:after="0" w:line="240" w:lineRule="auto"/>
              <w:rPr>
                <w:b/>
                <w:color w:val="000000"/>
                <w:sz w:val="20"/>
              </w:rPr>
            </w:pPr>
            <w:r>
              <w:rPr>
                <w:b/>
                <w:color w:val="000000"/>
                <w:sz w:val="20"/>
              </w:rPr>
              <w:t>Alexander 2021</w:t>
            </w:r>
          </w:p>
        </w:tc>
        <w:tc>
          <w:tcPr>
            <w:tcW w:w="712" w:type="pct"/>
            <w:vMerge w:val="restart"/>
            <w:tcBorders>
              <w:top w:val="single" w:sz="4" w:space="0" w:color="000000"/>
              <w:left w:val="single" w:sz="4" w:space="0" w:color="000000"/>
              <w:bottom w:val="nil"/>
              <w:right w:val="single" w:sz="4" w:space="0" w:color="000000"/>
            </w:tcBorders>
            <w:vAlign w:val="center"/>
          </w:tcPr>
          <w:p w14:paraId="151AA8BF" w14:textId="77777777" w:rsidR="00505287" w:rsidRDefault="00B74D26">
            <w:pPr>
              <w:spacing w:line="240" w:lineRule="auto"/>
              <w:jc w:val="center"/>
              <w:rPr>
                <w:sz w:val="20"/>
              </w:rPr>
            </w:pPr>
            <w:r>
              <w:rPr>
                <w:color w:val="000000"/>
                <w:sz w:val="20"/>
              </w:rPr>
              <w:t>50% decline in eGFR, eGFR &lt;15 ml/1.73, KRT, or death</w:t>
            </w:r>
          </w:p>
        </w:tc>
        <w:tc>
          <w:tcPr>
            <w:tcW w:w="635" w:type="pct"/>
            <w:vMerge w:val="restart"/>
            <w:tcBorders>
              <w:top w:val="single" w:sz="4" w:space="0" w:color="000000"/>
              <w:left w:val="single" w:sz="4" w:space="0" w:color="000000"/>
              <w:bottom w:val="nil"/>
              <w:right w:val="single" w:sz="4" w:space="0" w:color="000000"/>
            </w:tcBorders>
            <w:vAlign w:val="center"/>
          </w:tcPr>
          <w:p w14:paraId="3AC86A60" w14:textId="77777777" w:rsidR="00505287" w:rsidRDefault="00B74D26">
            <w:pPr>
              <w:spacing w:after="0" w:line="240" w:lineRule="auto"/>
              <w:jc w:val="center"/>
              <w:rPr>
                <w:sz w:val="20"/>
              </w:rPr>
            </w:pPr>
            <w:r>
              <w:rPr>
                <w:sz w:val="20"/>
              </w:rPr>
              <w:t xml:space="preserve">6 months </w:t>
            </w:r>
          </w:p>
        </w:tc>
        <w:tc>
          <w:tcPr>
            <w:tcW w:w="1048" w:type="pct"/>
            <w:tcBorders>
              <w:top w:val="single" w:sz="4" w:space="0" w:color="000000"/>
              <w:left w:val="single" w:sz="4" w:space="0" w:color="000000"/>
              <w:bottom w:val="single" w:sz="4" w:space="0" w:color="000000"/>
              <w:right w:val="single" w:sz="4" w:space="0" w:color="000000"/>
            </w:tcBorders>
            <w:vAlign w:val="center"/>
          </w:tcPr>
          <w:p w14:paraId="35A5A730" w14:textId="77777777" w:rsidR="00505287" w:rsidRDefault="00B74D26">
            <w:pPr>
              <w:spacing w:after="0" w:line="240" w:lineRule="auto"/>
              <w:jc w:val="center"/>
              <w:rPr>
                <w:color w:val="000000"/>
                <w:sz w:val="20"/>
              </w:rPr>
            </w:pPr>
            <w:r>
              <w:rPr>
                <w:sz w:val="20"/>
              </w:rPr>
              <w:t>&lt; 1.00</w:t>
            </w:r>
          </w:p>
        </w:tc>
        <w:tc>
          <w:tcPr>
            <w:tcW w:w="873" w:type="pct"/>
            <w:tcBorders>
              <w:top w:val="single" w:sz="4" w:space="0" w:color="000000"/>
              <w:left w:val="single" w:sz="4" w:space="0" w:color="000000"/>
              <w:bottom w:val="single" w:sz="4" w:space="0" w:color="000000"/>
              <w:right w:val="single" w:sz="4" w:space="0" w:color="000000"/>
            </w:tcBorders>
            <w:vAlign w:val="center"/>
          </w:tcPr>
          <w:p w14:paraId="2F0BACC3" w14:textId="77777777" w:rsidR="00505287" w:rsidRDefault="00B74D26">
            <w:pPr>
              <w:spacing w:after="0" w:line="240" w:lineRule="auto"/>
              <w:jc w:val="center"/>
              <w:rPr>
                <w:color w:val="000000"/>
                <w:sz w:val="20"/>
              </w:rPr>
            </w:pPr>
            <w:r>
              <w:rPr>
                <w:color w:val="000000"/>
                <w:sz w:val="20"/>
              </w:rPr>
              <w:t>0.43</w:t>
            </w:r>
          </w:p>
        </w:tc>
        <w:tc>
          <w:tcPr>
            <w:tcW w:w="1119" w:type="pct"/>
            <w:tcBorders>
              <w:top w:val="single" w:sz="4" w:space="0" w:color="000000"/>
              <w:left w:val="single" w:sz="4" w:space="0" w:color="000000"/>
              <w:bottom w:val="single" w:sz="4" w:space="0" w:color="000000"/>
              <w:right w:val="single" w:sz="4" w:space="0" w:color="000000"/>
            </w:tcBorders>
            <w:vAlign w:val="center"/>
          </w:tcPr>
          <w:p w14:paraId="6DEF83E3" w14:textId="77777777" w:rsidR="00505287" w:rsidRDefault="00B74D26">
            <w:pPr>
              <w:spacing w:after="0" w:line="240" w:lineRule="auto"/>
              <w:jc w:val="center"/>
              <w:rPr>
                <w:color w:val="000000"/>
                <w:sz w:val="20"/>
              </w:rPr>
            </w:pPr>
            <w:r>
              <w:rPr>
                <w:color w:val="000000"/>
                <w:sz w:val="20"/>
              </w:rPr>
              <w:t>Ref</w:t>
            </w:r>
          </w:p>
        </w:tc>
      </w:tr>
      <w:tr w:rsidR="00505287" w14:paraId="2A55ECD7" w14:textId="77777777">
        <w:trPr>
          <w:trHeight w:val="259"/>
        </w:trPr>
        <w:tc>
          <w:tcPr>
            <w:tcW w:w="611" w:type="pct"/>
            <w:vMerge/>
            <w:tcBorders>
              <w:top w:val="nil"/>
              <w:left w:val="single" w:sz="4" w:space="0" w:color="000000"/>
              <w:bottom w:val="single" w:sz="4" w:space="0" w:color="000000"/>
              <w:right w:val="single" w:sz="4" w:space="0" w:color="000000"/>
            </w:tcBorders>
            <w:vAlign w:val="center"/>
          </w:tcPr>
          <w:p w14:paraId="5578793C" w14:textId="77777777" w:rsidR="00505287" w:rsidRDefault="00505287"/>
        </w:tc>
        <w:tc>
          <w:tcPr>
            <w:tcW w:w="712" w:type="pct"/>
            <w:vMerge/>
            <w:tcBorders>
              <w:top w:val="nil"/>
              <w:left w:val="single" w:sz="4" w:space="0" w:color="000000"/>
              <w:bottom w:val="single" w:sz="4" w:space="0" w:color="000000"/>
              <w:right w:val="single" w:sz="4" w:space="0" w:color="000000"/>
            </w:tcBorders>
            <w:vAlign w:val="center"/>
          </w:tcPr>
          <w:p w14:paraId="09CFD7CE" w14:textId="77777777" w:rsidR="00505287" w:rsidRDefault="00505287"/>
        </w:tc>
        <w:tc>
          <w:tcPr>
            <w:tcW w:w="635" w:type="pct"/>
            <w:vMerge/>
            <w:tcBorders>
              <w:top w:val="nil"/>
              <w:left w:val="single" w:sz="4" w:space="0" w:color="000000"/>
              <w:bottom w:val="single" w:sz="4" w:space="0" w:color="000000"/>
              <w:right w:val="single" w:sz="4" w:space="0" w:color="000000"/>
            </w:tcBorders>
            <w:vAlign w:val="center"/>
          </w:tcPr>
          <w:p w14:paraId="0596A79F"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7FA9318F" w14:textId="77777777" w:rsidR="00505287" w:rsidRDefault="00B74D26">
            <w:pPr>
              <w:spacing w:after="0" w:line="240" w:lineRule="auto"/>
              <w:jc w:val="center"/>
              <w:rPr>
                <w:color w:val="000000"/>
                <w:sz w:val="20"/>
              </w:rPr>
            </w:pPr>
            <w:r>
              <w:rPr>
                <w:color w:val="000000"/>
                <w:sz w:val="20"/>
              </w:rPr>
              <w:t>≥ 1.00</w:t>
            </w:r>
          </w:p>
        </w:tc>
        <w:tc>
          <w:tcPr>
            <w:tcW w:w="873" w:type="pct"/>
            <w:tcBorders>
              <w:top w:val="single" w:sz="4" w:space="0" w:color="000000"/>
              <w:left w:val="single" w:sz="4" w:space="0" w:color="000000"/>
              <w:bottom w:val="single" w:sz="4" w:space="0" w:color="000000"/>
              <w:right w:val="single" w:sz="4" w:space="0" w:color="000000"/>
            </w:tcBorders>
            <w:vAlign w:val="center"/>
          </w:tcPr>
          <w:p w14:paraId="18DF4100" w14:textId="77777777" w:rsidR="00505287" w:rsidRDefault="00B74D26">
            <w:pPr>
              <w:spacing w:after="0" w:line="240" w:lineRule="auto"/>
              <w:jc w:val="center"/>
              <w:rPr>
                <w:color w:val="000000"/>
                <w:sz w:val="20"/>
              </w:rPr>
            </w:pPr>
            <w:r>
              <w:rPr>
                <w:color w:val="000000"/>
                <w:sz w:val="20"/>
              </w:rPr>
              <w:t>1.80</w:t>
            </w:r>
          </w:p>
        </w:tc>
        <w:tc>
          <w:tcPr>
            <w:tcW w:w="1119" w:type="pct"/>
            <w:tcBorders>
              <w:top w:val="single" w:sz="4" w:space="0" w:color="000000"/>
              <w:left w:val="single" w:sz="4" w:space="0" w:color="000000"/>
              <w:bottom w:val="single" w:sz="4" w:space="0" w:color="000000"/>
              <w:right w:val="single" w:sz="4" w:space="0" w:color="000000"/>
            </w:tcBorders>
            <w:vAlign w:val="center"/>
          </w:tcPr>
          <w:p w14:paraId="47CD4ED4" w14:textId="77777777" w:rsidR="00505287" w:rsidRDefault="00B74D26">
            <w:pPr>
              <w:spacing w:after="0" w:line="240" w:lineRule="auto"/>
              <w:jc w:val="center"/>
              <w:rPr>
                <w:color w:val="000000"/>
                <w:sz w:val="20"/>
              </w:rPr>
            </w:pPr>
            <w:r>
              <w:rPr>
                <w:color w:val="000000"/>
                <w:sz w:val="20"/>
              </w:rPr>
              <w:t>2.10 (1.10 – 3.90)</w:t>
            </w:r>
          </w:p>
        </w:tc>
      </w:tr>
      <w:tr w:rsidR="00505287" w14:paraId="7A7F9198" w14:textId="77777777">
        <w:trPr>
          <w:trHeight w:val="259"/>
        </w:trPr>
        <w:tc>
          <w:tcPr>
            <w:tcW w:w="611" w:type="pct"/>
            <w:vMerge w:val="restart"/>
            <w:tcBorders>
              <w:top w:val="single" w:sz="4" w:space="0" w:color="000000"/>
              <w:left w:val="single" w:sz="4" w:space="0" w:color="000000"/>
              <w:bottom w:val="nil"/>
              <w:right w:val="single" w:sz="4" w:space="0" w:color="000000"/>
            </w:tcBorders>
            <w:vAlign w:val="center"/>
          </w:tcPr>
          <w:p w14:paraId="3D6BB512" w14:textId="77777777" w:rsidR="00505287" w:rsidRDefault="00B74D26">
            <w:pPr>
              <w:spacing w:after="0" w:line="240" w:lineRule="auto"/>
              <w:rPr>
                <w:b/>
                <w:color w:val="000000"/>
                <w:sz w:val="20"/>
              </w:rPr>
            </w:pPr>
            <w:r>
              <w:rPr>
                <w:b/>
                <w:color w:val="000000"/>
                <w:sz w:val="20"/>
              </w:rPr>
              <w:t>Barbour 2013</w:t>
            </w:r>
          </w:p>
        </w:tc>
        <w:tc>
          <w:tcPr>
            <w:tcW w:w="712" w:type="pct"/>
            <w:vMerge w:val="restart"/>
            <w:tcBorders>
              <w:top w:val="single" w:sz="4" w:space="0" w:color="000000"/>
              <w:left w:val="single" w:sz="4" w:space="0" w:color="000000"/>
              <w:bottom w:val="nil"/>
              <w:right w:val="single" w:sz="4" w:space="0" w:color="000000"/>
            </w:tcBorders>
            <w:vAlign w:val="center"/>
          </w:tcPr>
          <w:p w14:paraId="680E3985" w14:textId="77777777" w:rsidR="00505287" w:rsidRDefault="00B74D26">
            <w:pPr>
              <w:spacing w:line="240" w:lineRule="auto"/>
              <w:jc w:val="center"/>
              <w:rPr>
                <w:color w:val="000000"/>
                <w:sz w:val="20"/>
              </w:rPr>
            </w:pPr>
            <w:r>
              <w:rPr>
                <w:color w:val="000000"/>
                <w:sz w:val="20"/>
              </w:rPr>
              <w:t>Dialysis, transplantation, or eGFR below 15 mL/min/1.73 m²</w:t>
            </w:r>
          </w:p>
        </w:tc>
        <w:tc>
          <w:tcPr>
            <w:tcW w:w="635" w:type="pct"/>
            <w:vMerge w:val="restart"/>
            <w:tcBorders>
              <w:top w:val="single" w:sz="4" w:space="0" w:color="000000"/>
              <w:left w:val="single" w:sz="4" w:space="0" w:color="000000"/>
              <w:bottom w:val="nil"/>
              <w:right w:val="single" w:sz="4" w:space="0" w:color="000000"/>
            </w:tcBorders>
            <w:vAlign w:val="center"/>
          </w:tcPr>
          <w:p w14:paraId="04C1962F" w14:textId="77777777" w:rsidR="00505287" w:rsidRDefault="00B74D26">
            <w:pPr>
              <w:spacing w:after="0" w:line="240" w:lineRule="auto"/>
              <w:jc w:val="center"/>
              <w:rPr>
                <w:color w:val="000000"/>
                <w:sz w:val="20"/>
              </w:rPr>
            </w:pPr>
            <w:r>
              <w:rPr>
                <w:color w:val="000000"/>
                <w:sz w:val="20"/>
              </w:rPr>
              <w:t>Baseline</w:t>
            </w:r>
          </w:p>
        </w:tc>
        <w:tc>
          <w:tcPr>
            <w:tcW w:w="1048" w:type="pct"/>
            <w:tcBorders>
              <w:top w:val="single" w:sz="4" w:space="0" w:color="000000"/>
              <w:left w:val="single" w:sz="4" w:space="0" w:color="000000"/>
              <w:bottom w:val="single" w:sz="4" w:space="0" w:color="000000"/>
              <w:right w:val="single" w:sz="4" w:space="0" w:color="000000"/>
            </w:tcBorders>
            <w:vAlign w:val="center"/>
          </w:tcPr>
          <w:p w14:paraId="11AB4E03" w14:textId="77777777" w:rsidR="00505287" w:rsidRDefault="00B74D26">
            <w:pPr>
              <w:spacing w:after="0" w:line="240" w:lineRule="auto"/>
              <w:jc w:val="center"/>
              <w:rPr>
                <w:color w:val="000000"/>
                <w:sz w:val="20"/>
              </w:rPr>
            </w:pPr>
            <w:r>
              <w:rPr>
                <w:color w:val="000000"/>
                <w:sz w:val="20"/>
              </w:rPr>
              <w:t>&lt; 0.50</w:t>
            </w:r>
          </w:p>
        </w:tc>
        <w:tc>
          <w:tcPr>
            <w:tcW w:w="873" w:type="pct"/>
            <w:tcBorders>
              <w:top w:val="single" w:sz="4" w:space="0" w:color="000000"/>
              <w:left w:val="single" w:sz="4" w:space="0" w:color="000000"/>
              <w:bottom w:val="single" w:sz="4" w:space="0" w:color="000000"/>
              <w:right w:val="single" w:sz="4" w:space="0" w:color="000000"/>
            </w:tcBorders>
            <w:vAlign w:val="center"/>
          </w:tcPr>
          <w:p w14:paraId="73DC80C2" w14:textId="77777777" w:rsidR="00505287" w:rsidRDefault="00B74D26">
            <w:pPr>
              <w:spacing w:after="0" w:line="240" w:lineRule="auto"/>
              <w:jc w:val="center"/>
              <w:rPr>
                <w:color w:val="000000"/>
                <w:sz w:val="20"/>
              </w:rPr>
            </w:pPr>
            <w:r>
              <w:rPr>
                <w:color w:val="000000"/>
                <w:sz w:val="20"/>
              </w:rPr>
              <w:t>0.28</w:t>
            </w:r>
          </w:p>
        </w:tc>
        <w:tc>
          <w:tcPr>
            <w:tcW w:w="1119" w:type="pct"/>
            <w:tcBorders>
              <w:top w:val="single" w:sz="4" w:space="0" w:color="000000"/>
              <w:left w:val="single" w:sz="4" w:space="0" w:color="000000"/>
              <w:bottom w:val="single" w:sz="4" w:space="0" w:color="000000"/>
              <w:right w:val="single" w:sz="4" w:space="0" w:color="000000"/>
            </w:tcBorders>
            <w:vAlign w:val="center"/>
          </w:tcPr>
          <w:p w14:paraId="6D44911A" w14:textId="77777777" w:rsidR="00505287" w:rsidRDefault="00B74D26">
            <w:pPr>
              <w:spacing w:after="0" w:line="240" w:lineRule="auto"/>
              <w:jc w:val="center"/>
              <w:rPr>
                <w:color w:val="000000"/>
                <w:sz w:val="20"/>
              </w:rPr>
            </w:pPr>
            <w:r>
              <w:rPr>
                <w:color w:val="000000"/>
                <w:sz w:val="20"/>
              </w:rPr>
              <w:t>Ref</w:t>
            </w:r>
          </w:p>
        </w:tc>
      </w:tr>
      <w:tr w:rsidR="00505287" w14:paraId="5647FD29" w14:textId="77777777">
        <w:trPr>
          <w:trHeight w:val="259"/>
        </w:trPr>
        <w:tc>
          <w:tcPr>
            <w:tcW w:w="611" w:type="pct"/>
            <w:vMerge/>
            <w:tcBorders>
              <w:top w:val="nil"/>
              <w:left w:val="single" w:sz="4" w:space="0" w:color="000000"/>
              <w:bottom w:val="nil"/>
              <w:right w:val="single" w:sz="4" w:space="0" w:color="000000"/>
            </w:tcBorders>
            <w:vAlign w:val="center"/>
          </w:tcPr>
          <w:p w14:paraId="0B017DDE" w14:textId="77777777" w:rsidR="00505287" w:rsidRDefault="00505287"/>
        </w:tc>
        <w:tc>
          <w:tcPr>
            <w:tcW w:w="712" w:type="pct"/>
            <w:vMerge/>
            <w:tcBorders>
              <w:top w:val="nil"/>
              <w:left w:val="single" w:sz="4" w:space="0" w:color="000000"/>
              <w:bottom w:val="nil"/>
              <w:right w:val="single" w:sz="4" w:space="0" w:color="000000"/>
            </w:tcBorders>
            <w:vAlign w:val="center"/>
          </w:tcPr>
          <w:p w14:paraId="534654AF" w14:textId="77777777" w:rsidR="00505287" w:rsidRDefault="00505287"/>
        </w:tc>
        <w:tc>
          <w:tcPr>
            <w:tcW w:w="635" w:type="pct"/>
            <w:vMerge/>
            <w:tcBorders>
              <w:top w:val="nil"/>
              <w:left w:val="single" w:sz="4" w:space="0" w:color="000000"/>
              <w:bottom w:val="nil"/>
              <w:right w:val="single" w:sz="4" w:space="0" w:color="000000"/>
            </w:tcBorders>
            <w:vAlign w:val="center"/>
          </w:tcPr>
          <w:p w14:paraId="4C2BAFC4"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4302C526" w14:textId="77777777" w:rsidR="00505287" w:rsidRDefault="00B74D26">
            <w:pPr>
              <w:spacing w:after="0" w:line="240" w:lineRule="auto"/>
              <w:jc w:val="center"/>
              <w:rPr>
                <w:color w:val="000000"/>
                <w:sz w:val="20"/>
              </w:rPr>
            </w:pPr>
            <w:r>
              <w:rPr>
                <w:color w:val="000000"/>
                <w:sz w:val="20"/>
              </w:rPr>
              <w:t>0.50 – 1.00</w:t>
            </w:r>
          </w:p>
        </w:tc>
        <w:tc>
          <w:tcPr>
            <w:tcW w:w="873" w:type="pct"/>
            <w:tcBorders>
              <w:top w:val="single" w:sz="4" w:space="0" w:color="000000"/>
              <w:left w:val="single" w:sz="4" w:space="0" w:color="000000"/>
              <w:bottom w:val="single" w:sz="4" w:space="0" w:color="000000"/>
              <w:right w:val="single" w:sz="4" w:space="0" w:color="000000"/>
            </w:tcBorders>
            <w:vAlign w:val="center"/>
          </w:tcPr>
          <w:p w14:paraId="5C521F91" w14:textId="77777777" w:rsidR="00505287" w:rsidRDefault="00B74D26">
            <w:pPr>
              <w:spacing w:after="0" w:line="240" w:lineRule="auto"/>
              <w:jc w:val="center"/>
              <w:rPr>
                <w:color w:val="000000"/>
                <w:sz w:val="20"/>
              </w:rPr>
            </w:pPr>
            <w:r>
              <w:rPr>
                <w:color w:val="000000"/>
                <w:sz w:val="20"/>
              </w:rPr>
              <w:t>0.71</w:t>
            </w:r>
          </w:p>
        </w:tc>
        <w:tc>
          <w:tcPr>
            <w:tcW w:w="1119" w:type="pct"/>
            <w:tcBorders>
              <w:top w:val="single" w:sz="4" w:space="0" w:color="000000"/>
              <w:left w:val="single" w:sz="4" w:space="0" w:color="000000"/>
              <w:bottom w:val="single" w:sz="4" w:space="0" w:color="000000"/>
              <w:right w:val="single" w:sz="4" w:space="0" w:color="000000"/>
            </w:tcBorders>
            <w:vAlign w:val="center"/>
          </w:tcPr>
          <w:p w14:paraId="5591D292" w14:textId="77777777" w:rsidR="00505287" w:rsidRDefault="00B74D26">
            <w:pPr>
              <w:spacing w:after="0" w:line="240" w:lineRule="auto"/>
              <w:jc w:val="center"/>
              <w:rPr>
                <w:color w:val="000000"/>
                <w:sz w:val="20"/>
              </w:rPr>
            </w:pPr>
            <w:r>
              <w:rPr>
                <w:color w:val="000000"/>
                <w:sz w:val="20"/>
              </w:rPr>
              <w:t>2.19 (0.71 – 6.80)</w:t>
            </w:r>
          </w:p>
        </w:tc>
      </w:tr>
      <w:tr w:rsidR="00505287" w14:paraId="6D8B6FC8" w14:textId="77777777">
        <w:trPr>
          <w:trHeight w:val="259"/>
        </w:trPr>
        <w:tc>
          <w:tcPr>
            <w:tcW w:w="611" w:type="pct"/>
            <w:vMerge/>
            <w:tcBorders>
              <w:top w:val="nil"/>
              <w:left w:val="single" w:sz="4" w:space="0" w:color="000000"/>
              <w:bottom w:val="nil"/>
              <w:right w:val="single" w:sz="4" w:space="0" w:color="000000"/>
            </w:tcBorders>
            <w:vAlign w:val="center"/>
          </w:tcPr>
          <w:p w14:paraId="22C7EABC" w14:textId="77777777" w:rsidR="00505287" w:rsidRDefault="00505287"/>
        </w:tc>
        <w:tc>
          <w:tcPr>
            <w:tcW w:w="712" w:type="pct"/>
            <w:vMerge/>
            <w:tcBorders>
              <w:top w:val="nil"/>
              <w:left w:val="single" w:sz="4" w:space="0" w:color="000000"/>
              <w:bottom w:val="nil"/>
              <w:right w:val="single" w:sz="4" w:space="0" w:color="000000"/>
            </w:tcBorders>
            <w:vAlign w:val="center"/>
          </w:tcPr>
          <w:p w14:paraId="6A84E3CB" w14:textId="77777777" w:rsidR="00505287" w:rsidRDefault="00505287"/>
        </w:tc>
        <w:tc>
          <w:tcPr>
            <w:tcW w:w="635" w:type="pct"/>
            <w:vMerge/>
            <w:tcBorders>
              <w:top w:val="nil"/>
              <w:left w:val="single" w:sz="4" w:space="0" w:color="000000"/>
              <w:bottom w:val="nil"/>
              <w:right w:val="single" w:sz="4" w:space="0" w:color="000000"/>
            </w:tcBorders>
            <w:vAlign w:val="center"/>
          </w:tcPr>
          <w:p w14:paraId="0723D71D"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05002A63" w14:textId="77777777" w:rsidR="00505287" w:rsidRDefault="00B74D26">
            <w:pPr>
              <w:spacing w:after="0" w:line="240" w:lineRule="auto"/>
              <w:jc w:val="center"/>
              <w:rPr>
                <w:color w:val="000000"/>
                <w:sz w:val="20"/>
              </w:rPr>
            </w:pPr>
            <w:r>
              <w:rPr>
                <w:color w:val="000000"/>
                <w:sz w:val="20"/>
              </w:rPr>
              <w:t>1.00 – 3.00</w:t>
            </w:r>
          </w:p>
        </w:tc>
        <w:tc>
          <w:tcPr>
            <w:tcW w:w="873" w:type="pct"/>
            <w:tcBorders>
              <w:top w:val="single" w:sz="4" w:space="0" w:color="000000"/>
              <w:left w:val="single" w:sz="4" w:space="0" w:color="000000"/>
              <w:bottom w:val="single" w:sz="4" w:space="0" w:color="000000"/>
              <w:right w:val="single" w:sz="4" w:space="0" w:color="000000"/>
            </w:tcBorders>
            <w:vAlign w:val="center"/>
          </w:tcPr>
          <w:p w14:paraId="7266C9F0" w14:textId="77777777" w:rsidR="00505287" w:rsidRDefault="00B74D26">
            <w:pPr>
              <w:spacing w:after="0" w:line="240" w:lineRule="auto"/>
              <w:jc w:val="center"/>
              <w:rPr>
                <w:color w:val="000000"/>
                <w:sz w:val="20"/>
              </w:rPr>
            </w:pPr>
            <w:r>
              <w:rPr>
                <w:color w:val="000000"/>
                <w:sz w:val="20"/>
              </w:rPr>
              <w:t>1.55</w:t>
            </w:r>
          </w:p>
        </w:tc>
        <w:tc>
          <w:tcPr>
            <w:tcW w:w="1119" w:type="pct"/>
            <w:tcBorders>
              <w:top w:val="single" w:sz="4" w:space="0" w:color="000000"/>
              <w:left w:val="single" w:sz="4" w:space="0" w:color="000000"/>
              <w:bottom w:val="single" w:sz="4" w:space="0" w:color="000000"/>
              <w:right w:val="single" w:sz="4" w:space="0" w:color="000000"/>
            </w:tcBorders>
            <w:vAlign w:val="center"/>
          </w:tcPr>
          <w:p w14:paraId="6C5E024F" w14:textId="77777777" w:rsidR="00505287" w:rsidRDefault="00B74D26">
            <w:pPr>
              <w:spacing w:after="0" w:line="240" w:lineRule="auto"/>
              <w:jc w:val="center"/>
              <w:rPr>
                <w:color w:val="000000"/>
                <w:sz w:val="20"/>
              </w:rPr>
            </w:pPr>
            <w:r>
              <w:rPr>
                <w:color w:val="000000"/>
                <w:sz w:val="20"/>
              </w:rPr>
              <w:t>5.96 (2.19 – 16.26)</w:t>
            </w:r>
          </w:p>
        </w:tc>
      </w:tr>
      <w:tr w:rsidR="00505287" w14:paraId="087464E9" w14:textId="77777777">
        <w:trPr>
          <w:trHeight w:val="259"/>
        </w:trPr>
        <w:tc>
          <w:tcPr>
            <w:tcW w:w="611" w:type="pct"/>
            <w:vMerge/>
            <w:tcBorders>
              <w:top w:val="nil"/>
              <w:left w:val="single" w:sz="4" w:space="0" w:color="000000"/>
              <w:bottom w:val="single" w:sz="4" w:space="0" w:color="000000"/>
              <w:right w:val="single" w:sz="4" w:space="0" w:color="000000"/>
            </w:tcBorders>
            <w:vAlign w:val="center"/>
          </w:tcPr>
          <w:p w14:paraId="194C38D4" w14:textId="77777777" w:rsidR="00505287" w:rsidRDefault="00505287"/>
        </w:tc>
        <w:tc>
          <w:tcPr>
            <w:tcW w:w="712" w:type="pct"/>
            <w:vMerge/>
            <w:tcBorders>
              <w:top w:val="nil"/>
              <w:left w:val="single" w:sz="4" w:space="0" w:color="000000"/>
              <w:bottom w:val="single" w:sz="4" w:space="0" w:color="000000"/>
              <w:right w:val="single" w:sz="4" w:space="0" w:color="000000"/>
            </w:tcBorders>
            <w:vAlign w:val="center"/>
          </w:tcPr>
          <w:p w14:paraId="1C2CE985" w14:textId="77777777" w:rsidR="00505287" w:rsidRDefault="00505287"/>
        </w:tc>
        <w:tc>
          <w:tcPr>
            <w:tcW w:w="635" w:type="pct"/>
            <w:vMerge/>
            <w:tcBorders>
              <w:top w:val="nil"/>
              <w:left w:val="single" w:sz="4" w:space="0" w:color="000000"/>
              <w:bottom w:val="single" w:sz="4" w:space="0" w:color="000000"/>
              <w:right w:val="single" w:sz="4" w:space="0" w:color="000000"/>
            </w:tcBorders>
            <w:vAlign w:val="center"/>
          </w:tcPr>
          <w:p w14:paraId="02075841"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6ED16D48" w14:textId="77777777" w:rsidR="00505287" w:rsidRDefault="00B74D26">
            <w:pPr>
              <w:spacing w:after="0" w:line="240" w:lineRule="auto"/>
              <w:jc w:val="center"/>
              <w:rPr>
                <w:color w:val="000000"/>
                <w:sz w:val="20"/>
              </w:rPr>
            </w:pPr>
            <w:r>
              <w:rPr>
                <w:color w:val="000000"/>
                <w:sz w:val="20"/>
              </w:rPr>
              <w:t>&gt; 3.00</w:t>
            </w:r>
          </w:p>
        </w:tc>
        <w:tc>
          <w:tcPr>
            <w:tcW w:w="873" w:type="pct"/>
            <w:tcBorders>
              <w:top w:val="single" w:sz="4" w:space="0" w:color="000000"/>
              <w:left w:val="single" w:sz="4" w:space="0" w:color="000000"/>
              <w:bottom w:val="single" w:sz="4" w:space="0" w:color="000000"/>
              <w:right w:val="single" w:sz="4" w:space="0" w:color="000000"/>
            </w:tcBorders>
            <w:vAlign w:val="center"/>
          </w:tcPr>
          <w:p w14:paraId="735A61C9" w14:textId="77777777" w:rsidR="00505287" w:rsidRDefault="00B74D26">
            <w:pPr>
              <w:spacing w:after="0" w:line="240" w:lineRule="auto"/>
              <w:jc w:val="center"/>
              <w:rPr>
                <w:color w:val="000000"/>
                <w:sz w:val="20"/>
              </w:rPr>
            </w:pPr>
            <w:r>
              <w:rPr>
                <w:color w:val="000000"/>
                <w:sz w:val="20"/>
              </w:rPr>
              <w:t>4.31</w:t>
            </w:r>
          </w:p>
        </w:tc>
        <w:tc>
          <w:tcPr>
            <w:tcW w:w="1119" w:type="pct"/>
            <w:tcBorders>
              <w:top w:val="single" w:sz="4" w:space="0" w:color="000000"/>
              <w:left w:val="single" w:sz="4" w:space="0" w:color="000000"/>
              <w:bottom w:val="single" w:sz="4" w:space="0" w:color="000000"/>
              <w:right w:val="single" w:sz="4" w:space="0" w:color="000000"/>
            </w:tcBorders>
            <w:vAlign w:val="center"/>
          </w:tcPr>
          <w:p w14:paraId="6D664BBC" w14:textId="77777777" w:rsidR="00505287" w:rsidRDefault="00B74D26">
            <w:pPr>
              <w:spacing w:after="0" w:line="240" w:lineRule="auto"/>
              <w:jc w:val="center"/>
              <w:rPr>
                <w:color w:val="000000"/>
                <w:sz w:val="20"/>
              </w:rPr>
            </w:pPr>
            <w:r>
              <w:rPr>
                <w:color w:val="000000"/>
                <w:sz w:val="20"/>
              </w:rPr>
              <w:t>9.00 (3.28 – 24.72)</w:t>
            </w:r>
          </w:p>
        </w:tc>
      </w:tr>
      <w:tr w:rsidR="00505287" w14:paraId="665ACDD3" w14:textId="77777777">
        <w:trPr>
          <w:trHeight w:val="259"/>
        </w:trPr>
        <w:tc>
          <w:tcPr>
            <w:tcW w:w="611" w:type="pct"/>
            <w:vMerge w:val="restart"/>
            <w:tcBorders>
              <w:top w:val="single" w:sz="4" w:space="0" w:color="000000"/>
              <w:left w:val="single" w:sz="4" w:space="0" w:color="000000"/>
              <w:bottom w:val="nil"/>
              <w:right w:val="single" w:sz="4" w:space="0" w:color="000000"/>
            </w:tcBorders>
            <w:vAlign w:val="center"/>
          </w:tcPr>
          <w:p w14:paraId="744FEAA0" w14:textId="77777777" w:rsidR="00505287" w:rsidRDefault="00B74D26">
            <w:pPr>
              <w:spacing w:after="0" w:line="240" w:lineRule="auto"/>
              <w:rPr>
                <w:b/>
                <w:color w:val="000000"/>
                <w:sz w:val="20"/>
              </w:rPr>
            </w:pPr>
            <w:r>
              <w:rPr>
                <w:b/>
                <w:color w:val="000000"/>
                <w:sz w:val="20"/>
              </w:rPr>
              <w:t>Chen 2018</w:t>
            </w:r>
          </w:p>
        </w:tc>
        <w:tc>
          <w:tcPr>
            <w:tcW w:w="712" w:type="pct"/>
            <w:vMerge w:val="restart"/>
            <w:tcBorders>
              <w:top w:val="single" w:sz="4" w:space="0" w:color="000000"/>
              <w:left w:val="single" w:sz="4" w:space="0" w:color="000000"/>
              <w:bottom w:val="nil"/>
              <w:right w:val="single" w:sz="4" w:space="0" w:color="000000"/>
            </w:tcBorders>
            <w:vAlign w:val="center"/>
          </w:tcPr>
          <w:p w14:paraId="38E8EDDE" w14:textId="77777777" w:rsidR="00505287" w:rsidRDefault="00B74D26">
            <w:pPr>
              <w:spacing w:line="240" w:lineRule="auto"/>
              <w:jc w:val="center"/>
              <w:rPr>
                <w:color w:val="000000"/>
                <w:sz w:val="20"/>
              </w:rPr>
            </w:pPr>
            <w:r>
              <w:rPr>
                <w:color w:val="000000"/>
                <w:sz w:val="20"/>
              </w:rPr>
              <w:t xml:space="preserve">&gt;50% </w:t>
            </w:r>
            <w:proofErr w:type="spellStart"/>
            <w:r>
              <w:rPr>
                <w:color w:val="000000"/>
                <w:sz w:val="20"/>
              </w:rPr>
              <w:t>SCr</w:t>
            </w:r>
            <w:proofErr w:type="spellEnd"/>
            <w:r>
              <w:rPr>
                <w:color w:val="000000"/>
                <w:sz w:val="20"/>
              </w:rPr>
              <w:t xml:space="preserve"> increase</w:t>
            </w:r>
          </w:p>
        </w:tc>
        <w:tc>
          <w:tcPr>
            <w:tcW w:w="635" w:type="pct"/>
            <w:vMerge w:val="restart"/>
            <w:tcBorders>
              <w:top w:val="single" w:sz="4" w:space="0" w:color="000000"/>
              <w:left w:val="single" w:sz="4" w:space="0" w:color="000000"/>
              <w:bottom w:val="nil"/>
              <w:right w:val="single" w:sz="4" w:space="0" w:color="000000"/>
            </w:tcBorders>
            <w:vAlign w:val="center"/>
          </w:tcPr>
          <w:p w14:paraId="5AFA2D25" w14:textId="77777777" w:rsidR="00505287" w:rsidRDefault="00B74D26">
            <w:pPr>
              <w:spacing w:after="0" w:line="240" w:lineRule="auto"/>
              <w:jc w:val="center"/>
              <w:rPr>
                <w:color w:val="000000"/>
                <w:sz w:val="20"/>
              </w:rPr>
            </w:pPr>
            <w:r>
              <w:rPr>
                <w:color w:val="000000"/>
                <w:sz w:val="20"/>
              </w:rPr>
              <w:t>Baseline</w:t>
            </w:r>
          </w:p>
        </w:tc>
        <w:tc>
          <w:tcPr>
            <w:tcW w:w="1048" w:type="pct"/>
            <w:tcBorders>
              <w:top w:val="single" w:sz="4" w:space="0" w:color="000000"/>
              <w:left w:val="single" w:sz="4" w:space="0" w:color="000000"/>
              <w:bottom w:val="single" w:sz="4" w:space="0" w:color="000000"/>
              <w:right w:val="single" w:sz="4" w:space="0" w:color="000000"/>
            </w:tcBorders>
            <w:vAlign w:val="center"/>
          </w:tcPr>
          <w:p w14:paraId="4AA2D9EE" w14:textId="77777777" w:rsidR="00505287" w:rsidRDefault="00B74D26">
            <w:pPr>
              <w:spacing w:after="0" w:line="240" w:lineRule="auto"/>
              <w:jc w:val="center"/>
              <w:rPr>
                <w:color w:val="000000"/>
                <w:sz w:val="20"/>
              </w:rPr>
            </w:pPr>
            <w:r>
              <w:rPr>
                <w:color w:val="000000"/>
                <w:sz w:val="20"/>
              </w:rPr>
              <w:t>≤ 0.50</w:t>
            </w:r>
          </w:p>
        </w:tc>
        <w:tc>
          <w:tcPr>
            <w:tcW w:w="873" w:type="pct"/>
            <w:tcBorders>
              <w:top w:val="single" w:sz="4" w:space="0" w:color="000000"/>
              <w:left w:val="single" w:sz="4" w:space="0" w:color="000000"/>
              <w:bottom w:val="single" w:sz="4" w:space="0" w:color="000000"/>
              <w:right w:val="single" w:sz="4" w:space="0" w:color="000000"/>
            </w:tcBorders>
            <w:vAlign w:val="center"/>
          </w:tcPr>
          <w:p w14:paraId="648F521B" w14:textId="77777777" w:rsidR="00505287" w:rsidRDefault="00B74D26">
            <w:pPr>
              <w:spacing w:after="0" w:line="240" w:lineRule="auto"/>
              <w:jc w:val="center"/>
              <w:rPr>
                <w:color w:val="000000"/>
                <w:sz w:val="20"/>
              </w:rPr>
            </w:pPr>
            <w:r>
              <w:rPr>
                <w:color w:val="000000"/>
                <w:sz w:val="20"/>
              </w:rPr>
              <w:t>0.28</w:t>
            </w:r>
          </w:p>
        </w:tc>
        <w:tc>
          <w:tcPr>
            <w:tcW w:w="1119" w:type="pct"/>
            <w:tcBorders>
              <w:top w:val="single" w:sz="4" w:space="0" w:color="000000"/>
              <w:left w:val="single" w:sz="4" w:space="0" w:color="000000"/>
              <w:bottom w:val="single" w:sz="4" w:space="0" w:color="000000"/>
              <w:right w:val="single" w:sz="4" w:space="0" w:color="000000"/>
            </w:tcBorders>
            <w:vAlign w:val="center"/>
          </w:tcPr>
          <w:p w14:paraId="694DBD0F" w14:textId="77777777" w:rsidR="00505287" w:rsidRDefault="00B74D26">
            <w:pPr>
              <w:spacing w:after="0" w:line="240" w:lineRule="auto"/>
              <w:jc w:val="center"/>
              <w:rPr>
                <w:color w:val="000000"/>
                <w:sz w:val="20"/>
              </w:rPr>
            </w:pPr>
            <w:r>
              <w:rPr>
                <w:color w:val="000000"/>
                <w:sz w:val="20"/>
              </w:rPr>
              <w:t>Ref</w:t>
            </w:r>
          </w:p>
        </w:tc>
      </w:tr>
      <w:tr w:rsidR="00505287" w14:paraId="67C4F9A2" w14:textId="77777777">
        <w:trPr>
          <w:trHeight w:val="259"/>
        </w:trPr>
        <w:tc>
          <w:tcPr>
            <w:tcW w:w="611" w:type="pct"/>
            <w:vMerge/>
            <w:tcBorders>
              <w:top w:val="nil"/>
              <w:left w:val="single" w:sz="4" w:space="0" w:color="000000"/>
              <w:bottom w:val="single" w:sz="4" w:space="0" w:color="000000"/>
              <w:right w:val="single" w:sz="4" w:space="0" w:color="000000"/>
            </w:tcBorders>
            <w:vAlign w:val="center"/>
          </w:tcPr>
          <w:p w14:paraId="44970EA3" w14:textId="77777777" w:rsidR="00505287" w:rsidRDefault="00505287"/>
        </w:tc>
        <w:tc>
          <w:tcPr>
            <w:tcW w:w="712" w:type="pct"/>
            <w:vMerge/>
            <w:tcBorders>
              <w:top w:val="nil"/>
              <w:left w:val="single" w:sz="4" w:space="0" w:color="000000"/>
              <w:bottom w:val="single" w:sz="4" w:space="0" w:color="000000"/>
              <w:right w:val="single" w:sz="4" w:space="0" w:color="000000"/>
            </w:tcBorders>
            <w:vAlign w:val="center"/>
          </w:tcPr>
          <w:p w14:paraId="72196E23" w14:textId="77777777" w:rsidR="00505287" w:rsidRDefault="00505287"/>
        </w:tc>
        <w:tc>
          <w:tcPr>
            <w:tcW w:w="635" w:type="pct"/>
            <w:vMerge/>
            <w:tcBorders>
              <w:top w:val="nil"/>
              <w:left w:val="single" w:sz="4" w:space="0" w:color="000000"/>
              <w:bottom w:val="single" w:sz="4" w:space="0" w:color="000000"/>
              <w:right w:val="single" w:sz="4" w:space="0" w:color="000000"/>
            </w:tcBorders>
            <w:vAlign w:val="center"/>
          </w:tcPr>
          <w:p w14:paraId="54A31645"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0F9A41F1" w14:textId="77777777" w:rsidR="00505287" w:rsidRDefault="00B74D26">
            <w:pPr>
              <w:spacing w:after="0" w:line="240" w:lineRule="auto"/>
              <w:jc w:val="center"/>
              <w:rPr>
                <w:color w:val="000000"/>
                <w:sz w:val="20"/>
              </w:rPr>
            </w:pPr>
            <w:r>
              <w:rPr>
                <w:color w:val="000000"/>
                <w:sz w:val="20"/>
              </w:rPr>
              <w:t>&gt; 0.50</w:t>
            </w:r>
          </w:p>
        </w:tc>
        <w:tc>
          <w:tcPr>
            <w:tcW w:w="873" w:type="pct"/>
            <w:tcBorders>
              <w:top w:val="single" w:sz="4" w:space="0" w:color="000000"/>
              <w:left w:val="single" w:sz="4" w:space="0" w:color="000000"/>
              <w:bottom w:val="single" w:sz="4" w:space="0" w:color="000000"/>
              <w:right w:val="single" w:sz="4" w:space="0" w:color="000000"/>
            </w:tcBorders>
            <w:vAlign w:val="center"/>
          </w:tcPr>
          <w:p w14:paraId="2BE06B1B" w14:textId="77777777" w:rsidR="00505287" w:rsidRDefault="00B74D26">
            <w:pPr>
              <w:spacing w:after="0" w:line="240" w:lineRule="auto"/>
              <w:jc w:val="center"/>
              <w:rPr>
                <w:color w:val="000000"/>
                <w:sz w:val="20"/>
              </w:rPr>
            </w:pPr>
            <w:r>
              <w:rPr>
                <w:color w:val="000000"/>
                <w:sz w:val="20"/>
              </w:rPr>
              <w:t>1.16</w:t>
            </w:r>
          </w:p>
        </w:tc>
        <w:tc>
          <w:tcPr>
            <w:tcW w:w="1119" w:type="pct"/>
            <w:tcBorders>
              <w:top w:val="single" w:sz="4" w:space="0" w:color="000000"/>
              <w:left w:val="single" w:sz="4" w:space="0" w:color="000000"/>
              <w:bottom w:val="single" w:sz="4" w:space="0" w:color="000000"/>
              <w:right w:val="single" w:sz="4" w:space="0" w:color="000000"/>
            </w:tcBorders>
            <w:vAlign w:val="center"/>
          </w:tcPr>
          <w:p w14:paraId="5B79B942" w14:textId="77777777" w:rsidR="00505287" w:rsidRDefault="00B74D26">
            <w:pPr>
              <w:spacing w:after="0" w:line="240" w:lineRule="auto"/>
              <w:jc w:val="center"/>
              <w:rPr>
                <w:color w:val="000000"/>
                <w:sz w:val="20"/>
              </w:rPr>
            </w:pPr>
            <w:r>
              <w:rPr>
                <w:color w:val="000000"/>
                <w:sz w:val="20"/>
              </w:rPr>
              <w:t>2.43 (1.36 – 4.36)</w:t>
            </w:r>
          </w:p>
        </w:tc>
      </w:tr>
      <w:tr w:rsidR="00505287" w14:paraId="34190F8E" w14:textId="77777777">
        <w:trPr>
          <w:trHeight w:val="259"/>
        </w:trPr>
        <w:tc>
          <w:tcPr>
            <w:tcW w:w="611" w:type="pct"/>
            <w:vMerge w:val="restart"/>
            <w:tcBorders>
              <w:top w:val="single" w:sz="4" w:space="0" w:color="000000"/>
              <w:left w:val="single" w:sz="4" w:space="0" w:color="000000"/>
              <w:bottom w:val="nil"/>
              <w:right w:val="single" w:sz="4" w:space="0" w:color="000000"/>
            </w:tcBorders>
            <w:vAlign w:val="center"/>
          </w:tcPr>
          <w:p w14:paraId="0AA9A1D5" w14:textId="77777777" w:rsidR="00505287" w:rsidRDefault="00B74D26">
            <w:pPr>
              <w:spacing w:after="0" w:line="240" w:lineRule="auto"/>
              <w:rPr>
                <w:b/>
                <w:color w:val="000000"/>
                <w:sz w:val="20"/>
              </w:rPr>
            </w:pPr>
            <w:r>
              <w:rPr>
                <w:b/>
                <w:color w:val="000000"/>
                <w:sz w:val="20"/>
              </w:rPr>
              <w:t>Faucon 2025</w:t>
            </w:r>
          </w:p>
        </w:tc>
        <w:tc>
          <w:tcPr>
            <w:tcW w:w="712" w:type="pct"/>
            <w:vMerge w:val="restart"/>
            <w:tcBorders>
              <w:top w:val="single" w:sz="4" w:space="0" w:color="000000"/>
              <w:left w:val="single" w:sz="4" w:space="0" w:color="000000"/>
              <w:bottom w:val="nil"/>
              <w:right w:val="single" w:sz="4" w:space="0" w:color="000000"/>
            </w:tcBorders>
            <w:vAlign w:val="center"/>
          </w:tcPr>
          <w:p w14:paraId="28B22406" w14:textId="77777777" w:rsidR="00505287" w:rsidRDefault="00B74D26">
            <w:pPr>
              <w:spacing w:line="240" w:lineRule="auto"/>
              <w:jc w:val="center"/>
              <w:rPr>
                <w:color w:val="000000"/>
                <w:sz w:val="20"/>
              </w:rPr>
            </w:pPr>
            <w:r>
              <w:rPr>
                <w:color w:val="000000"/>
                <w:sz w:val="20"/>
              </w:rPr>
              <w:t>eGFR decline &gt;30%, KRT</w:t>
            </w:r>
          </w:p>
        </w:tc>
        <w:tc>
          <w:tcPr>
            <w:tcW w:w="635" w:type="pct"/>
            <w:vMerge w:val="restart"/>
            <w:tcBorders>
              <w:top w:val="single" w:sz="4" w:space="0" w:color="000000"/>
              <w:left w:val="single" w:sz="4" w:space="0" w:color="000000"/>
              <w:bottom w:val="nil"/>
              <w:right w:val="single" w:sz="4" w:space="0" w:color="000000"/>
            </w:tcBorders>
            <w:vAlign w:val="center"/>
          </w:tcPr>
          <w:p w14:paraId="551CC422" w14:textId="77777777" w:rsidR="00505287" w:rsidRDefault="00B74D26">
            <w:pPr>
              <w:spacing w:after="0" w:line="240" w:lineRule="auto"/>
              <w:jc w:val="center"/>
              <w:rPr>
                <w:color w:val="000000"/>
                <w:sz w:val="20"/>
              </w:rPr>
            </w:pPr>
            <w:r>
              <w:rPr>
                <w:color w:val="000000"/>
                <w:sz w:val="20"/>
              </w:rPr>
              <w:t>Baseline</w:t>
            </w:r>
          </w:p>
        </w:tc>
        <w:tc>
          <w:tcPr>
            <w:tcW w:w="1048" w:type="pct"/>
            <w:tcBorders>
              <w:top w:val="single" w:sz="4" w:space="0" w:color="000000"/>
              <w:left w:val="single" w:sz="4" w:space="0" w:color="000000"/>
              <w:bottom w:val="single" w:sz="4" w:space="0" w:color="000000"/>
              <w:right w:val="single" w:sz="4" w:space="0" w:color="000000"/>
            </w:tcBorders>
            <w:vAlign w:val="center"/>
          </w:tcPr>
          <w:p w14:paraId="4B9D30E8" w14:textId="77777777" w:rsidR="00505287" w:rsidRDefault="00B74D26">
            <w:pPr>
              <w:spacing w:after="0" w:line="240" w:lineRule="auto"/>
              <w:jc w:val="center"/>
              <w:rPr>
                <w:color w:val="000000"/>
                <w:sz w:val="20"/>
              </w:rPr>
            </w:pPr>
            <w:r>
              <w:rPr>
                <w:color w:val="000000"/>
                <w:sz w:val="20"/>
              </w:rPr>
              <w:t>≤ 0.49</w:t>
            </w:r>
          </w:p>
        </w:tc>
        <w:tc>
          <w:tcPr>
            <w:tcW w:w="873" w:type="pct"/>
            <w:tcBorders>
              <w:top w:val="single" w:sz="4" w:space="0" w:color="000000"/>
              <w:left w:val="single" w:sz="4" w:space="0" w:color="000000"/>
              <w:bottom w:val="single" w:sz="4" w:space="0" w:color="000000"/>
              <w:right w:val="single" w:sz="4" w:space="0" w:color="000000"/>
            </w:tcBorders>
            <w:vAlign w:val="center"/>
          </w:tcPr>
          <w:p w14:paraId="686A04FA" w14:textId="77777777" w:rsidR="00505287" w:rsidRDefault="00B74D26">
            <w:pPr>
              <w:spacing w:after="0" w:line="240" w:lineRule="auto"/>
              <w:jc w:val="center"/>
              <w:rPr>
                <w:color w:val="000000"/>
                <w:sz w:val="20"/>
              </w:rPr>
            </w:pPr>
            <w:r>
              <w:rPr>
                <w:color w:val="000000"/>
                <w:sz w:val="20"/>
              </w:rPr>
              <w:t>0.16</w:t>
            </w:r>
          </w:p>
        </w:tc>
        <w:tc>
          <w:tcPr>
            <w:tcW w:w="1119" w:type="pct"/>
            <w:tcBorders>
              <w:top w:val="single" w:sz="4" w:space="0" w:color="000000"/>
              <w:left w:val="single" w:sz="4" w:space="0" w:color="000000"/>
              <w:bottom w:val="single" w:sz="4" w:space="0" w:color="000000"/>
              <w:right w:val="single" w:sz="4" w:space="0" w:color="000000"/>
            </w:tcBorders>
            <w:vAlign w:val="center"/>
          </w:tcPr>
          <w:p w14:paraId="464DDCB6" w14:textId="77777777" w:rsidR="00505287" w:rsidRDefault="00B74D26">
            <w:pPr>
              <w:spacing w:after="0" w:line="240" w:lineRule="auto"/>
              <w:jc w:val="center"/>
              <w:rPr>
                <w:color w:val="000000"/>
                <w:sz w:val="20"/>
              </w:rPr>
            </w:pPr>
            <w:r>
              <w:rPr>
                <w:color w:val="000000"/>
                <w:sz w:val="20"/>
              </w:rPr>
              <w:t>Ref</w:t>
            </w:r>
          </w:p>
        </w:tc>
      </w:tr>
      <w:tr w:rsidR="00505287" w14:paraId="251F2FD0" w14:textId="77777777">
        <w:trPr>
          <w:trHeight w:val="259"/>
        </w:trPr>
        <w:tc>
          <w:tcPr>
            <w:tcW w:w="611" w:type="pct"/>
            <w:vMerge/>
            <w:tcBorders>
              <w:top w:val="nil"/>
              <w:left w:val="single" w:sz="4" w:space="0" w:color="000000"/>
              <w:bottom w:val="nil"/>
              <w:right w:val="single" w:sz="4" w:space="0" w:color="000000"/>
            </w:tcBorders>
            <w:vAlign w:val="center"/>
          </w:tcPr>
          <w:p w14:paraId="40768178" w14:textId="77777777" w:rsidR="00505287" w:rsidRDefault="00505287"/>
        </w:tc>
        <w:tc>
          <w:tcPr>
            <w:tcW w:w="712" w:type="pct"/>
            <w:vMerge/>
            <w:tcBorders>
              <w:top w:val="nil"/>
              <w:left w:val="single" w:sz="4" w:space="0" w:color="000000"/>
              <w:bottom w:val="nil"/>
              <w:right w:val="single" w:sz="4" w:space="0" w:color="000000"/>
            </w:tcBorders>
            <w:vAlign w:val="center"/>
          </w:tcPr>
          <w:p w14:paraId="1D51ABFE" w14:textId="77777777" w:rsidR="00505287" w:rsidRDefault="00505287"/>
        </w:tc>
        <w:tc>
          <w:tcPr>
            <w:tcW w:w="635" w:type="pct"/>
            <w:vMerge/>
            <w:tcBorders>
              <w:top w:val="nil"/>
              <w:left w:val="single" w:sz="4" w:space="0" w:color="000000"/>
              <w:bottom w:val="nil"/>
              <w:right w:val="single" w:sz="4" w:space="0" w:color="000000"/>
            </w:tcBorders>
            <w:vAlign w:val="center"/>
          </w:tcPr>
          <w:p w14:paraId="613FE91E"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6BDF066D" w14:textId="77777777" w:rsidR="00505287" w:rsidRDefault="00B74D26">
            <w:pPr>
              <w:spacing w:after="0" w:line="240" w:lineRule="auto"/>
              <w:jc w:val="center"/>
              <w:rPr>
                <w:color w:val="000000"/>
                <w:sz w:val="20"/>
              </w:rPr>
            </w:pPr>
            <w:r>
              <w:rPr>
                <w:color w:val="000000"/>
                <w:sz w:val="20"/>
              </w:rPr>
              <w:t>0.50 – 0.81</w:t>
            </w:r>
          </w:p>
        </w:tc>
        <w:tc>
          <w:tcPr>
            <w:tcW w:w="873" w:type="pct"/>
            <w:tcBorders>
              <w:top w:val="single" w:sz="4" w:space="0" w:color="000000"/>
              <w:left w:val="single" w:sz="4" w:space="0" w:color="000000"/>
              <w:bottom w:val="single" w:sz="4" w:space="0" w:color="000000"/>
              <w:right w:val="single" w:sz="4" w:space="0" w:color="000000"/>
            </w:tcBorders>
            <w:vAlign w:val="center"/>
          </w:tcPr>
          <w:p w14:paraId="66067E54" w14:textId="77777777" w:rsidR="00505287" w:rsidRDefault="00B74D26">
            <w:pPr>
              <w:spacing w:after="0" w:line="240" w:lineRule="auto"/>
              <w:jc w:val="center"/>
              <w:rPr>
                <w:color w:val="000000"/>
                <w:sz w:val="20"/>
              </w:rPr>
            </w:pPr>
            <w:r>
              <w:rPr>
                <w:color w:val="000000"/>
                <w:sz w:val="20"/>
              </w:rPr>
              <w:t>0.65</w:t>
            </w:r>
          </w:p>
        </w:tc>
        <w:tc>
          <w:tcPr>
            <w:tcW w:w="1119" w:type="pct"/>
            <w:tcBorders>
              <w:top w:val="single" w:sz="4" w:space="0" w:color="000000"/>
              <w:left w:val="single" w:sz="4" w:space="0" w:color="000000"/>
              <w:bottom w:val="single" w:sz="4" w:space="0" w:color="000000"/>
              <w:right w:val="single" w:sz="4" w:space="0" w:color="000000"/>
            </w:tcBorders>
            <w:vAlign w:val="center"/>
          </w:tcPr>
          <w:p w14:paraId="22294A96" w14:textId="77777777" w:rsidR="00505287" w:rsidRDefault="00B74D26">
            <w:pPr>
              <w:spacing w:after="0" w:line="240" w:lineRule="auto"/>
              <w:jc w:val="center"/>
              <w:rPr>
                <w:color w:val="000000"/>
                <w:sz w:val="20"/>
              </w:rPr>
            </w:pPr>
            <w:r>
              <w:rPr>
                <w:color w:val="000000"/>
                <w:sz w:val="20"/>
              </w:rPr>
              <w:t>1.56 (1.14 – 2.14)</w:t>
            </w:r>
          </w:p>
        </w:tc>
      </w:tr>
      <w:tr w:rsidR="00505287" w14:paraId="4C701911" w14:textId="77777777">
        <w:trPr>
          <w:trHeight w:val="259"/>
        </w:trPr>
        <w:tc>
          <w:tcPr>
            <w:tcW w:w="611" w:type="pct"/>
            <w:vMerge/>
            <w:tcBorders>
              <w:top w:val="nil"/>
              <w:left w:val="single" w:sz="4" w:space="0" w:color="000000"/>
              <w:bottom w:val="nil"/>
              <w:right w:val="single" w:sz="4" w:space="0" w:color="000000"/>
            </w:tcBorders>
            <w:vAlign w:val="center"/>
          </w:tcPr>
          <w:p w14:paraId="387A17CE" w14:textId="77777777" w:rsidR="00505287" w:rsidRDefault="00505287"/>
        </w:tc>
        <w:tc>
          <w:tcPr>
            <w:tcW w:w="712" w:type="pct"/>
            <w:vMerge/>
            <w:tcBorders>
              <w:top w:val="nil"/>
              <w:left w:val="single" w:sz="4" w:space="0" w:color="000000"/>
              <w:bottom w:val="nil"/>
              <w:right w:val="single" w:sz="4" w:space="0" w:color="000000"/>
            </w:tcBorders>
            <w:vAlign w:val="center"/>
          </w:tcPr>
          <w:p w14:paraId="3EEFFA20" w14:textId="77777777" w:rsidR="00505287" w:rsidRDefault="00505287"/>
        </w:tc>
        <w:tc>
          <w:tcPr>
            <w:tcW w:w="635" w:type="pct"/>
            <w:vMerge/>
            <w:tcBorders>
              <w:top w:val="nil"/>
              <w:left w:val="single" w:sz="4" w:space="0" w:color="000000"/>
              <w:bottom w:val="nil"/>
              <w:right w:val="single" w:sz="4" w:space="0" w:color="000000"/>
            </w:tcBorders>
            <w:vAlign w:val="center"/>
          </w:tcPr>
          <w:p w14:paraId="175B719F"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2A22ABFE" w14:textId="77777777" w:rsidR="00505287" w:rsidRDefault="00B74D26">
            <w:pPr>
              <w:spacing w:after="0" w:line="240" w:lineRule="auto"/>
              <w:jc w:val="center"/>
              <w:rPr>
                <w:color w:val="000000"/>
                <w:sz w:val="20"/>
              </w:rPr>
            </w:pPr>
            <w:r>
              <w:rPr>
                <w:color w:val="000000"/>
                <w:sz w:val="20"/>
              </w:rPr>
              <w:t>0.82 – 1.62</w:t>
            </w:r>
          </w:p>
        </w:tc>
        <w:tc>
          <w:tcPr>
            <w:tcW w:w="873" w:type="pct"/>
            <w:tcBorders>
              <w:top w:val="single" w:sz="4" w:space="0" w:color="000000"/>
              <w:left w:val="single" w:sz="4" w:space="0" w:color="000000"/>
              <w:bottom w:val="single" w:sz="4" w:space="0" w:color="000000"/>
              <w:right w:val="single" w:sz="4" w:space="0" w:color="000000"/>
            </w:tcBorders>
            <w:vAlign w:val="center"/>
          </w:tcPr>
          <w:p w14:paraId="0F2CF0D7" w14:textId="77777777" w:rsidR="00505287" w:rsidRDefault="00B74D26">
            <w:pPr>
              <w:spacing w:after="0" w:line="240" w:lineRule="auto"/>
              <w:jc w:val="center"/>
              <w:rPr>
                <w:color w:val="000000"/>
                <w:sz w:val="20"/>
              </w:rPr>
            </w:pPr>
            <w:r>
              <w:rPr>
                <w:color w:val="000000"/>
                <w:sz w:val="20"/>
              </w:rPr>
              <w:t>1.14</w:t>
            </w:r>
          </w:p>
        </w:tc>
        <w:tc>
          <w:tcPr>
            <w:tcW w:w="1119" w:type="pct"/>
            <w:tcBorders>
              <w:top w:val="single" w:sz="4" w:space="0" w:color="000000"/>
              <w:left w:val="single" w:sz="4" w:space="0" w:color="000000"/>
              <w:bottom w:val="single" w:sz="4" w:space="0" w:color="000000"/>
              <w:right w:val="single" w:sz="4" w:space="0" w:color="000000"/>
            </w:tcBorders>
            <w:vAlign w:val="center"/>
          </w:tcPr>
          <w:p w14:paraId="4A20191C" w14:textId="77777777" w:rsidR="00505287" w:rsidRDefault="00B74D26">
            <w:pPr>
              <w:spacing w:after="0" w:line="240" w:lineRule="auto"/>
              <w:jc w:val="center"/>
              <w:rPr>
                <w:color w:val="000000"/>
                <w:sz w:val="20"/>
              </w:rPr>
            </w:pPr>
            <w:r>
              <w:rPr>
                <w:color w:val="000000"/>
                <w:sz w:val="20"/>
              </w:rPr>
              <w:t>2.04 (1.58 – 2.64)</w:t>
            </w:r>
          </w:p>
        </w:tc>
      </w:tr>
      <w:tr w:rsidR="00505287" w14:paraId="215535CE" w14:textId="77777777">
        <w:trPr>
          <w:trHeight w:val="259"/>
        </w:trPr>
        <w:tc>
          <w:tcPr>
            <w:tcW w:w="611" w:type="pct"/>
            <w:vMerge/>
            <w:tcBorders>
              <w:top w:val="nil"/>
              <w:left w:val="single" w:sz="4" w:space="0" w:color="000000"/>
              <w:bottom w:val="nil"/>
              <w:right w:val="single" w:sz="4" w:space="0" w:color="000000"/>
            </w:tcBorders>
            <w:vAlign w:val="center"/>
          </w:tcPr>
          <w:p w14:paraId="037E8F79" w14:textId="77777777" w:rsidR="00505287" w:rsidRDefault="00505287"/>
        </w:tc>
        <w:tc>
          <w:tcPr>
            <w:tcW w:w="712" w:type="pct"/>
            <w:vMerge/>
            <w:tcBorders>
              <w:top w:val="nil"/>
              <w:left w:val="single" w:sz="4" w:space="0" w:color="000000"/>
              <w:bottom w:val="nil"/>
              <w:right w:val="single" w:sz="4" w:space="0" w:color="000000"/>
            </w:tcBorders>
            <w:vAlign w:val="center"/>
          </w:tcPr>
          <w:p w14:paraId="2952D6D2" w14:textId="77777777" w:rsidR="00505287" w:rsidRDefault="00505287"/>
        </w:tc>
        <w:tc>
          <w:tcPr>
            <w:tcW w:w="635" w:type="pct"/>
            <w:vMerge/>
            <w:tcBorders>
              <w:top w:val="nil"/>
              <w:left w:val="single" w:sz="4" w:space="0" w:color="000000"/>
              <w:bottom w:val="nil"/>
              <w:right w:val="single" w:sz="4" w:space="0" w:color="000000"/>
            </w:tcBorders>
            <w:vAlign w:val="center"/>
          </w:tcPr>
          <w:p w14:paraId="6A08032A"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506E4A08" w14:textId="77777777" w:rsidR="00505287" w:rsidRDefault="00B74D26">
            <w:pPr>
              <w:spacing w:after="0" w:line="240" w:lineRule="auto"/>
              <w:jc w:val="center"/>
              <w:rPr>
                <w:color w:val="000000"/>
                <w:sz w:val="20"/>
              </w:rPr>
            </w:pPr>
            <w:r>
              <w:rPr>
                <w:color w:val="000000"/>
                <w:sz w:val="20"/>
              </w:rPr>
              <w:t>1.63 – 2.44</w:t>
            </w:r>
          </w:p>
        </w:tc>
        <w:tc>
          <w:tcPr>
            <w:tcW w:w="873" w:type="pct"/>
            <w:tcBorders>
              <w:top w:val="single" w:sz="4" w:space="0" w:color="000000"/>
              <w:left w:val="single" w:sz="4" w:space="0" w:color="000000"/>
              <w:bottom w:val="single" w:sz="4" w:space="0" w:color="000000"/>
              <w:right w:val="single" w:sz="4" w:space="0" w:color="000000"/>
            </w:tcBorders>
            <w:vAlign w:val="center"/>
          </w:tcPr>
          <w:p w14:paraId="321B04B3" w14:textId="77777777" w:rsidR="00505287" w:rsidRDefault="00B74D26">
            <w:pPr>
              <w:spacing w:after="0" w:line="240" w:lineRule="auto"/>
              <w:jc w:val="center"/>
              <w:rPr>
                <w:color w:val="000000"/>
                <w:sz w:val="20"/>
              </w:rPr>
            </w:pPr>
            <w:r>
              <w:rPr>
                <w:color w:val="000000"/>
                <w:sz w:val="20"/>
              </w:rPr>
              <w:t>1.95</w:t>
            </w:r>
          </w:p>
        </w:tc>
        <w:tc>
          <w:tcPr>
            <w:tcW w:w="1119" w:type="pct"/>
            <w:tcBorders>
              <w:top w:val="single" w:sz="4" w:space="0" w:color="000000"/>
              <w:left w:val="single" w:sz="4" w:space="0" w:color="000000"/>
              <w:bottom w:val="single" w:sz="4" w:space="0" w:color="000000"/>
              <w:right w:val="single" w:sz="4" w:space="0" w:color="000000"/>
            </w:tcBorders>
            <w:vAlign w:val="center"/>
          </w:tcPr>
          <w:p w14:paraId="5190212A" w14:textId="77777777" w:rsidR="00505287" w:rsidRDefault="00B74D26">
            <w:pPr>
              <w:spacing w:after="0" w:line="240" w:lineRule="auto"/>
              <w:jc w:val="center"/>
              <w:rPr>
                <w:color w:val="000000"/>
                <w:sz w:val="20"/>
              </w:rPr>
            </w:pPr>
            <w:r>
              <w:rPr>
                <w:color w:val="000000"/>
                <w:sz w:val="20"/>
              </w:rPr>
              <w:t>2.82 (2.10 – 3.78)</w:t>
            </w:r>
          </w:p>
        </w:tc>
      </w:tr>
      <w:tr w:rsidR="00505287" w14:paraId="060C573D" w14:textId="77777777">
        <w:trPr>
          <w:trHeight w:val="259"/>
        </w:trPr>
        <w:tc>
          <w:tcPr>
            <w:tcW w:w="611" w:type="pct"/>
            <w:vMerge/>
            <w:tcBorders>
              <w:top w:val="nil"/>
              <w:left w:val="single" w:sz="4" w:space="0" w:color="000000"/>
              <w:bottom w:val="nil"/>
              <w:right w:val="single" w:sz="4" w:space="0" w:color="000000"/>
            </w:tcBorders>
            <w:vAlign w:val="center"/>
          </w:tcPr>
          <w:p w14:paraId="5CFDE8BD" w14:textId="77777777" w:rsidR="00505287" w:rsidRDefault="00505287"/>
        </w:tc>
        <w:tc>
          <w:tcPr>
            <w:tcW w:w="712" w:type="pct"/>
            <w:vMerge/>
            <w:tcBorders>
              <w:top w:val="nil"/>
              <w:left w:val="single" w:sz="4" w:space="0" w:color="000000"/>
              <w:bottom w:val="nil"/>
              <w:right w:val="single" w:sz="4" w:space="0" w:color="000000"/>
            </w:tcBorders>
            <w:vAlign w:val="center"/>
          </w:tcPr>
          <w:p w14:paraId="13D690C0" w14:textId="77777777" w:rsidR="00505287" w:rsidRDefault="00505287"/>
        </w:tc>
        <w:tc>
          <w:tcPr>
            <w:tcW w:w="635" w:type="pct"/>
            <w:vMerge/>
            <w:tcBorders>
              <w:top w:val="nil"/>
              <w:left w:val="single" w:sz="4" w:space="0" w:color="000000"/>
              <w:bottom w:val="nil"/>
              <w:right w:val="single" w:sz="4" w:space="0" w:color="000000"/>
            </w:tcBorders>
            <w:vAlign w:val="center"/>
          </w:tcPr>
          <w:p w14:paraId="297BD36B"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0E6A7628" w14:textId="77777777" w:rsidR="00505287" w:rsidRDefault="00B74D26">
            <w:pPr>
              <w:spacing w:after="0" w:line="240" w:lineRule="auto"/>
              <w:jc w:val="center"/>
              <w:rPr>
                <w:color w:val="000000"/>
                <w:sz w:val="20"/>
              </w:rPr>
            </w:pPr>
            <w:r>
              <w:rPr>
                <w:color w:val="000000"/>
                <w:sz w:val="20"/>
              </w:rPr>
              <w:t>2.44 – 3.25</w:t>
            </w:r>
          </w:p>
        </w:tc>
        <w:tc>
          <w:tcPr>
            <w:tcW w:w="873" w:type="pct"/>
            <w:tcBorders>
              <w:top w:val="single" w:sz="4" w:space="0" w:color="000000"/>
              <w:left w:val="single" w:sz="4" w:space="0" w:color="000000"/>
              <w:bottom w:val="single" w:sz="4" w:space="0" w:color="000000"/>
              <w:right w:val="single" w:sz="4" w:space="0" w:color="000000"/>
            </w:tcBorders>
            <w:vAlign w:val="center"/>
          </w:tcPr>
          <w:p w14:paraId="25439E8C" w14:textId="77777777" w:rsidR="00505287" w:rsidRDefault="00B74D26">
            <w:pPr>
              <w:spacing w:after="0" w:line="240" w:lineRule="auto"/>
              <w:jc w:val="center"/>
              <w:rPr>
                <w:color w:val="000000"/>
                <w:sz w:val="20"/>
              </w:rPr>
            </w:pPr>
            <w:r>
              <w:rPr>
                <w:color w:val="000000"/>
                <w:sz w:val="20"/>
              </w:rPr>
              <w:t>2.76</w:t>
            </w:r>
          </w:p>
        </w:tc>
        <w:tc>
          <w:tcPr>
            <w:tcW w:w="1119" w:type="pct"/>
            <w:tcBorders>
              <w:top w:val="single" w:sz="4" w:space="0" w:color="000000"/>
              <w:left w:val="single" w:sz="4" w:space="0" w:color="000000"/>
              <w:bottom w:val="single" w:sz="4" w:space="0" w:color="000000"/>
              <w:right w:val="single" w:sz="4" w:space="0" w:color="000000"/>
            </w:tcBorders>
            <w:vAlign w:val="center"/>
          </w:tcPr>
          <w:p w14:paraId="2E261550" w14:textId="77777777" w:rsidR="00505287" w:rsidRDefault="00B74D26">
            <w:pPr>
              <w:spacing w:after="0" w:line="240" w:lineRule="auto"/>
              <w:jc w:val="center"/>
              <w:rPr>
                <w:color w:val="000000"/>
                <w:sz w:val="20"/>
              </w:rPr>
            </w:pPr>
            <w:r>
              <w:rPr>
                <w:color w:val="000000"/>
                <w:sz w:val="20"/>
              </w:rPr>
              <w:t>4.21 (3.08 – 5.74)</w:t>
            </w:r>
          </w:p>
        </w:tc>
      </w:tr>
      <w:tr w:rsidR="00505287" w14:paraId="4DC3C9F5" w14:textId="77777777">
        <w:trPr>
          <w:trHeight w:val="259"/>
        </w:trPr>
        <w:tc>
          <w:tcPr>
            <w:tcW w:w="611" w:type="pct"/>
            <w:vMerge/>
            <w:tcBorders>
              <w:top w:val="nil"/>
              <w:left w:val="single" w:sz="4" w:space="0" w:color="000000"/>
              <w:bottom w:val="single" w:sz="4" w:space="0" w:color="000000"/>
              <w:right w:val="single" w:sz="4" w:space="0" w:color="000000"/>
            </w:tcBorders>
            <w:vAlign w:val="center"/>
          </w:tcPr>
          <w:p w14:paraId="227B62FA" w14:textId="77777777" w:rsidR="00505287" w:rsidRDefault="00505287"/>
        </w:tc>
        <w:tc>
          <w:tcPr>
            <w:tcW w:w="712" w:type="pct"/>
            <w:vMerge/>
            <w:tcBorders>
              <w:top w:val="nil"/>
              <w:left w:val="single" w:sz="4" w:space="0" w:color="000000"/>
              <w:bottom w:val="single" w:sz="4" w:space="0" w:color="000000"/>
              <w:right w:val="single" w:sz="4" w:space="0" w:color="000000"/>
            </w:tcBorders>
            <w:vAlign w:val="center"/>
          </w:tcPr>
          <w:p w14:paraId="7290E3EA" w14:textId="77777777" w:rsidR="00505287" w:rsidRDefault="00505287"/>
        </w:tc>
        <w:tc>
          <w:tcPr>
            <w:tcW w:w="635" w:type="pct"/>
            <w:vMerge/>
            <w:tcBorders>
              <w:top w:val="nil"/>
              <w:left w:val="single" w:sz="4" w:space="0" w:color="000000"/>
              <w:bottom w:val="single" w:sz="4" w:space="0" w:color="000000"/>
              <w:right w:val="single" w:sz="4" w:space="0" w:color="000000"/>
            </w:tcBorders>
            <w:vAlign w:val="center"/>
          </w:tcPr>
          <w:p w14:paraId="3B8472B5"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63315667" w14:textId="77777777" w:rsidR="00505287" w:rsidRDefault="00B74D26">
            <w:pPr>
              <w:spacing w:after="0" w:line="240" w:lineRule="auto"/>
              <w:jc w:val="center"/>
              <w:rPr>
                <w:color w:val="000000"/>
                <w:sz w:val="20"/>
              </w:rPr>
            </w:pPr>
            <w:r>
              <w:rPr>
                <w:color w:val="000000"/>
                <w:sz w:val="20"/>
              </w:rPr>
              <w:t>≥ 3.25</w:t>
            </w:r>
          </w:p>
        </w:tc>
        <w:tc>
          <w:tcPr>
            <w:tcW w:w="873" w:type="pct"/>
            <w:tcBorders>
              <w:top w:val="single" w:sz="4" w:space="0" w:color="000000"/>
              <w:left w:val="single" w:sz="4" w:space="0" w:color="000000"/>
              <w:bottom w:val="single" w:sz="4" w:space="0" w:color="000000"/>
              <w:right w:val="single" w:sz="4" w:space="0" w:color="000000"/>
            </w:tcBorders>
            <w:vAlign w:val="center"/>
          </w:tcPr>
          <w:p w14:paraId="76CCA6A6" w14:textId="77777777" w:rsidR="00505287" w:rsidRDefault="00B74D26">
            <w:pPr>
              <w:spacing w:after="0" w:line="240" w:lineRule="auto"/>
              <w:jc w:val="center"/>
              <w:rPr>
                <w:color w:val="000000"/>
                <w:sz w:val="20"/>
              </w:rPr>
            </w:pPr>
            <w:r>
              <w:rPr>
                <w:color w:val="000000"/>
                <w:sz w:val="20"/>
              </w:rPr>
              <w:t>4.55</w:t>
            </w:r>
          </w:p>
        </w:tc>
        <w:tc>
          <w:tcPr>
            <w:tcW w:w="1119" w:type="pct"/>
            <w:tcBorders>
              <w:top w:val="single" w:sz="4" w:space="0" w:color="000000"/>
              <w:left w:val="single" w:sz="4" w:space="0" w:color="000000"/>
              <w:bottom w:val="single" w:sz="4" w:space="0" w:color="000000"/>
              <w:right w:val="single" w:sz="4" w:space="0" w:color="000000"/>
            </w:tcBorders>
            <w:vAlign w:val="center"/>
          </w:tcPr>
          <w:p w14:paraId="24222A77" w14:textId="77777777" w:rsidR="00505287" w:rsidRDefault="00B74D26">
            <w:pPr>
              <w:spacing w:after="0" w:line="240" w:lineRule="auto"/>
              <w:jc w:val="center"/>
              <w:rPr>
                <w:color w:val="000000"/>
                <w:sz w:val="20"/>
              </w:rPr>
            </w:pPr>
            <w:r>
              <w:rPr>
                <w:color w:val="000000"/>
                <w:sz w:val="20"/>
              </w:rPr>
              <w:t>4.53 (3.36 – 6.11)</w:t>
            </w:r>
          </w:p>
        </w:tc>
      </w:tr>
      <w:tr w:rsidR="00505287" w14:paraId="1611BF65" w14:textId="77777777">
        <w:trPr>
          <w:trHeight w:val="259"/>
        </w:trPr>
        <w:tc>
          <w:tcPr>
            <w:tcW w:w="611" w:type="pct"/>
            <w:vMerge w:val="restart"/>
            <w:tcBorders>
              <w:top w:val="single" w:sz="4" w:space="0" w:color="000000"/>
              <w:left w:val="single" w:sz="4" w:space="0" w:color="000000"/>
              <w:bottom w:val="nil"/>
              <w:right w:val="single" w:sz="4" w:space="0" w:color="000000"/>
            </w:tcBorders>
            <w:vAlign w:val="center"/>
          </w:tcPr>
          <w:p w14:paraId="6B2794B7" w14:textId="77777777" w:rsidR="00505287" w:rsidRDefault="00B74D26">
            <w:pPr>
              <w:spacing w:after="0" w:line="240" w:lineRule="auto"/>
              <w:rPr>
                <w:b/>
                <w:color w:val="000000"/>
                <w:sz w:val="20"/>
              </w:rPr>
            </w:pPr>
            <w:r>
              <w:rPr>
                <w:b/>
                <w:color w:val="000000"/>
                <w:sz w:val="20"/>
              </w:rPr>
              <w:t>Hirano 2013</w:t>
            </w:r>
          </w:p>
        </w:tc>
        <w:tc>
          <w:tcPr>
            <w:tcW w:w="712" w:type="pct"/>
            <w:vMerge w:val="restart"/>
            <w:tcBorders>
              <w:top w:val="single" w:sz="4" w:space="0" w:color="000000"/>
              <w:left w:val="single" w:sz="4" w:space="0" w:color="000000"/>
              <w:bottom w:val="nil"/>
              <w:right w:val="single" w:sz="4" w:space="0" w:color="000000"/>
            </w:tcBorders>
            <w:vAlign w:val="center"/>
          </w:tcPr>
          <w:p w14:paraId="68813314" w14:textId="77777777" w:rsidR="00505287" w:rsidRDefault="00B74D26">
            <w:pPr>
              <w:spacing w:line="240" w:lineRule="auto"/>
              <w:jc w:val="center"/>
              <w:rPr>
                <w:color w:val="000000"/>
                <w:sz w:val="20"/>
              </w:rPr>
            </w:pPr>
            <w:r>
              <w:rPr>
                <w:color w:val="000000"/>
                <w:sz w:val="20"/>
              </w:rPr>
              <w:t xml:space="preserve">&gt;50% </w:t>
            </w:r>
            <w:proofErr w:type="spellStart"/>
            <w:r>
              <w:rPr>
                <w:color w:val="000000"/>
                <w:sz w:val="20"/>
              </w:rPr>
              <w:t>SCr</w:t>
            </w:r>
            <w:proofErr w:type="spellEnd"/>
            <w:r>
              <w:rPr>
                <w:color w:val="000000"/>
                <w:sz w:val="20"/>
              </w:rPr>
              <w:t xml:space="preserve"> increase</w:t>
            </w:r>
          </w:p>
        </w:tc>
        <w:tc>
          <w:tcPr>
            <w:tcW w:w="635" w:type="pct"/>
            <w:vMerge w:val="restart"/>
            <w:tcBorders>
              <w:top w:val="single" w:sz="4" w:space="0" w:color="000000"/>
              <w:left w:val="single" w:sz="4" w:space="0" w:color="000000"/>
              <w:bottom w:val="nil"/>
              <w:right w:val="single" w:sz="4" w:space="0" w:color="000000"/>
            </w:tcBorders>
            <w:vAlign w:val="center"/>
          </w:tcPr>
          <w:p w14:paraId="3F91772F" w14:textId="77777777" w:rsidR="00505287" w:rsidRDefault="00B74D26">
            <w:pPr>
              <w:spacing w:after="0" w:line="240" w:lineRule="auto"/>
              <w:jc w:val="center"/>
              <w:rPr>
                <w:color w:val="000000"/>
                <w:sz w:val="20"/>
              </w:rPr>
            </w:pPr>
            <w:r>
              <w:rPr>
                <w:color w:val="000000"/>
                <w:sz w:val="20"/>
              </w:rPr>
              <w:t>1 year</w:t>
            </w:r>
          </w:p>
        </w:tc>
        <w:tc>
          <w:tcPr>
            <w:tcW w:w="1048" w:type="pct"/>
            <w:tcBorders>
              <w:top w:val="single" w:sz="4" w:space="0" w:color="000000"/>
              <w:left w:val="single" w:sz="4" w:space="0" w:color="000000"/>
              <w:bottom w:val="single" w:sz="4" w:space="0" w:color="000000"/>
              <w:right w:val="single" w:sz="4" w:space="0" w:color="000000"/>
            </w:tcBorders>
            <w:vAlign w:val="center"/>
          </w:tcPr>
          <w:p w14:paraId="4A9615A6" w14:textId="77777777" w:rsidR="00505287" w:rsidRDefault="00B74D26">
            <w:pPr>
              <w:spacing w:after="0" w:line="240" w:lineRule="auto"/>
              <w:jc w:val="center"/>
              <w:rPr>
                <w:color w:val="000000"/>
                <w:sz w:val="20"/>
              </w:rPr>
            </w:pPr>
            <w:r>
              <w:rPr>
                <w:color w:val="000000"/>
                <w:sz w:val="20"/>
              </w:rPr>
              <w:t>&lt; 0.30</w:t>
            </w:r>
          </w:p>
        </w:tc>
        <w:tc>
          <w:tcPr>
            <w:tcW w:w="873" w:type="pct"/>
            <w:tcBorders>
              <w:top w:val="single" w:sz="4" w:space="0" w:color="000000"/>
              <w:left w:val="single" w:sz="4" w:space="0" w:color="000000"/>
              <w:bottom w:val="single" w:sz="4" w:space="0" w:color="000000"/>
              <w:right w:val="single" w:sz="4" w:space="0" w:color="000000"/>
            </w:tcBorders>
            <w:vAlign w:val="center"/>
          </w:tcPr>
          <w:p w14:paraId="7AC95765" w14:textId="77777777" w:rsidR="00505287" w:rsidRDefault="00B74D26">
            <w:pPr>
              <w:spacing w:after="0" w:line="240" w:lineRule="auto"/>
              <w:jc w:val="center"/>
              <w:rPr>
                <w:color w:val="000000"/>
                <w:sz w:val="20"/>
              </w:rPr>
            </w:pPr>
            <w:r>
              <w:rPr>
                <w:color w:val="000000"/>
                <w:sz w:val="20"/>
              </w:rPr>
              <w:t>0.19</w:t>
            </w:r>
          </w:p>
        </w:tc>
        <w:tc>
          <w:tcPr>
            <w:tcW w:w="1119" w:type="pct"/>
            <w:tcBorders>
              <w:top w:val="single" w:sz="4" w:space="0" w:color="000000"/>
              <w:left w:val="single" w:sz="4" w:space="0" w:color="000000"/>
              <w:bottom w:val="single" w:sz="4" w:space="0" w:color="000000"/>
              <w:right w:val="single" w:sz="4" w:space="0" w:color="000000"/>
            </w:tcBorders>
            <w:vAlign w:val="center"/>
          </w:tcPr>
          <w:p w14:paraId="192AB295" w14:textId="77777777" w:rsidR="00505287" w:rsidRDefault="00B74D26">
            <w:pPr>
              <w:spacing w:after="0" w:line="240" w:lineRule="auto"/>
              <w:jc w:val="center"/>
              <w:rPr>
                <w:color w:val="000000"/>
                <w:sz w:val="20"/>
              </w:rPr>
            </w:pPr>
            <w:r>
              <w:rPr>
                <w:color w:val="000000"/>
                <w:sz w:val="20"/>
              </w:rPr>
              <w:t>0.06 (0.01 – 0.57)</w:t>
            </w:r>
          </w:p>
        </w:tc>
      </w:tr>
      <w:tr w:rsidR="00505287" w14:paraId="32F6DDF9" w14:textId="77777777">
        <w:trPr>
          <w:trHeight w:val="259"/>
        </w:trPr>
        <w:tc>
          <w:tcPr>
            <w:tcW w:w="611" w:type="pct"/>
            <w:vMerge/>
            <w:tcBorders>
              <w:top w:val="nil"/>
              <w:left w:val="single" w:sz="4" w:space="0" w:color="000000"/>
              <w:bottom w:val="nil"/>
              <w:right w:val="single" w:sz="4" w:space="0" w:color="000000"/>
            </w:tcBorders>
            <w:vAlign w:val="center"/>
          </w:tcPr>
          <w:p w14:paraId="41E8412F" w14:textId="77777777" w:rsidR="00505287" w:rsidRDefault="00505287"/>
        </w:tc>
        <w:tc>
          <w:tcPr>
            <w:tcW w:w="712" w:type="pct"/>
            <w:vMerge/>
            <w:tcBorders>
              <w:top w:val="nil"/>
              <w:left w:val="single" w:sz="4" w:space="0" w:color="000000"/>
              <w:bottom w:val="nil"/>
              <w:right w:val="single" w:sz="4" w:space="0" w:color="000000"/>
            </w:tcBorders>
            <w:vAlign w:val="center"/>
          </w:tcPr>
          <w:p w14:paraId="06198A75" w14:textId="77777777" w:rsidR="00505287" w:rsidRDefault="00505287"/>
        </w:tc>
        <w:tc>
          <w:tcPr>
            <w:tcW w:w="635" w:type="pct"/>
            <w:vMerge/>
            <w:tcBorders>
              <w:top w:val="nil"/>
              <w:left w:val="single" w:sz="4" w:space="0" w:color="000000"/>
              <w:bottom w:val="nil"/>
              <w:right w:val="single" w:sz="4" w:space="0" w:color="000000"/>
            </w:tcBorders>
            <w:vAlign w:val="center"/>
          </w:tcPr>
          <w:p w14:paraId="1CE170F0"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0FB67724" w14:textId="77777777" w:rsidR="00505287" w:rsidRDefault="00B74D26">
            <w:pPr>
              <w:spacing w:after="0" w:line="240" w:lineRule="auto"/>
              <w:jc w:val="center"/>
              <w:rPr>
                <w:color w:val="000000"/>
                <w:sz w:val="20"/>
              </w:rPr>
            </w:pPr>
            <w:r>
              <w:rPr>
                <w:color w:val="000000"/>
                <w:sz w:val="20"/>
              </w:rPr>
              <w:t>0.30 – 0.39</w:t>
            </w:r>
          </w:p>
        </w:tc>
        <w:tc>
          <w:tcPr>
            <w:tcW w:w="873" w:type="pct"/>
            <w:tcBorders>
              <w:top w:val="single" w:sz="4" w:space="0" w:color="000000"/>
              <w:left w:val="single" w:sz="4" w:space="0" w:color="000000"/>
              <w:bottom w:val="single" w:sz="4" w:space="0" w:color="000000"/>
              <w:right w:val="single" w:sz="4" w:space="0" w:color="000000"/>
            </w:tcBorders>
            <w:vAlign w:val="center"/>
          </w:tcPr>
          <w:p w14:paraId="66054C49" w14:textId="77777777" w:rsidR="00505287" w:rsidRDefault="00B74D26">
            <w:pPr>
              <w:spacing w:after="0" w:line="240" w:lineRule="auto"/>
              <w:jc w:val="center"/>
              <w:rPr>
                <w:color w:val="000000"/>
                <w:sz w:val="20"/>
              </w:rPr>
            </w:pPr>
            <w:r>
              <w:rPr>
                <w:color w:val="000000"/>
                <w:sz w:val="20"/>
              </w:rPr>
              <w:t>0.35</w:t>
            </w:r>
          </w:p>
        </w:tc>
        <w:tc>
          <w:tcPr>
            <w:tcW w:w="1119" w:type="pct"/>
            <w:tcBorders>
              <w:top w:val="single" w:sz="4" w:space="0" w:color="000000"/>
              <w:left w:val="single" w:sz="4" w:space="0" w:color="000000"/>
              <w:bottom w:val="single" w:sz="4" w:space="0" w:color="000000"/>
              <w:right w:val="single" w:sz="4" w:space="0" w:color="000000"/>
            </w:tcBorders>
            <w:vAlign w:val="center"/>
          </w:tcPr>
          <w:p w14:paraId="744C6CCD" w14:textId="77777777" w:rsidR="00505287" w:rsidRDefault="00B74D26">
            <w:pPr>
              <w:spacing w:after="0" w:line="240" w:lineRule="auto"/>
              <w:jc w:val="center"/>
              <w:rPr>
                <w:color w:val="000000"/>
                <w:sz w:val="20"/>
              </w:rPr>
            </w:pPr>
            <w:r>
              <w:rPr>
                <w:color w:val="000000"/>
                <w:sz w:val="20"/>
              </w:rPr>
              <w:t>0.02 (0.00 – 0.29)</w:t>
            </w:r>
          </w:p>
        </w:tc>
      </w:tr>
      <w:tr w:rsidR="00505287" w14:paraId="71A5F6E5" w14:textId="77777777">
        <w:trPr>
          <w:trHeight w:val="259"/>
        </w:trPr>
        <w:tc>
          <w:tcPr>
            <w:tcW w:w="611" w:type="pct"/>
            <w:vMerge/>
            <w:tcBorders>
              <w:top w:val="nil"/>
              <w:left w:val="single" w:sz="4" w:space="0" w:color="000000"/>
              <w:bottom w:val="nil"/>
              <w:right w:val="single" w:sz="4" w:space="0" w:color="000000"/>
            </w:tcBorders>
            <w:vAlign w:val="center"/>
          </w:tcPr>
          <w:p w14:paraId="43AE69B5" w14:textId="77777777" w:rsidR="00505287" w:rsidRDefault="00505287"/>
        </w:tc>
        <w:tc>
          <w:tcPr>
            <w:tcW w:w="712" w:type="pct"/>
            <w:vMerge/>
            <w:tcBorders>
              <w:top w:val="nil"/>
              <w:left w:val="single" w:sz="4" w:space="0" w:color="000000"/>
              <w:bottom w:val="nil"/>
              <w:right w:val="single" w:sz="4" w:space="0" w:color="000000"/>
            </w:tcBorders>
            <w:vAlign w:val="center"/>
          </w:tcPr>
          <w:p w14:paraId="151A0CD6" w14:textId="77777777" w:rsidR="00505287" w:rsidRDefault="00505287"/>
        </w:tc>
        <w:tc>
          <w:tcPr>
            <w:tcW w:w="635" w:type="pct"/>
            <w:vMerge/>
            <w:tcBorders>
              <w:top w:val="nil"/>
              <w:left w:val="single" w:sz="4" w:space="0" w:color="000000"/>
              <w:bottom w:val="nil"/>
              <w:right w:val="single" w:sz="4" w:space="0" w:color="000000"/>
            </w:tcBorders>
            <w:vAlign w:val="center"/>
          </w:tcPr>
          <w:p w14:paraId="236B3D8B"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6424C221" w14:textId="77777777" w:rsidR="00505287" w:rsidRDefault="00B74D26">
            <w:pPr>
              <w:spacing w:after="0" w:line="240" w:lineRule="auto"/>
              <w:jc w:val="center"/>
              <w:rPr>
                <w:color w:val="000000"/>
                <w:sz w:val="20"/>
              </w:rPr>
            </w:pPr>
            <w:r>
              <w:rPr>
                <w:color w:val="000000"/>
                <w:sz w:val="20"/>
              </w:rPr>
              <w:t>0.41 – 0.99</w:t>
            </w:r>
          </w:p>
        </w:tc>
        <w:tc>
          <w:tcPr>
            <w:tcW w:w="873" w:type="pct"/>
            <w:tcBorders>
              <w:top w:val="single" w:sz="4" w:space="0" w:color="000000"/>
              <w:left w:val="single" w:sz="4" w:space="0" w:color="000000"/>
              <w:bottom w:val="single" w:sz="4" w:space="0" w:color="000000"/>
              <w:right w:val="single" w:sz="4" w:space="0" w:color="000000"/>
            </w:tcBorders>
            <w:vAlign w:val="center"/>
          </w:tcPr>
          <w:p w14:paraId="71385483" w14:textId="77777777" w:rsidR="00505287" w:rsidRDefault="00B74D26">
            <w:pPr>
              <w:spacing w:after="0" w:line="240" w:lineRule="auto"/>
              <w:jc w:val="center"/>
              <w:rPr>
                <w:color w:val="000000"/>
                <w:sz w:val="20"/>
              </w:rPr>
            </w:pPr>
            <w:r>
              <w:rPr>
                <w:color w:val="000000"/>
                <w:sz w:val="20"/>
              </w:rPr>
              <w:t>0.64</w:t>
            </w:r>
          </w:p>
        </w:tc>
        <w:tc>
          <w:tcPr>
            <w:tcW w:w="1119" w:type="pct"/>
            <w:tcBorders>
              <w:top w:val="single" w:sz="4" w:space="0" w:color="000000"/>
              <w:left w:val="single" w:sz="4" w:space="0" w:color="000000"/>
              <w:bottom w:val="single" w:sz="4" w:space="0" w:color="000000"/>
              <w:right w:val="single" w:sz="4" w:space="0" w:color="000000"/>
            </w:tcBorders>
            <w:vAlign w:val="center"/>
          </w:tcPr>
          <w:p w14:paraId="190F0E58" w14:textId="77777777" w:rsidR="00505287" w:rsidRDefault="00B74D26">
            <w:pPr>
              <w:spacing w:after="0" w:line="240" w:lineRule="auto"/>
              <w:jc w:val="center"/>
              <w:rPr>
                <w:color w:val="000000"/>
                <w:sz w:val="20"/>
              </w:rPr>
            </w:pPr>
            <w:r>
              <w:rPr>
                <w:color w:val="000000"/>
                <w:sz w:val="20"/>
              </w:rPr>
              <w:t>0.24 (0.04 – 1.25)</w:t>
            </w:r>
          </w:p>
        </w:tc>
      </w:tr>
      <w:tr w:rsidR="00505287" w14:paraId="6772DA5F" w14:textId="77777777">
        <w:trPr>
          <w:trHeight w:val="259"/>
        </w:trPr>
        <w:tc>
          <w:tcPr>
            <w:tcW w:w="611" w:type="pct"/>
            <w:vMerge/>
            <w:tcBorders>
              <w:top w:val="nil"/>
              <w:left w:val="single" w:sz="4" w:space="0" w:color="000000"/>
              <w:bottom w:val="single" w:sz="4" w:space="0" w:color="000000"/>
              <w:right w:val="single" w:sz="4" w:space="0" w:color="000000"/>
            </w:tcBorders>
            <w:vAlign w:val="center"/>
          </w:tcPr>
          <w:p w14:paraId="06FDA07D" w14:textId="77777777" w:rsidR="00505287" w:rsidRDefault="00505287"/>
        </w:tc>
        <w:tc>
          <w:tcPr>
            <w:tcW w:w="712" w:type="pct"/>
            <w:vMerge/>
            <w:tcBorders>
              <w:top w:val="nil"/>
              <w:left w:val="single" w:sz="4" w:space="0" w:color="000000"/>
              <w:bottom w:val="single" w:sz="4" w:space="0" w:color="000000"/>
              <w:right w:val="single" w:sz="4" w:space="0" w:color="000000"/>
            </w:tcBorders>
            <w:vAlign w:val="center"/>
          </w:tcPr>
          <w:p w14:paraId="4B028119" w14:textId="77777777" w:rsidR="00505287" w:rsidRDefault="00505287"/>
        </w:tc>
        <w:tc>
          <w:tcPr>
            <w:tcW w:w="635" w:type="pct"/>
            <w:vMerge/>
            <w:tcBorders>
              <w:top w:val="nil"/>
              <w:left w:val="single" w:sz="4" w:space="0" w:color="000000"/>
              <w:bottom w:val="single" w:sz="4" w:space="0" w:color="000000"/>
              <w:right w:val="single" w:sz="4" w:space="0" w:color="000000"/>
            </w:tcBorders>
            <w:vAlign w:val="center"/>
          </w:tcPr>
          <w:p w14:paraId="3A1F83EF"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66153838" w14:textId="77777777" w:rsidR="00505287" w:rsidRDefault="00B74D26">
            <w:pPr>
              <w:spacing w:after="0" w:line="240" w:lineRule="auto"/>
              <w:jc w:val="center"/>
              <w:rPr>
                <w:color w:val="000000"/>
                <w:sz w:val="20"/>
              </w:rPr>
            </w:pPr>
            <w:r>
              <w:rPr>
                <w:color w:val="000000"/>
                <w:sz w:val="20"/>
              </w:rPr>
              <w:t>≥ 1.00</w:t>
            </w:r>
          </w:p>
        </w:tc>
        <w:tc>
          <w:tcPr>
            <w:tcW w:w="873" w:type="pct"/>
            <w:tcBorders>
              <w:top w:val="single" w:sz="4" w:space="0" w:color="000000"/>
              <w:left w:val="single" w:sz="4" w:space="0" w:color="000000"/>
              <w:bottom w:val="single" w:sz="4" w:space="0" w:color="000000"/>
              <w:right w:val="single" w:sz="4" w:space="0" w:color="000000"/>
            </w:tcBorders>
            <w:vAlign w:val="center"/>
          </w:tcPr>
          <w:p w14:paraId="571AB8B9" w14:textId="77777777" w:rsidR="00505287" w:rsidRDefault="00B74D26">
            <w:pPr>
              <w:spacing w:after="0" w:line="240" w:lineRule="auto"/>
              <w:jc w:val="center"/>
              <w:rPr>
                <w:color w:val="000000"/>
                <w:sz w:val="20"/>
              </w:rPr>
            </w:pPr>
            <w:r>
              <w:rPr>
                <w:color w:val="000000"/>
                <w:sz w:val="20"/>
              </w:rPr>
              <w:t>1.80</w:t>
            </w:r>
          </w:p>
        </w:tc>
        <w:tc>
          <w:tcPr>
            <w:tcW w:w="1119" w:type="pct"/>
            <w:tcBorders>
              <w:top w:val="single" w:sz="4" w:space="0" w:color="000000"/>
              <w:left w:val="single" w:sz="4" w:space="0" w:color="000000"/>
              <w:bottom w:val="single" w:sz="4" w:space="0" w:color="000000"/>
              <w:right w:val="single" w:sz="4" w:space="0" w:color="000000"/>
            </w:tcBorders>
          </w:tcPr>
          <w:p w14:paraId="372D7F21" w14:textId="77777777" w:rsidR="00505287" w:rsidRDefault="00B74D26">
            <w:pPr>
              <w:spacing w:after="0" w:line="240" w:lineRule="auto"/>
              <w:jc w:val="center"/>
              <w:rPr>
                <w:color w:val="000000"/>
                <w:sz w:val="20"/>
              </w:rPr>
            </w:pPr>
            <w:r>
              <w:rPr>
                <w:color w:val="000000"/>
                <w:sz w:val="20"/>
              </w:rPr>
              <w:t>Ref</w:t>
            </w:r>
          </w:p>
        </w:tc>
      </w:tr>
      <w:tr w:rsidR="00505287" w14:paraId="2059C8CB" w14:textId="77777777">
        <w:trPr>
          <w:trHeight w:val="259"/>
        </w:trPr>
        <w:tc>
          <w:tcPr>
            <w:tcW w:w="611" w:type="pct"/>
            <w:vMerge w:val="restart"/>
            <w:tcBorders>
              <w:top w:val="single" w:sz="4" w:space="0" w:color="000000"/>
              <w:left w:val="single" w:sz="4" w:space="0" w:color="000000"/>
              <w:bottom w:val="nil"/>
              <w:right w:val="single" w:sz="4" w:space="0" w:color="000000"/>
            </w:tcBorders>
            <w:vAlign w:val="center"/>
          </w:tcPr>
          <w:p w14:paraId="3C304FFE" w14:textId="77777777" w:rsidR="00505287" w:rsidRDefault="00B74D26">
            <w:pPr>
              <w:spacing w:after="0" w:line="240" w:lineRule="auto"/>
              <w:rPr>
                <w:b/>
                <w:color w:val="000000"/>
                <w:sz w:val="20"/>
              </w:rPr>
            </w:pPr>
            <w:r>
              <w:rPr>
                <w:b/>
                <w:color w:val="000000"/>
                <w:sz w:val="20"/>
              </w:rPr>
              <w:t>Le 2012</w:t>
            </w:r>
          </w:p>
        </w:tc>
        <w:tc>
          <w:tcPr>
            <w:tcW w:w="712" w:type="pct"/>
            <w:vMerge w:val="restart"/>
            <w:tcBorders>
              <w:top w:val="single" w:sz="4" w:space="0" w:color="000000"/>
              <w:left w:val="single" w:sz="4" w:space="0" w:color="000000"/>
              <w:bottom w:val="nil"/>
              <w:right w:val="single" w:sz="4" w:space="0" w:color="000000"/>
            </w:tcBorders>
            <w:vAlign w:val="center"/>
          </w:tcPr>
          <w:p w14:paraId="2479A92E" w14:textId="77777777" w:rsidR="00505287" w:rsidRDefault="00B74D26">
            <w:pPr>
              <w:spacing w:line="240" w:lineRule="auto"/>
              <w:jc w:val="center"/>
              <w:rPr>
                <w:color w:val="000000"/>
                <w:sz w:val="20"/>
              </w:rPr>
            </w:pPr>
            <w:r>
              <w:rPr>
                <w:color w:val="000000"/>
                <w:sz w:val="20"/>
              </w:rPr>
              <w:t>eGFR &lt;15 mL/min/1.73m</w:t>
            </w:r>
            <w:r>
              <w:rPr>
                <w:color w:val="000000"/>
                <w:sz w:val="20"/>
                <w:vertAlign w:val="superscript"/>
              </w:rPr>
              <w:t>2</w:t>
            </w:r>
            <w:r>
              <w:rPr>
                <w:color w:val="000000"/>
                <w:sz w:val="20"/>
              </w:rPr>
              <w:t>, dialysis, transplantation, or eGFR decline &gt;50%</w:t>
            </w:r>
          </w:p>
        </w:tc>
        <w:tc>
          <w:tcPr>
            <w:tcW w:w="635" w:type="pct"/>
            <w:vMerge w:val="restart"/>
            <w:tcBorders>
              <w:top w:val="single" w:sz="4" w:space="0" w:color="000000"/>
              <w:left w:val="single" w:sz="4" w:space="0" w:color="000000"/>
              <w:bottom w:val="nil"/>
              <w:right w:val="single" w:sz="4" w:space="0" w:color="000000"/>
            </w:tcBorders>
            <w:vAlign w:val="center"/>
          </w:tcPr>
          <w:p w14:paraId="6A5BFE62" w14:textId="77777777" w:rsidR="00505287" w:rsidRDefault="00B74D26">
            <w:pPr>
              <w:spacing w:after="0" w:line="240" w:lineRule="auto"/>
              <w:jc w:val="center"/>
              <w:rPr>
                <w:color w:val="000000"/>
                <w:sz w:val="20"/>
              </w:rPr>
            </w:pPr>
            <w:r>
              <w:rPr>
                <w:color w:val="000000"/>
                <w:sz w:val="20"/>
              </w:rPr>
              <w:t>Baseline</w:t>
            </w:r>
          </w:p>
        </w:tc>
        <w:tc>
          <w:tcPr>
            <w:tcW w:w="1048" w:type="pct"/>
            <w:tcBorders>
              <w:top w:val="single" w:sz="4" w:space="0" w:color="000000"/>
              <w:left w:val="single" w:sz="4" w:space="0" w:color="000000"/>
              <w:bottom w:val="single" w:sz="4" w:space="0" w:color="000000"/>
              <w:right w:val="single" w:sz="4" w:space="0" w:color="000000"/>
            </w:tcBorders>
            <w:vAlign w:val="center"/>
          </w:tcPr>
          <w:p w14:paraId="663AEA0A" w14:textId="77777777" w:rsidR="00505287" w:rsidRDefault="00B74D26">
            <w:pPr>
              <w:spacing w:after="0" w:line="240" w:lineRule="auto"/>
              <w:jc w:val="center"/>
              <w:rPr>
                <w:color w:val="000000"/>
                <w:sz w:val="20"/>
              </w:rPr>
            </w:pPr>
            <w:r>
              <w:rPr>
                <w:color w:val="000000"/>
                <w:sz w:val="20"/>
              </w:rPr>
              <w:t>≤ 1.00</w:t>
            </w:r>
          </w:p>
        </w:tc>
        <w:tc>
          <w:tcPr>
            <w:tcW w:w="873" w:type="pct"/>
            <w:tcBorders>
              <w:top w:val="single" w:sz="4" w:space="0" w:color="000000"/>
              <w:left w:val="single" w:sz="4" w:space="0" w:color="000000"/>
              <w:bottom w:val="single" w:sz="4" w:space="0" w:color="000000"/>
              <w:right w:val="single" w:sz="4" w:space="0" w:color="000000"/>
            </w:tcBorders>
            <w:vAlign w:val="center"/>
          </w:tcPr>
          <w:p w14:paraId="7D3165CF" w14:textId="77777777" w:rsidR="00505287" w:rsidRDefault="00B74D26">
            <w:pPr>
              <w:spacing w:after="0" w:line="240" w:lineRule="auto"/>
              <w:jc w:val="center"/>
              <w:rPr>
                <w:color w:val="000000"/>
                <w:sz w:val="20"/>
              </w:rPr>
            </w:pPr>
            <w:r>
              <w:rPr>
                <w:color w:val="000000"/>
                <w:sz w:val="20"/>
              </w:rPr>
              <w:t>0.43</w:t>
            </w:r>
          </w:p>
        </w:tc>
        <w:tc>
          <w:tcPr>
            <w:tcW w:w="1119" w:type="pct"/>
            <w:tcBorders>
              <w:top w:val="single" w:sz="4" w:space="0" w:color="000000"/>
              <w:left w:val="single" w:sz="4" w:space="0" w:color="000000"/>
              <w:bottom w:val="single" w:sz="4" w:space="0" w:color="000000"/>
              <w:right w:val="single" w:sz="4" w:space="0" w:color="000000"/>
            </w:tcBorders>
          </w:tcPr>
          <w:p w14:paraId="6B1BB0C8" w14:textId="77777777" w:rsidR="00505287" w:rsidRDefault="00B74D26">
            <w:pPr>
              <w:spacing w:after="0" w:line="240" w:lineRule="auto"/>
              <w:jc w:val="center"/>
              <w:rPr>
                <w:color w:val="000000"/>
                <w:sz w:val="20"/>
              </w:rPr>
            </w:pPr>
            <w:r>
              <w:rPr>
                <w:color w:val="000000"/>
                <w:sz w:val="20"/>
              </w:rPr>
              <w:t>Ref</w:t>
            </w:r>
          </w:p>
        </w:tc>
      </w:tr>
      <w:tr w:rsidR="00505287" w14:paraId="670BD084" w14:textId="77777777">
        <w:trPr>
          <w:trHeight w:val="259"/>
        </w:trPr>
        <w:tc>
          <w:tcPr>
            <w:tcW w:w="611" w:type="pct"/>
            <w:vMerge/>
            <w:tcBorders>
              <w:top w:val="nil"/>
              <w:left w:val="single" w:sz="4" w:space="0" w:color="000000"/>
              <w:bottom w:val="single" w:sz="4" w:space="0" w:color="000000"/>
              <w:right w:val="single" w:sz="4" w:space="0" w:color="000000"/>
            </w:tcBorders>
            <w:vAlign w:val="center"/>
          </w:tcPr>
          <w:p w14:paraId="2F78C905" w14:textId="77777777" w:rsidR="00505287" w:rsidRDefault="00505287"/>
        </w:tc>
        <w:tc>
          <w:tcPr>
            <w:tcW w:w="712" w:type="pct"/>
            <w:vMerge/>
            <w:tcBorders>
              <w:top w:val="nil"/>
              <w:left w:val="single" w:sz="4" w:space="0" w:color="000000"/>
              <w:bottom w:val="single" w:sz="4" w:space="0" w:color="000000"/>
              <w:right w:val="single" w:sz="4" w:space="0" w:color="000000"/>
            </w:tcBorders>
            <w:vAlign w:val="center"/>
          </w:tcPr>
          <w:p w14:paraId="47C4A446" w14:textId="77777777" w:rsidR="00505287" w:rsidRDefault="00505287"/>
        </w:tc>
        <w:tc>
          <w:tcPr>
            <w:tcW w:w="635" w:type="pct"/>
            <w:vMerge/>
            <w:tcBorders>
              <w:top w:val="nil"/>
              <w:left w:val="single" w:sz="4" w:space="0" w:color="000000"/>
              <w:bottom w:val="single" w:sz="4" w:space="0" w:color="000000"/>
              <w:right w:val="single" w:sz="4" w:space="0" w:color="000000"/>
            </w:tcBorders>
            <w:vAlign w:val="center"/>
          </w:tcPr>
          <w:p w14:paraId="5DDEFB01"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4E502C94" w14:textId="77777777" w:rsidR="00505287" w:rsidRDefault="00B74D26">
            <w:pPr>
              <w:spacing w:after="0" w:line="240" w:lineRule="auto"/>
              <w:jc w:val="center"/>
              <w:rPr>
                <w:color w:val="000000"/>
                <w:sz w:val="20"/>
              </w:rPr>
            </w:pPr>
            <w:r>
              <w:rPr>
                <w:color w:val="000000"/>
                <w:sz w:val="20"/>
              </w:rPr>
              <w:t>&gt; 1.00</w:t>
            </w:r>
          </w:p>
        </w:tc>
        <w:tc>
          <w:tcPr>
            <w:tcW w:w="873" w:type="pct"/>
            <w:tcBorders>
              <w:top w:val="single" w:sz="4" w:space="0" w:color="000000"/>
              <w:left w:val="single" w:sz="4" w:space="0" w:color="000000"/>
              <w:bottom w:val="single" w:sz="4" w:space="0" w:color="000000"/>
              <w:right w:val="single" w:sz="4" w:space="0" w:color="000000"/>
            </w:tcBorders>
            <w:vAlign w:val="center"/>
          </w:tcPr>
          <w:p w14:paraId="74CB1416" w14:textId="77777777" w:rsidR="00505287" w:rsidRDefault="00B74D26">
            <w:pPr>
              <w:spacing w:after="0" w:line="240" w:lineRule="auto"/>
              <w:jc w:val="center"/>
              <w:rPr>
                <w:color w:val="000000"/>
                <w:sz w:val="20"/>
              </w:rPr>
            </w:pPr>
            <w:r>
              <w:rPr>
                <w:color w:val="000000"/>
                <w:sz w:val="20"/>
              </w:rPr>
              <w:t>1.80</w:t>
            </w:r>
          </w:p>
        </w:tc>
        <w:tc>
          <w:tcPr>
            <w:tcW w:w="1119" w:type="pct"/>
            <w:tcBorders>
              <w:top w:val="single" w:sz="4" w:space="0" w:color="000000"/>
              <w:left w:val="single" w:sz="4" w:space="0" w:color="000000"/>
              <w:bottom w:val="single" w:sz="4" w:space="0" w:color="000000"/>
              <w:right w:val="single" w:sz="4" w:space="0" w:color="000000"/>
            </w:tcBorders>
            <w:vAlign w:val="center"/>
          </w:tcPr>
          <w:p w14:paraId="2DCE8688" w14:textId="77777777" w:rsidR="00505287" w:rsidRDefault="00B74D26">
            <w:pPr>
              <w:spacing w:after="0" w:line="240" w:lineRule="auto"/>
              <w:jc w:val="center"/>
              <w:rPr>
                <w:color w:val="000000"/>
                <w:sz w:val="20"/>
              </w:rPr>
            </w:pPr>
            <w:r>
              <w:rPr>
                <w:color w:val="000000"/>
                <w:sz w:val="20"/>
              </w:rPr>
              <w:t>3.20 (2.20 – 4.90)</w:t>
            </w:r>
          </w:p>
        </w:tc>
      </w:tr>
      <w:tr w:rsidR="00505287" w14:paraId="6F2FD7F2" w14:textId="77777777">
        <w:trPr>
          <w:trHeight w:val="259"/>
        </w:trPr>
        <w:tc>
          <w:tcPr>
            <w:tcW w:w="611" w:type="pct"/>
            <w:vMerge w:val="restart"/>
            <w:tcBorders>
              <w:top w:val="single" w:sz="4" w:space="0" w:color="000000"/>
              <w:left w:val="single" w:sz="4" w:space="0" w:color="000000"/>
              <w:bottom w:val="nil"/>
              <w:right w:val="single" w:sz="4" w:space="0" w:color="000000"/>
            </w:tcBorders>
            <w:vAlign w:val="center"/>
          </w:tcPr>
          <w:p w14:paraId="4B4B523C" w14:textId="77777777" w:rsidR="00505287" w:rsidRDefault="00B74D26">
            <w:pPr>
              <w:spacing w:after="0" w:line="240" w:lineRule="auto"/>
              <w:rPr>
                <w:b/>
                <w:color w:val="000000"/>
                <w:sz w:val="20"/>
              </w:rPr>
            </w:pPr>
            <w:r>
              <w:rPr>
                <w:b/>
                <w:color w:val="000000"/>
                <w:sz w:val="20"/>
              </w:rPr>
              <w:t>Sarcina 2016</w:t>
            </w:r>
          </w:p>
        </w:tc>
        <w:tc>
          <w:tcPr>
            <w:tcW w:w="712" w:type="pct"/>
            <w:vMerge w:val="restart"/>
            <w:tcBorders>
              <w:top w:val="single" w:sz="4" w:space="0" w:color="000000"/>
              <w:left w:val="single" w:sz="4" w:space="0" w:color="000000"/>
              <w:bottom w:val="nil"/>
              <w:right w:val="single" w:sz="4" w:space="0" w:color="000000"/>
            </w:tcBorders>
            <w:vAlign w:val="center"/>
          </w:tcPr>
          <w:p w14:paraId="239EB26C" w14:textId="77777777" w:rsidR="00505287" w:rsidRDefault="00B74D26">
            <w:pPr>
              <w:spacing w:after="0" w:line="240" w:lineRule="auto"/>
              <w:jc w:val="center"/>
              <w:rPr>
                <w:color w:val="000000"/>
                <w:sz w:val="20"/>
              </w:rPr>
            </w:pPr>
            <w:proofErr w:type="spellStart"/>
            <w:r>
              <w:rPr>
                <w:color w:val="000000"/>
                <w:sz w:val="20"/>
              </w:rPr>
              <w:t>SCr</w:t>
            </w:r>
            <w:proofErr w:type="spellEnd"/>
            <w:r>
              <w:rPr>
                <w:color w:val="000000"/>
                <w:sz w:val="20"/>
              </w:rPr>
              <w:t xml:space="preserve"> doubling</w:t>
            </w:r>
          </w:p>
        </w:tc>
        <w:tc>
          <w:tcPr>
            <w:tcW w:w="635" w:type="pct"/>
            <w:vMerge w:val="restart"/>
            <w:tcBorders>
              <w:top w:val="single" w:sz="4" w:space="0" w:color="000000"/>
              <w:left w:val="single" w:sz="4" w:space="0" w:color="000000"/>
              <w:bottom w:val="nil"/>
              <w:right w:val="single" w:sz="4" w:space="0" w:color="000000"/>
            </w:tcBorders>
            <w:vAlign w:val="center"/>
          </w:tcPr>
          <w:p w14:paraId="1A2F9EEC" w14:textId="77777777" w:rsidR="00505287" w:rsidRDefault="00B74D26">
            <w:pPr>
              <w:spacing w:after="0" w:line="240" w:lineRule="auto"/>
              <w:jc w:val="center"/>
              <w:rPr>
                <w:color w:val="000000"/>
                <w:sz w:val="20"/>
              </w:rPr>
            </w:pPr>
            <w:r>
              <w:rPr>
                <w:color w:val="000000"/>
                <w:sz w:val="20"/>
              </w:rPr>
              <w:t>Baseline</w:t>
            </w:r>
          </w:p>
        </w:tc>
        <w:tc>
          <w:tcPr>
            <w:tcW w:w="1048" w:type="pct"/>
            <w:tcBorders>
              <w:top w:val="single" w:sz="4" w:space="0" w:color="000000"/>
              <w:left w:val="single" w:sz="4" w:space="0" w:color="000000"/>
              <w:bottom w:val="single" w:sz="4" w:space="0" w:color="000000"/>
              <w:right w:val="single" w:sz="4" w:space="0" w:color="000000"/>
            </w:tcBorders>
            <w:vAlign w:val="center"/>
          </w:tcPr>
          <w:p w14:paraId="2FF0745D" w14:textId="77777777" w:rsidR="00505287" w:rsidRDefault="00B74D26">
            <w:pPr>
              <w:spacing w:after="0" w:line="240" w:lineRule="auto"/>
              <w:jc w:val="center"/>
              <w:rPr>
                <w:color w:val="000000"/>
                <w:sz w:val="20"/>
              </w:rPr>
            </w:pPr>
            <w:r>
              <w:rPr>
                <w:color w:val="000000"/>
                <w:sz w:val="20"/>
              </w:rPr>
              <w:t>1.00 – 1.99</w:t>
            </w:r>
          </w:p>
        </w:tc>
        <w:tc>
          <w:tcPr>
            <w:tcW w:w="873" w:type="pct"/>
            <w:tcBorders>
              <w:top w:val="single" w:sz="4" w:space="0" w:color="000000"/>
              <w:left w:val="single" w:sz="4" w:space="0" w:color="000000"/>
              <w:bottom w:val="single" w:sz="4" w:space="0" w:color="000000"/>
              <w:right w:val="single" w:sz="4" w:space="0" w:color="000000"/>
            </w:tcBorders>
            <w:vAlign w:val="center"/>
          </w:tcPr>
          <w:p w14:paraId="36ACE934" w14:textId="77777777" w:rsidR="00505287" w:rsidRDefault="00B74D26">
            <w:pPr>
              <w:spacing w:after="0" w:line="240" w:lineRule="auto"/>
              <w:jc w:val="center"/>
              <w:rPr>
                <w:color w:val="000000"/>
                <w:sz w:val="20"/>
              </w:rPr>
            </w:pPr>
            <w:r>
              <w:rPr>
                <w:color w:val="000000"/>
                <w:sz w:val="20"/>
              </w:rPr>
              <w:t>1.37</w:t>
            </w:r>
          </w:p>
        </w:tc>
        <w:tc>
          <w:tcPr>
            <w:tcW w:w="1119" w:type="pct"/>
            <w:tcBorders>
              <w:top w:val="single" w:sz="4" w:space="0" w:color="000000"/>
              <w:left w:val="single" w:sz="4" w:space="0" w:color="000000"/>
              <w:bottom w:val="single" w:sz="4" w:space="0" w:color="000000"/>
              <w:right w:val="single" w:sz="4" w:space="0" w:color="000000"/>
            </w:tcBorders>
            <w:vAlign w:val="center"/>
          </w:tcPr>
          <w:p w14:paraId="227B4C6E" w14:textId="77777777" w:rsidR="00505287" w:rsidRDefault="00B74D26">
            <w:pPr>
              <w:spacing w:after="0" w:line="240" w:lineRule="auto"/>
              <w:jc w:val="center"/>
              <w:rPr>
                <w:color w:val="000000"/>
                <w:sz w:val="20"/>
              </w:rPr>
            </w:pPr>
            <w:r>
              <w:rPr>
                <w:color w:val="000000"/>
                <w:sz w:val="20"/>
              </w:rPr>
              <w:t>Ref</w:t>
            </w:r>
          </w:p>
        </w:tc>
      </w:tr>
      <w:tr w:rsidR="00505287" w14:paraId="0E89E88D" w14:textId="77777777">
        <w:trPr>
          <w:trHeight w:val="259"/>
        </w:trPr>
        <w:tc>
          <w:tcPr>
            <w:tcW w:w="611" w:type="pct"/>
            <w:vMerge/>
            <w:tcBorders>
              <w:top w:val="nil"/>
              <w:left w:val="single" w:sz="4" w:space="0" w:color="000000"/>
              <w:bottom w:val="nil"/>
              <w:right w:val="single" w:sz="4" w:space="0" w:color="000000"/>
            </w:tcBorders>
            <w:vAlign w:val="center"/>
          </w:tcPr>
          <w:p w14:paraId="197C63C4" w14:textId="77777777" w:rsidR="00505287" w:rsidRDefault="00505287"/>
        </w:tc>
        <w:tc>
          <w:tcPr>
            <w:tcW w:w="712" w:type="pct"/>
            <w:vMerge/>
            <w:tcBorders>
              <w:top w:val="nil"/>
              <w:left w:val="single" w:sz="4" w:space="0" w:color="000000"/>
              <w:bottom w:val="nil"/>
              <w:right w:val="single" w:sz="4" w:space="0" w:color="000000"/>
            </w:tcBorders>
            <w:vAlign w:val="center"/>
          </w:tcPr>
          <w:p w14:paraId="540C0BA0" w14:textId="77777777" w:rsidR="00505287" w:rsidRDefault="00505287"/>
        </w:tc>
        <w:tc>
          <w:tcPr>
            <w:tcW w:w="635" w:type="pct"/>
            <w:vMerge/>
            <w:tcBorders>
              <w:top w:val="nil"/>
              <w:left w:val="single" w:sz="4" w:space="0" w:color="000000"/>
              <w:bottom w:val="nil"/>
              <w:right w:val="single" w:sz="4" w:space="0" w:color="000000"/>
            </w:tcBorders>
            <w:vAlign w:val="center"/>
          </w:tcPr>
          <w:p w14:paraId="6D26E685"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08665DA7" w14:textId="77777777" w:rsidR="00505287" w:rsidRDefault="00B74D26">
            <w:pPr>
              <w:spacing w:after="0" w:line="240" w:lineRule="auto"/>
              <w:jc w:val="center"/>
              <w:rPr>
                <w:color w:val="000000"/>
                <w:sz w:val="20"/>
              </w:rPr>
            </w:pPr>
            <w:r>
              <w:rPr>
                <w:color w:val="000000"/>
                <w:sz w:val="20"/>
              </w:rPr>
              <w:t>2.00 – 2.99</w:t>
            </w:r>
          </w:p>
        </w:tc>
        <w:tc>
          <w:tcPr>
            <w:tcW w:w="873" w:type="pct"/>
            <w:tcBorders>
              <w:top w:val="single" w:sz="4" w:space="0" w:color="000000"/>
              <w:left w:val="single" w:sz="4" w:space="0" w:color="000000"/>
              <w:bottom w:val="single" w:sz="4" w:space="0" w:color="000000"/>
              <w:right w:val="single" w:sz="4" w:space="0" w:color="000000"/>
            </w:tcBorders>
            <w:vAlign w:val="center"/>
          </w:tcPr>
          <w:p w14:paraId="5A238158" w14:textId="77777777" w:rsidR="00505287" w:rsidRDefault="00B74D26">
            <w:pPr>
              <w:spacing w:after="0" w:line="240" w:lineRule="auto"/>
              <w:jc w:val="center"/>
              <w:rPr>
                <w:color w:val="000000"/>
                <w:sz w:val="20"/>
              </w:rPr>
            </w:pPr>
            <w:r>
              <w:rPr>
                <w:color w:val="000000"/>
                <w:sz w:val="20"/>
              </w:rPr>
              <w:t>2.40</w:t>
            </w:r>
          </w:p>
        </w:tc>
        <w:tc>
          <w:tcPr>
            <w:tcW w:w="1119" w:type="pct"/>
            <w:tcBorders>
              <w:top w:val="single" w:sz="4" w:space="0" w:color="000000"/>
              <w:left w:val="single" w:sz="4" w:space="0" w:color="000000"/>
              <w:bottom w:val="single" w:sz="4" w:space="0" w:color="000000"/>
              <w:right w:val="single" w:sz="4" w:space="0" w:color="000000"/>
            </w:tcBorders>
            <w:vAlign w:val="center"/>
          </w:tcPr>
          <w:p w14:paraId="1F25F738" w14:textId="77777777" w:rsidR="00505287" w:rsidRDefault="00B74D26">
            <w:pPr>
              <w:spacing w:after="0" w:line="240" w:lineRule="auto"/>
              <w:jc w:val="center"/>
              <w:rPr>
                <w:color w:val="000000"/>
                <w:sz w:val="20"/>
              </w:rPr>
            </w:pPr>
            <w:r>
              <w:rPr>
                <w:color w:val="000000"/>
                <w:sz w:val="20"/>
              </w:rPr>
              <w:t>1.59 (0.63 – 4.02)</w:t>
            </w:r>
          </w:p>
        </w:tc>
      </w:tr>
      <w:tr w:rsidR="00505287" w14:paraId="260F2A56" w14:textId="77777777">
        <w:trPr>
          <w:trHeight w:val="259"/>
        </w:trPr>
        <w:tc>
          <w:tcPr>
            <w:tcW w:w="611" w:type="pct"/>
            <w:vMerge/>
            <w:tcBorders>
              <w:top w:val="nil"/>
              <w:left w:val="single" w:sz="4" w:space="0" w:color="000000"/>
              <w:bottom w:val="single" w:sz="4" w:space="0" w:color="000000"/>
              <w:right w:val="single" w:sz="4" w:space="0" w:color="000000"/>
            </w:tcBorders>
            <w:vAlign w:val="center"/>
          </w:tcPr>
          <w:p w14:paraId="5BAB2E74" w14:textId="77777777" w:rsidR="00505287" w:rsidRDefault="00505287"/>
        </w:tc>
        <w:tc>
          <w:tcPr>
            <w:tcW w:w="712" w:type="pct"/>
            <w:vMerge/>
            <w:tcBorders>
              <w:top w:val="nil"/>
              <w:left w:val="single" w:sz="4" w:space="0" w:color="000000"/>
              <w:bottom w:val="single" w:sz="4" w:space="0" w:color="000000"/>
              <w:right w:val="single" w:sz="4" w:space="0" w:color="000000"/>
            </w:tcBorders>
            <w:vAlign w:val="center"/>
          </w:tcPr>
          <w:p w14:paraId="5122120C" w14:textId="77777777" w:rsidR="00505287" w:rsidRDefault="00505287"/>
        </w:tc>
        <w:tc>
          <w:tcPr>
            <w:tcW w:w="635" w:type="pct"/>
            <w:vMerge/>
            <w:tcBorders>
              <w:top w:val="nil"/>
              <w:left w:val="single" w:sz="4" w:space="0" w:color="000000"/>
              <w:bottom w:val="single" w:sz="4" w:space="0" w:color="000000"/>
              <w:right w:val="single" w:sz="4" w:space="0" w:color="000000"/>
            </w:tcBorders>
            <w:vAlign w:val="center"/>
          </w:tcPr>
          <w:p w14:paraId="231B4482"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681FE326" w14:textId="77777777" w:rsidR="00505287" w:rsidRDefault="00B74D26">
            <w:pPr>
              <w:spacing w:after="0" w:line="240" w:lineRule="auto"/>
              <w:jc w:val="center"/>
              <w:rPr>
                <w:color w:val="000000"/>
                <w:sz w:val="20"/>
              </w:rPr>
            </w:pPr>
            <w:r>
              <w:rPr>
                <w:color w:val="000000"/>
                <w:sz w:val="20"/>
              </w:rPr>
              <w:t>≥ 3.00</w:t>
            </w:r>
          </w:p>
        </w:tc>
        <w:tc>
          <w:tcPr>
            <w:tcW w:w="873" w:type="pct"/>
            <w:tcBorders>
              <w:top w:val="single" w:sz="4" w:space="0" w:color="000000"/>
              <w:left w:val="single" w:sz="4" w:space="0" w:color="000000"/>
              <w:bottom w:val="single" w:sz="4" w:space="0" w:color="000000"/>
              <w:right w:val="single" w:sz="4" w:space="0" w:color="000000"/>
            </w:tcBorders>
            <w:vAlign w:val="center"/>
          </w:tcPr>
          <w:p w14:paraId="2A5A244A" w14:textId="77777777" w:rsidR="00505287" w:rsidRDefault="00B74D26">
            <w:pPr>
              <w:spacing w:after="0" w:line="240" w:lineRule="auto"/>
              <w:jc w:val="center"/>
              <w:rPr>
                <w:color w:val="000000"/>
                <w:sz w:val="20"/>
              </w:rPr>
            </w:pPr>
            <w:r>
              <w:rPr>
                <w:color w:val="000000"/>
                <w:sz w:val="20"/>
              </w:rPr>
              <w:t>4.31</w:t>
            </w:r>
          </w:p>
        </w:tc>
        <w:tc>
          <w:tcPr>
            <w:tcW w:w="1119" w:type="pct"/>
            <w:tcBorders>
              <w:top w:val="single" w:sz="4" w:space="0" w:color="000000"/>
              <w:left w:val="single" w:sz="4" w:space="0" w:color="000000"/>
              <w:bottom w:val="single" w:sz="4" w:space="0" w:color="000000"/>
              <w:right w:val="single" w:sz="4" w:space="0" w:color="000000"/>
            </w:tcBorders>
            <w:vAlign w:val="center"/>
          </w:tcPr>
          <w:p w14:paraId="5F2EEB8B" w14:textId="77777777" w:rsidR="00505287" w:rsidRDefault="00B74D26">
            <w:pPr>
              <w:spacing w:after="0" w:line="240" w:lineRule="auto"/>
              <w:jc w:val="center"/>
              <w:rPr>
                <w:color w:val="000000"/>
                <w:sz w:val="20"/>
              </w:rPr>
            </w:pPr>
            <w:r>
              <w:rPr>
                <w:color w:val="000000"/>
                <w:sz w:val="20"/>
              </w:rPr>
              <w:t>5.86 (2.68 – 12.70)</w:t>
            </w:r>
          </w:p>
        </w:tc>
      </w:tr>
      <w:tr w:rsidR="00505287" w14:paraId="07FC38B5" w14:textId="77777777">
        <w:trPr>
          <w:trHeight w:val="259"/>
        </w:trPr>
        <w:tc>
          <w:tcPr>
            <w:tcW w:w="611" w:type="pct"/>
            <w:vMerge w:val="restart"/>
            <w:tcBorders>
              <w:top w:val="single" w:sz="4" w:space="0" w:color="000000"/>
              <w:left w:val="single" w:sz="4" w:space="0" w:color="000000"/>
              <w:bottom w:val="nil"/>
              <w:right w:val="single" w:sz="4" w:space="0" w:color="000000"/>
            </w:tcBorders>
            <w:vAlign w:val="center"/>
          </w:tcPr>
          <w:p w14:paraId="2ED7DBDE" w14:textId="77777777" w:rsidR="00505287" w:rsidRDefault="00B74D26">
            <w:pPr>
              <w:spacing w:after="0" w:line="240" w:lineRule="auto"/>
              <w:rPr>
                <w:b/>
                <w:color w:val="000000"/>
                <w:sz w:val="20"/>
              </w:rPr>
            </w:pPr>
            <w:r>
              <w:rPr>
                <w:b/>
                <w:color w:val="000000"/>
                <w:sz w:val="20"/>
              </w:rPr>
              <w:t>Sim 2025</w:t>
            </w:r>
          </w:p>
        </w:tc>
        <w:tc>
          <w:tcPr>
            <w:tcW w:w="712" w:type="pct"/>
            <w:vMerge w:val="restart"/>
            <w:tcBorders>
              <w:top w:val="single" w:sz="4" w:space="0" w:color="000000"/>
              <w:left w:val="single" w:sz="4" w:space="0" w:color="000000"/>
              <w:bottom w:val="nil"/>
              <w:right w:val="single" w:sz="4" w:space="0" w:color="000000"/>
            </w:tcBorders>
            <w:vAlign w:val="center"/>
          </w:tcPr>
          <w:p w14:paraId="2A1A9716" w14:textId="77777777" w:rsidR="00505287" w:rsidRDefault="00B74D26">
            <w:pPr>
              <w:spacing w:line="240" w:lineRule="auto"/>
              <w:jc w:val="center"/>
              <w:rPr>
                <w:color w:val="000000"/>
                <w:sz w:val="20"/>
              </w:rPr>
            </w:pPr>
            <w:r>
              <w:rPr>
                <w:color w:val="000000"/>
                <w:sz w:val="20"/>
              </w:rPr>
              <w:t>≥50% eGFR decline or kidney failure</w:t>
            </w:r>
          </w:p>
        </w:tc>
        <w:tc>
          <w:tcPr>
            <w:tcW w:w="635" w:type="pct"/>
            <w:vMerge w:val="restart"/>
            <w:tcBorders>
              <w:top w:val="single" w:sz="4" w:space="0" w:color="000000"/>
              <w:left w:val="single" w:sz="4" w:space="0" w:color="000000"/>
              <w:bottom w:val="nil"/>
              <w:right w:val="single" w:sz="4" w:space="0" w:color="000000"/>
            </w:tcBorders>
            <w:vAlign w:val="center"/>
          </w:tcPr>
          <w:p w14:paraId="5922ECC0" w14:textId="77777777" w:rsidR="00505287" w:rsidRDefault="00B74D26">
            <w:pPr>
              <w:spacing w:after="0" w:line="240" w:lineRule="auto"/>
              <w:jc w:val="center"/>
              <w:rPr>
                <w:color w:val="000000"/>
                <w:sz w:val="20"/>
              </w:rPr>
            </w:pPr>
            <w:r>
              <w:rPr>
                <w:color w:val="000000"/>
                <w:sz w:val="20"/>
              </w:rPr>
              <w:t>Baseline</w:t>
            </w:r>
          </w:p>
        </w:tc>
        <w:tc>
          <w:tcPr>
            <w:tcW w:w="1048" w:type="pct"/>
            <w:tcBorders>
              <w:top w:val="single" w:sz="4" w:space="0" w:color="000000"/>
              <w:left w:val="single" w:sz="4" w:space="0" w:color="000000"/>
              <w:bottom w:val="single" w:sz="4" w:space="0" w:color="000000"/>
              <w:right w:val="single" w:sz="4" w:space="0" w:color="000000"/>
            </w:tcBorders>
            <w:vAlign w:val="center"/>
          </w:tcPr>
          <w:p w14:paraId="2BE15FB6" w14:textId="77777777" w:rsidR="00505287" w:rsidRDefault="00B74D26">
            <w:pPr>
              <w:spacing w:after="0" w:line="240" w:lineRule="auto"/>
              <w:jc w:val="center"/>
              <w:rPr>
                <w:color w:val="000000"/>
                <w:sz w:val="20"/>
              </w:rPr>
            </w:pPr>
            <w:r>
              <w:rPr>
                <w:color w:val="000000"/>
                <w:sz w:val="20"/>
              </w:rPr>
              <w:t>&lt; 0.50</w:t>
            </w:r>
          </w:p>
        </w:tc>
        <w:tc>
          <w:tcPr>
            <w:tcW w:w="873" w:type="pct"/>
            <w:tcBorders>
              <w:top w:val="single" w:sz="4" w:space="0" w:color="000000"/>
              <w:left w:val="single" w:sz="4" w:space="0" w:color="000000"/>
              <w:bottom w:val="single" w:sz="4" w:space="0" w:color="000000"/>
              <w:right w:val="single" w:sz="4" w:space="0" w:color="000000"/>
            </w:tcBorders>
            <w:vAlign w:val="center"/>
          </w:tcPr>
          <w:p w14:paraId="00219A6B" w14:textId="77777777" w:rsidR="00505287" w:rsidRDefault="00B74D26">
            <w:pPr>
              <w:spacing w:after="0" w:line="240" w:lineRule="auto"/>
              <w:jc w:val="center"/>
              <w:rPr>
                <w:color w:val="000000"/>
                <w:sz w:val="20"/>
              </w:rPr>
            </w:pPr>
            <w:r>
              <w:rPr>
                <w:color w:val="000000"/>
                <w:sz w:val="20"/>
              </w:rPr>
              <w:t>0.32</w:t>
            </w:r>
          </w:p>
        </w:tc>
        <w:tc>
          <w:tcPr>
            <w:tcW w:w="1119" w:type="pct"/>
            <w:tcBorders>
              <w:top w:val="single" w:sz="4" w:space="0" w:color="000000"/>
              <w:left w:val="single" w:sz="4" w:space="0" w:color="000000"/>
              <w:bottom w:val="single" w:sz="4" w:space="0" w:color="000000"/>
              <w:right w:val="single" w:sz="4" w:space="0" w:color="000000"/>
            </w:tcBorders>
            <w:vAlign w:val="center"/>
          </w:tcPr>
          <w:p w14:paraId="242DB16C" w14:textId="77777777" w:rsidR="00505287" w:rsidRDefault="00B74D26">
            <w:pPr>
              <w:spacing w:after="0" w:line="240" w:lineRule="auto"/>
              <w:jc w:val="center"/>
              <w:rPr>
                <w:color w:val="000000"/>
                <w:sz w:val="20"/>
              </w:rPr>
            </w:pPr>
            <w:r>
              <w:rPr>
                <w:color w:val="000000"/>
                <w:sz w:val="20"/>
              </w:rPr>
              <w:t>Ref</w:t>
            </w:r>
          </w:p>
        </w:tc>
      </w:tr>
      <w:tr w:rsidR="00505287" w14:paraId="5AE34522" w14:textId="77777777">
        <w:trPr>
          <w:trHeight w:val="259"/>
        </w:trPr>
        <w:tc>
          <w:tcPr>
            <w:tcW w:w="611" w:type="pct"/>
            <w:vMerge/>
            <w:tcBorders>
              <w:top w:val="nil"/>
              <w:left w:val="single" w:sz="4" w:space="0" w:color="000000"/>
              <w:bottom w:val="nil"/>
              <w:right w:val="single" w:sz="4" w:space="0" w:color="000000"/>
            </w:tcBorders>
            <w:vAlign w:val="center"/>
          </w:tcPr>
          <w:p w14:paraId="721829A7" w14:textId="77777777" w:rsidR="00505287" w:rsidRDefault="00505287"/>
        </w:tc>
        <w:tc>
          <w:tcPr>
            <w:tcW w:w="712" w:type="pct"/>
            <w:vMerge/>
            <w:tcBorders>
              <w:top w:val="nil"/>
              <w:left w:val="single" w:sz="4" w:space="0" w:color="000000"/>
              <w:bottom w:val="nil"/>
              <w:right w:val="single" w:sz="4" w:space="0" w:color="000000"/>
            </w:tcBorders>
            <w:vAlign w:val="center"/>
          </w:tcPr>
          <w:p w14:paraId="2402EAD3" w14:textId="77777777" w:rsidR="00505287" w:rsidRDefault="00505287"/>
        </w:tc>
        <w:tc>
          <w:tcPr>
            <w:tcW w:w="635" w:type="pct"/>
            <w:vMerge/>
            <w:tcBorders>
              <w:top w:val="nil"/>
              <w:left w:val="single" w:sz="4" w:space="0" w:color="000000"/>
              <w:bottom w:val="nil"/>
              <w:right w:val="single" w:sz="4" w:space="0" w:color="000000"/>
            </w:tcBorders>
            <w:vAlign w:val="center"/>
          </w:tcPr>
          <w:p w14:paraId="1EF75D92"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12CD775E" w14:textId="77777777" w:rsidR="00505287" w:rsidRDefault="00B74D26">
            <w:pPr>
              <w:spacing w:after="0" w:line="240" w:lineRule="auto"/>
              <w:jc w:val="center"/>
              <w:rPr>
                <w:color w:val="000000"/>
                <w:sz w:val="20"/>
              </w:rPr>
            </w:pPr>
            <w:r>
              <w:rPr>
                <w:color w:val="000000"/>
                <w:sz w:val="20"/>
              </w:rPr>
              <w:t>0.50 – 1.00</w:t>
            </w:r>
          </w:p>
        </w:tc>
        <w:tc>
          <w:tcPr>
            <w:tcW w:w="873" w:type="pct"/>
            <w:tcBorders>
              <w:top w:val="single" w:sz="4" w:space="0" w:color="000000"/>
              <w:left w:val="single" w:sz="4" w:space="0" w:color="000000"/>
              <w:bottom w:val="single" w:sz="4" w:space="0" w:color="000000"/>
              <w:right w:val="single" w:sz="4" w:space="0" w:color="000000"/>
            </w:tcBorders>
            <w:vAlign w:val="center"/>
          </w:tcPr>
          <w:p w14:paraId="6F691601" w14:textId="77777777" w:rsidR="00505287" w:rsidRDefault="00B74D26">
            <w:pPr>
              <w:spacing w:after="0" w:line="240" w:lineRule="auto"/>
              <w:jc w:val="center"/>
              <w:rPr>
                <w:color w:val="000000"/>
                <w:sz w:val="20"/>
              </w:rPr>
            </w:pPr>
            <w:r>
              <w:rPr>
                <w:color w:val="000000"/>
                <w:sz w:val="20"/>
              </w:rPr>
              <w:t>0.80</w:t>
            </w:r>
          </w:p>
        </w:tc>
        <w:tc>
          <w:tcPr>
            <w:tcW w:w="1119" w:type="pct"/>
            <w:tcBorders>
              <w:top w:val="single" w:sz="4" w:space="0" w:color="000000"/>
              <w:left w:val="single" w:sz="4" w:space="0" w:color="000000"/>
              <w:bottom w:val="single" w:sz="4" w:space="0" w:color="000000"/>
              <w:right w:val="single" w:sz="4" w:space="0" w:color="000000"/>
            </w:tcBorders>
            <w:vAlign w:val="center"/>
          </w:tcPr>
          <w:p w14:paraId="2D7E21CB" w14:textId="77777777" w:rsidR="00505287" w:rsidRDefault="00B74D26">
            <w:pPr>
              <w:spacing w:after="0" w:line="240" w:lineRule="auto"/>
              <w:jc w:val="center"/>
              <w:rPr>
                <w:color w:val="000000"/>
                <w:sz w:val="20"/>
              </w:rPr>
            </w:pPr>
            <w:r>
              <w:rPr>
                <w:color w:val="000000"/>
                <w:sz w:val="20"/>
              </w:rPr>
              <w:t>2.40 (1.10 – 5.10)</w:t>
            </w:r>
          </w:p>
        </w:tc>
      </w:tr>
      <w:tr w:rsidR="00505287" w14:paraId="3CA85D65" w14:textId="77777777">
        <w:trPr>
          <w:trHeight w:val="259"/>
        </w:trPr>
        <w:tc>
          <w:tcPr>
            <w:tcW w:w="611" w:type="pct"/>
            <w:vMerge/>
            <w:tcBorders>
              <w:top w:val="nil"/>
              <w:left w:val="single" w:sz="4" w:space="0" w:color="000000"/>
              <w:bottom w:val="nil"/>
              <w:right w:val="single" w:sz="4" w:space="0" w:color="000000"/>
            </w:tcBorders>
            <w:vAlign w:val="center"/>
          </w:tcPr>
          <w:p w14:paraId="5BE001C4" w14:textId="77777777" w:rsidR="00505287" w:rsidRDefault="00505287"/>
        </w:tc>
        <w:tc>
          <w:tcPr>
            <w:tcW w:w="712" w:type="pct"/>
            <w:vMerge/>
            <w:tcBorders>
              <w:top w:val="nil"/>
              <w:left w:val="single" w:sz="4" w:space="0" w:color="000000"/>
              <w:bottom w:val="nil"/>
              <w:right w:val="single" w:sz="4" w:space="0" w:color="000000"/>
            </w:tcBorders>
            <w:vAlign w:val="center"/>
          </w:tcPr>
          <w:p w14:paraId="3BB0A2EE" w14:textId="77777777" w:rsidR="00505287" w:rsidRDefault="00505287"/>
        </w:tc>
        <w:tc>
          <w:tcPr>
            <w:tcW w:w="635" w:type="pct"/>
            <w:vMerge/>
            <w:tcBorders>
              <w:top w:val="nil"/>
              <w:left w:val="single" w:sz="4" w:space="0" w:color="000000"/>
              <w:bottom w:val="nil"/>
              <w:right w:val="single" w:sz="4" w:space="0" w:color="000000"/>
            </w:tcBorders>
            <w:vAlign w:val="center"/>
          </w:tcPr>
          <w:p w14:paraId="02675F6E"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52C49FB4" w14:textId="77777777" w:rsidR="00505287" w:rsidRDefault="00B74D26">
            <w:pPr>
              <w:spacing w:after="0" w:line="240" w:lineRule="auto"/>
              <w:jc w:val="center"/>
              <w:rPr>
                <w:color w:val="000000"/>
                <w:sz w:val="20"/>
              </w:rPr>
            </w:pPr>
            <w:r>
              <w:rPr>
                <w:color w:val="000000"/>
                <w:sz w:val="20"/>
              </w:rPr>
              <w:t>1.01 – 2.00</w:t>
            </w:r>
          </w:p>
        </w:tc>
        <w:tc>
          <w:tcPr>
            <w:tcW w:w="873" w:type="pct"/>
            <w:tcBorders>
              <w:top w:val="single" w:sz="4" w:space="0" w:color="000000"/>
              <w:left w:val="single" w:sz="4" w:space="0" w:color="000000"/>
              <w:bottom w:val="single" w:sz="4" w:space="0" w:color="000000"/>
              <w:right w:val="single" w:sz="4" w:space="0" w:color="000000"/>
            </w:tcBorders>
            <w:vAlign w:val="center"/>
          </w:tcPr>
          <w:p w14:paraId="5C2FA4B1" w14:textId="77777777" w:rsidR="00505287" w:rsidRDefault="00B74D26">
            <w:pPr>
              <w:spacing w:after="0" w:line="240" w:lineRule="auto"/>
              <w:jc w:val="center"/>
              <w:rPr>
                <w:color w:val="000000"/>
                <w:sz w:val="20"/>
              </w:rPr>
            </w:pPr>
            <w:r>
              <w:rPr>
                <w:color w:val="000000"/>
                <w:sz w:val="20"/>
              </w:rPr>
              <w:t>1.55</w:t>
            </w:r>
          </w:p>
        </w:tc>
        <w:tc>
          <w:tcPr>
            <w:tcW w:w="1119" w:type="pct"/>
            <w:tcBorders>
              <w:top w:val="single" w:sz="4" w:space="0" w:color="000000"/>
              <w:left w:val="single" w:sz="4" w:space="0" w:color="000000"/>
              <w:bottom w:val="single" w:sz="4" w:space="0" w:color="000000"/>
              <w:right w:val="single" w:sz="4" w:space="0" w:color="000000"/>
            </w:tcBorders>
            <w:vAlign w:val="center"/>
          </w:tcPr>
          <w:p w14:paraId="2ACE0526" w14:textId="77777777" w:rsidR="00505287" w:rsidRDefault="00B74D26">
            <w:pPr>
              <w:spacing w:after="0" w:line="240" w:lineRule="auto"/>
              <w:jc w:val="center"/>
              <w:rPr>
                <w:color w:val="000000"/>
                <w:sz w:val="20"/>
              </w:rPr>
            </w:pPr>
            <w:r>
              <w:rPr>
                <w:color w:val="000000"/>
                <w:sz w:val="20"/>
              </w:rPr>
              <w:t>3.20 (1.50 – 6.60)</w:t>
            </w:r>
          </w:p>
        </w:tc>
      </w:tr>
      <w:tr w:rsidR="00505287" w14:paraId="7673732B" w14:textId="77777777">
        <w:trPr>
          <w:trHeight w:val="259"/>
        </w:trPr>
        <w:tc>
          <w:tcPr>
            <w:tcW w:w="611" w:type="pct"/>
            <w:vMerge/>
            <w:tcBorders>
              <w:top w:val="nil"/>
              <w:left w:val="single" w:sz="4" w:space="0" w:color="000000"/>
              <w:bottom w:val="single" w:sz="4" w:space="0" w:color="000000"/>
              <w:right w:val="single" w:sz="4" w:space="0" w:color="000000"/>
            </w:tcBorders>
            <w:vAlign w:val="center"/>
          </w:tcPr>
          <w:p w14:paraId="2213B652" w14:textId="77777777" w:rsidR="00505287" w:rsidRDefault="00505287"/>
        </w:tc>
        <w:tc>
          <w:tcPr>
            <w:tcW w:w="712" w:type="pct"/>
            <w:vMerge/>
            <w:tcBorders>
              <w:top w:val="nil"/>
              <w:left w:val="single" w:sz="4" w:space="0" w:color="000000"/>
              <w:bottom w:val="single" w:sz="4" w:space="0" w:color="000000"/>
              <w:right w:val="single" w:sz="4" w:space="0" w:color="000000"/>
            </w:tcBorders>
            <w:vAlign w:val="center"/>
          </w:tcPr>
          <w:p w14:paraId="69463E54" w14:textId="77777777" w:rsidR="00505287" w:rsidRDefault="00505287"/>
        </w:tc>
        <w:tc>
          <w:tcPr>
            <w:tcW w:w="635" w:type="pct"/>
            <w:vMerge/>
            <w:tcBorders>
              <w:top w:val="nil"/>
              <w:left w:val="single" w:sz="4" w:space="0" w:color="000000"/>
              <w:bottom w:val="single" w:sz="4" w:space="0" w:color="000000"/>
              <w:right w:val="single" w:sz="4" w:space="0" w:color="000000"/>
            </w:tcBorders>
            <w:vAlign w:val="center"/>
          </w:tcPr>
          <w:p w14:paraId="46D214DA"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0476BE19" w14:textId="77777777" w:rsidR="00505287" w:rsidRDefault="00B74D26">
            <w:pPr>
              <w:spacing w:after="0" w:line="240" w:lineRule="auto"/>
              <w:jc w:val="center"/>
              <w:rPr>
                <w:color w:val="000000"/>
                <w:sz w:val="20"/>
              </w:rPr>
            </w:pPr>
            <w:r>
              <w:rPr>
                <w:color w:val="000000"/>
                <w:sz w:val="20"/>
              </w:rPr>
              <w:t>&gt; 2.00</w:t>
            </w:r>
          </w:p>
        </w:tc>
        <w:tc>
          <w:tcPr>
            <w:tcW w:w="873" w:type="pct"/>
            <w:tcBorders>
              <w:top w:val="single" w:sz="4" w:space="0" w:color="000000"/>
              <w:left w:val="single" w:sz="4" w:space="0" w:color="000000"/>
              <w:bottom w:val="single" w:sz="4" w:space="0" w:color="000000"/>
              <w:right w:val="single" w:sz="4" w:space="0" w:color="000000"/>
            </w:tcBorders>
            <w:vAlign w:val="center"/>
          </w:tcPr>
          <w:p w14:paraId="5A6782D2" w14:textId="77777777" w:rsidR="00505287" w:rsidRDefault="00B74D26">
            <w:pPr>
              <w:spacing w:after="0" w:line="240" w:lineRule="auto"/>
              <w:jc w:val="center"/>
              <w:rPr>
                <w:color w:val="000000"/>
                <w:sz w:val="20"/>
              </w:rPr>
            </w:pPr>
            <w:r>
              <w:rPr>
                <w:color w:val="000000"/>
                <w:sz w:val="20"/>
              </w:rPr>
              <w:t>3.48</w:t>
            </w:r>
          </w:p>
        </w:tc>
        <w:tc>
          <w:tcPr>
            <w:tcW w:w="1119" w:type="pct"/>
            <w:tcBorders>
              <w:top w:val="single" w:sz="4" w:space="0" w:color="000000"/>
              <w:left w:val="single" w:sz="4" w:space="0" w:color="000000"/>
              <w:bottom w:val="single" w:sz="4" w:space="0" w:color="000000"/>
              <w:right w:val="single" w:sz="4" w:space="0" w:color="000000"/>
            </w:tcBorders>
            <w:vAlign w:val="center"/>
          </w:tcPr>
          <w:p w14:paraId="5012A5E7" w14:textId="77777777" w:rsidR="00505287" w:rsidRDefault="00B74D26">
            <w:pPr>
              <w:spacing w:after="0" w:line="240" w:lineRule="auto"/>
              <w:jc w:val="center"/>
              <w:rPr>
                <w:color w:val="000000"/>
                <w:sz w:val="20"/>
              </w:rPr>
            </w:pPr>
            <w:r>
              <w:rPr>
                <w:color w:val="000000"/>
                <w:sz w:val="20"/>
              </w:rPr>
              <w:t>5.10 (2.50 – 10.40)</w:t>
            </w:r>
          </w:p>
        </w:tc>
      </w:tr>
      <w:tr w:rsidR="00505287" w14:paraId="2BA4CA8A" w14:textId="77777777">
        <w:trPr>
          <w:trHeight w:val="259"/>
        </w:trPr>
        <w:tc>
          <w:tcPr>
            <w:tcW w:w="611" w:type="pct"/>
            <w:vMerge w:val="restart"/>
            <w:tcBorders>
              <w:top w:val="single" w:sz="4" w:space="0" w:color="000000"/>
              <w:left w:val="single" w:sz="4" w:space="0" w:color="000000"/>
              <w:bottom w:val="nil"/>
              <w:right w:val="single" w:sz="4" w:space="0" w:color="000000"/>
            </w:tcBorders>
            <w:vAlign w:val="center"/>
          </w:tcPr>
          <w:p w14:paraId="46163A2C" w14:textId="77777777" w:rsidR="00505287" w:rsidRDefault="00B74D26">
            <w:pPr>
              <w:spacing w:after="0" w:line="240" w:lineRule="auto"/>
              <w:rPr>
                <w:b/>
                <w:color w:val="000000"/>
                <w:sz w:val="20"/>
              </w:rPr>
            </w:pPr>
            <w:proofErr w:type="spellStart"/>
            <w:r>
              <w:rPr>
                <w:b/>
                <w:color w:val="000000"/>
                <w:sz w:val="20"/>
              </w:rPr>
              <w:t>Stamellou</w:t>
            </w:r>
            <w:proofErr w:type="spellEnd"/>
            <w:r>
              <w:rPr>
                <w:b/>
                <w:color w:val="000000"/>
                <w:sz w:val="20"/>
              </w:rPr>
              <w:t xml:space="preserve"> 2024</w:t>
            </w:r>
          </w:p>
        </w:tc>
        <w:tc>
          <w:tcPr>
            <w:tcW w:w="712" w:type="pct"/>
            <w:tcBorders>
              <w:top w:val="single" w:sz="4" w:space="0" w:color="000000"/>
              <w:left w:val="single" w:sz="4" w:space="0" w:color="000000"/>
              <w:bottom w:val="nil"/>
              <w:right w:val="single" w:sz="4" w:space="0" w:color="000000"/>
            </w:tcBorders>
            <w:vAlign w:val="center"/>
          </w:tcPr>
          <w:p w14:paraId="5DC28612" w14:textId="77777777" w:rsidR="00505287" w:rsidRDefault="00505287">
            <w:pPr>
              <w:spacing w:after="0" w:line="240" w:lineRule="auto"/>
              <w:jc w:val="center"/>
              <w:rPr>
                <w:color w:val="000000"/>
                <w:sz w:val="20"/>
              </w:rPr>
            </w:pPr>
          </w:p>
        </w:tc>
        <w:tc>
          <w:tcPr>
            <w:tcW w:w="635" w:type="pct"/>
            <w:vMerge w:val="restart"/>
            <w:tcBorders>
              <w:top w:val="single" w:sz="4" w:space="0" w:color="000000"/>
              <w:left w:val="single" w:sz="4" w:space="0" w:color="000000"/>
              <w:bottom w:val="nil"/>
              <w:right w:val="single" w:sz="4" w:space="0" w:color="000000"/>
            </w:tcBorders>
            <w:vAlign w:val="center"/>
          </w:tcPr>
          <w:p w14:paraId="0A9E4373" w14:textId="77777777" w:rsidR="00505287" w:rsidRDefault="00B74D26">
            <w:pPr>
              <w:spacing w:after="0" w:line="240" w:lineRule="auto"/>
              <w:jc w:val="center"/>
              <w:rPr>
                <w:color w:val="000000"/>
                <w:sz w:val="20"/>
              </w:rPr>
            </w:pPr>
            <w:r>
              <w:rPr>
                <w:color w:val="000000"/>
                <w:sz w:val="20"/>
              </w:rPr>
              <w:t>Baseline</w:t>
            </w:r>
          </w:p>
        </w:tc>
        <w:tc>
          <w:tcPr>
            <w:tcW w:w="1048" w:type="pct"/>
            <w:tcBorders>
              <w:top w:val="single" w:sz="4" w:space="0" w:color="000000"/>
              <w:left w:val="single" w:sz="4" w:space="0" w:color="000000"/>
              <w:bottom w:val="single" w:sz="4" w:space="0" w:color="000000"/>
              <w:right w:val="single" w:sz="4" w:space="0" w:color="000000"/>
            </w:tcBorders>
            <w:vAlign w:val="center"/>
          </w:tcPr>
          <w:p w14:paraId="748E3D42" w14:textId="77777777" w:rsidR="00505287" w:rsidRDefault="00B74D26">
            <w:pPr>
              <w:spacing w:after="0" w:line="240" w:lineRule="auto"/>
              <w:jc w:val="center"/>
              <w:rPr>
                <w:color w:val="000000"/>
                <w:sz w:val="20"/>
              </w:rPr>
            </w:pPr>
            <w:r>
              <w:rPr>
                <w:color w:val="000000"/>
                <w:sz w:val="20"/>
              </w:rPr>
              <w:t>&lt; 0.16</w:t>
            </w:r>
          </w:p>
        </w:tc>
        <w:tc>
          <w:tcPr>
            <w:tcW w:w="873" w:type="pct"/>
            <w:tcBorders>
              <w:top w:val="single" w:sz="4" w:space="0" w:color="000000"/>
              <w:left w:val="single" w:sz="4" w:space="0" w:color="000000"/>
              <w:bottom w:val="single" w:sz="4" w:space="0" w:color="000000"/>
              <w:right w:val="single" w:sz="4" w:space="0" w:color="000000"/>
            </w:tcBorders>
            <w:vAlign w:val="center"/>
          </w:tcPr>
          <w:p w14:paraId="0FD10CCF" w14:textId="77777777" w:rsidR="00505287" w:rsidRDefault="00B74D26">
            <w:pPr>
              <w:spacing w:after="0" w:line="240" w:lineRule="auto"/>
              <w:jc w:val="center"/>
              <w:rPr>
                <w:color w:val="000000"/>
                <w:sz w:val="20"/>
              </w:rPr>
            </w:pPr>
            <w:r>
              <w:rPr>
                <w:color w:val="000000"/>
                <w:sz w:val="20"/>
              </w:rPr>
              <w:t>0.11</w:t>
            </w:r>
          </w:p>
        </w:tc>
        <w:tc>
          <w:tcPr>
            <w:tcW w:w="1119" w:type="pct"/>
            <w:tcBorders>
              <w:top w:val="single" w:sz="4" w:space="0" w:color="000000"/>
              <w:left w:val="single" w:sz="4" w:space="0" w:color="000000"/>
              <w:bottom w:val="single" w:sz="4" w:space="0" w:color="000000"/>
              <w:right w:val="single" w:sz="4" w:space="0" w:color="000000"/>
            </w:tcBorders>
            <w:vAlign w:val="center"/>
          </w:tcPr>
          <w:p w14:paraId="61E51007" w14:textId="77777777" w:rsidR="00505287" w:rsidRDefault="00B74D26">
            <w:pPr>
              <w:spacing w:after="0" w:line="240" w:lineRule="auto"/>
              <w:jc w:val="center"/>
              <w:rPr>
                <w:color w:val="000000"/>
                <w:sz w:val="20"/>
              </w:rPr>
            </w:pPr>
            <w:r>
              <w:rPr>
                <w:color w:val="000000"/>
                <w:sz w:val="20"/>
              </w:rPr>
              <w:t>Ref</w:t>
            </w:r>
          </w:p>
        </w:tc>
      </w:tr>
      <w:tr w:rsidR="00505287" w14:paraId="053415C3" w14:textId="77777777">
        <w:trPr>
          <w:trHeight w:val="259"/>
        </w:trPr>
        <w:tc>
          <w:tcPr>
            <w:tcW w:w="611" w:type="pct"/>
            <w:vMerge/>
            <w:tcBorders>
              <w:top w:val="nil"/>
              <w:left w:val="single" w:sz="4" w:space="0" w:color="000000"/>
              <w:bottom w:val="nil"/>
              <w:right w:val="single" w:sz="4" w:space="0" w:color="000000"/>
            </w:tcBorders>
            <w:vAlign w:val="center"/>
          </w:tcPr>
          <w:p w14:paraId="6BFADC7B" w14:textId="77777777" w:rsidR="00505287" w:rsidRDefault="00505287"/>
        </w:tc>
        <w:tc>
          <w:tcPr>
            <w:tcW w:w="712" w:type="pct"/>
            <w:vMerge w:val="restart"/>
            <w:tcBorders>
              <w:top w:val="nil"/>
              <w:left w:val="single" w:sz="4" w:space="0" w:color="000000"/>
              <w:bottom w:val="nil"/>
              <w:right w:val="single" w:sz="4" w:space="0" w:color="000000"/>
            </w:tcBorders>
            <w:vAlign w:val="center"/>
          </w:tcPr>
          <w:p w14:paraId="11E95E69" w14:textId="77777777" w:rsidR="00505287" w:rsidRDefault="00B74D26">
            <w:pPr>
              <w:spacing w:line="240" w:lineRule="auto"/>
              <w:jc w:val="center"/>
            </w:pPr>
            <w:r>
              <w:rPr>
                <w:color w:val="000000"/>
                <w:sz w:val="20"/>
              </w:rPr>
              <w:t>eGFR decline &gt; 40%, eGFR &lt;15 ml/min/1.73 m</w:t>
            </w:r>
            <w:r>
              <w:rPr>
                <w:color w:val="000000"/>
                <w:sz w:val="20"/>
                <w:vertAlign w:val="superscript"/>
              </w:rPr>
              <w:t>2</w:t>
            </w:r>
            <w:r>
              <w:rPr>
                <w:color w:val="000000"/>
                <w:sz w:val="20"/>
              </w:rPr>
              <w:t>, initiation of KRT, non-fatal myocardial infarction, non- fatal stroke, and all-cause mortality</w:t>
            </w:r>
          </w:p>
        </w:tc>
        <w:tc>
          <w:tcPr>
            <w:tcW w:w="635" w:type="pct"/>
            <w:vMerge/>
            <w:tcBorders>
              <w:top w:val="nil"/>
              <w:left w:val="single" w:sz="4" w:space="0" w:color="000000"/>
              <w:bottom w:val="nil"/>
              <w:right w:val="single" w:sz="4" w:space="0" w:color="000000"/>
            </w:tcBorders>
            <w:vAlign w:val="center"/>
          </w:tcPr>
          <w:p w14:paraId="40D7A20F"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2B70F0F8" w14:textId="77777777" w:rsidR="00505287" w:rsidRDefault="00B74D26">
            <w:pPr>
              <w:spacing w:after="0" w:line="240" w:lineRule="auto"/>
              <w:jc w:val="center"/>
              <w:rPr>
                <w:color w:val="000000"/>
                <w:sz w:val="20"/>
              </w:rPr>
            </w:pPr>
            <w:r>
              <w:rPr>
                <w:color w:val="000000"/>
                <w:sz w:val="20"/>
              </w:rPr>
              <w:t>0.16 – 0.97</w:t>
            </w:r>
          </w:p>
        </w:tc>
        <w:tc>
          <w:tcPr>
            <w:tcW w:w="873" w:type="pct"/>
            <w:tcBorders>
              <w:top w:val="single" w:sz="4" w:space="0" w:color="000000"/>
              <w:left w:val="single" w:sz="4" w:space="0" w:color="000000"/>
              <w:bottom w:val="single" w:sz="4" w:space="0" w:color="000000"/>
              <w:right w:val="single" w:sz="4" w:space="0" w:color="000000"/>
            </w:tcBorders>
            <w:vAlign w:val="center"/>
          </w:tcPr>
          <w:p w14:paraId="26D91391" w14:textId="77777777" w:rsidR="00505287" w:rsidRDefault="00B74D26">
            <w:pPr>
              <w:spacing w:after="0" w:line="240" w:lineRule="auto"/>
              <w:jc w:val="center"/>
              <w:rPr>
                <w:color w:val="000000"/>
                <w:sz w:val="20"/>
              </w:rPr>
            </w:pPr>
            <w:r>
              <w:rPr>
                <w:color w:val="000000"/>
                <w:sz w:val="20"/>
              </w:rPr>
              <w:t>0.47</w:t>
            </w:r>
          </w:p>
        </w:tc>
        <w:tc>
          <w:tcPr>
            <w:tcW w:w="1119" w:type="pct"/>
            <w:tcBorders>
              <w:top w:val="single" w:sz="4" w:space="0" w:color="000000"/>
              <w:left w:val="single" w:sz="4" w:space="0" w:color="000000"/>
              <w:bottom w:val="single" w:sz="4" w:space="0" w:color="000000"/>
              <w:right w:val="single" w:sz="4" w:space="0" w:color="000000"/>
            </w:tcBorders>
            <w:vAlign w:val="center"/>
          </w:tcPr>
          <w:p w14:paraId="70D0615D" w14:textId="77777777" w:rsidR="00505287" w:rsidRDefault="00B74D26">
            <w:pPr>
              <w:spacing w:after="0" w:line="240" w:lineRule="auto"/>
              <w:jc w:val="center"/>
              <w:rPr>
                <w:color w:val="000000"/>
                <w:sz w:val="20"/>
              </w:rPr>
            </w:pPr>
            <w:r>
              <w:rPr>
                <w:color w:val="000000"/>
                <w:sz w:val="20"/>
              </w:rPr>
              <w:t>2.03 (1.02 – 4.05)</w:t>
            </w:r>
          </w:p>
        </w:tc>
      </w:tr>
      <w:tr w:rsidR="00505287" w14:paraId="7AB34B26" w14:textId="77777777">
        <w:trPr>
          <w:trHeight w:val="259"/>
        </w:trPr>
        <w:tc>
          <w:tcPr>
            <w:tcW w:w="611" w:type="pct"/>
            <w:vMerge/>
            <w:tcBorders>
              <w:top w:val="nil"/>
              <w:left w:val="single" w:sz="4" w:space="0" w:color="000000"/>
              <w:bottom w:val="single" w:sz="4" w:space="0" w:color="000000"/>
              <w:right w:val="single" w:sz="4" w:space="0" w:color="000000"/>
            </w:tcBorders>
            <w:vAlign w:val="center"/>
          </w:tcPr>
          <w:p w14:paraId="3A339FC0" w14:textId="77777777" w:rsidR="00505287" w:rsidRDefault="00505287"/>
        </w:tc>
        <w:tc>
          <w:tcPr>
            <w:tcW w:w="712" w:type="pct"/>
            <w:vMerge/>
            <w:tcBorders>
              <w:top w:val="nil"/>
              <w:left w:val="single" w:sz="4" w:space="0" w:color="000000"/>
              <w:bottom w:val="single" w:sz="4" w:space="0" w:color="000000"/>
              <w:right w:val="single" w:sz="4" w:space="0" w:color="000000"/>
            </w:tcBorders>
            <w:vAlign w:val="center"/>
          </w:tcPr>
          <w:p w14:paraId="69844E48" w14:textId="77777777" w:rsidR="00505287" w:rsidRDefault="00505287"/>
        </w:tc>
        <w:tc>
          <w:tcPr>
            <w:tcW w:w="635" w:type="pct"/>
            <w:vMerge/>
            <w:tcBorders>
              <w:top w:val="nil"/>
              <w:left w:val="single" w:sz="4" w:space="0" w:color="000000"/>
              <w:bottom w:val="single" w:sz="4" w:space="0" w:color="000000"/>
              <w:right w:val="single" w:sz="4" w:space="0" w:color="000000"/>
            </w:tcBorders>
            <w:vAlign w:val="center"/>
          </w:tcPr>
          <w:p w14:paraId="13BC0F94"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30AE5810" w14:textId="77777777" w:rsidR="00505287" w:rsidRDefault="00B74D26">
            <w:pPr>
              <w:spacing w:after="0" w:line="240" w:lineRule="auto"/>
              <w:jc w:val="center"/>
              <w:rPr>
                <w:color w:val="000000"/>
                <w:sz w:val="20"/>
              </w:rPr>
            </w:pPr>
            <w:r>
              <w:rPr>
                <w:color w:val="000000"/>
                <w:sz w:val="20"/>
              </w:rPr>
              <w:t>0.98 – 2.27</w:t>
            </w:r>
          </w:p>
        </w:tc>
        <w:tc>
          <w:tcPr>
            <w:tcW w:w="873" w:type="pct"/>
            <w:tcBorders>
              <w:top w:val="single" w:sz="4" w:space="0" w:color="000000"/>
              <w:left w:val="single" w:sz="4" w:space="0" w:color="000000"/>
              <w:bottom w:val="single" w:sz="4" w:space="0" w:color="000000"/>
              <w:right w:val="single" w:sz="4" w:space="0" w:color="000000"/>
            </w:tcBorders>
            <w:vAlign w:val="center"/>
          </w:tcPr>
          <w:p w14:paraId="2B75399A" w14:textId="77777777" w:rsidR="00505287" w:rsidRDefault="00B74D26">
            <w:pPr>
              <w:spacing w:after="0" w:line="240" w:lineRule="auto"/>
              <w:jc w:val="center"/>
              <w:rPr>
                <w:color w:val="000000"/>
                <w:sz w:val="20"/>
              </w:rPr>
            </w:pPr>
            <w:r>
              <w:rPr>
                <w:color w:val="000000"/>
                <w:sz w:val="20"/>
              </w:rPr>
              <w:t>1.41</w:t>
            </w:r>
          </w:p>
        </w:tc>
        <w:tc>
          <w:tcPr>
            <w:tcW w:w="1119" w:type="pct"/>
            <w:tcBorders>
              <w:top w:val="single" w:sz="4" w:space="0" w:color="000000"/>
              <w:left w:val="single" w:sz="4" w:space="0" w:color="000000"/>
              <w:bottom w:val="single" w:sz="4" w:space="0" w:color="000000"/>
              <w:right w:val="single" w:sz="4" w:space="0" w:color="000000"/>
            </w:tcBorders>
            <w:vAlign w:val="center"/>
          </w:tcPr>
          <w:p w14:paraId="4B2F8FFA" w14:textId="77777777" w:rsidR="00505287" w:rsidRDefault="00B74D26">
            <w:pPr>
              <w:spacing w:after="0" w:line="240" w:lineRule="auto"/>
              <w:jc w:val="center"/>
              <w:rPr>
                <w:color w:val="000000"/>
                <w:sz w:val="20"/>
              </w:rPr>
            </w:pPr>
            <w:r>
              <w:rPr>
                <w:color w:val="000000"/>
                <w:sz w:val="20"/>
              </w:rPr>
              <w:t>3.80 (1.92 – 7.50)</w:t>
            </w:r>
          </w:p>
        </w:tc>
      </w:tr>
      <w:tr w:rsidR="00505287" w14:paraId="74256D94" w14:textId="77777777">
        <w:trPr>
          <w:trHeight w:val="259"/>
        </w:trPr>
        <w:tc>
          <w:tcPr>
            <w:tcW w:w="611" w:type="pct"/>
            <w:vMerge w:val="restart"/>
            <w:tcBorders>
              <w:top w:val="single" w:sz="4" w:space="0" w:color="000000"/>
              <w:left w:val="single" w:sz="4" w:space="0" w:color="000000"/>
              <w:bottom w:val="nil"/>
              <w:right w:val="single" w:sz="4" w:space="0" w:color="000000"/>
            </w:tcBorders>
            <w:vAlign w:val="center"/>
          </w:tcPr>
          <w:p w14:paraId="4B56EF22" w14:textId="77777777" w:rsidR="00505287" w:rsidRDefault="00B74D26">
            <w:pPr>
              <w:spacing w:after="0" w:line="240" w:lineRule="auto"/>
              <w:rPr>
                <w:b/>
                <w:color w:val="000000"/>
                <w:sz w:val="20"/>
              </w:rPr>
            </w:pPr>
            <w:r>
              <w:rPr>
                <w:b/>
                <w:color w:val="000000"/>
                <w:sz w:val="20"/>
              </w:rPr>
              <w:t>Tanaka 2013</w:t>
            </w:r>
          </w:p>
        </w:tc>
        <w:tc>
          <w:tcPr>
            <w:tcW w:w="712" w:type="pct"/>
            <w:vMerge w:val="restart"/>
            <w:tcBorders>
              <w:top w:val="single" w:sz="4" w:space="0" w:color="000000"/>
              <w:left w:val="single" w:sz="4" w:space="0" w:color="000000"/>
              <w:bottom w:val="nil"/>
              <w:right w:val="single" w:sz="4" w:space="0" w:color="000000"/>
            </w:tcBorders>
            <w:vAlign w:val="center"/>
          </w:tcPr>
          <w:p w14:paraId="6120CEA1" w14:textId="77777777" w:rsidR="00505287" w:rsidRDefault="00B74D26">
            <w:pPr>
              <w:spacing w:line="240" w:lineRule="auto"/>
              <w:jc w:val="center"/>
              <w:rPr>
                <w:color w:val="000000"/>
                <w:sz w:val="20"/>
              </w:rPr>
            </w:pPr>
            <w:r>
              <w:rPr>
                <w:color w:val="000000"/>
                <w:sz w:val="20"/>
              </w:rPr>
              <w:t>KRT</w:t>
            </w:r>
          </w:p>
        </w:tc>
        <w:tc>
          <w:tcPr>
            <w:tcW w:w="635" w:type="pct"/>
            <w:vMerge w:val="restart"/>
            <w:tcBorders>
              <w:top w:val="single" w:sz="4" w:space="0" w:color="000000"/>
              <w:left w:val="single" w:sz="4" w:space="0" w:color="000000"/>
              <w:bottom w:val="nil"/>
              <w:right w:val="single" w:sz="4" w:space="0" w:color="000000"/>
            </w:tcBorders>
            <w:vAlign w:val="center"/>
          </w:tcPr>
          <w:p w14:paraId="42A3EA2D" w14:textId="77777777" w:rsidR="00505287" w:rsidRDefault="00B74D26">
            <w:pPr>
              <w:spacing w:after="0" w:line="240" w:lineRule="auto"/>
              <w:jc w:val="center"/>
              <w:rPr>
                <w:color w:val="000000"/>
                <w:sz w:val="20"/>
              </w:rPr>
            </w:pPr>
            <w:r>
              <w:rPr>
                <w:color w:val="000000"/>
                <w:sz w:val="20"/>
              </w:rPr>
              <w:t>Baseline</w:t>
            </w:r>
          </w:p>
        </w:tc>
        <w:tc>
          <w:tcPr>
            <w:tcW w:w="1048" w:type="pct"/>
            <w:tcBorders>
              <w:top w:val="single" w:sz="4" w:space="0" w:color="000000"/>
              <w:left w:val="single" w:sz="4" w:space="0" w:color="000000"/>
              <w:bottom w:val="single" w:sz="4" w:space="0" w:color="000000"/>
              <w:right w:val="single" w:sz="4" w:space="0" w:color="000000"/>
            </w:tcBorders>
            <w:vAlign w:val="center"/>
          </w:tcPr>
          <w:p w14:paraId="255BAB92" w14:textId="77777777" w:rsidR="00505287" w:rsidRDefault="00B74D26">
            <w:pPr>
              <w:spacing w:after="0" w:line="240" w:lineRule="auto"/>
              <w:jc w:val="center"/>
              <w:rPr>
                <w:color w:val="000000"/>
                <w:sz w:val="20"/>
              </w:rPr>
            </w:pPr>
            <w:r>
              <w:rPr>
                <w:color w:val="000000"/>
                <w:sz w:val="20"/>
              </w:rPr>
              <w:t>&lt; 0.50</w:t>
            </w:r>
          </w:p>
        </w:tc>
        <w:tc>
          <w:tcPr>
            <w:tcW w:w="873" w:type="pct"/>
            <w:tcBorders>
              <w:top w:val="single" w:sz="4" w:space="0" w:color="000000"/>
              <w:left w:val="single" w:sz="4" w:space="0" w:color="000000"/>
              <w:bottom w:val="single" w:sz="4" w:space="0" w:color="000000"/>
              <w:right w:val="single" w:sz="4" w:space="0" w:color="000000"/>
            </w:tcBorders>
            <w:vAlign w:val="center"/>
          </w:tcPr>
          <w:p w14:paraId="48D1D71B" w14:textId="77777777" w:rsidR="00505287" w:rsidRDefault="00B74D26">
            <w:pPr>
              <w:spacing w:after="0" w:line="240" w:lineRule="auto"/>
              <w:jc w:val="center"/>
              <w:rPr>
                <w:color w:val="000000"/>
                <w:sz w:val="20"/>
              </w:rPr>
            </w:pPr>
            <w:r>
              <w:rPr>
                <w:color w:val="000000"/>
                <w:sz w:val="20"/>
              </w:rPr>
              <w:t>0.28</w:t>
            </w:r>
          </w:p>
        </w:tc>
        <w:tc>
          <w:tcPr>
            <w:tcW w:w="1119" w:type="pct"/>
            <w:tcBorders>
              <w:top w:val="single" w:sz="4" w:space="0" w:color="000000"/>
              <w:left w:val="single" w:sz="4" w:space="0" w:color="000000"/>
              <w:bottom w:val="single" w:sz="4" w:space="0" w:color="000000"/>
              <w:right w:val="single" w:sz="4" w:space="0" w:color="000000"/>
            </w:tcBorders>
            <w:vAlign w:val="center"/>
          </w:tcPr>
          <w:p w14:paraId="35360332" w14:textId="77777777" w:rsidR="00505287" w:rsidRDefault="00B74D26">
            <w:pPr>
              <w:spacing w:after="0" w:line="240" w:lineRule="auto"/>
              <w:jc w:val="center"/>
              <w:rPr>
                <w:color w:val="000000"/>
                <w:sz w:val="20"/>
              </w:rPr>
            </w:pPr>
            <w:r>
              <w:rPr>
                <w:color w:val="000000"/>
                <w:sz w:val="20"/>
              </w:rPr>
              <w:t>Ref</w:t>
            </w:r>
          </w:p>
        </w:tc>
      </w:tr>
      <w:tr w:rsidR="00505287" w14:paraId="4E0004DB" w14:textId="77777777">
        <w:trPr>
          <w:trHeight w:val="259"/>
        </w:trPr>
        <w:tc>
          <w:tcPr>
            <w:tcW w:w="611" w:type="pct"/>
            <w:vMerge/>
            <w:tcBorders>
              <w:top w:val="nil"/>
              <w:left w:val="single" w:sz="4" w:space="0" w:color="000000"/>
              <w:bottom w:val="nil"/>
              <w:right w:val="single" w:sz="4" w:space="0" w:color="000000"/>
            </w:tcBorders>
            <w:vAlign w:val="center"/>
          </w:tcPr>
          <w:p w14:paraId="5AE9AD7E" w14:textId="77777777" w:rsidR="00505287" w:rsidRDefault="00505287"/>
        </w:tc>
        <w:tc>
          <w:tcPr>
            <w:tcW w:w="712" w:type="pct"/>
            <w:vMerge/>
            <w:tcBorders>
              <w:top w:val="nil"/>
              <w:left w:val="single" w:sz="4" w:space="0" w:color="000000"/>
              <w:bottom w:val="nil"/>
              <w:right w:val="single" w:sz="4" w:space="0" w:color="000000"/>
            </w:tcBorders>
            <w:vAlign w:val="center"/>
          </w:tcPr>
          <w:p w14:paraId="51B195D0" w14:textId="77777777" w:rsidR="00505287" w:rsidRDefault="00505287"/>
        </w:tc>
        <w:tc>
          <w:tcPr>
            <w:tcW w:w="635" w:type="pct"/>
            <w:vMerge/>
            <w:tcBorders>
              <w:top w:val="nil"/>
              <w:left w:val="single" w:sz="4" w:space="0" w:color="000000"/>
              <w:bottom w:val="nil"/>
              <w:right w:val="single" w:sz="4" w:space="0" w:color="000000"/>
            </w:tcBorders>
          </w:tcPr>
          <w:p w14:paraId="24CD1AA4"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6B83C364" w14:textId="77777777" w:rsidR="00505287" w:rsidRDefault="00B74D26">
            <w:pPr>
              <w:spacing w:after="0" w:line="240" w:lineRule="auto"/>
              <w:jc w:val="center"/>
              <w:rPr>
                <w:color w:val="000000"/>
                <w:sz w:val="20"/>
              </w:rPr>
            </w:pPr>
            <w:r>
              <w:rPr>
                <w:color w:val="000000"/>
                <w:sz w:val="20"/>
              </w:rPr>
              <w:t>0.50 – 1.00</w:t>
            </w:r>
          </w:p>
        </w:tc>
        <w:tc>
          <w:tcPr>
            <w:tcW w:w="873" w:type="pct"/>
            <w:tcBorders>
              <w:top w:val="single" w:sz="4" w:space="0" w:color="000000"/>
              <w:left w:val="single" w:sz="4" w:space="0" w:color="000000"/>
              <w:bottom w:val="single" w:sz="4" w:space="0" w:color="000000"/>
              <w:right w:val="single" w:sz="4" w:space="0" w:color="000000"/>
            </w:tcBorders>
            <w:vAlign w:val="center"/>
          </w:tcPr>
          <w:p w14:paraId="38EBCDE9" w14:textId="77777777" w:rsidR="00505287" w:rsidRDefault="00B74D26">
            <w:pPr>
              <w:spacing w:after="0" w:line="240" w:lineRule="auto"/>
              <w:jc w:val="center"/>
              <w:rPr>
                <w:color w:val="000000"/>
                <w:sz w:val="20"/>
              </w:rPr>
            </w:pPr>
            <w:r>
              <w:rPr>
                <w:color w:val="000000"/>
                <w:sz w:val="20"/>
              </w:rPr>
              <w:t>0.71</w:t>
            </w:r>
          </w:p>
        </w:tc>
        <w:tc>
          <w:tcPr>
            <w:tcW w:w="1119" w:type="pct"/>
            <w:tcBorders>
              <w:top w:val="single" w:sz="4" w:space="0" w:color="000000"/>
              <w:left w:val="single" w:sz="4" w:space="0" w:color="000000"/>
              <w:bottom w:val="single" w:sz="4" w:space="0" w:color="000000"/>
              <w:right w:val="single" w:sz="4" w:space="0" w:color="000000"/>
            </w:tcBorders>
            <w:vAlign w:val="center"/>
          </w:tcPr>
          <w:p w14:paraId="494743C7" w14:textId="77777777" w:rsidR="00505287" w:rsidRDefault="00B74D26">
            <w:pPr>
              <w:spacing w:after="0" w:line="240" w:lineRule="auto"/>
              <w:jc w:val="center"/>
              <w:rPr>
                <w:color w:val="000000"/>
                <w:sz w:val="20"/>
              </w:rPr>
            </w:pPr>
            <w:r>
              <w:rPr>
                <w:color w:val="000000"/>
                <w:sz w:val="20"/>
              </w:rPr>
              <w:t>3.32 (0.69 – 15.90)</w:t>
            </w:r>
          </w:p>
        </w:tc>
      </w:tr>
      <w:tr w:rsidR="00505287" w14:paraId="059CC6A2" w14:textId="77777777">
        <w:trPr>
          <w:trHeight w:val="259"/>
        </w:trPr>
        <w:tc>
          <w:tcPr>
            <w:tcW w:w="611" w:type="pct"/>
            <w:vMerge/>
            <w:tcBorders>
              <w:top w:val="nil"/>
              <w:left w:val="single" w:sz="4" w:space="0" w:color="000000"/>
              <w:bottom w:val="nil"/>
              <w:right w:val="single" w:sz="4" w:space="0" w:color="000000"/>
            </w:tcBorders>
            <w:vAlign w:val="center"/>
          </w:tcPr>
          <w:p w14:paraId="71C71E0C" w14:textId="77777777" w:rsidR="00505287" w:rsidRDefault="00505287"/>
        </w:tc>
        <w:tc>
          <w:tcPr>
            <w:tcW w:w="712" w:type="pct"/>
            <w:vMerge/>
            <w:tcBorders>
              <w:top w:val="nil"/>
              <w:left w:val="single" w:sz="4" w:space="0" w:color="000000"/>
              <w:bottom w:val="nil"/>
              <w:right w:val="single" w:sz="4" w:space="0" w:color="000000"/>
            </w:tcBorders>
            <w:vAlign w:val="center"/>
          </w:tcPr>
          <w:p w14:paraId="7ED8A00D" w14:textId="77777777" w:rsidR="00505287" w:rsidRDefault="00505287"/>
        </w:tc>
        <w:tc>
          <w:tcPr>
            <w:tcW w:w="635" w:type="pct"/>
            <w:vMerge/>
            <w:tcBorders>
              <w:top w:val="nil"/>
              <w:left w:val="single" w:sz="4" w:space="0" w:color="000000"/>
              <w:bottom w:val="nil"/>
              <w:right w:val="single" w:sz="4" w:space="0" w:color="000000"/>
            </w:tcBorders>
          </w:tcPr>
          <w:p w14:paraId="57810FED"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0D4CE505" w14:textId="77777777" w:rsidR="00505287" w:rsidRDefault="00B74D26">
            <w:pPr>
              <w:spacing w:after="0" w:line="240" w:lineRule="auto"/>
              <w:jc w:val="center"/>
              <w:rPr>
                <w:color w:val="000000"/>
                <w:sz w:val="20"/>
              </w:rPr>
            </w:pPr>
            <w:r>
              <w:rPr>
                <w:color w:val="000000"/>
                <w:sz w:val="20"/>
              </w:rPr>
              <w:t>1.01 – 3.50</w:t>
            </w:r>
          </w:p>
        </w:tc>
        <w:tc>
          <w:tcPr>
            <w:tcW w:w="873" w:type="pct"/>
            <w:tcBorders>
              <w:top w:val="single" w:sz="4" w:space="0" w:color="000000"/>
              <w:left w:val="single" w:sz="4" w:space="0" w:color="000000"/>
              <w:bottom w:val="single" w:sz="4" w:space="0" w:color="000000"/>
              <w:right w:val="single" w:sz="4" w:space="0" w:color="000000"/>
            </w:tcBorders>
            <w:vAlign w:val="center"/>
          </w:tcPr>
          <w:p w14:paraId="59FAB633" w14:textId="77777777" w:rsidR="00505287" w:rsidRDefault="00B74D26">
            <w:pPr>
              <w:spacing w:after="0" w:line="240" w:lineRule="auto"/>
              <w:jc w:val="center"/>
              <w:rPr>
                <w:color w:val="000000"/>
                <w:sz w:val="20"/>
              </w:rPr>
            </w:pPr>
            <w:r>
              <w:rPr>
                <w:color w:val="000000"/>
                <w:sz w:val="20"/>
              </w:rPr>
              <w:t>1.61</w:t>
            </w:r>
          </w:p>
        </w:tc>
        <w:tc>
          <w:tcPr>
            <w:tcW w:w="1119" w:type="pct"/>
            <w:tcBorders>
              <w:top w:val="single" w:sz="4" w:space="0" w:color="000000"/>
              <w:left w:val="single" w:sz="4" w:space="0" w:color="000000"/>
              <w:bottom w:val="single" w:sz="4" w:space="0" w:color="000000"/>
              <w:right w:val="single" w:sz="4" w:space="0" w:color="000000"/>
            </w:tcBorders>
            <w:vAlign w:val="center"/>
          </w:tcPr>
          <w:p w14:paraId="022CA403" w14:textId="77777777" w:rsidR="00505287" w:rsidRDefault="00B74D26">
            <w:pPr>
              <w:spacing w:after="0" w:line="240" w:lineRule="auto"/>
              <w:jc w:val="center"/>
              <w:rPr>
                <w:color w:val="000000"/>
                <w:sz w:val="20"/>
              </w:rPr>
            </w:pPr>
            <w:r>
              <w:rPr>
                <w:color w:val="000000"/>
                <w:sz w:val="20"/>
              </w:rPr>
              <w:t>6.26 (1.46 – 26.90)</w:t>
            </w:r>
          </w:p>
        </w:tc>
      </w:tr>
      <w:tr w:rsidR="00505287" w14:paraId="5097AAA2" w14:textId="77777777">
        <w:trPr>
          <w:trHeight w:val="259"/>
        </w:trPr>
        <w:tc>
          <w:tcPr>
            <w:tcW w:w="611" w:type="pct"/>
            <w:vMerge/>
            <w:tcBorders>
              <w:top w:val="nil"/>
              <w:left w:val="single" w:sz="4" w:space="0" w:color="000000"/>
              <w:bottom w:val="single" w:sz="4" w:space="0" w:color="000000"/>
              <w:right w:val="single" w:sz="4" w:space="0" w:color="000000"/>
            </w:tcBorders>
            <w:vAlign w:val="center"/>
          </w:tcPr>
          <w:p w14:paraId="6A7CE987" w14:textId="77777777" w:rsidR="00505287" w:rsidRDefault="00505287"/>
        </w:tc>
        <w:tc>
          <w:tcPr>
            <w:tcW w:w="712" w:type="pct"/>
            <w:vMerge/>
            <w:tcBorders>
              <w:top w:val="nil"/>
              <w:left w:val="single" w:sz="4" w:space="0" w:color="000000"/>
              <w:bottom w:val="single" w:sz="4" w:space="0" w:color="000000"/>
              <w:right w:val="single" w:sz="4" w:space="0" w:color="000000"/>
            </w:tcBorders>
            <w:vAlign w:val="center"/>
          </w:tcPr>
          <w:p w14:paraId="5517C51E" w14:textId="77777777" w:rsidR="00505287" w:rsidRDefault="00505287"/>
        </w:tc>
        <w:tc>
          <w:tcPr>
            <w:tcW w:w="635" w:type="pct"/>
            <w:vMerge/>
            <w:tcBorders>
              <w:top w:val="nil"/>
              <w:left w:val="single" w:sz="4" w:space="0" w:color="000000"/>
              <w:bottom w:val="single" w:sz="4" w:space="0" w:color="000000"/>
              <w:right w:val="single" w:sz="4" w:space="0" w:color="000000"/>
            </w:tcBorders>
          </w:tcPr>
          <w:p w14:paraId="0BF1E35F" w14:textId="77777777" w:rsidR="00505287" w:rsidRDefault="00505287"/>
        </w:tc>
        <w:tc>
          <w:tcPr>
            <w:tcW w:w="1048" w:type="pct"/>
            <w:tcBorders>
              <w:top w:val="single" w:sz="4" w:space="0" w:color="000000"/>
              <w:left w:val="single" w:sz="4" w:space="0" w:color="000000"/>
              <w:bottom w:val="single" w:sz="4" w:space="0" w:color="000000"/>
              <w:right w:val="single" w:sz="4" w:space="0" w:color="000000"/>
            </w:tcBorders>
            <w:vAlign w:val="center"/>
          </w:tcPr>
          <w:p w14:paraId="59AC7453" w14:textId="77777777" w:rsidR="00505287" w:rsidRDefault="00B74D26">
            <w:pPr>
              <w:spacing w:after="0" w:line="240" w:lineRule="auto"/>
              <w:jc w:val="center"/>
              <w:rPr>
                <w:color w:val="000000"/>
                <w:sz w:val="20"/>
              </w:rPr>
            </w:pPr>
            <w:r>
              <w:rPr>
                <w:color w:val="000000"/>
                <w:sz w:val="20"/>
              </w:rPr>
              <w:t>&gt; 3.5</w:t>
            </w:r>
          </w:p>
        </w:tc>
        <w:tc>
          <w:tcPr>
            <w:tcW w:w="873" w:type="pct"/>
            <w:tcBorders>
              <w:top w:val="single" w:sz="4" w:space="0" w:color="000000"/>
              <w:left w:val="single" w:sz="4" w:space="0" w:color="000000"/>
              <w:bottom w:val="single" w:sz="4" w:space="0" w:color="000000"/>
              <w:right w:val="single" w:sz="4" w:space="0" w:color="000000"/>
            </w:tcBorders>
            <w:vAlign w:val="center"/>
          </w:tcPr>
          <w:p w14:paraId="47F77290" w14:textId="77777777" w:rsidR="00505287" w:rsidRDefault="00B74D26">
            <w:pPr>
              <w:spacing w:after="0" w:line="240" w:lineRule="auto"/>
              <w:jc w:val="center"/>
              <w:rPr>
                <w:color w:val="000000"/>
                <w:sz w:val="20"/>
              </w:rPr>
            </w:pPr>
            <w:r>
              <w:rPr>
                <w:color w:val="000000"/>
                <w:sz w:val="20"/>
              </w:rPr>
              <w:t>4.93</w:t>
            </w:r>
          </w:p>
        </w:tc>
        <w:tc>
          <w:tcPr>
            <w:tcW w:w="1119" w:type="pct"/>
            <w:tcBorders>
              <w:top w:val="single" w:sz="4" w:space="0" w:color="000000"/>
              <w:left w:val="single" w:sz="4" w:space="0" w:color="000000"/>
              <w:bottom w:val="single" w:sz="4" w:space="0" w:color="000000"/>
              <w:right w:val="single" w:sz="4" w:space="0" w:color="000000"/>
            </w:tcBorders>
            <w:vAlign w:val="center"/>
          </w:tcPr>
          <w:p w14:paraId="7AF2D30E" w14:textId="77777777" w:rsidR="00505287" w:rsidRDefault="00B74D26">
            <w:pPr>
              <w:spacing w:after="0" w:line="240" w:lineRule="auto"/>
              <w:jc w:val="center"/>
              <w:rPr>
                <w:color w:val="000000"/>
                <w:sz w:val="20"/>
              </w:rPr>
            </w:pPr>
            <w:r>
              <w:rPr>
                <w:color w:val="000000"/>
                <w:sz w:val="20"/>
              </w:rPr>
              <w:t>16.20 (3.47 – 75.20)</w:t>
            </w:r>
          </w:p>
        </w:tc>
      </w:tr>
    </w:tbl>
    <w:p w14:paraId="6579EDEE" w14:textId="77777777" w:rsidR="00505287" w:rsidRDefault="00B74D26">
      <w:pPr>
        <w:spacing w:after="120" w:line="240" w:lineRule="auto"/>
        <w:rPr>
          <w:sz w:val="20"/>
        </w:rPr>
      </w:pPr>
      <w:r>
        <w:rPr>
          <w:b/>
          <w:sz w:val="20"/>
        </w:rPr>
        <w:t>Note</w:t>
      </w:r>
      <w:r>
        <w:rPr>
          <w:sz w:val="20"/>
        </w:rPr>
        <w:t xml:space="preserve">: </w:t>
      </w:r>
      <w:r>
        <w:rPr>
          <w:sz w:val="20"/>
        </w:rPr>
        <w:t xml:space="preserve">Proteinuria categories and hazard ratios were obtained from published aggregate data. Reported category-specific mean or median proteinuria values were used when available; otherwise, representative values were imputed. </w:t>
      </w:r>
      <w:r>
        <w:rPr>
          <w:sz w:val="20"/>
        </w:rPr>
        <w:t>a) Proteinuria categories were standardized to g/d. b) Mean or median proteinuria levels were standardized to g/d. Imputed values were used when observed mean or median proteinuria levels were not reported.</w:t>
      </w:r>
    </w:p>
    <w:p w14:paraId="11A99E94" w14:textId="77777777" w:rsidR="00505287" w:rsidRDefault="00B74D26">
      <w:pPr>
        <w:spacing w:after="200" w:line="276" w:lineRule="auto"/>
        <w:rPr>
          <w:color w:val="000000"/>
        </w:rPr>
      </w:pPr>
      <w:r>
        <w:rPr>
          <w:b/>
          <w:sz w:val="20"/>
        </w:rPr>
        <w:t xml:space="preserve">Abbreviations: </w:t>
      </w:r>
      <w:r>
        <w:rPr>
          <w:sz w:val="20"/>
        </w:rPr>
        <w:t xml:space="preserve">eGFR, estimated glomerular filtration rate; g/d, grams per day; g/g, grams per gram; </w:t>
      </w:r>
      <w:proofErr w:type="spellStart"/>
      <w:r>
        <w:rPr>
          <w:sz w:val="20"/>
        </w:rPr>
        <w:t>IgAN</w:t>
      </w:r>
      <w:proofErr w:type="spellEnd"/>
      <w:r>
        <w:rPr>
          <w:sz w:val="20"/>
        </w:rPr>
        <w:t xml:space="preserve">, immunoglobulin A nephropathy; IQR, interquartile range; KRT, kidney replacement therapy; min, minutes; mL, milliliters; NOS, Newcastle-Ottawa Scale; </w:t>
      </w:r>
      <w:proofErr w:type="spellStart"/>
      <w:r>
        <w:rPr>
          <w:sz w:val="20"/>
        </w:rPr>
        <w:t>SCr</w:t>
      </w:r>
      <w:proofErr w:type="spellEnd"/>
      <w:r>
        <w:rPr>
          <w:sz w:val="20"/>
        </w:rPr>
        <w:t>, serum creatinine; UPE, urine protein excretion; UPCR, urine protein-creatinine ratio; CI, confidence interval; Ref, reference category.</w:t>
      </w:r>
    </w:p>
    <w:sectPr w:rsidR="0050528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98DAA" w14:textId="77777777" w:rsidR="00B74D26" w:rsidRDefault="00B74D26">
      <w:pPr>
        <w:spacing w:after="0" w:line="240" w:lineRule="auto"/>
      </w:pPr>
      <w:r>
        <w:separator/>
      </w:r>
    </w:p>
  </w:endnote>
  <w:endnote w:type="continuationSeparator" w:id="0">
    <w:p w14:paraId="11D34B6C" w14:textId="77777777" w:rsidR="00B74D26" w:rsidRDefault="00B74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4C59A" w14:textId="77777777" w:rsidR="00B66CDE" w:rsidRDefault="00B66CDE">
    <w:pPr>
      <w:pStyle w:val="Footer"/>
    </w:pPr>
  </w:p>
  <w:p w14:paraId="171B2F7E" w14:textId="5FF26FCC" w:rsidR="00505287" w:rsidRDefault="00B74D26">
    <w:pPr>
      <w:pStyle w:val="Footer"/>
      <w:jc w:val="right"/>
    </w:pPr>
    <w:r>
      <w:fldChar w:fldCharType="begin"/>
    </w:r>
    <w:r>
      <w:instrText xml:space="preserve"> PAGE   \* MERGEFORMAT </w:instrText>
    </w:r>
    <w:r>
      <w:fldChar w:fldCharType="separate"/>
    </w:r>
    <w:r w:rsidR="005D549E">
      <w:rPr>
        <w:noProof/>
      </w:rPr>
      <w:t>1</w:t>
    </w:r>
    <w:r>
      <w:fldChar w:fldCharType="end"/>
    </w:r>
  </w:p>
  <w:p w14:paraId="08F9A3E8" w14:textId="77777777" w:rsidR="00505287" w:rsidRDefault="00505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45605" w14:textId="77777777" w:rsidR="00B74D26" w:rsidRDefault="00B74D26">
      <w:pPr>
        <w:spacing w:after="0" w:line="240" w:lineRule="auto"/>
      </w:pPr>
      <w:r>
        <w:separator/>
      </w:r>
    </w:p>
  </w:footnote>
  <w:footnote w:type="continuationSeparator" w:id="0">
    <w:p w14:paraId="7EE24976" w14:textId="77777777" w:rsidR="00B74D26" w:rsidRDefault="00B74D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num w:numId="1" w16cid:durableId="1912886892">
    <w:abstractNumId w:val="8"/>
  </w:num>
  <w:num w:numId="2" w16cid:durableId="1623263819">
    <w:abstractNumId w:val="6"/>
  </w:num>
  <w:num w:numId="3" w16cid:durableId="1389845417">
    <w:abstractNumId w:val="5"/>
  </w:num>
  <w:num w:numId="4" w16cid:durableId="1666738104">
    <w:abstractNumId w:val="4"/>
  </w:num>
  <w:num w:numId="5" w16cid:durableId="90247897">
    <w:abstractNumId w:val="7"/>
  </w:num>
  <w:num w:numId="6" w16cid:durableId="1714039939">
    <w:abstractNumId w:val="3"/>
  </w:num>
  <w:num w:numId="7" w16cid:durableId="2059357243">
    <w:abstractNumId w:val="2"/>
  </w:num>
  <w:num w:numId="8" w16cid:durableId="397899853">
    <w:abstractNumId w:val="1"/>
  </w:num>
  <w:num w:numId="9" w16cid:durableId="727843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0&lt;/ScanUnformatted&gt;&lt;ScanChanges&gt;0&lt;/ScanChanges&gt;&lt;Suspended&gt;0&lt;/Suspended&gt;&lt;/ENInstantFormat&gt;"/>
    <w:docVar w:name="EN.Layout" w:val="&lt;ENLayout&gt;&lt;Style&gt;Vancouver RK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xf5az9xff0s4e259vpea54tvse2dex5esz&quot;&gt;Proteinuria non-linear&lt;record-ids&gt;&lt;item&gt;3&lt;/item&gt;&lt;item&gt;4&lt;/item&gt;&lt;item&gt;5&lt;/item&gt;&lt;item&gt;6&lt;/item&gt;&lt;item&gt;7&lt;/item&gt;&lt;item&gt;9&lt;/item&gt;&lt;item&gt;10&lt;/item&gt;&lt;item&gt;11&lt;/item&gt;&lt;item&gt;12&lt;/item&gt;&lt;item&gt;13&lt;/item&gt;&lt;item&gt;14&lt;/item&gt;&lt;item&gt;15&lt;/item&gt;&lt;item&gt;16&lt;/item&gt;&lt;item&gt;18&lt;/item&gt;&lt;item&gt;24&lt;/item&gt;&lt;item&gt;28&lt;/item&gt;&lt;/record-ids&gt;&lt;/item&gt;&lt;/Libraries&gt;"/>
  </w:docVars>
  <w:rsids>
    <w:rsidRoot w:val="00B47730"/>
    <w:rsid w:val="0003150D"/>
    <w:rsid w:val="00034616"/>
    <w:rsid w:val="0006063C"/>
    <w:rsid w:val="000C198E"/>
    <w:rsid w:val="00105FBE"/>
    <w:rsid w:val="001073F6"/>
    <w:rsid w:val="0015074B"/>
    <w:rsid w:val="00184431"/>
    <w:rsid w:val="0029639D"/>
    <w:rsid w:val="00326F90"/>
    <w:rsid w:val="003978C7"/>
    <w:rsid w:val="004F3966"/>
    <w:rsid w:val="00505287"/>
    <w:rsid w:val="00565D94"/>
    <w:rsid w:val="005D549E"/>
    <w:rsid w:val="007933CE"/>
    <w:rsid w:val="00AA1D8D"/>
    <w:rsid w:val="00B01851"/>
    <w:rsid w:val="00B47730"/>
    <w:rsid w:val="00B66CDE"/>
    <w:rsid w:val="00B74D26"/>
    <w:rsid w:val="00BD0CF3"/>
    <w:rsid w:val="00CB0664"/>
    <w:rsid w:val="00CB2342"/>
    <w:rsid w:val="00FA0D8E"/>
    <w:rsid w:val="00FC693F"/>
    <w:rsid w:val="00FE29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3D4EF95-9801-E24F-8F67-FB77B575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160" w:line="480" w:lineRule="auto"/>
    </w:pPr>
    <w:rPr>
      <w:sz w:val="24"/>
    </w:rPr>
  </w:style>
  <w:style w:type="paragraph" w:styleId="Heading1">
    <w:name w:val="heading 1"/>
    <w:aliases w:val="AG Heading 1"/>
    <w:basedOn w:val="Normal"/>
    <w:qFormat/>
    <w:pPr>
      <w:outlineLvl w:val="0"/>
    </w:pPr>
  </w:style>
  <w:style w:type="paragraph" w:styleId="Heading2">
    <w:name w:val="heading 2"/>
    <w:aliases w:val="AG Heading 2"/>
    <w:basedOn w:val="Heading3"/>
    <w:qFormat/>
    <w:pPr>
      <w:ind w:left="0" w:firstLine="0"/>
      <w:outlineLvl w:val="1"/>
    </w:pPr>
  </w:style>
  <w:style w:type="paragraph" w:styleId="Heading3">
    <w:name w:val="heading 3"/>
    <w:aliases w:val="AG Heading 3"/>
    <w:basedOn w:val="Normal"/>
    <w:qFormat/>
    <w:pPr>
      <w:keepNext/>
      <w:keepLines/>
      <w:ind w:left="1395" w:hanging="1395"/>
      <w:outlineLvl w:val="2"/>
    </w:pPr>
    <w:rPr>
      <w:b/>
    </w:rPr>
  </w:style>
  <w:style w:type="paragraph" w:styleId="Heading4">
    <w:name w:val="heading 4"/>
    <w:aliases w:val="AG Heading 4"/>
    <w:basedOn w:val="Normal"/>
    <w:qFormat/>
    <w:pPr>
      <w:outlineLvl w:val="3"/>
    </w:pPr>
    <w:rPr>
      <w:i/>
    </w:rPr>
  </w:style>
  <w:style w:type="paragraph" w:styleId="Heading5">
    <w:name w:val="heading 5"/>
    <w:aliases w:val="AG Heading 5"/>
    <w:basedOn w:val="Normal"/>
    <w:qFormat/>
    <w:pPr>
      <w:keepNext/>
      <w:keepLines/>
      <w:tabs>
        <w:tab w:val="num" w:pos="1397"/>
      </w:tabs>
      <w:spacing w:before="240" w:after="120" w:line="240" w:lineRule="auto"/>
      <w:ind w:left="1397" w:hanging="1397"/>
      <w:outlineLvl w:val="4"/>
    </w:pPr>
    <w:rPr>
      <w:rFonts w:ascii="Arial" w:hAnsi="Arial"/>
      <w:b/>
    </w:rPr>
  </w:style>
  <w:style w:type="paragraph" w:styleId="Heading6">
    <w:name w:val="heading 6"/>
    <w:aliases w:val="AG Heading 6"/>
    <w:basedOn w:val="BodyText12"/>
    <w:qFormat/>
    <w:pPr>
      <w:outlineLvl w:val="5"/>
    </w:pPr>
    <w:rPr>
      <w:i/>
    </w:rPr>
  </w:style>
  <w:style w:type="paragraph" w:styleId="Heading7">
    <w:name w:val="heading 7"/>
    <w:qFormat/>
    <w:pPr>
      <w:keepNext/>
      <w:keepLines/>
      <w:tabs>
        <w:tab w:val="num" w:pos="2160"/>
      </w:tabs>
      <w:spacing w:before="240" w:after="120"/>
      <w:ind w:left="2160" w:hanging="2160"/>
      <w:outlineLvl w:val="6"/>
    </w:pPr>
    <w:rPr>
      <w:rFonts w:ascii="Arial" w:hAnsi="Arial"/>
      <w:b/>
      <w:sz w:val="24"/>
    </w:rPr>
  </w:style>
  <w:style w:type="paragraph" w:styleId="Heading8">
    <w:name w:val="heading 8"/>
    <w:qFormat/>
    <w:pPr>
      <w:keepNext/>
      <w:keepLines/>
      <w:tabs>
        <w:tab w:val="num" w:pos="2160"/>
      </w:tabs>
      <w:spacing w:before="240" w:after="120"/>
      <w:ind w:left="2160" w:hanging="2160"/>
      <w:outlineLvl w:val="7"/>
    </w:pPr>
    <w:rPr>
      <w:rFonts w:ascii="Arial" w:hAnsi="Arial"/>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style w:type="paragraph" w:customStyle="1" w:styleId="abstract">
    <w:name w:val="abstract"/>
    <w:basedOn w:val="Normal"/>
    <w:qFormat/>
  </w:style>
  <w:style w:type="paragraph" w:customStyle="1" w:styleId="EquationCaption">
    <w:name w:val="Equation Caption"/>
    <w:basedOn w:val="Normal"/>
    <w:qFormat/>
  </w:style>
  <w:style w:type="paragraph" w:customStyle="1" w:styleId="FigureCaption">
    <w:name w:val="Figure Caption"/>
    <w:basedOn w:val="Normal"/>
    <w:qFormat/>
  </w:style>
  <w:style w:type="paragraph" w:customStyle="1" w:styleId="FiguresSection">
    <w:name w:val="Figures Section"/>
    <w:basedOn w:val="Heading1"/>
    <w:qFormat/>
  </w:style>
  <w:style w:type="paragraph" w:customStyle="1" w:styleId="BodyText12">
    <w:name w:val="Body Text 12"/>
    <w:qFormat/>
    <w:pPr>
      <w:spacing w:after="240" w:line="264" w:lineRule="auto"/>
      <w:jc w:val="both"/>
    </w:pPr>
    <w:rPr>
      <w:sz w:val="24"/>
    </w:rPr>
  </w:style>
  <w:style w:type="paragraph" w:styleId="Title">
    <w:name w:val="Title"/>
    <w:basedOn w:val="Normal"/>
    <w:qFormat/>
    <w:rPr>
      <w:b/>
    </w:rPr>
  </w:style>
  <w:style w:type="table" w:customStyle="1" w:styleId="Table">
    <w:name w:val="Table"/>
    <w:qFormat/>
    <w:tblPr>
      <w:tblCellMar>
        <w:top w:w="0" w:type="dxa"/>
        <w:left w:w="0" w:type="dxa"/>
        <w:bottom w:w="0" w:type="dxa"/>
        <w:right w:w="0" w:type="dxa"/>
      </w:tblCellMar>
    </w:tblPr>
  </w:style>
  <w:style w:type="paragraph" w:customStyle="1" w:styleId="TableCaption">
    <w:name w:val="Table Caption"/>
    <w:basedOn w:val="Normal"/>
    <w:qFormat/>
  </w:style>
  <w:style w:type="character" w:customStyle="1" w:styleId="TextEndnote">
    <w:name w:val="Text Endnote"/>
    <w:qFormat/>
    <w:rPr>
      <w:vertAlign w:val="superscript"/>
    </w:rPr>
  </w:style>
  <w:style w:type="character" w:customStyle="1" w:styleId="TextFootnote">
    <w:name w:val="Text Footnote"/>
    <w:qFormat/>
    <w:rPr>
      <w:vertAlign w:val="superscript"/>
    </w:rPr>
  </w:style>
  <w:style w:type="paragraph" w:customStyle="1" w:styleId="TOCTOLTitle">
    <w:name w:val="TOC/ TOL Title"/>
    <w:qFormat/>
  </w:style>
  <w:style w:type="paragraph" w:styleId="TOC1">
    <w:name w:val="toc 1"/>
    <w:basedOn w:val="Normal"/>
    <w:qFormat/>
  </w:style>
  <w:style w:type="paragraph" w:styleId="TOC2">
    <w:name w:val="toc 2"/>
    <w:basedOn w:val="Normal"/>
    <w:qFormat/>
  </w:style>
  <w:style w:type="paragraph" w:styleId="TOC3">
    <w:name w:val="toc 3"/>
    <w:basedOn w:val="Normal"/>
    <w:qFormat/>
  </w:style>
  <w:style w:type="paragraph" w:styleId="TOC4">
    <w:name w:val="toc 4"/>
    <w:basedOn w:val="Normal"/>
    <w:qFormat/>
  </w:style>
  <w:style w:type="paragraph" w:styleId="TOC5">
    <w:name w:val="toc 5"/>
    <w:basedOn w:val="Normal"/>
    <w:qFormat/>
  </w:style>
  <w:style w:type="paragraph" w:styleId="TOC6">
    <w:name w:val="toc 6"/>
    <w:basedOn w:val="Normal"/>
    <w:qFormat/>
  </w:style>
  <w:style w:type="paragraph" w:customStyle="1" w:styleId="TOL">
    <w:name w:val="TOL"/>
    <w:basedOn w:val="TOC2"/>
    <w:qFormat/>
  </w:style>
  <w:style w:type="paragraph" w:customStyle="1" w:styleId="a0">
    <w:name w:val="a"/>
    <w:qFormat/>
  </w:style>
  <w:style w:type="paragraph" w:customStyle="1" w:styleId="EquationCaption1">
    <w:name w:val="Equation Caption (1)"/>
    <w:basedOn w:val="Normal"/>
    <w:qFormat/>
  </w:style>
  <w:style w:type="paragraph" w:customStyle="1" w:styleId="FigureCaption1">
    <w:name w:val="Figure Caption (1)"/>
    <w:basedOn w:val="Normal"/>
    <w:qFormat/>
  </w:style>
  <w:style w:type="paragraph" w:customStyle="1" w:styleId="FiguresSection1">
    <w:name w:val="Figures Section (1)"/>
    <w:basedOn w:val="Heading1"/>
    <w:qFormat/>
  </w:style>
  <w:style w:type="paragraph" w:customStyle="1" w:styleId="TableCaption1">
    <w:name w:val="Table Caption (1)"/>
    <w:basedOn w:val="Normal"/>
    <w:qFormat/>
  </w:style>
  <w:style w:type="paragraph" w:customStyle="1" w:styleId="TOCTOLTitle1">
    <w:name w:val="TOC/ TOL Title (1)"/>
    <w:qFormat/>
  </w:style>
  <w:style w:type="paragraph" w:customStyle="1" w:styleId="TOL1">
    <w:name w:val="TOL (1)"/>
    <w:basedOn w:val="TOC2"/>
    <w:qFormat/>
  </w:style>
  <w:style w:type="paragraph" w:customStyle="1" w:styleId="a1">
    <w:name w:val="a (1)"/>
    <w:qFormat/>
  </w:style>
  <w:style w:type="paragraph" w:customStyle="1" w:styleId="EquationCaption11">
    <w:name w:val="Equation Caption (1) (1)"/>
    <w:basedOn w:val="Normal"/>
    <w:qFormat/>
  </w:style>
  <w:style w:type="paragraph" w:customStyle="1" w:styleId="FigureCaption11">
    <w:name w:val="Figure Caption (1) (1)"/>
    <w:basedOn w:val="Normal"/>
    <w:qFormat/>
  </w:style>
  <w:style w:type="paragraph" w:customStyle="1" w:styleId="FiguresSection11">
    <w:name w:val="Figures Section (1) (1)"/>
    <w:basedOn w:val="Heading1"/>
    <w:qFormat/>
  </w:style>
  <w:style w:type="paragraph" w:customStyle="1" w:styleId="TableCaption11">
    <w:name w:val="Table Caption (1) (1)"/>
    <w:basedOn w:val="Normal"/>
    <w:qFormat/>
  </w:style>
  <w:style w:type="paragraph" w:customStyle="1" w:styleId="TOCTOLTitle11">
    <w:name w:val="TOC/ TOL Title (1) (1)"/>
    <w:qFormat/>
  </w:style>
  <w:style w:type="paragraph" w:customStyle="1" w:styleId="TOL11">
    <w:name w:val="TOL (1) (1)"/>
    <w:basedOn w:val="TOC2"/>
    <w:qFormat/>
  </w:style>
  <w:style w:type="paragraph" w:customStyle="1" w:styleId="a11">
    <w:name w:val="a (1) (1)"/>
    <w:qFormat/>
  </w:style>
  <w:style w:type="paragraph" w:customStyle="1" w:styleId="EquationCaption111">
    <w:name w:val="Equation Caption (1) (1) (1)"/>
    <w:basedOn w:val="Normal"/>
    <w:qFormat/>
  </w:style>
  <w:style w:type="paragraph" w:customStyle="1" w:styleId="FigureCaption111">
    <w:name w:val="Figure Caption (1) (1) (1)"/>
    <w:basedOn w:val="Normal"/>
    <w:qFormat/>
  </w:style>
  <w:style w:type="paragraph" w:customStyle="1" w:styleId="FiguresSection111">
    <w:name w:val="Figures Section (1) (1) (1)"/>
    <w:basedOn w:val="Heading1"/>
    <w:qFormat/>
  </w:style>
  <w:style w:type="paragraph" w:customStyle="1" w:styleId="TableCaption111">
    <w:name w:val="Table Caption (1) (1) (1)"/>
    <w:basedOn w:val="Normal"/>
    <w:qFormat/>
  </w:style>
  <w:style w:type="paragraph" w:customStyle="1" w:styleId="TOCTOLTitle111">
    <w:name w:val="TOC/ TOL Title (1) (1) (1)"/>
    <w:qFormat/>
  </w:style>
  <w:style w:type="paragraph" w:customStyle="1" w:styleId="TOL111">
    <w:name w:val="TOL (1) (1) (1)"/>
    <w:basedOn w:val="TOC2"/>
    <w:qFormat/>
  </w:style>
  <w:style w:type="paragraph" w:styleId="ListParagraph">
    <w:name w:val="List Paragraph"/>
    <w:aliases w:val="Table of Contents 2,Table Legend,Bullet1,Bullet List,Section 5,Questions,List Paragraph1,QuestionNumber,FooterText,Liste couleur - Accent 11,Liste couleur - Accent 111,hyperlink,Bullet 1 2,Dairy Paragraphe,Bullet 1,Styl moj,Akapit z listą"/>
    <w:basedOn w:val="Normal"/>
    <w:qFormat/>
    <w:pPr>
      <w:spacing w:line="240" w:lineRule="auto"/>
      <w:ind w:left="720"/>
    </w:pPr>
  </w:style>
  <w:style w:type="paragraph" w:customStyle="1" w:styleId="Heading0">
    <w:name w:val="Heading 0"/>
    <w:qFormat/>
    <w:pPr>
      <w:keepNext/>
      <w:keepLines/>
      <w:spacing w:before="240" w:after="120"/>
      <w:outlineLvl w:val="0"/>
    </w:pPr>
    <w:rPr>
      <w:rFonts w:ascii="Arial" w:hAnsi="Arial"/>
      <w:b/>
      <w:sz w:val="24"/>
    </w:rPr>
  </w:style>
  <w:style w:type="paragraph" w:styleId="CommentText">
    <w:name w:val="annotation text"/>
    <w:basedOn w:val="Normal"/>
    <w:qFormat/>
    <w:pPr>
      <w:spacing w:line="240" w:lineRule="auto"/>
    </w:pPr>
    <w:rPr>
      <w:sz w:val="20"/>
    </w:rPr>
  </w:style>
  <w:style w:type="paragraph" w:styleId="Header">
    <w:name w:val="header"/>
    <w:aliases w:val="AG Header"/>
    <w:basedOn w:val="Normal"/>
    <w:qFormat/>
    <w:pPr>
      <w:tabs>
        <w:tab w:val="center" w:pos="4513"/>
        <w:tab w:val="right" w:pos="9026"/>
      </w:tabs>
      <w:spacing w:line="240" w:lineRule="auto"/>
    </w:pPr>
  </w:style>
  <w:style w:type="paragraph" w:styleId="Footer">
    <w:name w:val="footer"/>
    <w:basedOn w:val="Normal"/>
    <w:qFormat/>
    <w:pPr>
      <w:tabs>
        <w:tab w:val="center" w:pos="4513"/>
        <w:tab w:val="right" w:pos="9026"/>
      </w:tabs>
      <w:spacing w:line="240" w:lineRule="auto"/>
    </w:pPr>
  </w:style>
  <w:style w:type="paragraph" w:customStyle="1" w:styleId="EndNoteBibliographyTitle">
    <w:name w:val="EndNote Bibliography Title"/>
    <w:basedOn w:val="Normal"/>
    <w:qFormat/>
    <w:pPr>
      <w:jc w:val="center"/>
    </w:pPr>
  </w:style>
  <w:style w:type="paragraph" w:customStyle="1" w:styleId="EndNoteBibliography">
    <w:name w:val="EndNote Bibliography"/>
    <w:basedOn w:val="Normal"/>
    <w:qFormat/>
    <w:pPr>
      <w:spacing w:line="240" w:lineRule="auto"/>
    </w:pPr>
  </w:style>
  <w:style w:type="paragraph" w:customStyle="1" w:styleId="BodyText11">
    <w:name w:val="Body Text 11"/>
    <w:qFormat/>
    <w:pPr>
      <w:spacing w:after="180"/>
      <w:jc w:val="both"/>
    </w:pPr>
    <w:rPr>
      <w:sz w:val="22"/>
    </w:rPr>
  </w:style>
  <w:style w:type="paragraph" w:styleId="Caption">
    <w:name w:val="caption"/>
    <w:qFormat/>
    <w:pPr>
      <w:keepNext/>
      <w:tabs>
        <w:tab w:val="left" w:pos="1152"/>
      </w:tabs>
      <w:spacing w:before="60" w:after="60"/>
      <w:ind w:left="1152" w:hanging="1152"/>
    </w:pPr>
    <w:rPr>
      <w:b/>
    </w:rPr>
  </w:style>
  <w:style w:type="paragraph" w:customStyle="1" w:styleId="TableText">
    <w:name w:val="Table Text"/>
    <w:qFormat/>
    <w:pPr>
      <w:tabs>
        <w:tab w:val="left" w:pos="288"/>
        <w:tab w:val="left" w:pos="576"/>
        <w:tab w:val="left" w:pos="864"/>
      </w:tabs>
    </w:pPr>
  </w:style>
  <w:style w:type="paragraph" w:styleId="Revision">
    <w:name w:val="Revision"/>
    <w:qFormat/>
    <w:rPr>
      <w:sz w:val="24"/>
    </w:rPr>
  </w:style>
  <w:style w:type="paragraph" w:customStyle="1" w:styleId="Manuscripttitle">
    <w:name w:val="Manuscript title"/>
    <w:basedOn w:val="Heading1"/>
    <w:qFormat/>
    <w:pPr>
      <w:spacing w:after="300"/>
    </w:pPr>
    <w:rPr>
      <w:color w:val="000000"/>
      <w:sz w:val="28"/>
    </w:rPr>
  </w:style>
  <w:style w:type="paragraph" w:customStyle="1" w:styleId="Affiliation">
    <w:name w:val="Affiliation"/>
    <w:basedOn w:val="Normal"/>
    <w:qFormat/>
    <w:rPr>
      <w:i/>
    </w:rPr>
  </w:style>
  <w:style w:type="paragraph" w:styleId="IntenseQuote">
    <w:name w:val="Intense Quote"/>
    <w:basedOn w:val="Normal"/>
    <w:qFormat/>
    <w:pPr>
      <w:spacing w:line="276" w:lineRule="auto"/>
    </w:pPr>
    <w:rPr>
      <w:b/>
      <w:color w:val="000000"/>
    </w:rPr>
  </w:style>
  <w:style w:type="paragraph" w:customStyle="1" w:styleId="AGTitleTertiaryText">
    <w:name w:val="AG Title Tertiary Text"/>
    <w:qFormat/>
    <w:pPr>
      <w:spacing w:after="480" w:line="276" w:lineRule="auto"/>
      <w:ind w:left="432"/>
    </w:pPr>
    <w:rPr>
      <w:rFonts w:ascii="Arial" w:hAnsi="Arial"/>
      <w:color w:val="EEECE1"/>
      <w:sz w:val="24"/>
    </w:rPr>
  </w:style>
  <w:style w:type="paragraph" w:styleId="ListBullet">
    <w:name w:val="List Bullet"/>
    <w:basedOn w:val="Normal"/>
    <w:qFormat/>
    <w:pPr>
      <w:contextualSpacing/>
    </w:pPr>
  </w:style>
  <w:style w:type="paragraph" w:customStyle="1" w:styleId="pf0">
    <w:name w:val="pf0"/>
    <w:basedOn w:val="Normal"/>
    <w:qFormat/>
    <w:pPr>
      <w:spacing w:before="100" w:beforeAutospacing="1" w:after="100" w:afterAutospacing="1" w:line="240" w:lineRule="auto"/>
      <w:ind w:left="300"/>
    </w:pPr>
  </w:style>
  <w:style w:type="paragraph" w:customStyle="1" w:styleId="AGBullet">
    <w:name w:val="AG Bullet"/>
    <w:basedOn w:val="ListBullet"/>
    <w:qFormat/>
    <w:pPr>
      <w:spacing w:after="300"/>
      <w:contextualSpacing w:val="0"/>
    </w:pPr>
  </w:style>
  <w:style w:type="character" w:styleId="Hyperlink">
    <w:name w:val="Hyperlink"/>
    <w:basedOn w:val="DefaultParagraphFont"/>
    <w:uiPriority w:val="99"/>
    <w:unhideWhenUsed/>
    <w:rsid w:val="00FE2980"/>
    <w:rPr>
      <w:color w:val="0000FF" w:themeColor="hyperlink"/>
      <w:u w:val="single"/>
    </w:rPr>
  </w:style>
  <w:style w:type="character" w:styleId="UnresolvedMention">
    <w:name w:val="Unresolved Mention"/>
    <w:basedOn w:val="DefaultParagraphFont"/>
    <w:uiPriority w:val="99"/>
    <w:semiHidden/>
    <w:unhideWhenUsed/>
    <w:rsid w:val="00FE2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el_iff@vrtx.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DEFAULT.xsl" StyleName="Unknown" Version="2006">
  <b:Source>
    <b:Tag>1bef2067-bfe0-4e17-8cdf-5477574c4194</b:Tag>
    <b:RefOrder>0</b:RefOrder>
    <b:SourceType>InternetSite</b:SourceType>
    <b:Volume>2026</b:Volume>
    <b:DayAccessed>12</b:DayAccessed>
    <b:MonthAccessed>5</b:MonthAccessed>
    <b:YearAccessed>2000</b:YearAccessed>
    <b:Year>2025</b:Year>
    <b:Author>
      <b:Author>
        <b:NameList>
          <b:Person>
            <b:First/>
            <b:Last>KDIGO</b:Last>
          </b:Person>
        </b:NameList>
      </b:Author>
    </b:Author>
    <b:Title>KDIGO 2025 Clinical Practice Guideline for the Management of Immunoglobulin A Nephropathy (IgAN) and Immunoglobulin A Vasculitis (IgAV)</b:Title>
    <b:URL>https://www.kidney-international.org/action/showPdf?pii=S0085-2538%2825%2900279-0</b:URL>
  </b:Source>
  <b:Source>
    <b:Tag>a33cb3ad-af6d-48da-8df0-7b04607878de</b:Tag>
    <b:RefOrder>1</b:RefOrder>
    <b:SourceType>JournalArticle</b:SourceType>
    <b:PlacePublished>UK Renal Registry, The UK Kidney Association, Bristol, United Kingdom. Department of Renal Medicine, University College London, London, United Kingdom. Travere Therapeutics, Inc., San Diego, California. JAMCO Pharma Consulting, Stockholm, Sweden. University of Bristol &amp; Bristol Royal Hospital for Children, Bristol, United Kingdom. University of Edinburgh, Edinburgh, United Kingdom. University of Leicester &amp; Leicester General Hospital, Leicester, United Kingdom.</b:PlacePublished>
    <b:Pages>727-738</b:Pages>
    <b:Volume>18</b:Volume>
    <b:StandardNumber>6</b:StandardNumber>
    <b:Day>13</b:Day>
    <b:Year>2023</b:Year>
    <b:Month>Jun 1</b:Month>
    <b:DOI>https://doi.org/10.2215/cjn.0000000000000135</b:DOI>
    <b:Author>
      <b:Author>
        <b:NameList>
          <b:Person>
            <b:First>D.</b:First>
            <b:Last>Pitcher</b:Last>
          </b:Person>
          <b:Person>
            <b:First>F.</b:First>
            <b:Last>Braddon</b:Last>
          </b:Person>
          <b:Person>
            <b:First>B.</b:First>
            <b:Last>Hendry</b:Last>
          </b:Person>
          <b:Person>
            <b:First>A.</b:First>
            <b:Last>Mercer</b:Last>
          </b:Person>
          <b:Person>
            <b:First>K.</b:First>
            <b:Last>Osmaston</b:Last>
          </b:Person>
          <b:Person>
            <b:First>M. A.</b:First>
            <b:Last>Saleem</b:Last>
          </b:Person>
          <b:Person>
            <b:First>R.</b:First>
            <b:Last>Steenkamp</b:Last>
          </b:Person>
          <b:Person>
            <b:First>K.</b:First>
            <b:Last>Wong</b:Last>
          </b:Person>
          <b:Person>
            <b:First>A. N.</b:First>
            <b:Last>Turner</b:Last>
          </b:Person>
          <b:Person>
            <b:First>K.</b:First>
            <b:Last>Wang</b:Last>
          </b:Person>
          <b:Person>
            <b:First>D. P.</b:First>
            <b:Last>Gale</b:Last>
          </b:Person>
          <b:Person>
            <b:First>J.</b:First>
            <b:Last>Barratt</b:Last>
          </b:Person>
        </b:NameList>
      </b:Author>
    </b:Author>
    <b:Title>Long-Term Outcomes in IgA Nephropathy</b:Title>
    <b:JournalName>Clin J Am Soc Nephrol</b:JournalName>
    <b:URL>https://www.ncbi.nlm.nih.gov/pubmed/37055195</b:URL>
  </b:Source>
  <b:Source>
    <b:Tag>3cbce803-0a62-4d18-8c9d-c9a2c9f73c09</b:Tag>
    <b:RefOrder>2</b:RefOrder>
    <b:SourceType>JournalArticle</b:SourceType>
    <b:PlacePublished>Mayer IgA Nephropathy Laboratories, Department of Cardiovascular Sciences, University of Leicester, Leicester, UK. ckc15@leicester.ac.uk. John Walls Renal Unit, University Hospitals of Leicester NHS Trust, Leicester, UK. ckc15@leicester.ac.uk. Department of Nephrology, Christian Medical College, Vellore, India. Department of Medicine, Division of Nephrology, University of Toronto, University Health Network, Toronto, ON, Canada. Mayer IgA Nephropathy Laboratories, Department of Cardiovascular Sciences, University of Leicester, Leicester, UK. John Walls Renal Unit, University Hospitals of Leicester NHS Trust, Leicester, UK. Renal Division, Peking University First Hospital, Peking University Institute of Nephrology, Beijing, P. R. China. Mayer IgA Nephropathy Laboratories, Department of Cardiovascular Sciences, University of Leicester, Leicester, UK. jb81@leicester.ac.uk. John Walls Renal Unit, University Hospitals of Leicester NHS Trust, Leicester, UK. jb81@leicester.ac.uk.</b:PlacePublished>
    <b:Pages>9-23</b:Pages>
    <b:Volume>21</b:Volume>
    <b:StandardNumber>1</b:StandardNumber>
    <b:Day>4</b:Day>
    <b:Year>2025</b:Year>
    <b:Month>Jan</b:Month>
    <b:DOI>https://doi.org/10.1038/s41581-024-00885-3</b:DOI>
    <b:Author>
      <b:Author>
        <b:NameList>
          <b:Person>
            <b:First>C. K.</b:First>
            <b:Last>Cheung</b:Last>
          </b:Person>
          <b:Person>
            <b:First>S.</b:First>
            <b:Last>Alexander</b:Last>
          </b:Person>
          <b:Person>
            <b:First>H. N.</b:First>
            <b:Last>Reich</b:Last>
          </b:Person>
          <b:Person>
            <b:First>H.</b:First>
            <b:Last>Selvaskandan</b:Last>
          </b:Person>
          <b:Person>
            <b:First>H.</b:First>
            <b:Last>Zhang</b:Last>
          </b:Person>
          <b:Person>
            <b:First>J.</b:First>
            <b:Last>Barratt</b:Last>
          </b:Person>
        </b:NameList>
      </b:Author>
    </b:Author>
    <b:Title>The pathogenesis of IgA nephropathy and implications for treatment</b:Title>
    <b:JournalName>Nat Rev Nephrol</b:JournalName>
    <b:URL>https://www.ncbi.nlm.nih.gov/pubmed/39232245</b:URL>
  </b:Source>
  <b:Source>
    <b:Tag>9c350896-a64d-4d57-994f-6e3d34d4693a</b:Tag>
    <b:RefOrder>3</b:RefOrder>
    <b:SourceType>JournalArticle</b:SourceType>
    <b:PlacePublished>Istituto di Ricerche Farmacologiche 'Mario Negri' - IRCCS, Centro Anna Maria Astori.</b:PlacePublished>
    <b:Pages>516-523</b:Pages>
    <b:Volume>76</b:Volume>
    <b:StandardNumber>4</b:StandardNumber>
    <b:Year>2013</b:Year>
    <b:DOI>https://doi.org/</b:DOI>
    <b:Author>
      <b:Author>
        <b:NameList>
          <b:Person>
            <b:First>Paolo</b:First>
            <b:Last>Cravedi</b:Last>
          </b:Person>
          <b:Person>
            <b:First>Giuseppe</b:First>
            <b:Last>Remuzzi</b:Last>
          </b:Person>
        </b:NameList>
      </b:Author>
    </b:Author>
    <b:Title>Pathophysiology of proteinuria and its value as an outcome measure in chronic kidney disease</b:Title>
    <b:JournalName>British journal of clinical pharmacology</b:JournalName>
    <b:URL>https://europepmc.org/articles/PMC3791975?pdf=render</b:URL>
  </b:Source>
  <b:Source>
    <b:Tag>8c9550fb-3703-439e-8607-79c78d205f11</b:Tag>
    <b:RefOrder>4</b:RefOrder>
    <b:SourceType>JournalArticle</b:SourceType>
    <b:PlacePublished>Servicio de Nefrologia, Hospital Universitario Dr Peset, Valencia, Spain. jlgorriz@senefro.org</b:PlacePublished>
    <b:Pages>3-13</b:Pages>
    <b:Volume>26</b:Volume>
    <b:StandardNumber>1</b:StandardNumber>
    <b:Year>2012</b:Year>
    <b:Month>Jan</b:Month>
    <b:DOI>https://doi.org/10.1016/j.trre.2011.10.002</b:DOI>
    <b:Author>
      <b:Author>
        <b:NameList>
          <b:Person>
            <b:First>J. L.</b:First>
            <b:Last>Gorriz</b:Last>
          </b:Person>
          <b:Person>
            <b:First>A.</b:First>
            <b:Last>Martinez-Castelao</b:Last>
          </b:Person>
        </b:NameList>
      </b:Author>
    </b:Author>
    <b:Title>Proteinuria: detection and role in native renal disease progression</b:Title>
    <b:JournalName>Transplant Rev (Orlando)</b:JournalName>
    <b:URL>https://www.ncbi.nlm.nih.gov/pubmed/22137726</b:URL>
  </b:Source>
  <b:Source>
    <b:Tag>73162b4d-07b6-4281-82bd-f4fa8dc97a3c</b:Tag>
    <b:RefOrder>5</b:RefOrder>
    <b:SourceType>JournalArticle</b:SourceType>
    <b:PlacePublished>Wolfson Centre for the Prevention of Stroke and Dementia, Nuffield Department of Clinical Neurosciences (D.M.K., P.M.R.). Nuffield Department of Clinical Neurosciences (E.M.K.), University of Oxford, United Kingdom.</b:PlacePublished>
    <b:Pages>1069-1081</b:Pages>
    <b:Volume>56</b:Volume>
    <b:StandardNumber>4</b:StandardNumber>
    <b:Day>24</b:Day>
    <b:Year>2025</b:Year>
    <b:Month>Apr</b:Month>
    <b:DOI>https://doi.org/10.1161/strokeaha.124.047070</b:DOI>
    <b:Author>
      <b:Author>
        <b:NameList>
          <b:Person>
            <b:First>D. M.</b:First>
            <b:Last>Kelly</b:Last>
          </b:Person>
          <b:Person>
            <b:First>E. M.</b:First>
            <b:Last>Kelleher</b:Last>
          </b:Person>
          <b:Person>
            <b:First>P. M.</b:First>
            <b:Last>Rothwell</b:Last>
          </b:Person>
        </b:NameList>
      </b:Author>
    </b:Author>
    <b:Title>The Kidney-Immune-Brain Axis: The Role of Inflammation in the Pathogenesis and Treatment of Stroke in Chronic Kidney Disease</b:Title>
    <b:JournalName>Stroke</b:JournalName>
    <b:URL>https://www.ncbi.nlm.nih.gov/pubmed/39851054</b:URL>
  </b:Source>
  <b:Source>
    <b:Tag>d9fb0759-56bc-4c86-bb93-c0d9f06992f6</b:Tag>
    <b:RefOrder>6</b:RefOrder>
    <b:SourceType>JournalArticle</b:SourceType>
    <b:PlacePublished>Department of Clinical Medicine, University of Bergen, Bergen, Norway. tej009@uib.no. Department of Clinical Medicine, University of Bergen, Bergen, Norway. Department of Medicine, Haukeland University Hospital, Bergen, Norway. Emergency Care Clinic, Haukeland University Hospital, Bergen, Norway.</b:PlacePublished>
    <b:Pages>32</b:Pages>
    <b:Volume>26</b:Volume>
    <b:StandardNumber>1</b:StandardNumber>
    <b:Day>21</b:Day>
    <b:Month>1</b:Month>
    <b:Year>2025</b:Year>
    <b:DOI>https://doi.org/10.1186/s12882-025-03958-y</b:DOI>
    <b:Author>
      <b:Author>
        <b:NameList>
          <b:Person>
            <b:First>M.</b:First>
            <b:Last>Rivedal</b:Last>
          </b:Person>
          <b:Person>
            <b:First>O. P.</b:First>
            <b:Last>Nordbo</b:Last>
          </b:Person>
          <b:Person>
            <b:First>Y. L.</b:First>
            <b:Last>Haaskjold</b:Last>
          </b:Person>
          <b:Person>
            <b:First>R.</b:First>
            <b:Last>Bjorneklett</b:Last>
          </b:Person>
          <b:Person>
            <b:First>T.</b:First>
            <b:Last>Knoop</b:Last>
          </b:Person>
          <b:Person>
            <b:First>O.</b:First>
            <b:Last>Eikrem</b:Last>
          </b:Person>
        </b:NameList>
      </b:Author>
    </b:Author>
    <b:Title>Lifetime progression of IgA nephropathy: a retrospective cohort study with extended long-term follow-up</b:Title>
    <b:JournalName>BMC Nephrol</b:JournalName>
    <b:URL>https://www.ncbi.nlm.nih.gov/pubmed/39833715</b:URL>
  </b:Source>
  <b:Source>
    <b:Tag>797ce9e4-d0b5-41be-8e7f-129d0e94b29b</b:Tag>
    <b:RefOrder>7</b:RefOrder>
    <b:SourceType>JournalArticle</b:SourceType>
    <b:PlacePublished>Department of Medical Epidemiology and Biostatistics, Karolinska Institutet, Stockholm, Sweden. Department of Clinical Epidemiology, Centre for Research in Epidemiology and Population Health, INSERM U1018, Paris-Saclay University, Villejuif, France. Department of Medical Specialist Care, Nephrology Clinic, Danderyd University Hospital, Stockholm, Sweden. Department of Clinical Sciences, Karolinska Institutet, Danderyd Hospital, Stockholm, Sweden. MedTechLabs, BioClinicum, Karolinska University Hospital, Solna, Sweden. University of Milano-Bicocca, Milan, Italy. Department of Nephrology, Karolinska University Hospital, Stockholm, Sweden. Department of Clinical Science, Intervention and Technology, Karolinska Institutet, Stockholm, Sweden. Department of Clinical Sciences, Lund University, Lund, Sweden. Department of Endocrinology, Nephrology and Rheumatology, Skane University Hospital, Lund, Sweden.</b:PlacePublished>
    <b:Pages>465-474</b:Pages>
    <b:Volume>40</b:Volume>
    <b:StandardNumber>3</b:StandardNumber>
    <b:Year>2025</b:Year>
    <b:Day>28</b:Day>
    <b:Month>2</b:Month>
    <b:DOI>https://doi.org/10.1093/ndt/gfae085</b:DOI>
    <b:Author>
      <b:Author>
        <b:NameList>
          <b:Person>
            <b:First>A. L.</b:First>
            <b:Last>Faucon</b:Last>
          </b:Person>
          <b:Person>
            <b:First>S.</b:First>
            <b:Last>Lundberg</b:Last>
          </b:Person>
          <b:Person>
            <b:First>S.</b:First>
            <b:Last>Lando</b:Last>
          </b:Person>
          <b:Person>
            <b:First>J.</b:First>
            <b:Last>Wijkstrom</b:Last>
          </b:Person>
          <b:Person>
            <b:First>M.</b:First>
            <b:Last>Segelmark</b:Last>
          </b:Person>
          <b:Person>
            <b:First>M.</b:First>
            <b:Last>Evans</b:Last>
          </b:Person>
          <b:Person>
            <b:First>J. J.</b:First>
            <b:Last>Carrero</b:Last>
          </b:Person>
        </b:NameList>
      </b:Author>
    </b:Author>
    <b:Title>Albuminuria predicts kidney events in IgA nephropathy</b:Title>
    <b:JournalName>Nephrol Dial Transplant</b:JournalName>
    <b:URL>https://www.ncbi.nlm.nih.gov/pubmed/38688876</b:URL>
  </b:Source>
  <b:Source>
    <b:Tag>01a0870f-28cd-4c48-9357-84e9925e8754</b:Tag>
    <b:RefOrder>8</b:RefOrder>
    <b:SourceType>JournalArticle</b:SourceType>
    <b:PlacePublished>Department of Nephrology and Hypertension, Kaiser Permanente Los Angeles Medical Center, Los Angeles, CA, USA. Department of Research &amp; Evaluation, Kaiser Permanente Southern California, Pasadena, CA, USA. Department of Clinical Science, Kaiser Permanente Bernard J. Tyson School of Medicine, Pasadena, CA, USA. Otsuka Pharmaceutical Development and Commercialization, Inc., Princeton, NJ, USA. Department of Internal Medicine, Kaiser Permanente Downey Medical Center, Downey, CA, USA. Visterra, Inc., Waltham, MA, USA.</b:PlacePublished>
    <b:Pages>2104-2117</b:Pages>
    <b:Volume>40</b:Volume>
    <b:StandardNumber>11</b:StandardNumber>
    <b:Year>2025</b:Year>
    <b:Day>30</b:Day>
    <b:Month>10</b:Month>
    <b:DOI>https://doi.org/10.1093/ndt/gfaf084</b:DOI>
    <b:Author>
      <b:Author>
        <b:NameList>
          <b:Person>
            <b:First>J. J.</b:First>
            <b:Last>Sim</b:Last>
          </b:Person>
          <b:Person>
            <b:First>Q.</b:First>
            <b:Last>Chen</b:Last>
          </b:Person>
          <b:Person>
            <b:First>N.</b:First>
            <b:Last>Cannizzaro</b:Last>
          </b:Person>
          <b:Person>
            <b:First>A. W.</b:First>
            <b:Last>Fernandes</b:Last>
          </b:Person>
          <b:Person>
            <b:First>C.</b:First>
            <b:Last>Pinto</b:Last>
          </b:Person>
          <b:Person>
            <b:First>S. K.</b:First>
            <b:Last>Bhandari</b:Last>
          </b:Person>
          <b:Person>
            <b:First>J.</b:First>
            <b:Last>Chang</b:Last>
          </b:Person>
          <b:Person>
            <b:First>A. D.</b:First>
            <b:Last>Schachter</b:Last>
          </b:Person>
          <b:Person>
            <b:First>M.</b:First>
            <b:Last>Mathur</b:Last>
          </b:Person>
        </b:NameList>
      </b:Author>
    </b:Author>
    <b:Title>CKD progression, kidney failure, and mortality among US patients with IgA nephropathy</b:Title>
    <b:JournalName>Nephrol Dial Transplant</b:JournalName>
    <b:URL>https://www.ncbi.nlm.nih.gov/pubmed/40307873</b:URL>
  </b:Source>
  <b:Source>
    <b:Tag>75ccc4b8-7901-40e2-a68f-d8e903e8ed83</b:Tag>
    <b:RefOrder>9</b:RefOrder>
    <b:SourceType>JournalArticle</b:SourceType>
    <b:PlacePublished>Research Institute of Nephrology, Jinling Hospital, Nanjing University School of Medicine, Nanjing, China.</b:PlacePublished>
    <b:Pages>1479-85</b:Pages>
    <b:Volume>27</b:Volume>
    <b:StandardNumber>4</b:StandardNumber>
    <b:Day>29</b:Day>
    <b:Year>2012</b:Year>
    <b:Month>Apr</b:Month>
    <b:DOI>https://doi.org/10.1093/ndt/gfr527</b:DOI>
    <b:Author>
      <b:Author>
        <b:NameList>
          <b:Person>
            <b:First>W.</b:First>
            <b:Last>Le</b:Last>
          </b:Person>
          <b:Person>
            <b:First>S.</b:First>
            <b:Last>Liang</b:Last>
          </b:Person>
          <b:Person>
            <b:First>Y.</b:First>
            <b:Last>Hu</b:Last>
          </b:Person>
          <b:Person>
            <b:First>K.</b:First>
            <b:Last>Deng</b:Last>
          </b:Person>
          <b:Person>
            <b:First>H.</b:First>
            <b:Last>Bao</b:Last>
          </b:Person>
          <b:Person>
            <b:First>C.</b:First>
            <b:Last>Zeng</b:Last>
          </b:Person>
          <b:Person>
            <b:First>Z.</b:First>
            <b:Last>Liu</b:Last>
          </b:Person>
        </b:NameList>
      </b:Author>
    </b:Author>
    <b:Title>Long-term renal survival and related risk factors in patients with IgA nephropathy: results from a cohort of 1155 cases in a Chinese adult population</b:Title>
    <b:JournalName>Nephrol Dial Transplant</b:JournalName>
    <b:URL>https://www.ncbi.nlm.nih.gov/pubmed/21965586</b:URL>
  </b:Source>
  <b:Source>
    <b:Tag>f6f6ba35-c368-473e-a143-b07429787d1a</b:Tag>
    <b:RefOrder>10</b:RefOrder>
    <b:SourceType>JournalArticle</b:SourceType>
    <b:PlacePublished>Renal Division, Department of Medicine, Peking University First Hospital, Beijing, China. Institute of Nephrology, Peking University, Beijing, China. Key Laboratory of Renal Disease, Ministry of Health of China, Beijing, China. Key Laboratory of Chronic Kidney Disease Prevention and Treatment (Peking University), Ministry of Education, Beijing, China. The second people's hospital of Shanxi province, Shanxi, China.</b:PlacePublished>
    <b:Pages>1137-1146</b:Pages>
    <b:Volume>40</b:Volume>
    <b:StandardNumber>6</b:StandardNumber>
    <b:Year>2025</b:Year>
    <b:Day>30</b:Day>
    <b:Month>5</b:Month>
    <b:DOI>https://doi.org/10.1093/ndt/gfae252</b:DOI>
    <b:Author>
      <b:Author>
        <b:NameList>
          <b:Person>
            <b:First>X.</b:First>
            <b:Last>Shen</b:Last>
          </b:Person>
          <b:Person>
            <b:First>P.</b:First>
            <b:Last>Chen</b:Last>
          </b:Person>
          <b:Person>
            <b:First>M.</b:First>
            <b:Last>Liu</b:Last>
          </b:Person>
          <b:Person>
            <b:First>L.</b:First>
            <b:Last>Liu</b:Last>
          </b:Person>
          <b:Person>
            <b:First>S.</b:First>
            <b:Last>Shi</b:Last>
          </b:Person>
          <b:Person>
            <b:First>X.</b:First>
            <b:Last>Zhou</b:Last>
          </b:Person>
          <b:Person>
            <b:First>J.</b:First>
            <b:Last>Lv</b:Last>
          </b:Person>
          <b:Person>
            <b:First>H.</b:First>
            <b:Last>Zhang</b:Last>
          </b:Person>
        </b:NameList>
      </b:Author>
    </b:Author>
    <b:Title>Long-term outcomes of IgA nephropathy in China</b:Title>
    <b:JournalName>Nephrol Dial Transplant</b:JournalName>
    <b:URL>https://www.ncbi.nlm.nih.gov/pubmed/39557651</b:URL>
  </b:Source>
  <b:Source>
    <b:Tag>f930e33f-e705-4fb9-830e-5dfdfb1b4bcc</b:Tag>
    <b:RefOrder>11</b:RefOrder>
    <b:SourceType>JournalArticle</b:SourceType>
    <b:PlacePublished>Vertex Pharmaceuticals Incorporated, Boston, MA, United States. Maple Health Group, LLC, New York, NY, United States.</b:PlacePublished>
    <b:Pages>1722582</b:Pages>
    <b:Volume>5</b:Volume>
    <b:Day>7</b:Day>
    <b:Month>1</b:Month>
    <b:Year>2026</b:Year>
    <b:DOI>https://doi.org/10.3389/fneph.2025.1722582</b:DOI>
    <b:Author>
      <b:Author>
        <b:NameList>
          <b:Person>
            <b:First>A.</b:First>
            <b:Last>Shah</b:Last>
          </b:Person>
          <b:Person>
            <b:First>M.</b:First>
            <b:Last>Maski</b:Last>
          </b:Person>
          <b:Person>
            <b:First>O.</b:First>
            <b:Last>Egbuna</b:Last>
          </b:Person>
          <b:Person>
            <b:First>W.</b:First>
            <b:Last>Longstaff</b:Last>
          </b:Person>
          <b:Person>
            <b:First>J.</b:First>
            <b:Last>Stricker-Shaver</b:Last>
          </b:Person>
          <b:Person>
            <b:First>B.</b:First>
            <b:Last>Barber</b:Last>
          </b:Person>
        </b:NameList>
      </b:Author>
    </b:Author>
    <b:Title>Lower proteinuria is better for patients with IgA nephropathy: a systematic review</b:Title>
    <b:JournalName>Front Nephrol</b:JournalName>
    <b:URL>https://www.ncbi.nlm.nih.gov/pubmed/41573529</b:URL>
  </b:Source>
  <b:Source>
    <b:Tag>f7430fbe-5030-4ac6-9552-5a3312e914fe</b:Tag>
    <b:RefOrder>12</b:RefOrder>
    <b:SourceType>JournalArticle</b:SourceType>
    <b:PlacePublished>Division of Nephrology and Hypertension, Department of Internal Medicine, The Jikei University School of Medicine, Tokyo, Japan. Department of Nephrology, Nara Medical University, Nara, Japan. Renal and Metabolic Division, The George Institute for Global Health, University of New South Wales, Sydney, New South Wales, Australia. Department of Nephrology, Prince of Wales Hospital, Randwick, New South Wales, Australia.</b:PlacePublished>
    <b:Pages>615-625</b:Pages>
    <b:Volume>21</b:Volume>
    <b:StandardNumber>4</b:StandardNumber>
    <b:Day>12</b:Day>
    <b:Year>2026</b:Year>
    <b:Month>Apr 1</b:Month>
    <b:DOI>https://doi.org/10.2215/cjn.0000000952</b:DOI>
    <b:Author>
      <b:Author>
        <b:NameList>
          <b:Person>
            <b:First>Y.</b:First>
            <b:Last>Yamaguchi</b:Last>
          </b:Person>
          <b:Person>
            <b:First>T.</b:First>
            <b:Last>Kosugi</b:Last>
          </b:Person>
          <b:Person>
            <b:First>T.</b:First>
            <b:Last>Sasaki</b:Last>
          </b:Person>
          <b:Person>
            <b:First>K.</b:First>
            <b:Last>Haruhara</b:Last>
          </b:Person>
          <b:Person>
            <b:First>Y.</b:First>
            <b:Last>Okabayashi</b:Last>
          </b:Person>
          <b:Person>
            <b:First>M.</b:First>
            <b:Last>Okabe</b:Last>
          </b:Person>
          <b:Person>
            <b:First>A.</b:First>
            <b:Last>Shimizu</b:Last>
          </b:Person>
          <b:Person>
            <b:First>S.</b:First>
            <b:Last>Yokote</b:Last>
          </b:Person>
          <b:Person>
            <b:First>S.</b:First>
            <b:Last>Kotwal</b:Last>
          </b:Person>
          <b:Person>
            <b:First>M.</b:First>
            <b:Last>Jun</b:Last>
          </b:Person>
          <b:Person>
            <b:First>B. L.</b:First>
            <b:Last>Neuen</b:Last>
          </b:Person>
          <b:Person>
            <b:First>K.</b:First>
            <b:Last>Tsuruya</b:Last>
          </b:Person>
          <b:Person>
            <b:First>H.</b:First>
            <b:Last>Ueda</b:Last>
          </b:Person>
          <b:Person>
            <b:First>N.</b:First>
            <b:Last>Tsuboi</b:Last>
          </b:Person>
          <b:Person>
            <b:First>T.</b:First>
            <b:Last>Yokoo</b:Last>
          </b:Person>
        </b:NameList>
      </b:Author>
    </b:Author>
    <b:Title>The Association between Low-Grade Proteinuria and Adverse Kidney Outcomes in IgA Nephropathy: A Systematic Review and Meta-Analysis</b:Title>
    <b:JournalName>Clin J Am Soc Nephrol</b:JournalName>
    <b:URL>https://www.ncbi.nlm.nih.gov/pubmed/41385286</b:URL>
  </b:Source>
  <b:Source>
    <b:Tag>16203e75-e9a3-44b8-951a-d6ccda6c0171</b:Tag>
    <b:RefOrder>13</b:RefOrder>
    <b:SourceType>JournalArticle</b:SourceType>
    <b:Pages>290-296</b:Pages>
    <b:Volume>94</b:Volume>
    <b:StandardNumber>6</b:StandardNumber>
    <b:Year>2020</b:Year>
    <b:Month>Dec</b:Month>
    <b:DOI>https://doi.org/10.5414/cn110192</b:DOI>
    <b:Author>
      <b:Author>
        <b:NameList>
          <b:Person>
            <b:First>Z.</b:First>
            <b:Last>Ai</b:Last>
          </b:Person>
          <b:Person>
            <b:First>Q.</b:First>
            <b:Last>Zhou</b:Last>
          </b:Person>
          <b:Person>
            <b:First>F.</b:First>
            <b:Last>Huang</b:Last>
          </b:Person>
          <b:Person>
            <b:First>Q.</b:First>
            <b:Last>Yang</b:Last>
          </b:Person>
          <b:Person>
            <b:First>X.</b:First>
            <b:Last>Yu</b:Last>
          </b:Person>
        </b:NameList>
      </b:Author>
    </b:Author>
    <b:Title>Long-term renal outcomes of IgA nephropathy presenting with different levels of proteinuria</b:Title>
    <b:JournalName>Clin Nephrol</b:JournalName>
    <b:URL>https://www.ncbi.nlm.nih.gov/pubmed/32990213</b:URL>
  </b:Source>
  <b:Source>
    <b:Tag>af50da84-14e8-4ca4-90aa-504d3a76b59a</b:Tag>
    <b:RefOrder>14</b:RefOrder>
    <b:SourceType>JournalArticle</b:SourceType>
    <b:PlacePublished>Renal Division, Peking University First Hospital, Peking University Institute of Nephrology, Key Laboratory of Renal Disease, Ministry of Health of China, Key Laboratory of Chronic Kidney Disease Prevention and Treatment (Peking University), Ministry of Education, and Research Units of Diagnosis and Treatment of Immune-Mediated Kidney Diseases, Chinese Academy of Medical Sciences, Beijing, People's Republic of China. Renal Division, Peking University First Hospital, Peking University Institute of Nephrology, Key Laboratory of Renal Disease, Ministry of Health of China, Key Laboratory of Chronic Kidney Disease Prevention and Treatment (Peking University), Ministry of Education, and Research Units of Diagnosis and Treatment of Immune-Mediated Kidney Diseases, Chinese Academy of Medical Sciences, Beijing, People's Republic of China. Electronic address: lijun.liu@aliyun.com.</b:PlacePublished>
    <b:Pages>170-178 e1</b:Pages>
    <b:Volume>84</b:Volume>
    <b:StandardNumber>2</b:StandardNumber>
    <b:Day>15</b:Day>
    <b:Year>2024</b:Year>
    <b:Month>Aug</b:Month>
    <b:DOI>https://doi.org/10.1053/j.ajkd.2023.12.016</b:DOI>
    <b:Author>
      <b:Author>
        <b:NameList>
          <b:Person>
            <b:First>C.</b:First>
            <b:Last>Tang</b:Last>
          </b:Person>
          <b:Person>
            <b:First>P.</b:First>
            <b:Last>Chen</b:Last>
          </b:Person>
          <b:Person>
            <b:First>F. L.</b:First>
            <b:Last>Si</b:Last>
          </b:Person>
          <b:Person>
            <b:First>J. C.</b:First>
            <b:Last>Lv</b:Last>
          </b:Person>
          <b:Person>
            <b:First>S. F.</b:First>
            <b:Last>Shi</b:Last>
          </b:Person>
          <b:Person>
            <b:First>X. J.</b:First>
            <b:Last>Zhou</b:Last>
          </b:Person>
          <b:Person>
            <b:First>L. J.</b:First>
            <b:Last>Liu</b:Last>
          </b:Person>
          <b:Person>
            <b:First>H.</b:First>
            <b:Last>Zhang</b:Last>
          </b:Person>
        </b:NameList>
      </b:Author>
    </b:Author>
    <b:Title>Time-Varying Proteinuria and Progression of IgA Nephropathy: A Cohort Study</b:Title>
    <b:JournalName>Am J Kidney Dis</b:JournalName>
    <b:URL>https://www.ncbi.nlm.nih.gov/pubmed/38364955</b:URL>
  </b:Source>
  <b:Source>
    <b:Tag>6e48888f-8ac2-421c-8ca8-bffe4cbdfd2f</b:Tag>
    <b:RefOrder>15</b:RefOrder>
    <b:SourceType>JournalArticle</b:SourceType>
    <b:PlacePublished>Division of Nephrology, University of British Columbia, Vancouver, British Columbia, Canada; BC Renal, Vancouver, British Columbia, Canada. Electronic address: sean.barbour@vch.ca. Fondazione Ricerca Molinette, Regina Margherita Hospital, Turin, Italy. Peking University Institute of Nephrology, Beijing, China. Nanjing University School of Medicine, Nanjing, China. Faculty of Medicine, Juntendo University, Tokyo, Japan. BC Renal, Vancouver, British Columbia, Canada. Division of Nephrology, University of Toronto, Toronto, Ontario, Canada. Department of Cardiovascular Sciences, University of Leicester, Leicester, UK. Division of Nephrology, University of Toronto, Toronto, Ontario, Canada. Electronic address: daniel.cattran@uhn.ca.</b:PlacePublished>
    <b:Pages>160-172</b:Pages>
    <b:Volume>102</b:Volume>
    <b:StandardNumber>1</b:StandardNumber>
    <b:Day>2</b:Day>
    <b:Year>2022</b:Year>
    <b:Month>Jul</b:Month>
    <b:DOI>10.1016/j.kint.2022.02.042</b:DOI>
    <b:Author>
      <b:Author>
        <b:NameList>
          <b:Person>
            <b:First>S. J.</b:First>
            <b:Last>Barbour</b:Last>
          </b:Person>
          <b:Person>
            <b:First>R.</b:First>
            <b:Last>Coppo</b:Last>
          </b:Person>
          <b:Person>
            <b:First>H.</b:First>
            <b:Last>Zhang</b:Last>
          </b:Person>
          <b:Person>
            <b:First>Z. H.</b:First>
            <b:Last>Liu</b:Last>
          </b:Person>
          <b:Person>
            <b:First>Y.</b:First>
            <b:Last>Suzuki</b:Last>
          </b:Person>
          <b:Person>
            <b:First>K.</b:First>
            <b:Last>Matsuzaki</b:Last>
          </b:Person>
          <b:Person>
            <b:First>L.</b:First>
            <b:Last>Er</b:Last>
          </b:Person>
          <b:Person>
            <b:First>H. N.</b:First>
            <b:Last>Reich</b:Last>
          </b:Person>
          <b:Person>
            <b:First>J.</b:First>
            <b:Last>Barratt</b:Last>
          </b:Person>
          <b:Person>
            <b:First>D. C.</b:First>
            <b:Last>Cattran</b:Last>
          </b:Person>
        </b:NameList>
      </b:Author>
    </b:Author>
    <b:Title>Application of the International IgA Nephropathy Prediction Tool one or two years post-biopsy</b:Title>
    <b:JournalName>Kidney Int</b:JournalName>
  </b:Source>
  <b:Source>
    <b:Tag>a1ae3c59-6bc9-4209-8000-b9ff58d9d558</b:Tag>
    <b:RefOrder>16</b:RefOrder>
    <b:SourceType>JournalArticle</b:SourceType>
    <b:PlacePublished>Division of Nephrology, University of British Columbia, Vancouver, British Columbia, Canada. BC Renal, Vancouver, British Columbia, Canada. Regina Margherita Children's University Hospital, Torino, Italy. Peking University Institute of Nephrology, Beijing, China. Nanjing University School of Medicine, Nanjing, China. Faculty of Medicine, Juntendo University, Tokyo, Japan. National Fukuoka Higashi Medical Center, Fukuoka, Japan. Division of Nephrology, University of Toronto, Toronto, Ontario, Canada. The John Walls Renal Unit, Leicester General Hospital, Leicester, England.</b:PlacePublished>
    <b:Pages>942-952</b:Pages>
    <b:Volume>179</b:Volume>
    <b:StandardNumber>7</b:StandardNumber>
    <b:Year>2019</b:Year>
    <b:Month>Jul 1</b:Month>
    <b:DOI>https://doi.org/10.1001/jamainternmed.2019.0600</b:DOI>
    <b:Author>
      <b:Author>
        <b:NameList>
          <b:Person>
            <b:First>S. J.</b:First>
            <b:Last>Barbour</b:Last>
          </b:Person>
          <b:Person>
            <b:First>R.</b:First>
            <b:Last>Coppo</b:Last>
          </b:Person>
          <b:Person>
            <b:First>H.</b:First>
            <b:Last>Zhang</b:Last>
          </b:Person>
          <b:Person>
            <b:First>Z. H.</b:First>
            <b:Last>Liu</b:Last>
          </b:Person>
          <b:Person>
            <b:First>Y.</b:First>
            <b:Last>Suzuki</b:Last>
          </b:Person>
          <b:Person>
            <b:First>K.</b:First>
            <b:Last>Matsuzaki</b:Last>
          </b:Person>
          <b:Person>
            <b:First>R.</b:First>
            <b:Last>Katafuchi</b:Last>
          </b:Person>
          <b:Person>
            <b:First>L.</b:First>
            <b:Last>Er</b:Last>
          </b:Person>
          <b:Person>
            <b:First>G.</b:First>
            <b:Last>Espino-Hernandez</b:Last>
          </b:Person>
          <b:Person>
            <b:First>S. J.</b:First>
            <b:Last>Kim</b:Last>
          </b:Person>
          <b:Person>
            <b:First>H. N.</b:First>
            <b:Last>Reich</b:Last>
          </b:Person>
          <b:Person>
            <b:First>J.</b:First>
            <b:Last>Feehally</b:Last>
          </b:Person>
          <b:Person>
            <b:First>D. C.</b:First>
            <b:Last>Cattran</b:Last>
          </b:Person>
          <b:Person>
            <b:First>A. Nephropathy Network</b:First>
            <b:Last>International Ig</b:Last>
          </b:Person>
        </b:NameList>
      </b:Author>
    </b:Author>
    <b:Title>Evaluating a New International Risk-Prediction Tool in IgA Nephropathy</b:Title>
    <b:JournalName>JAMA Intern Med</b:JournalName>
    <b:URL>https://www.ncbi.nlm.nih.gov/pubmed/30980653</b:URL>
  </b:Source>
  <b:Source>
    <b:Tag>86fe53b3-0342-4f6c-b5a0-be13be2c022d</b:Tag>
    <b:RefOrder>17</b:RefOrder>
    <b:SourceType>JournalArticle</b:SourceType>
    <b:Pages>1841-1850</b:Pages>
    <b:Volume>32</b:Volume>
    <b:StandardNumber>11</b:StandardNumber>
    <b:Year>2017</b:Year>
    <b:Author>
      <b:Author>
        <b:NameList>
          <b:Person>
            <b:First>Thomas</b:First>
            <b:Last>Knoop</b:Last>
          </b:Person>
          <b:Person>
            <b:First>Bjørn Egil</b:First>
            <b:Last>Vikse</b:Last>
          </b:Person>
          <b:Person>
            <b:First>Angela</b:First>
            <b:Last>Mwakimonga</b:Last>
          </b:Person>
          <b:Person>
            <b:First>Sabine</b:First>
            <b:Last>Leh</b:Last>
          </b:Person>
          <b:Person>
            <b:First>Rune</b:First>
            <b:Last>Bjørneklett</b:Last>
          </b:Person>
        </b:NameList>
      </b:Author>
    </b:Author>
    <b:Title>Long-term outcome in 145 patients with assumed benign immunoglobulin A nephropathy</b:Title>
    <b:JournalName>Nephrology Dialysis Transplantation</b:JournalName>
  </b:Source>
  <b:Source>
    <b:Tag>aba4dd17-b5c7-425d-a082-62c383fd2dda</b:Tag>
    <b:RefOrder>18</b:RefOrder>
    <b:SourceType>JournalArticle</b:SourceType>
    <b:PlacePublished>Department of Nephrology, Christian Medical College, Vellore, India. Department of Biostatistics, Christian Medical College, Vellore, India. Department of General Pathology, Christian Medical College, Vellore, India. University Medical Center Groningen, Groningen, The Netherlands. College of Medicine Biological Sciences and Psychology, University of Leicester, Leicester, UK. Present Affiliation: Department of Renal Medicine, Royal Brisbane and Women's Hospital, Queensland, Australia.</b:PlacePublished>
    <b:Pages>305-318</b:Pages>
    <b:Volume>7</b:Volume>
    <b:StandardNumber>2</b:StandardNumber>
    <b:Day>15</b:Day>
    <b:Year>2022</b:Year>
    <b:Month>Feb</b:Month>
    <b:DOI>10.1016/j.ekir.2021.11.012</b:DOI>
    <b:Author>
      <b:Author>
        <b:NameList>
          <b:Person>
            <b:First>S.</b:First>
            <b:Last>Alexander</b:Last>
          </b:Person>
          <b:Person>
            <b:First>S.</b:First>
            <b:Last>Varughese</b:Last>
          </b:Person>
          <b:Person>
            <b:First>R.</b:First>
            <b:Last>Franklin</b:Last>
          </b:Person>
          <b:Person>
            <b:First>G.</b:First>
            <b:Last>Rebekah</b:Last>
          </b:Person>
          <b:Person>
            <b:First>S.</b:First>
            <b:Last>Roy</b:Last>
          </b:Person>
          <b:Person>
            <b:First>S.</b:First>
            <b:Last>Yusuf</b:Last>
          </b:Person>
          <b:Person>
            <b:First>A.</b:First>
            <b:Last>Thomas</b:Last>
          </b:Person>
          <b:Person>
            <b:First>J. J.</b:First>
            <b:Last>Eapen</b:Last>
          </b:Person>
          <b:Person>
            <b:First>E. E.</b:First>
            <b:Last>John</b:Last>
          </b:Person>
          <b:Person>
            <b:First>A. T.</b:First>
            <b:Last>Valson</b:Last>
          </b:Person>
          <b:Person>
            <b:First>V. G.</b:First>
            <b:Last>David</b:Last>
          </b:Person>
          <b:Person>
            <b:First>M. R.</b:First>
            <b:Last>Daha</b:Last>
          </b:Person>
          <b:Person>
            <b:First>J.</b:First>
            <b:Last>Feehally</b:Last>
          </b:Person>
          <b:Person>
            <b:First>J.</b:First>
            <b:Last>Barratt</b:Last>
          </b:Person>
          <b:Person>
            <b:First>G. T.</b:First>
            <b:Last>John</b:Last>
          </b:Person>
        </b:NameList>
      </b:Author>
    </b:Author>
    <b:Title>Three-Year Clinical Outcomes of the First South Asian Prospective Longitudinal Observational IgA Nephropathy Cohort</b:Title>
    <b:JournalName>Kidney Int Rep</b:JournalName>
  </b:Source>
  <b:Source>
    <b:Tag>a79232a8-d807-41d8-b94e-dd8df1bbde9a</b:Tag>
    <b:RefOrder>19</b:RefOrder>
    <b:SourceType>JournalArticle</b:SourceType>
    <b:PlacePublished>1] Division of Nephrology, Department of Medicine, University of British Columbia, Vancouver, British Columbia, Canada [2] British Columbia Provincial Renal Agency, Vancouver, British Columbia, Canada [3] Toronto Glomerulonephritis Registry, University Health Network, Toronto, Ontario, Canada.</b:PlacePublished>
    <b:Pages>1017-24</b:Pages>
    <b:Volume>84</b:Volume>
    <b:StandardNumber>5</b:StandardNumber>
    <b:Day>7</b:Day>
    <b:Year>2013</b:Year>
    <b:Month>Nov</b:Month>
    <b:DOI>10.1038/ki.2013.210</b:DOI>
    <b:Author>
      <b:Author>
        <b:NameList>
          <b:Person>
            <b:First>S. J.</b:First>
            <b:Last>Barbour</b:Last>
          </b:Person>
          <b:Person>
            <b:First>D. C.</b:First>
            <b:Last>Cattran</b:Last>
          </b:Person>
          <b:Person>
            <b:First>S. J.</b:First>
            <b:Last>Kim</b:Last>
          </b:Person>
          <b:Person>
            <b:First>A.</b:First>
            <b:Last>Levin</b:Last>
          </b:Person>
          <b:Person>
            <b:First>R.</b:First>
            <b:Last>Wald</b:Last>
          </b:Person>
          <b:Person>
            <b:First>M. A.</b:First>
            <b:Last>Hladunewich</b:Last>
          </b:Person>
          <b:Person>
            <b:First>H. N.</b:First>
            <b:Last>Reich</b:Last>
          </b:Person>
        </b:NameList>
      </b:Author>
    </b:Author>
    <b:Title>Individuals of Pacific Asian origin with IgA nephropathy have an increased risk of progression to end-stage renal disease</b:Title>
    <b:JournalName>Kidney Int</b:JournalName>
  </b:Source>
  <b:Source>
    <b:Tag>43957b6f-6264-44a7-ab50-6c43785b3f5c</b:Tag>
    <b:RefOrder>20</b:RefOrder>
    <b:SourceType>JournalArticle</b:SourceType>
    <b:Pages>318-328</b:Pages>
    <b:Volume>43</b:Volume>
    <b:StandardNumber>2</b:StandardNumber>
    <b:Day>13</b:Day>
    <b:Month>3</b:Month>
    <b:Year>2018</b:Year>
    <b:DOI>10.1159/000487901</b:DOI>
    <b:Author>
      <b:Author>
        <b:NameList>
          <b:Person>
            <b:First>D.</b:First>
            <b:Last>Chen</b:Last>
          </b:Person>
          <b:Person>
            <b:First>J.</b:First>
            <b:Last>Liu</b:Last>
          </b:Person>
          <b:Person>
            <b:First>S.</b:First>
            <b:Last>Duan</b:Last>
          </b:Person>
          <b:Person>
            <b:First>P.</b:First>
            <b:Last>Chen</b:Last>
          </b:Person>
          <b:Person>
            <b:First>L.</b:First>
            <b:Last>Tang</b:Last>
          </b:Person>
          <b:Person>
            <b:First>L.</b:First>
            <b:Last>Zhang</b:Last>
          </b:Person>
          <b:Person>
            <b:First>Z.</b:First>
            <b:Last>Feng</b:Last>
          </b:Person>
          <b:Person>
            <b:First>G.</b:First>
            <b:Last>Cai</b:Last>
          </b:Person>
          <b:Person>
            <b:First>J.</b:First>
            <b:Last>Wu</b:Last>
          </b:Person>
          <b:Person>
            <b:First>X.</b:First>
            <b:Last>Chen</b:Last>
          </b:Person>
        </b:NameList>
      </b:Author>
    </b:Author>
    <b:Title>Clinicopathological Features to Predict Progression of IgA Nephropathy with Mild Proteinuria</b:Title>
    <b:JournalName>Kidney Blood Press Res</b:JournalName>
  </b:Source>
  <b:Source>
    <b:Tag>b97d7f2c-77e0-4ef7-a473-c6372fd1f9b4</b:Tag>
    <b:RefOrder>21</b:RefOrder>
    <b:SourceType>JournalArticle</b:SourceType>
    <b:PlacePublished>Division of Kidney and Hypertension, Department of Internal Medicine, Jikei University School of Medicine, 3-25-8 Nishi-Shinbashi, Minato-Ku, Tokyo, 105-8461, Japan.</b:PlacePublished>
    <b:Pages>555-62</b:Pages>
    <b:Volume>17</b:Volume>
    <b:StandardNumber>4</b:StandardNumber>
    <b:Day>12</b:Day>
    <b:Year>2013</b:Year>
    <b:Month>Aug</b:Month>
    <b:DOI>10.1007/s10157-012-0744-x</b:DOI>
    <b:Author>
      <b:Author>
        <b:NameList>
          <b:Person>
            <b:First>K.</b:First>
            <b:Last>Hirano</b:Last>
          </b:Person>
          <b:Person>
            <b:First>T.</b:First>
            <b:Last>Kawamura</b:Last>
          </b:Person>
          <b:Person>
            <b:First>N.</b:First>
            <b:Last>Tsuboi</b:Last>
          </b:Person>
          <b:Person>
            <b:First>H.</b:First>
            <b:Last>Okonogi</b:Last>
          </b:Person>
          <b:Person>
            <b:First>Y.</b:First>
            <b:Last>Miyazaki</b:Last>
          </b:Person>
          <b:Person>
            <b:First>M.</b:First>
            <b:Last>Ikeda</b:Last>
          </b:Person>
          <b:Person>
            <b:First>M.</b:First>
            <b:Last>Matsushima</b:Last>
          </b:Person>
          <b:Person>
            <b:First>K.</b:First>
            <b:Last>Hanaoka</b:Last>
          </b:Person>
          <b:Person>
            <b:First>M.</b:First>
            <b:Last>Ogura</b:Last>
          </b:Person>
          <b:Person>
            <b:First>Y.</b:First>
            <b:Last>Utsunomiya</b:Last>
          </b:Person>
          <b:Person>
            <b:First>T.</b:First>
            <b:Last>Hosoya</b:Last>
          </b:Person>
        </b:NameList>
      </b:Author>
    </b:Author>
    <b:Title>The predictive value of attenuated proteinuria at 1 year after steroid therapy for renal survival in patients with IgA nephropathy</b:Title>
    <b:JournalName>Clin Exp Nephrol</b:JournalName>
  </b:Source>
  <b:Source>
    <b:Tag>f44084cc-bb0b-4cd5-871d-1080987fff2e</b:Tag>
    <b:RefOrder>22</b:RefOrder>
    <b:SourceType>JournalArticle</b:SourceType>
    <b:PlacePublished>Department of Nephrology and Dialysis, E. Bassini Hospital, Cinisello Balsamo, Milan, Italy. Biometry and Clinical Epidemiology Unit, Policlinico San Matteo, Pavia, Italy. Department of Nephrology and Dialysis, G. Brotzu Hospital, Cagliari, Italy. Department of Nephrology, Dialysis and Renal Transplant A. Manzoni Hospital, Lecco, Italy.</b:PlacePublished>
    <b:Pages>e0158584</b:Pages>
    <b:Volume>11</b:Volume>
    <b:StandardNumber>7</b:StandardNumber>
    <b:Day>16</b:Day>
    <b:Month>7</b:Month>
    <b:Year>2016</b:Year>
    <b:DOI>10.1371/journal.pone.0158584</b:DOI>
    <b:Author>
      <b:Author>
        <b:NameList>
          <b:Person>
            <b:First>C.</b:First>
            <b:Last>Sarcina</b:Last>
          </b:Person>
          <b:Person>
            <b:First>C.</b:First>
            <b:Last>Tinelli</b:Last>
          </b:Person>
          <b:Person>
            <b:First>F.</b:First>
            <b:Last>Ferrario</b:Last>
          </b:Person>
          <b:Person>
            <b:First>B.</b:First>
            <b:Last>Visciano</b:Last>
          </b:Person>
          <b:Person>
            <b:First>A.</b:First>
            <b:Last>Pani</b:Last>
          </b:Person>
          <b:Person>
            <b:First>A.</b:First>
            <b:Last>De Silvestri</b:Last>
          </b:Person>
          <b:Person>
            <b:First>I.</b:First>
            <b:Last>De Simone</b:Last>
          </b:Person>
          <b:Person>
            <b:First>L.</b:First>
            <b:Last>Del Vecchio</b:Last>
          </b:Person>
          <b:Person>
            <b:First>V.</b:First>
            <b:Last>Terraneo</b:Last>
          </b:Person>
          <b:Person>
            <b:First>S.</b:First>
            <b:Last>Furiani</b:Last>
          </b:Person>
          <b:Person>
            <b:First>G.</b:First>
            <b:Last>Santagostino</b:Last>
          </b:Person>
          <b:Person>
            <b:First>E.</b:First>
            <b:Last>Corghi</b:Last>
          </b:Person>
          <b:Person>
            <b:First>C.</b:First>
            <b:Last>Pozzi</b:Last>
          </b:Person>
        </b:NameList>
      </b:Author>
    </b:Author>
    <b:Title>Corticosteroid Treatment Influences TA-Proteinuria and Renal Survival in IgA Nephropathy</b:Title>
    <b:JournalName>PLoS One</b:JournalName>
  </b:Source>
  <b:Source>
    <b:Tag>e8cce231-d4a9-4959-9be5-f50e70a58c6d</b:Tag>
    <b:RefOrder>23</b:RefOrder>
    <b:SourceType>JournalArticle</b:SourceType>
    <b:PlacePublished>Division of Nephrology and Clinical Immunology, RWTH Aachen University Hospital, Aachen, Germany. Department of Nephrology, School of Medicine, University of Ioannina, Ioannina, Greece. Department of Medical Biometry, Informatics and Epidemiology, Faculty of Medicine, University Hospital Bonn, Bonn, Germany. Travere Therapeutics, San Diego, CA, USA. JAMCO Pharma Consulting, Stockholm, Sweden. Department of Medicine IV, University Medical Center, Faculty of Medicine, University of Freiburg, Freiburg, Germany. Berta-Ottenstein Program, Faculty of Medicine, University of Freiburg, Freiburg, Germany. Department of Nephrology and Hypertension, Friedrich-Alexander-Universität Erlangen-Nürnberg, Erlangen, Germany. Department of Nephrology and Medical Intensive Care, Charité - Universitätsmedizin Berlin, Berlin, Germany. Department of Cardiology, RWTH Aachen University Hospital, Aachen, Germany.</b:PlacePublished>
    <b:Pages>sfae230</b:Pages>
    <b:Volume>17</b:Volume>
    <b:StandardNumber>8</b:StandardNumber>
    <b:Day>16</b:Day>
    <b:Year>2024</b:Year>
    <b:Month>Aug</b:Month>
    <b:DOI>10.1093/ckj/sfae230</b:DOI>
    <b:Author>
      <b:Author>
        <b:NameList>
          <b:Person>
            <b:First>E.</b:First>
            <b:Last>Stamellou</b:Last>
          </b:Person>
          <b:Person>
            <b:First>J.</b:First>
            <b:Last>Nadal</b:Last>
          </b:Person>
          <b:Person>
            <b:First>B.</b:First>
            <b:Last>Hendry</b:Last>
          </b:Person>
          <b:Person>
            <b:First>A.</b:First>
            <b:Last>Mercer</b:Last>
          </b:Person>
          <b:Person>
            <b:First>C.</b:First>
            <b:Last>Seikrit</b:Last>
          </b:Person>
          <b:Person>
            <b:First>W.</b:First>
            <b:Last>Bechtel-Walz</b:Last>
          </b:Person>
          <b:Person>
            <b:First>M.</b:First>
            <b:Last>Schmid</b:Last>
          </b:Person>
          <b:Person>
            <b:First>M. J.</b:First>
            <b:Last>Moeller</b:Last>
          </b:Person>
          <b:Person>
            <b:First>M.</b:First>
            <b:Last>Schiffer</b:Last>
          </b:Person>
          <b:Person>
            <b:First>K. U.</b:First>
            <b:Last>Eckardt</b:Last>
          </b:Person>
          <b:Person>
            <b:First>R.</b:First>
            <b:Last>Kramann</b:Last>
          </b:Person>
          <b:Person>
            <b:First>J.</b:First>
            <b:Last>Floege</b:Last>
          </b:Person>
        </b:NameList>
      </b:Author>
    </b:Author>
    <b:Title>Long-term outcomes of patients with IgA nephropathy in the German CKD cohort</b:Title>
    <b:JournalName>Clin Kidney J</b:JournalName>
  </b:Source>
  <b:Source>
    <b:Tag>cbff644f-55ce-4fad-a653-b974b2df2b8f</b:Tag>
    <b:RefOrder>24</b:RefOrder>
    <b:SourceType>JournalArticle</b:SourceType>
    <b:PlacePublished>Department of Medicine and Clinical Science, Graduate School of Medical Sciences, Kyushu University, Fukuoka, Japan;, †Kidney Unit, National Fukuoka-Higashi Medical Center, Fukuoka, Japan;, ‡Division of Nephrology and Dialysis Center, Japanese Red Cross Fukuoka Hospital, Fukuoka, Japan, §Department of Integrated Therapy for Chronic Kidney Disease, Graduate School of Medical Sciences, Kyushu University, Fukuoka, Japan.</b:PlacePublished>
    <b:Pages>2082-90</b:Pages>
    <b:Volume>8</b:Volume>
    <b:StandardNumber>12</b:StandardNumber>
    <b:Day>2</b:Day>
    <b:Year>2013</b:Year>
    <b:Month>Dec</b:Month>
    <b:DOI>10.2215/cjn.03480413</b:DOI>
    <b:Author>
      <b:Author>
        <b:NameList>
          <b:Person>
            <b:First>S.</b:First>
            <b:Last>Tanaka</b:Last>
          </b:Person>
          <b:Person>
            <b:First>T.</b:First>
            <b:Last>Ninomiya</b:Last>
          </b:Person>
          <b:Person>
            <b:First>R.</b:First>
            <b:Last>Katafuchi</b:Last>
          </b:Person>
          <b:Person>
            <b:First>K.</b:First>
            <b:Last>Masutani</b:Last>
          </b:Person>
          <b:Person>
            <b:First>A.</b:First>
            <b:Last>Tsuchimoto</b:Last>
          </b:Person>
          <b:Person>
            <b:First>H.</b:First>
            <b:Last>Noguchi</b:Last>
          </b:Person>
          <b:Person>
            <b:First>H.</b:First>
            <b:Last>Hirakata</b:Last>
          </b:Person>
          <b:Person>
            <b:First>K.</b:First>
            <b:Last>Tsuruya</b:Last>
          </b:Person>
          <b:Person>
            <b:First>T.</b:First>
            <b:Last>Kitazono</b:Last>
          </b:Person>
        </b:NameList>
      </b:Author>
    </b:Author>
    <b:Title>Development and validation of a prediction rule using the Oxford classification in IgA nephropathy</b:Title>
    <b:JournalName>Clin J Am Soc Nephrol</b:JournalName>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624666E3E273AB4C8C2A369219F9766C" ma:contentTypeVersion="13" ma:contentTypeDescription="Create a new document." ma:contentTypeScope="" ma:versionID="56327c29716637b29ea00e7085913404">
  <xsd:schema xmlns:xsd="http://www.w3.org/2001/XMLSchema" xmlns:xs="http://www.w3.org/2001/XMLSchema" xmlns:p="http://schemas.microsoft.com/office/2006/metadata/properties" xmlns:ns2="bb845192-b909-4e90-839d-e7e6e74481ec" xmlns:ns3="4105cdf9-2722-45bc-a8b1-24f8c7521a3b" targetNamespace="http://schemas.microsoft.com/office/2006/metadata/properties" ma:root="true" ma:fieldsID="b9a264264aba41b754a0d2e942f09686" ns2:_="" ns3:_="">
    <xsd:import namespace="bb845192-b909-4e90-839d-e7e6e74481ec"/>
    <xsd:import namespace="4105cdf9-2722-45bc-a8b1-24f8c7521a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45192-b909-4e90-839d-e7e6e744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cb4a2c8-b540-43d0-a1f2-8c391e36596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05cdf9-2722-45bc-a8b1-24f8c7521a3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3ee89af-8ed2-48b4-a89a-6f042b6a1d74}" ma:internalName="TaxCatchAll" ma:showField="CatchAllData" ma:web="4105cdf9-2722-45bc-a8b1-24f8c7521a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105cdf9-2722-45bc-a8b1-24f8c7521a3b" xsi:nil="true"/>
    <lcf76f155ced4ddcb4097134ff3c332f xmlns="bb845192-b909-4e90-839d-e7e6e74481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001C419-FE35-4847-A063-ED4E5F0A1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45192-b909-4e90-839d-e7e6e74481ec"/>
    <ds:schemaRef ds:uri="4105cdf9-2722-45bc-a8b1-24f8c7521a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1C7DB4-255E-45B4-A72F-E042A6C1DC8E}">
  <ds:schemaRefs>
    <ds:schemaRef ds:uri="http://schemas.microsoft.com/sharepoint/v3/contenttype/forms"/>
  </ds:schemaRefs>
</ds:datastoreItem>
</file>

<file path=customXml/itemProps4.xml><?xml version="1.0" encoding="utf-8"?>
<ds:datastoreItem xmlns:ds="http://schemas.openxmlformats.org/officeDocument/2006/customXml" ds:itemID="{7C60E2BF-F02A-4330-AB5E-F3AC1AED4DB3}">
  <ds:schemaRefs>
    <ds:schemaRef ds:uri="http://schemas.microsoft.com/office/2006/metadata/properties"/>
    <ds:schemaRef ds:uri="http://schemas.microsoft.com/office/infopath/2007/PartnerControls"/>
    <ds:schemaRef ds:uri="4105cdf9-2722-45bc-a8b1-24f8c7521a3b"/>
    <ds:schemaRef ds:uri="bb845192-b909-4e90-839d-e7e6e74481ec"/>
  </ds:schemaRefs>
</ds:datastoreItem>
</file>

<file path=docMetadata/LabelInfo.xml><?xml version="1.0" encoding="utf-8"?>
<clbl:labelList xmlns:clbl="http://schemas.microsoft.com/office/2020/mipLabelMetadata">
  <clbl:label id="{0a736f1a-6d66-4d7b-be62-d43e1e9bdc3b}" enabled="1" method="Privileged" siteId="{69ce8198-0346-4196-b83f-1ae289c868d4}"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Dodoc Integration User</dc:creator>
  <cp:keywords/>
  <dc:description/>
  <cp:lastModifiedBy>Jessie Liu (she/her/hers)</cp:lastModifiedBy>
  <cp:revision>3</cp:revision>
  <dcterms:created xsi:type="dcterms:W3CDTF">2026-09-23T18:39:00Z</dcterms:created>
  <dcterms:modified xsi:type="dcterms:W3CDTF">2026-09-23T18:40:00Z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0x010100624666E3E273AB4C8C2A369219F9766C</vt:lpwstr>
  </property>
  <property fmtid="{D5CDD505-2E9C-101B-9397-08002B2CF9AE}" pid="3" name="MediaServiceImageTags">
    <vt:lpwstr/>
  </property>
</Properties>
</file>