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D4F2C8" w14:textId="77777777" w:rsidR="00A023B1" w:rsidRPr="009333E8" w:rsidRDefault="00A023B1" w:rsidP="00A023B1">
      <w:pPr>
        <w:spacing w:line="480" w:lineRule="auto"/>
        <w:rPr>
          <w:rFonts w:asciiTheme="minorBidi" w:hAnsiTheme="minorBidi"/>
          <w:b/>
          <w:bCs/>
          <w:color w:val="000000" w:themeColor="text1"/>
          <w:sz w:val="24"/>
          <w:szCs w:val="24"/>
        </w:rPr>
      </w:pPr>
      <w:r w:rsidRPr="009333E8">
        <w:rPr>
          <w:rFonts w:asciiTheme="minorBidi" w:hAnsiTheme="minorBidi"/>
          <w:b/>
          <w:bCs/>
          <w:color w:val="000000" w:themeColor="text1"/>
          <w:sz w:val="24"/>
          <w:szCs w:val="24"/>
        </w:rPr>
        <w:t>Supplementary Tables</w:t>
      </w:r>
    </w:p>
    <w:p w14:paraId="76729860" w14:textId="77777777" w:rsidR="00A023B1" w:rsidRPr="009333E8" w:rsidRDefault="00A023B1" w:rsidP="00A023B1">
      <w:pPr>
        <w:spacing w:line="480" w:lineRule="auto"/>
        <w:rPr>
          <w:rFonts w:asciiTheme="minorBidi" w:hAnsiTheme="minorBidi"/>
          <w:b/>
          <w:bCs/>
          <w:sz w:val="24"/>
          <w:szCs w:val="24"/>
        </w:rPr>
      </w:pPr>
      <w:r w:rsidRPr="009333E8">
        <w:rPr>
          <w:rFonts w:asciiTheme="minorBidi" w:hAnsiTheme="minorBidi"/>
          <w:b/>
          <w:bCs/>
          <w:sz w:val="24"/>
          <w:szCs w:val="24"/>
        </w:rPr>
        <w:t>Table 1. Knowledge of respondents regarding DHR</w:t>
      </w:r>
    </w:p>
    <w:tbl>
      <w:tblPr>
        <w:tblStyle w:val="TableGrid"/>
        <w:tblW w:w="11430" w:type="dxa"/>
        <w:tblInd w:w="-995" w:type="dxa"/>
        <w:tblLook w:val="04A0" w:firstRow="1" w:lastRow="0" w:firstColumn="1" w:lastColumn="0" w:noHBand="0" w:noVBand="1"/>
      </w:tblPr>
      <w:tblGrid>
        <w:gridCol w:w="5670"/>
        <w:gridCol w:w="1170"/>
        <w:gridCol w:w="1170"/>
        <w:gridCol w:w="1170"/>
        <w:gridCol w:w="1170"/>
        <w:gridCol w:w="1080"/>
      </w:tblGrid>
      <w:tr w:rsidR="00A023B1" w:rsidRPr="009B67D8" w14:paraId="3C813FE3" w14:textId="77777777" w:rsidTr="009B67D8">
        <w:trPr>
          <w:trHeight w:val="585"/>
        </w:trPr>
        <w:tc>
          <w:tcPr>
            <w:tcW w:w="5670" w:type="dxa"/>
          </w:tcPr>
          <w:p w14:paraId="254CA425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  <w:t>Item</w:t>
            </w:r>
          </w:p>
        </w:tc>
        <w:tc>
          <w:tcPr>
            <w:tcW w:w="1170" w:type="dxa"/>
          </w:tcPr>
          <w:p w14:paraId="0841F04B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  <w:t>Choice A</w:t>
            </w:r>
          </w:p>
        </w:tc>
        <w:tc>
          <w:tcPr>
            <w:tcW w:w="1170" w:type="dxa"/>
          </w:tcPr>
          <w:p w14:paraId="64AC2058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  <w:t>Choice B</w:t>
            </w:r>
          </w:p>
        </w:tc>
        <w:tc>
          <w:tcPr>
            <w:tcW w:w="1170" w:type="dxa"/>
          </w:tcPr>
          <w:p w14:paraId="3A61CB87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  <w:t>Choice C</w:t>
            </w:r>
          </w:p>
        </w:tc>
        <w:tc>
          <w:tcPr>
            <w:tcW w:w="1170" w:type="dxa"/>
          </w:tcPr>
          <w:p w14:paraId="54C9C1AC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  <w:t>Choice D</w:t>
            </w:r>
          </w:p>
        </w:tc>
        <w:tc>
          <w:tcPr>
            <w:tcW w:w="1080" w:type="dxa"/>
          </w:tcPr>
          <w:p w14:paraId="5B17D633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18"/>
              </w:rPr>
              <w:t>Blank</w:t>
            </w:r>
          </w:p>
        </w:tc>
      </w:tr>
      <w:tr w:rsidR="00A023B1" w:rsidRPr="009B67D8" w14:paraId="5DFD3C1D" w14:textId="77777777" w:rsidTr="009B67D8">
        <w:tc>
          <w:tcPr>
            <w:tcW w:w="5670" w:type="dxa"/>
          </w:tcPr>
          <w:p w14:paraId="7C1FB3DE" w14:textId="77777777" w:rsidR="009B67D8" w:rsidRPr="009B67D8" w:rsidRDefault="00A023B1" w:rsidP="009B67D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A1</w:t>
            </w:r>
            <w:r w:rsidR="009B67D8" w:rsidRPr="009B67D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4BB2F66" w14:textId="06797239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Drug-induced anaphylaxis belongs to:</w:t>
            </w:r>
          </w:p>
          <w:p w14:paraId="5C162C87" w14:textId="21A0C158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A. Type</w:t>
            </w:r>
            <w:r w:rsidRPr="009B67D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I </w:t>
            </w: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hypersensitivity</w:t>
            </w:r>
          </w:p>
          <w:p w14:paraId="59B71407" w14:textId="4EA6FDC2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B. Type </w:t>
            </w:r>
            <w:r w:rsidRPr="009B67D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II</w:t>
            </w: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hypersensitivity</w:t>
            </w:r>
          </w:p>
          <w:p w14:paraId="5F883A57" w14:textId="44149708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C. Type </w:t>
            </w:r>
            <w:r w:rsidRPr="009B67D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III</w:t>
            </w: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hypersensitivity</w:t>
            </w:r>
          </w:p>
          <w:p w14:paraId="5FEDC98A" w14:textId="4767EE66" w:rsidR="00A023B1" w:rsidRPr="009B67D8" w:rsidRDefault="009B67D8" w:rsidP="009B67D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D. Type </w:t>
            </w:r>
            <w:r w:rsidRPr="009B67D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IV</w:t>
            </w: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hypersensitivity</w:t>
            </w:r>
          </w:p>
        </w:tc>
        <w:tc>
          <w:tcPr>
            <w:tcW w:w="1170" w:type="dxa"/>
          </w:tcPr>
          <w:p w14:paraId="405992F7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186* (50%)</w:t>
            </w:r>
          </w:p>
        </w:tc>
        <w:tc>
          <w:tcPr>
            <w:tcW w:w="1170" w:type="dxa"/>
          </w:tcPr>
          <w:p w14:paraId="4767F3C8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63 (17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70" w:type="dxa"/>
          </w:tcPr>
          <w:p w14:paraId="7A0028A1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31 (8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70" w:type="dxa"/>
          </w:tcPr>
          <w:p w14:paraId="732394AF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41 (11%)</w:t>
            </w:r>
          </w:p>
        </w:tc>
        <w:tc>
          <w:tcPr>
            <w:tcW w:w="1080" w:type="dxa"/>
          </w:tcPr>
          <w:p w14:paraId="370BE281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52 (14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023B1" w:rsidRPr="009B67D8" w14:paraId="554D6F76" w14:textId="77777777" w:rsidTr="009B67D8">
        <w:tc>
          <w:tcPr>
            <w:tcW w:w="5670" w:type="dxa"/>
          </w:tcPr>
          <w:p w14:paraId="56F808CA" w14:textId="758616D3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A2</w:t>
            </w:r>
          </w:p>
          <w:p w14:paraId="264933BC" w14:textId="6F172E0B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All of the following factors are related with drug allergy,</w:t>
            </w:r>
          </w:p>
          <w:p w14:paraId="61527322" w14:textId="77777777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EXCEPT:</w:t>
            </w:r>
          </w:p>
          <w:p w14:paraId="3317D644" w14:textId="77777777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A. Drug dosage</w:t>
            </w:r>
          </w:p>
          <w:p w14:paraId="3483AC4C" w14:textId="77777777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B. Drug exposure</w:t>
            </w:r>
          </w:p>
          <w:p w14:paraId="3A759EED" w14:textId="77777777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C. Administration route</w:t>
            </w:r>
          </w:p>
          <w:p w14:paraId="04760893" w14:textId="449BA1DF" w:rsidR="00A023B1" w:rsidRPr="009B67D8" w:rsidRDefault="009B67D8" w:rsidP="009B67D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D. Heredity</w:t>
            </w:r>
            <w:r w:rsidRPr="009B67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70" w:type="dxa"/>
          </w:tcPr>
          <w:p w14:paraId="3F33A50D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59* (16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70" w:type="dxa"/>
          </w:tcPr>
          <w:p w14:paraId="3B4FBFA9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22 (6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170" w:type="dxa"/>
          </w:tcPr>
          <w:p w14:paraId="7D788B5C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72 (19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170" w:type="dxa"/>
          </w:tcPr>
          <w:p w14:paraId="148747E1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192 (51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80" w:type="dxa"/>
          </w:tcPr>
          <w:p w14:paraId="24DD352B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28 (8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%)</w:t>
            </w:r>
          </w:p>
        </w:tc>
      </w:tr>
      <w:tr w:rsidR="00A023B1" w:rsidRPr="009B67D8" w14:paraId="538B1E3E" w14:textId="77777777" w:rsidTr="009B67D8">
        <w:tc>
          <w:tcPr>
            <w:tcW w:w="5670" w:type="dxa"/>
          </w:tcPr>
          <w:p w14:paraId="16B9EE97" w14:textId="5B14094F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A3</w:t>
            </w:r>
          </w:p>
          <w:p w14:paraId="69575681" w14:textId="08DE4BF8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Which is the effector cell in drug-induced anaphylaxis?</w:t>
            </w:r>
          </w:p>
          <w:p w14:paraId="569E929D" w14:textId="66A88160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A</w:t>
            </w:r>
            <w:r w:rsidRPr="009B67D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Mast cells</w:t>
            </w:r>
          </w:p>
          <w:p w14:paraId="1C6B85A0" w14:textId="77777777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B. Lymphocyte</w:t>
            </w:r>
          </w:p>
          <w:p w14:paraId="63F216E0" w14:textId="77777777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C. Eosinophils</w:t>
            </w:r>
          </w:p>
          <w:p w14:paraId="7602DFD5" w14:textId="591AF59E" w:rsidR="00A023B1" w:rsidRPr="009B67D8" w:rsidRDefault="009B67D8" w:rsidP="009B67D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D. Monocytes</w:t>
            </w:r>
          </w:p>
        </w:tc>
        <w:tc>
          <w:tcPr>
            <w:tcW w:w="1170" w:type="dxa"/>
          </w:tcPr>
          <w:p w14:paraId="6751EB6F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155* (42%)</w:t>
            </w:r>
          </w:p>
        </w:tc>
        <w:tc>
          <w:tcPr>
            <w:tcW w:w="1170" w:type="dxa"/>
          </w:tcPr>
          <w:p w14:paraId="4CC1E14F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74 (19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170" w:type="dxa"/>
          </w:tcPr>
          <w:p w14:paraId="44ED6153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94 (25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70" w:type="dxa"/>
          </w:tcPr>
          <w:p w14:paraId="61BB8DE2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10 (3%)</w:t>
            </w:r>
          </w:p>
        </w:tc>
        <w:tc>
          <w:tcPr>
            <w:tcW w:w="1080" w:type="dxa"/>
          </w:tcPr>
          <w:p w14:paraId="733F040B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40 (11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%)</w:t>
            </w:r>
          </w:p>
        </w:tc>
      </w:tr>
      <w:tr w:rsidR="00A023B1" w:rsidRPr="009B67D8" w14:paraId="14A543E0" w14:textId="77777777" w:rsidTr="009B67D8">
        <w:tc>
          <w:tcPr>
            <w:tcW w:w="5670" w:type="dxa"/>
          </w:tcPr>
          <w:p w14:paraId="1B14214B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A4</w:t>
            </w:r>
          </w:p>
          <w:p w14:paraId="2E4F44C5" w14:textId="77777777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When will immediate drug hypersensitivity reactions occur</w:t>
            </w:r>
          </w:p>
          <w:p w14:paraId="320E0120" w14:textId="77777777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after drug administration?</w:t>
            </w:r>
          </w:p>
          <w:p w14:paraId="5E4DEE02" w14:textId="77777777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A. &lt;6 hr</w:t>
            </w:r>
          </w:p>
          <w:p w14:paraId="6EB0A435" w14:textId="77777777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B. 6–8 hr</w:t>
            </w:r>
          </w:p>
          <w:p w14:paraId="09986B29" w14:textId="77777777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C. 8–12 hr</w:t>
            </w:r>
          </w:p>
          <w:p w14:paraId="6E4DFBE1" w14:textId="3753B892" w:rsidR="00A023B1" w:rsidRPr="009B67D8" w:rsidRDefault="009B67D8" w:rsidP="009B67D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D. 12–24 hr</w:t>
            </w:r>
          </w:p>
        </w:tc>
        <w:tc>
          <w:tcPr>
            <w:tcW w:w="1170" w:type="dxa"/>
          </w:tcPr>
          <w:p w14:paraId="40C4EB70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331* (89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70" w:type="dxa"/>
          </w:tcPr>
          <w:p w14:paraId="5D88F589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8 (2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70" w:type="dxa"/>
          </w:tcPr>
          <w:p w14:paraId="6A407E68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4 (1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70" w:type="dxa"/>
          </w:tcPr>
          <w:p w14:paraId="473E3C5D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3 (1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80" w:type="dxa"/>
          </w:tcPr>
          <w:p w14:paraId="399E9ACC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27 (7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023B1" w:rsidRPr="009B67D8" w14:paraId="6B3BBCC0" w14:textId="77777777" w:rsidTr="009B67D8">
        <w:tc>
          <w:tcPr>
            <w:tcW w:w="5670" w:type="dxa"/>
          </w:tcPr>
          <w:p w14:paraId="2329B1F5" w14:textId="77777777" w:rsidR="00A023B1" w:rsidRPr="009B67D8" w:rsidRDefault="00A023B1" w:rsidP="009B67D8">
            <w:pP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A5</w:t>
            </w:r>
          </w:p>
          <w:p w14:paraId="683F79AD" w14:textId="77777777" w:rsidR="009B67D8" w:rsidRPr="009B67D8" w:rsidRDefault="009B67D8" w:rsidP="009B67D8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Which antibody mediates immediate drug hypersensitivity</w:t>
            </w:r>
          </w:p>
          <w:p w14:paraId="662BBF95" w14:textId="77777777" w:rsidR="009B67D8" w:rsidRPr="009B67D8" w:rsidRDefault="009B67D8" w:rsidP="009B67D8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reactions?</w:t>
            </w:r>
          </w:p>
          <w:p w14:paraId="376199E3" w14:textId="77777777" w:rsidR="009B67D8" w:rsidRPr="009B67D8" w:rsidRDefault="009B67D8" w:rsidP="009B67D8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A. IgE</w:t>
            </w:r>
          </w:p>
          <w:p w14:paraId="36595C60" w14:textId="77777777" w:rsidR="009B67D8" w:rsidRPr="009B67D8" w:rsidRDefault="009B67D8" w:rsidP="009B67D8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B. IgG</w:t>
            </w:r>
          </w:p>
          <w:p w14:paraId="1D39B095" w14:textId="77777777" w:rsidR="009B67D8" w:rsidRPr="009B67D8" w:rsidRDefault="009B67D8" w:rsidP="009B67D8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C. IgM</w:t>
            </w:r>
          </w:p>
          <w:p w14:paraId="119CC5B8" w14:textId="49381893" w:rsidR="00A023B1" w:rsidRPr="009B67D8" w:rsidRDefault="009B67D8" w:rsidP="009B67D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D. IgA</w:t>
            </w:r>
          </w:p>
        </w:tc>
        <w:tc>
          <w:tcPr>
            <w:tcW w:w="1170" w:type="dxa"/>
          </w:tcPr>
          <w:p w14:paraId="4659E2C9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234* (63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70" w:type="dxa"/>
          </w:tcPr>
          <w:p w14:paraId="015E02AE" w14:textId="77777777" w:rsidR="00A023B1" w:rsidRPr="009B67D8" w:rsidRDefault="00A023B1" w:rsidP="00C85FBF">
            <w:pPr>
              <w:spacing w:line="480" w:lineRule="auto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80 (21%)</w:t>
            </w:r>
          </w:p>
        </w:tc>
        <w:tc>
          <w:tcPr>
            <w:tcW w:w="1170" w:type="dxa"/>
          </w:tcPr>
          <w:p w14:paraId="0E996F88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10 (3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70" w:type="dxa"/>
          </w:tcPr>
          <w:p w14:paraId="2F586F3A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21 (6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80" w:type="dxa"/>
          </w:tcPr>
          <w:p w14:paraId="6EAFD999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28 (8%)</w:t>
            </w:r>
          </w:p>
        </w:tc>
      </w:tr>
      <w:tr w:rsidR="00A023B1" w:rsidRPr="009B67D8" w14:paraId="12FD8A73" w14:textId="77777777" w:rsidTr="009B67D8">
        <w:tc>
          <w:tcPr>
            <w:tcW w:w="5670" w:type="dxa"/>
          </w:tcPr>
          <w:p w14:paraId="6DC50536" w14:textId="490A8074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A6</w:t>
            </w:r>
          </w:p>
          <w:p w14:paraId="4842474A" w14:textId="2D4888DC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What is the most common clinical manifestation of drug</w:t>
            </w:r>
          </w:p>
          <w:p w14:paraId="31B5CE9B" w14:textId="77777777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allergy?</w:t>
            </w:r>
          </w:p>
          <w:p w14:paraId="26C3D94A" w14:textId="77777777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A. Anaphylaxis</w:t>
            </w:r>
          </w:p>
          <w:p w14:paraId="189F7087" w14:textId="77777777" w:rsidR="00A023B1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B. Cutaneous symptoms</w:t>
            </w:r>
          </w:p>
          <w:p w14:paraId="4EDCCFD7" w14:textId="77777777" w:rsidR="009B67D8" w:rsidRPr="009B67D8" w:rsidRDefault="009B67D8" w:rsidP="009B67D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C. Serum sickness</w:t>
            </w:r>
          </w:p>
          <w:p w14:paraId="3A65E560" w14:textId="081E4267" w:rsidR="009B67D8" w:rsidRPr="009B67D8" w:rsidRDefault="009B67D8" w:rsidP="009B67D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Cs/>
                <w:sz w:val="18"/>
                <w:szCs w:val="18"/>
              </w:rPr>
              <w:t>D. Hepatic and renal injury</w:t>
            </w:r>
          </w:p>
        </w:tc>
        <w:tc>
          <w:tcPr>
            <w:tcW w:w="1170" w:type="dxa"/>
          </w:tcPr>
          <w:p w14:paraId="721D57FB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168 (45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170" w:type="dxa"/>
          </w:tcPr>
          <w:p w14:paraId="6AC53CA8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169* (45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70" w:type="dxa"/>
          </w:tcPr>
          <w:p w14:paraId="2BB4D844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5 (1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170" w:type="dxa"/>
          </w:tcPr>
          <w:p w14:paraId="53D97D72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10 (3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080" w:type="dxa"/>
          </w:tcPr>
          <w:p w14:paraId="59AE68F6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21 (6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023B1" w:rsidRPr="009B67D8" w14:paraId="177984D3" w14:textId="77777777" w:rsidTr="009B67D8">
        <w:tc>
          <w:tcPr>
            <w:tcW w:w="5670" w:type="dxa"/>
          </w:tcPr>
          <w:p w14:paraId="23B51287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A7</w:t>
            </w:r>
          </w:p>
          <w:p w14:paraId="5AD48A95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What is regarded as the gold standard to diagnosis drug</w:t>
            </w:r>
          </w:p>
          <w:p w14:paraId="26D55F1B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allergy?</w:t>
            </w:r>
          </w:p>
          <w:p w14:paraId="62AE54A4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A. Clinical history</w:t>
            </w:r>
          </w:p>
          <w:p w14:paraId="54F1FC81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B. Skin tests</w:t>
            </w:r>
          </w:p>
          <w:p w14:paraId="6270D467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C. Drug-specific IgE</w:t>
            </w:r>
          </w:p>
          <w:p w14:paraId="74949A15" w14:textId="1D9150B5" w:rsidR="00A023B1" w:rsidRPr="009B67D8" w:rsidRDefault="009B67D8" w:rsidP="009B67D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D. Provocation tests</w:t>
            </w:r>
          </w:p>
        </w:tc>
        <w:tc>
          <w:tcPr>
            <w:tcW w:w="1170" w:type="dxa"/>
          </w:tcPr>
          <w:p w14:paraId="03E81E0E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63 (17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70" w:type="dxa"/>
          </w:tcPr>
          <w:p w14:paraId="7AD5AD77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132 (35%)</w:t>
            </w:r>
          </w:p>
        </w:tc>
        <w:tc>
          <w:tcPr>
            <w:tcW w:w="1170" w:type="dxa"/>
          </w:tcPr>
          <w:p w14:paraId="726C98C7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45 (12%)</w:t>
            </w:r>
          </w:p>
        </w:tc>
        <w:tc>
          <w:tcPr>
            <w:tcW w:w="1170" w:type="dxa"/>
          </w:tcPr>
          <w:p w14:paraId="4B2DEF85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64* (17%)</w:t>
            </w:r>
          </w:p>
        </w:tc>
        <w:tc>
          <w:tcPr>
            <w:tcW w:w="1080" w:type="dxa"/>
          </w:tcPr>
          <w:p w14:paraId="3C4AAA71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69 (18%)</w:t>
            </w:r>
          </w:p>
        </w:tc>
      </w:tr>
      <w:tr w:rsidR="00A023B1" w:rsidRPr="009B67D8" w14:paraId="6E8AC830" w14:textId="77777777" w:rsidTr="009B67D8">
        <w:tc>
          <w:tcPr>
            <w:tcW w:w="5670" w:type="dxa"/>
          </w:tcPr>
          <w:p w14:paraId="2BE948FA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A8</w:t>
            </w:r>
          </w:p>
          <w:p w14:paraId="4DAE0552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What is the indication of drug provocation test?</w:t>
            </w:r>
          </w:p>
          <w:p w14:paraId="280EF202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A. Suspected drug allergy</w:t>
            </w:r>
          </w:p>
          <w:p w14:paraId="6066FAAF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B. Suspected drug allergy associated with systemic disease</w:t>
            </w:r>
          </w:p>
          <w:p w14:paraId="69AC021C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C. The suspected drug is imperative or cannot be replaced for</w:t>
            </w:r>
          </w:p>
          <w:p w14:paraId="06D9D3A7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the concurrent illness</w:t>
            </w:r>
          </w:p>
          <w:p w14:paraId="2FA16CBF" w14:textId="51AA0EAB" w:rsidR="00A023B1" w:rsidRPr="009B67D8" w:rsidRDefault="009B67D8" w:rsidP="009B67D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D. Susp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 xml:space="preserve">ected drug allergy with serious 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cutaneous symptoms</w:t>
            </w:r>
          </w:p>
        </w:tc>
        <w:tc>
          <w:tcPr>
            <w:tcW w:w="1170" w:type="dxa"/>
          </w:tcPr>
          <w:p w14:paraId="5ED5B1A1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128 (34%)</w:t>
            </w:r>
          </w:p>
        </w:tc>
        <w:tc>
          <w:tcPr>
            <w:tcW w:w="1170" w:type="dxa"/>
          </w:tcPr>
          <w:p w14:paraId="470C49F3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42 (11%)</w:t>
            </w:r>
          </w:p>
        </w:tc>
        <w:tc>
          <w:tcPr>
            <w:tcW w:w="1170" w:type="dxa"/>
          </w:tcPr>
          <w:p w14:paraId="3D7DCEA9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89* (24%)</w:t>
            </w:r>
          </w:p>
        </w:tc>
        <w:tc>
          <w:tcPr>
            <w:tcW w:w="1170" w:type="dxa"/>
          </w:tcPr>
          <w:p w14:paraId="1E6E0C01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73 (20%)</w:t>
            </w:r>
          </w:p>
        </w:tc>
        <w:tc>
          <w:tcPr>
            <w:tcW w:w="1080" w:type="dxa"/>
          </w:tcPr>
          <w:p w14:paraId="7ECF3756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41 (11%)</w:t>
            </w:r>
          </w:p>
        </w:tc>
      </w:tr>
      <w:tr w:rsidR="00A023B1" w:rsidRPr="009B67D8" w14:paraId="10205A2C" w14:textId="77777777" w:rsidTr="009B67D8">
        <w:tc>
          <w:tcPr>
            <w:tcW w:w="5670" w:type="dxa"/>
          </w:tcPr>
          <w:p w14:paraId="5D2ED3A5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A9</w:t>
            </w:r>
          </w:p>
          <w:p w14:paraId="09C02007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Which test is recommended as the first screening step</w:t>
            </w:r>
          </w:p>
          <w:p w14:paraId="2A996351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when immediate drug hypersensitivity reactions were</w:t>
            </w:r>
          </w:p>
          <w:p w14:paraId="5983EBCC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suspected?</w:t>
            </w:r>
          </w:p>
          <w:p w14:paraId="34F9D4FD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A. Skin prick test</w:t>
            </w:r>
          </w:p>
          <w:p w14:paraId="6F6CCC9E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B. Intradermal test</w:t>
            </w:r>
          </w:p>
          <w:p w14:paraId="3BF2BA04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C. Skin patch test</w:t>
            </w:r>
          </w:p>
          <w:p w14:paraId="687A44AB" w14:textId="69D70597" w:rsidR="00A023B1" w:rsidRPr="009B67D8" w:rsidRDefault="009B67D8" w:rsidP="009B67D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D. Provocation test</w:t>
            </w:r>
          </w:p>
        </w:tc>
        <w:tc>
          <w:tcPr>
            <w:tcW w:w="1170" w:type="dxa"/>
          </w:tcPr>
          <w:p w14:paraId="35A94B42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112* (30%)</w:t>
            </w:r>
          </w:p>
        </w:tc>
        <w:tc>
          <w:tcPr>
            <w:tcW w:w="1170" w:type="dxa"/>
          </w:tcPr>
          <w:p w14:paraId="3AB8F579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139 (37%)</w:t>
            </w:r>
          </w:p>
        </w:tc>
        <w:tc>
          <w:tcPr>
            <w:tcW w:w="1170" w:type="dxa"/>
          </w:tcPr>
          <w:p w14:paraId="64ADFC45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28 (8%)</w:t>
            </w:r>
          </w:p>
        </w:tc>
        <w:tc>
          <w:tcPr>
            <w:tcW w:w="1170" w:type="dxa"/>
          </w:tcPr>
          <w:p w14:paraId="01B3D0B1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61 (16%)</w:t>
            </w:r>
          </w:p>
        </w:tc>
        <w:tc>
          <w:tcPr>
            <w:tcW w:w="1080" w:type="dxa"/>
          </w:tcPr>
          <w:p w14:paraId="6A59BFCF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33 (9%)</w:t>
            </w:r>
          </w:p>
        </w:tc>
      </w:tr>
      <w:tr w:rsidR="00A023B1" w:rsidRPr="009B67D8" w14:paraId="24CFDE40" w14:textId="77777777" w:rsidTr="009B67D8">
        <w:tc>
          <w:tcPr>
            <w:tcW w:w="5670" w:type="dxa"/>
          </w:tcPr>
          <w:p w14:paraId="442FF8AA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A10</w:t>
            </w:r>
          </w:p>
          <w:p w14:paraId="327F4C21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Which is the appropriate time to perform skin test when</w:t>
            </w:r>
          </w:p>
          <w:p w14:paraId="589857F1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drug allergy is suspected?</w:t>
            </w:r>
          </w:p>
          <w:p w14:paraId="67729D1A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A. Anytime</w:t>
            </w:r>
          </w:p>
          <w:p w14:paraId="3301E582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B. Right after the symptom disappeared</w:t>
            </w:r>
          </w:p>
          <w:p w14:paraId="6ACE77C1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C. At least one month after the symptom disappeared</w:t>
            </w:r>
          </w:p>
          <w:p w14:paraId="7F6371D0" w14:textId="0DD5048D" w:rsidR="00A023B1" w:rsidRPr="009B67D8" w:rsidRDefault="009B67D8" w:rsidP="009B67D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D. Never</w:t>
            </w:r>
          </w:p>
        </w:tc>
        <w:tc>
          <w:tcPr>
            <w:tcW w:w="1170" w:type="dxa"/>
          </w:tcPr>
          <w:p w14:paraId="25123386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157 (42%)</w:t>
            </w:r>
          </w:p>
        </w:tc>
        <w:tc>
          <w:tcPr>
            <w:tcW w:w="1170" w:type="dxa"/>
          </w:tcPr>
          <w:p w14:paraId="464F5201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99 (27%)</w:t>
            </w:r>
          </w:p>
        </w:tc>
        <w:tc>
          <w:tcPr>
            <w:tcW w:w="1170" w:type="dxa"/>
          </w:tcPr>
          <w:p w14:paraId="6C09BE49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66* (18%)</w:t>
            </w:r>
          </w:p>
        </w:tc>
        <w:tc>
          <w:tcPr>
            <w:tcW w:w="1170" w:type="dxa"/>
          </w:tcPr>
          <w:p w14:paraId="4CD5F320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17 (5%)</w:t>
            </w:r>
          </w:p>
        </w:tc>
        <w:tc>
          <w:tcPr>
            <w:tcW w:w="1080" w:type="dxa"/>
          </w:tcPr>
          <w:p w14:paraId="46DCEF29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34 (9%)</w:t>
            </w:r>
          </w:p>
        </w:tc>
      </w:tr>
      <w:tr w:rsidR="00A023B1" w:rsidRPr="009B67D8" w14:paraId="00AA33E6" w14:textId="77777777" w:rsidTr="009B67D8">
        <w:tc>
          <w:tcPr>
            <w:tcW w:w="5670" w:type="dxa"/>
          </w:tcPr>
          <w:p w14:paraId="558DF55F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A11</w:t>
            </w:r>
          </w:p>
          <w:p w14:paraId="68D7584E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A 24-year-old male had cough and purulent mucus for</w:t>
            </w:r>
          </w:p>
          <w:p w14:paraId="2863A0C0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3 days, he had an asthma history. His doctor decided to use</w:t>
            </w:r>
          </w:p>
          <w:p w14:paraId="111AA0B9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penicillin to control the airway infection. In which situation</w:t>
            </w:r>
          </w:p>
          <w:p w14:paraId="45948ACF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eastAsia="AdobeMyungjoStd-Medium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bellowing is not appropriate for the penicillin skin test</w:t>
            </w:r>
            <w:r w:rsidRPr="009B67D8">
              <w:rPr>
                <w:rFonts w:ascii="Times New Roman" w:eastAsia="Times New Roman" w:hAnsi="Times New Roman" w:cs="Times New Roman" w:hint="eastAsia"/>
                <w:sz w:val="18"/>
                <w:szCs w:val="18"/>
              </w:rPr>
              <w:t>􀄦</w:t>
            </w:r>
          </w:p>
          <w:p w14:paraId="6E9E0A7A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A. He has been treated with Tylenol (cold medication,</w:t>
            </w:r>
          </w:p>
          <w:p w14:paraId="4004DE03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including chlorpheniramine, pseudoephedrine,</w:t>
            </w:r>
          </w:p>
          <w:p w14:paraId="15C5DDF4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acetaminophen and dextromethorphan) in recent 3 days.</w:t>
            </w:r>
          </w:p>
          <w:p w14:paraId="62E08A58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B. He has been treated with dexamethasone 5 mg by</w:t>
            </w:r>
          </w:p>
          <w:p w14:paraId="5B282E5B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intravenous yesterday.</w:t>
            </w:r>
          </w:p>
          <w:p w14:paraId="2F87317A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C. He has had leukotriene modifier 10 mg/day by PO in recent</w:t>
            </w:r>
          </w:p>
          <w:p w14:paraId="7081D5AE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3 days.</w:t>
            </w:r>
          </w:p>
          <w:p w14:paraId="420B1939" w14:textId="3FEF758A" w:rsidR="00A023B1" w:rsidRPr="009B67D8" w:rsidRDefault="009B67D8" w:rsidP="009B67D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D. He has been treated with aminophylline in recent 3 days.</w:t>
            </w:r>
          </w:p>
        </w:tc>
        <w:tc>
          <w:tcPr>
            <w:tcW w:w="1170" w:type="dxa"/>
          </w:tcPr>
          <w:p w14:paraId="3ED38622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48* (13%)</w:t>
            </w:r>
          </w:p>
        </w:tc>
        <w:tc>
          <w:tcPr>
            <w:tcW w:w="1170" w:type="dxa"/>
          </w:tcPr>
          <w:p w14:paraId="53CDABCE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172 (46%)</w:t>
            </w:r>
          </w:p>
        </w:tc>
        <w:tc>
          <w:tcPr>
            <w:tcW w:w="1170" w:type="dxa"/>
          </w:tcPr>
          <w:p w14:paraId="1444D56E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65 (17%)</w:t>
            </w:r>
          </w:p>
        </w:tc>
        <w:tc>
          <w:tcPr>
            <w:tcW w:w="1170" w:type="dxa"/>
          </w:tcPr>
          <w:p w14:paraId="2FBC9D67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38 (10%)</w:t>
            </w:r>
          </w:p>
        </w:tc>
        <w:tc>
          <w:tcPr>
            <w:tcW w:w="1080" w:type="dxa"/>
          </w:tcPr>
          <w:p w14:paraId="71EF33FC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50 (13%)</w:t>
            </w:r>
          </w:p>
        </w:tc>
      </w:tr>
      <w:tr w:rsidR="00A023B1" w:rsidRPr="009B67D8" w14:paraId="4108F982" w14:textId="77777777" w:rsidTr="009B67D8">
        <w:tc>
          <w:tcPr>
            <w:tcW w:w="5670" w:type="dxa"/>
          </w:tcPr>
          <w:p w14:paraId="1C95C105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A12</w:t>
            </w:r>
          </w:p>
          <w:p w14:paraId="1A5B3CB8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Which of the following drug is recommended to perform</w:t>
            </w:r>
          </w:p>
          <w:p w14:paraId="39352C3F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intradermal test before administration?</w:t>
            </w:r>
          </w:p>
          <w:p w14:paraId="47EF38B7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A. Penicillin</w:t>
            </w:r>
          </w:p>
          <w:p w14:paraId="3F5F976D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B. Aztreonam</w:t>
            </w:r>
          </w:p>
          <w:p w14:paraId="51410D5C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C. Ofloxacin</w:t>
            </w:r>
          </w:p>
          <w:p w14:paraId="381A94B7" w14:textId="47AA5751" w:rsidR="00A023B1" w:rsidRPr="009B67D8" w:rsidRDefault="009B67D8" w:rsidP="009B67D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D. Azithromycin</w:t>
            </w:r>
          </w:p>
        </w:tc>
        <w:tc>
          <w:tcPr>
            <w:tcW w:w="1170" w:type="dxa"/>
          </w:tcPr>
          <w:p w14:paraId="6EC802C9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299* (80%)</w:t>
            </w:r>
          </w:p>
        </w:tc>
        <w:tc>
          <w:tcPr>
            <w:tcW w:w="1170" w:type="dxa"/>
          </w:tcPr>
          <w:p w14:paraId="0A1FDA80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9 (2%)</w:t>
            </w:r>
          </w:p>
        </w:tc>
        <w:tc>
          <w:tcPr>
            <w:tcW w:w="1170" w:type="dxa"/>
          </w:tcPr>
          <w:p w14:paraId="030E0F2F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8 (2%)</w:t>
            </w:r>
          </w:p>
        </w:tc>
        <w:tc>
          <w:tcPr>
            <w:tcW w:w="1170" w:type="dxa"/>
          </w:tcPr>
          <w:p w14:paraId="4D6937C5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11 (3%)</w:t>
            </w:r>
          </w:p>
        </w:tc>
        <w:tc>
          <w:tcPr>
            <w:tcW w:w="1080" w:type="dxa"/>
          </w:tcPr>
          <w:p w14:paraId="588D5529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46 (12%)</w:t>
            </w:r>
          </w:p>
        </w:tc>
      </w:tr>
      <w:tr w:rsidR="00A023B1" w:rsidRPr="009B67D8" w14:paraId="1A96E41D" w14:textId="77777777" w:rsidTr="009B67D8">
        <w:tc>
          <w:tcPr>
            <w:tcW w:w="5670" w:type="dxa"/>
          </w:tcPr>
          <w:p w14:paraId="1058D47C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A13</w:t>
            </w:r>
          </w:p>
          <w:p w14:paraId="7DF49692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What is the pivotol management for drug allergy?</w:t>
            </w:r>
          </w:p>
          <w:p w14:paraId="2B4149E3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A. Drug therapy</w:t>
            </w:r>
          </w:p>
          <w:p w14:paraId="02BC6435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B. Specific immunotherapy</w:t>
            </w:r>
          </w:p>
          <w:p w14:paraId="105CF776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C. Symptomatic therapy</w:t>
            </w:r>
          </w:p>
          <w:p w14:paraId="3ADC4DDF" w14:textId="598E11CE" w:rsidR="00A023B1" w:rsidRPr="009B67D8" w:rsidRDefault="009B67D8" w:rsidP="009B67D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D. Avoiding sensitization drugs</w:t>
            </w:r>
          </w:p>
        </w:tc>
        <w:tc>
          <w:tcPr>
            <w:tcW w:w="1170" w:type="dxa"/>
          </w:tcPr>
          <w:p w14:paraId="30A44006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56 (5%)</w:t>
            </w:r>
          </w:p>
        </w:tc>
        <w:tc>
          <w:tcPr>
            <w:tcW w:w="1170" w:type="dxa"/>
          </w:tcPr>
          <w:p w14:paraId="2839021E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44 (12%)</w:t>
            </w:r>
          </w:p>
        </w:tc>
        <w:tc>
          <w:tcPr>
            <w:tcW w:w="1170" w:type="dxa"/>
          </w:tcPr>
          <w:p w14:paraId="2E130DDE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102 (27%)</w:t>
            </w:r>
          </w:p>
        </w:tc>
        <w:tc>
          <w:tcPr>
            <w:tcW w:w="1170" w:type="dxa"/>
          </w:tcPr>
          <w:p w14:paraId="2C07D6BD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125* (34%)</w:t>
            </w:r>
          </w:p>
        </w:tc>
        <w:tc>
          <w:tcPr>
            <w:tcW w:w="1080" w:type="dxa"/>
          </w:tcPr>
          <w:p w14:paraId="43C5E960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 xml:space="preserve">46 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(12%)</w:t>
            </w:r>
          </w:p>
        </w:tc>
      </w:tr>
      <w:tr w:rsidR="00A023B1" w:rsidRPr="009B67D8" w14:paraId="229CDA0C" w14:textId="77777777" w:rsidTr="009B67D8">
        <w:tc>
          <w:tcPr>
            <w:tcW w:w="5670" w:type="dxa"/>
          </w:tcPr>
          <w:p w14:paraId="29B9F704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A14</w:t>
            </w:r>
          </w:p>
          <w:p w14:paraId="3C46EED5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Which medication is the first choice when an anaphylactic</w:t>
            </w:r>
          </w:p>
          <w:p w14:paraId="084547F6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shock occurred?</w:t>
            </w:r>
          </w:p>
          <w:p w14:paraId="64E64F07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A. Dopamine</w:t>
            </w:r>
          </w:p>
          <w:p w14:paraId="7272B541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B. Antihistamine</w:t>
            </w:r>
          </w:p>
          <w:p w14:paraId="35A0662A" w14:textId="77777777" w:rsidR="009B67D8" w:rsidRPr="009B67D8" w:rsidRDefault="009B67D8" w:rsidP="009B67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C. Glucocorticoid</w:t>
            </w:r>
          </w:p>
          <w:p w14:paraId="5E461D0F" w14:textId="657C344B" w:rsidR="00A023B1" w:rsidRPr="009B67D8" w:rsidRDefault="009B67D8" w:rsidP="009B67D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D. Epinephrine</w:t>
            </w:r>
          </w:p>
        </w:tc>
        <w:tc>
          <w:tcPr>
            <w:tcW w:w="1170" w:type="dxa"/>
          </w:tcPr>
          <w:p w14:paraId="42D5A2AA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3 (1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70" w:type="dxa"/>
          </w:tcPr>
          <w:p w14:paraId="18CE21E9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47 (13%)</w:t>
            </w:r>
          </w:p>
        </w:tc>
        <w:tc>
          <w:tcPr>
            <w:tcW w:w="1170" w:type="dxa"/>
          </w:tcPr>
          <w:p w14:paraId="36F7AC6E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3 (1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%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70" w:type="dxa"/>
          </w:tcPr>
          <w:p w14:paraId="569EC80F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282* (76%)</w:t>
            </w:r>
          </w:p>
        </w:tc>
        <w:tc>
          <w:tcPr>
            <w:tcW w:w="1080" w:type="dxa"/>
          </w:tcPr>
          <w:p w14:paraId="246DC7F5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  <w:r w:rsidRPr="009B67D8">
              <w:rPr>
                <w:rFonts w:ascii="Times New Roman" w:eastAsia="Arial" w:hAnsi="Times New Roman" w:cs="Times New Roman"/>
                <w:sz w:val="18"/>
                <w:szCs w:val="18"/>
              </w:rPr>
              <w:t>(10%)</w:t>
            </w:r>
          </w:p>
        </w:tc>
      </w:tr>
    </w:tbl>
    <w:p w14:paraId="7665C23E" w14:textId="77777777" w:rsidR="00A023B1" w:rsidRPr="009333E8" w:rsidRDefault="00A023B1" w:rsidP="00A023B1">
      <w:pPr>
        <w:autoSpaceDE w:val="0"/>
        <w:autoSpaceDN w:val="0"/>
        <w:spacing w:line="480" w:lineRule="auto"/>
        <w:rPr>
          <w:rFonts w:asciiTheme="minorBidi" w:eastAsiaTheme="minorEastAsia" w:hAnsiTheme="minorBidi"/>
          <w:sz w:val="24"/>
          <w:szCs w:val="24"/>
        </w:rPr>
      </w:pPr>
      <w:r w:rsidRPr="009333E8">
        <w:rPr>
          <w:rFonts w:asciiTheme="minorBidi" w:eastAsiaTheme="minorEastAsia" w:hAnsiTheme="minorBidi"/>
          <w:sz w:val="24"/>
          <w:szCs w:val="24"/>
        </w:rPr>
        <w:t>Values are presented as number (%).</w:t>
      </w:r>
    </w:p>
    <w:p w14:paraId="38D9B418" w14:textId="77777777" w:rsidR="00A023B1" w:rsidRPr="009333E8" w:rsidRDefault="00A023B1" w:rsidP="00A023B1">
      <w:pPr>
        <w:spacing w:line="480" w:lineRule="auto"/>
        <w:rPr>
          <w:rFonts w:asciiTheme="minorBidi" w:eastAsiaTheme="minorEastAsia" w:hAnsiTheme="minorBidi"/>
          <w:sz w:val="24"/>
          <w:szCs w:val="24"/>
        </w:rPr>
      </w:pPr>
      <w:r w:rsidRPr="009333E8">
        <w:rPr>
          <w:rFonts w:asciiTheme="minorBidi" w:eastAsiaTheme="minorEastAsia" w:hAnsiTheme="minorBidi"/>
          <w:sz w:val="24"/>
          <w:szCs w:val="24"/>
        </w:rPr>
        <w:t>*Correct answer.</w:t>
      </w:r>
    </w:p>
    <w:p w14:paraId="12DEC208" w14:textId="77777777" w:rsidR="00A023B1" w:rsidRPr="009333E8" w:rsidRDefault="00A023B1" w:rsidP="00A023B1">
      <w:pPr>
        <w:spacing w:line="480" w:lineRule="auto"/>
        <w:rPr>
          <w:rFonts w:asciiTheme="minorBidi" w:hAnsiTheme="minorBidi"/>
          <w:color w:val="000000" w:themeColor="text1"/>
          <w:sz w:val="24"/>
          <w:szCs w:val="24"/>
        </w:rPr>
      </w:pPr>
      <w:r w:rsidRPr="009333E8">
        <w:rPr>
          <w:rFonts w:asciiTheme="minorBidi" w:hAnsiTheme="minorBidi"/>
          <w:color w:val="000000" w:themeColor="text1"/>
          <w:sz w:val="24"/>
          <w:szCs w:val="24"/>
        </w:rPr>
        <w:br w:type="page"/>
      </w:r>
    </w:p>
    <w:p w14:paraId="06C6610F" w14:textId="77777777" w:rsidR="00A023B1" w:rsidRPr="009333E8" w:rsidRDefault="00A023B1" w:rsidP="00A023B1">
      <w:pPr>
        <w:spacing w:line="480" w:lineRule="auto"/>
        <w:rPr>
          <w:rFonts w:asciiTheme="minorBidi" w:hAnsiTheme="minorBidi"/>
          <w:sz w:val="24"/>
          <w:szCs w:val="24"/>
        </w:rPr>
      </w:pPr>
      <w:r w:rsidRPr="009333E8">
        <w:rPr>
          <w:rFonts w:asciiTheme="minorBidi" w:hAnsiTheme="minorBidi"/>
          <w:b/>
          <w:bCs/>
          <w:sz w:val="24"/>
          <w:szCs w:val="24"/>
        </w:rPr>
        <w:lastRenderedPageBreak/>
        <w:t xml:space="preserve">Table 2. </w:t>
      </w:r>
      <w:r w:rsidRPr="009333E8">
        <w:rPr>
          <w:rFonts w:asciiTheme="minorBidi" w:hAnsiTheme="minorBidi"/>
          <w:sz w:val="24"/>
          <w:szCs w:val="24"/>
        </w:rPr>
        <w:t>Attitudes of respondents regarding DHR</w:t>
      </w:r>
    </w:p>
    <w:tbl>
      <w:tblPr>
        <w:tblStyle w:val="TableGrid"/>
        <w:tblW w:w="11610" w:type="dxa"/>
        <w:tblInd w:w="-995" w:type="dxa"/>
        <w:tblLook w:val="04A0" w:firstRow="1" w:lastRow="0" w:firstColumn="1" w:lastColumn="0" w:noHBand="0" w:noVBand="1"/>
      </w:tblPr>
      <w:tblGrid>
        <w:gridCol w:w="3600"/>
        <w:gridCol w:w="1530"/>
        <w:gridCol w:w="1350"/>
        <w:gridCol w:w="1350"/>
        <w:gridCol w:w="1260"/>
        <w:gridCol w:w="1350"/>
        <w:gridCol w:w="1170"/>
      </w:tblGrid>
      <w:tr w:rsidR="00A023B1" w:rsidRPr="009B67D8" w14:paraId="4D76263D" w14:textId="77777777" w:rsidTr="00C85FBF">
        <w:trPr>
          <w:trHeight w:val="277"/>
        </w:trPr>
        <w:tc>
          <w:tcPr>
            <w:tcW w:w="3600" w:type="dxa"/>
          </w:tcPr>
          <w:p w14:paraId="0386401D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530" w:type="dxa"/>
          </w:tcPr>
          <w:p w14:paraId="50564CD6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Strongly disagree</w:t>
            </w:r>
          </w:p>
        </w:tc>
        <w:tc>
          <w:tcPr>
            <w:tcW w:w="1350" w:type="dxa"/>
          </w:tcPr>
          <w:p w14:paraId="19CE7F57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Disagree</w:t>
            </w:r>
          </w:p>
        </w:tc>
        <w:tc>
          <w:tcPr>
            <w:tcW w:w="1350" w:type="dxa"/>
          </w:tcPr>
          <w:p w14:paraId="21F7FF07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Uncertain</w:t>
            </w:r>
          </w:p>
        </w:tc>
        <w:tc>
          <w:tcPr>
            <w:tcW w:w="1260" w:type="dxa"/>
          </w:tcPr>
          <w:p w14:paraId="41FF81E4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Agree</w:t>
            </w:r>
          </w:p>
        </w:tc>
        <w:tc>
          <w:tcPr>
            <w:tcW w:w="1350" w:type="dxa"/>
          </w:tcPr>
          <w:p w14:paraId="0226D336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Strongly agree</w:t>
            </w:r>
          </w:p>
        </w:tc>
        <w:tc>
          <w:tcPr>
            <w:tcW w:w="1170" w:type="dxa"/>
          </w:tcPr>
          <w:p w14:paraId="268167C1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Blank</w:t>
            </w:r>
          </w:p>
        </w:tc>
      </w:tr>
      <w:tr w:rsidR="00A023B1" w:rsidRPr="009B67D8" w14:paraId="5769702E" w14:textId="77777777" w:rsidTr="00C85FBF">
        <w:trPr>
          <w:trHeight w:val="277"/>
        </w:trPr>
        <w:tc>
          <w:tcPr>
            <w:tcW w:w="3600" w:type="dxa"/>
          </w:tcPr>
          <w:p w14:paraId="3BC02532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B1</w:t>
            </w:r>
          </w:p>
          <w:p w14:paraId="48A5DBCF" w14:textId="75914F62" w:rsidR="009B67D8" w:rsidRPr="009B67D8" w:rsidRDefault="009B67D8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Do you think HCPs should receive advanced knowledge and training of DHRs?</w:t>
            </w:r>
          </w:p>
        </w:tc>
        <w:tc>
          <w:tcPr>
            <w:tcW w:w="1530" w:type="dxa"/>
          </w:tcPr>
          <w:p w14:paraId="1DEE7263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0" w:type="dxa"/>
          </w:tcPr>
          <w:p w14:paraId="5FA6FFCD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0" w:type="dxa"/>
          </w:tcPr>
          <w:p w14:paraId="24B05263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60" w:type="dxa"/>
          </w:tcPr>
          <w:p w14:paraId="1B555D8F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350" w:type="dxa"/>
          </w:tcPr>
          <w:p w14:paraId="34F2F644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158 (42)</w:t>
            </w:r>
          </w:p>
        </w:tc>
        <w:tc>
          <w:tcPr>
            <w:tcW w:w="1170" w:type="dxa"/>
          </w:tcPr>
          <w:p w14:paraId="67DE54D5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A023B1" w:rsidRPr="009B67D8" w14:paraId="6FAEBE33" w14:textId="77777777" w:rsidTr="00C85FBF">
        <w:trPr>
          <w:trHeight w:val="266"/>
        </w:trPr>
        <w:tc>
          <w:tcPr>
            <w:tcW w:w="3600" w:type="dxa"/>
          </w:tcPr>
          <w:p w14:paraId="18B1491F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B2</w:t>
            </w:r>
          </w:p>
          <w:p w14:paraId="030177C5" w14:textId="41134808" w:rsidR="009B67D8" w:rsidRPr="009B67D8" w:rsidRDefault="009B67D8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Do you think in vivo or in vitro test of drug is very important before drug administration?</w:t>
            </w:r>
          </w:p>
        </w:tc>
        <w:tc>
          <w:tcPr>
            <w:tcW w:w="1530" w:type="dxa"/>
          </w:tcPr>
          <w:p w14:paraId="6A5C78FC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0" w:type="dxa"/>
          </w:tcPr>
          <w:p w14:paraId="789A5322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50" w:type="dxa"/>
          </w:tcPr>
          <w:p w14:paraId="53742C4C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260" w:type="dxa"/>
          </w:tcPr>
          <w:p w14:paraId="2AD43DA5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350" w:type="dxa"/>
          </w:tcPr>
          <w:p w14:paraId="2B4DBB35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70" w:type="dxa"/>
          </w:tcPr>
          <w:p w14:paraId="6013B90B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23B1" w:rsidRPr="009B67D8" w14:paraId="4997B2A2" w14:textId="77777777" w:rsidTr="00C85FBF">
        <w:trPr>
          <w:trHeight w:val="277"/>
        </w:trPr>
        <w:tc>
          <w:tcPr>
            <w:tcW w:w="3600" w:type="dxa"/>
          </w:tcPr>
          <w:p w14:paraId="710CC024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B3</w:t>
            </w:r>
          </w:p>
          <w:p w14:paraId="1DC39740" w14:textId="64200956" w:rsidR="009B67D8" w:rsidRPr="009B67D8" w:rsidRDefault="009B67D8" w:rsidP="009B67D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Are</w:t>
            </w: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 xml:space="preserve"> you satisfied with your knowledge of DHRs?</w:t>
            </w:r>
          </w:p>
        </w:tc>
        <w:tc>
          <w:tcPr>
            <w:tcW w:w="1530" w:type="dxa"/>
          </w:tcPr>
          <w:p w14:paraId="738E3B4D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50" w:type="dxa"/>
          </w:tcPr>
          <w:p w14:paraId="3285FCFF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50" w:type="dxa"/>
          </w:tcPr>
          <w:p w14:paraId="59479E93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260" w:type="dxa"/>
          </w:tcPr>
          <w:p w14:paraId="2B9B425F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122 (33)</w:t>
            </w:r>
          </w:p>
        </w:tc>
        <w:tc>
          <w:tcPr>
            <w:tcW w:w="1350" w:type="dxa"/>
          </w:tcPr>
          <w:p w14:paraId="7E4E0F99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70" w:type="dxa"/>
          </w:tcPr>
          <w:p w14:paraId="13B95FAA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23B1" w:rsidRPr="009B67D8" w14:paraId="479ED38F" w14:textId="77777777" w:rsidTr="00C85FBF">
        <w:trPr>
          <w:trHeight w:val="277"/>
        </w:trPr>
        <w:tc>
          <w:tcPr>
            <w:tcW w:w="3600" w:type="dxa"/>
          </w:tcPr>
          <w:p w14:paraId="53A4EB49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B4</w:t>
            </w:r>
          </w:p>
          <w:p w14:paraId="5BACBB54" w14:textId="3D6043F9" w:rsidR="009B67D8" w:rsidRPr="009B67D8" w:rsidRDefault="009B67D8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Do you think drug allergy has an adverse impact on patient’s quality of life?</w:t>
            </w:r>
          </w:p>
        </w:tc>
        <w:tc>
          <w:tcPr>
            <w:tcW w:w="1530" w:type="dxa"/>
          </w:tcPr>
          <w:p w14:paraId="0C9B747D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0" w:type="dxa"/>
          </w:tcPr>
          <w:p w14:paraId="42D09343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50" w:type="dxa"/>
          </w:tcPr>
          <w:p w14:paraId="56AE3F7D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14:paraId="75C6898E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350" w:type="dxa"/>
          </w:tcPr>
          <w:p w14:paraId="5C98030C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1170" w:type="dxa"/>
          </w:tcPr>
          <w:p w14:paraId="4EB9C3F1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23B1" w:rsidRPr="009B67D8" w14:paraId="6ECA08EF" w14:textId="77777777" w:rsidTr="00C85FBF">
        <w:trPr>
          <w:trHeight w:val="277"/>
        </w:trPr>
        <w:tc>
          <w:tcPr>
            <w:tcW w:w="3600" w:type="dxa"/>
          </w:tcPr>
          <w:p w14:paraId="1694F7FC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B5</w:t>
            </w:r>
          </w:p>
          <w:p w14:paraId="3326FB14" w14:textId="7C7FB242" w:rsidR="009B67D8" w:rsidRPr="009B67D8" w:rsidRDefault="009B67D8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Do you think drug allergy always occurred in your daily practice?</w:t>
            </w:r>
          </w:p>
        </w:tc>
        <w:tc>
          <w:tcPr>
            <w:tcW w:w="1530" w:type="dxa"/>
          </w:tcPr>
          <w:p w14:paraId="797AF7D8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50" w:type="dxa"/>
          </w:tcPr>
          <w:p w14:paraId="7D83018A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350" w:type="dxa"/>
          </w:tcPr>
          <w:p w14:paraId="25DF16E0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260" w:type="dxa"/>
          </w:tcPr>
          <w:p w14:paraId="7A7D6012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50" w:type="dxa"/>
          </w:tcPr>
          <w:p w14:paraId="36DB846E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70" w:type="dxa"/>
          </w:tcPr>
          <w:p w14:paraId="1E744D66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57C5B295" w14:textId="77777777" w:rsidR="00A023B1" w:rsidRPr="009333E8" w:rsidRDefault="00A023B1" w:rsidP="00A023B1">
      <w:pPr>
        <w:spacing w:line="480" w:lineRule="auto"/>
        <w:rPr>
          <w:rFonts w:asciiTheme="minorBidi" w:hAnsiTheme="minorBidi"/>
          <w:b/>
          <w:bCs/>
          <w:sz w:val="24"/>
          <w:szCs w:val="24"/>
        </w:rPr>
      </w:pPr>
      <w:r w:rsidRPr="009333E8">
        <w:rPr>
          <w:rFonts w:asciiTheme="minorBidi" w:eastAsiaTheme="minorEastAsia" w:hAnsiTheme="minorBidi"/>
          <w:sz w:val="24"/>
          <w:szCs w:val="24"/>
        </w:rPr>
        <w:t>Values are presented as number (%).</w:t>
      </w:r>
    </w:p>
    <w:p w14:paraId="5660DE69" w14:textId="6975439C" w:rsidR="009B67D8" w:rsidRDefault="009B67D8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br w:type="page"/>
      </w:r>
    </w:p>
    <w:p w14:paraId="52AFA00C" w14:textId="77777777" w:rsidR="00A023B1" w:rsidRPr="009333E8" w:rsidRDefault="00A023B1" w:rsidP="00A023B1">
      <w:pPr>
        <w:spacing w:line="480" w:lineRule="auto"/>
        <w:rPr>
          <w:rFonts w:asciiTheme="minorBidi" w:hAnsiTheme="minorBidi"/>
          <w:b/>
          <w:bCs/>
          <w:sz w:val="24"/>
          <w:szCs w:val="24"/>
        </w:rPr>
      </w:pPr>
      <w:bookmarkStart w:id="0" w:name="_GoBack"/>
      <w:bookmarkEnd w:id="0"/>
    </w:p>
    <w:p w14:paraId="5D414BA4" w14:textId="77777777" w:rsidR="00A023B1" w:rsidRPr="009333E8" w:rsidRDefault="00A023B1" w:rsidP="00A023B1">
      <w:pPr>
        <w:spacing w:line="480" w:lineRule="auto"/>
        <w:rPr>
          <w:rFonts w:asciiTheme="minorBidi" w:eastAsiaTheme="minorEastAsia" w:hAnsiTheme="minorBidi"/>
          <w:sz w:val="24"/>
          <w:szCs w:val="24"/>
        </w:rPr>
      </w:pPr>
      <w:r w:rsidRPr="009333E8">
        <w:rPr>
          <w:rFonts w:asciiTheme="minorBidi" w:hAnsiTheme="minorBidi"/>
          <w:b/>
          <w:bCs/>
          <w:sz w:val="24"/>
          <w:szCs w:val="24"/>
        </w:rPr>
        <w:t xml:space="preserve">Table 3. </w:t>
      </w:r>
      <w:r w:rsidRPr="009333E8">
        <w:rPr>
          <w:rFonts w:asciiTheme="minorBidi" w:hAnsiTheme="minorBidi"/>
          <w:sz w:val="24"/>
          <w:szCs w:val="24"/>
        </w:rPr>
        <w:t>Practice of respondents regarding DHR</w:t>
      </w:r>
    </w:p>
    <w:tbl>
      <w:tblPr>
        <w:tblStyle w:val="TableGrid"/>
        <w:tblW w:w="11593" w:type="dxa"/>
        <w:tblInd w:w="-905" w:type="dxa"/>
        <w:tblLook w:val="04A0" w:firstRow="1" w:lastRow="0" w:firstColumn="1" w:lastColumn="0" w:noHBand="0" w:noVBand="1"/>
      </w:tblPr>
      <w:tblGrid>
        <w:gridCol w:w="3600"/>
        <w:gridCol w:w="1133"/>
        <w:gridCol w:w="1697"/>
        <w:gridCol w:w="1497"/>
        <w:gridCol w:w="1139"/>
        <w:gridCol w:w="1239"/>
        <w:gridCol w:w="1288"/>
      </w:tblGrid>
      <w:tr w:rsidR="00A023B1" w:rsidRPr="009B67D8" w14:paraId="67C570E4" w14:textId="77777777" w:rsidTr="00C85FBF">
        <w:trPr>
          <w:trHeight w:val="277"/>
        </w:trPr>
        <w:tc>
          <w:tcPr>
            <w:tcW w:w="3600" w:type="dxa"/>
          </w:tcPr>
          <w:p w14:paraId="2CFFC931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133" w:type="dxa"/>
          </w:tcPr>
          <w:p w14:paraId="6BD624E1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Never</w:t>
            </w:r>
          </w:p>
        </w:tc>
        <w:tc>
          <w:tcPr>
            <w:tcW w:w="1697" w:type="dxa"/>
          </w:tcPr>
          <w:p w14:paraId="1151C1E7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Occasionally</w:t>
            </w:r>
          </w:p>
        </w:tc>
        <w:tc>
          <w:tcPr>
            <w:tcW w:w="1497" w:type="dxa"/>
          </w:tcPr>
          <w:p w14:paraId="08887FA2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Sometimes</w:t>
            </w:r>
          </w:p>
        </w:tc>
        <w:tc>
          <w:tcPr>
            <w:tcW w:w="1139" w:type="dxa"/>
          </w:tcPr>
          <w:p w14:paraId="77950C9D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Often</w:t>
            </w:r>
          </w:p>
        </w:tc>
        <w:tc>
          <w:tcPr>
            <w:tcW w:w="1239" w:type="dxa"/>
          </w:tcPr>
          <w:p w14:paraId="2C11EE07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Always</w:t>
            </w:r>
          </w:p>
        </w:tc>
        <w:tc>
          <w:tcPr>
            <w:tcW w:w="1288" w:type="dxa"/>
          </w:tcPr>
          <w:p w14:paraId="46E55A49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Blank</w:t>
            </w:r>
          </w:p>
        </w:tc>
      </w:tr>
      <w:tr w:rsidR="00A023B1" w:rsidRPr="009B67D8" w14:paraId="293AE3A0" w14:textId="77777777" w:rsidTr="00C85FBF">
        <w:trPr>
          <w:trHeight w:val="277"/>
        </w:trPr>
        <w:tc>
          <w:tcPr>
            <w:tcW w:w="3600" w:type="dxa"/>
          </w:tcPr>
          <w:p w14:paraId="4129A6F4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C1</w:t>
            </w:r>
          </w:p>
          <w:p w14:paraId="1C88DAE2" w14:textId="1754BE3C" w:rsidR="009B67D8" w:rsidRPr="009B67D8" w:rsidRDefault="009B67D8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Do you take the patient’s history of drug allergy before the drug administration?</w:t>
            </w:r>
          </w:p>
        </w:tc>
        <w:tc>
          <w:tcPr>
            <w:tcW w:w="1133" w:type="dxa"/>
          </w:tcPr>
          <w:p w14:paraId="4941D3D6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697" w:type="dxa"/>
          </w:tcPr>
          <w:p w14:paraId="7D689A5F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97" w:type="dxa"/>
          </w:tcPr>
          <w:p w14:paraId="30F7225A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9" w:type="dxa"/>
          </w:tcPr>
          <w:p w14:paraId="13EDA9A5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239" w:type="dxa"/>
          </w:tcPr>
          <w:p w14:paraId="1F91D557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288" w:type="dxa"/>
          </w:tcPr>
          <w:p w14:paraId="38B23F80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023B1" w:rsidRPr="009B67D8" w14:paraId="1F88B8F7" w14:textId="77777777" w:rsidTr="00C85FBF">
        <w:trPr>
          <w:trHeight w:val="266"/>
        </w:trPr>
        <w:tc>
          <w:tcPr>
            <w:tcW w:w="3600" w:type="dxa"/>
          </w:tcPr>
          <w:p w14:paraId="635CCD80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C2</w:t>
            </w:r>
          </w:p>
          <w:p w14:paraId="533B2799" w14:textId="357B263B" w:rsidR="009B67D8" w:rsidRPr="009B67D8" w:rsidRDefault="009B67D8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Do you take the patient’s allergy history before drug administration?</w:t>
            </w:r>
          </w:p>
        </w:tc>
        <w:tc>
          <w:tcPr>
            <w:tcW w:w="1133" w:type="dxa"/>
          </w:tcPr>
          <w:p w14:paraId="1F6AF472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697" w:type="dxa"/>
          </w:tcPr>
          <w:p w14:paraId="6530876A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97" w:type="dxa"/>
          </w:tcPr>
          <w:p w14:paraId="11C7CAB9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39" w:type="dxa"/>
          </w:tcPr>
          <w:p w14:paraId="38B8CD2F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39" w:type="dxa"/>
          </w:tcPr>
          <w:p w14:paraId="24A463D6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288" w:type="dxa"/>
          </w:tcPr>
          <w:p w14:paraId="5196C176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023B1" w:rsidRPr="009B67D8" w14:paraId="0AFB654D" w14:textId="77777777" w:rsidTr="00C85FBF">
        <w:trPr>
          <w:trHeight w:val="277"/>
        </w:trPr>
        <w:tc>
          <w:tcPr>
            <w:tcW w:w="3600" w:type="dxa"/>
          </w:tcPr>
          <w:p w14:paraId="53C90B8B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C3</w:t>
            </w:r>
          </w:p>
          <w:p w14:paraId="5B2CA130" w14:textId="61170E6E" w:rsidR="009B67D8" w:rsidRPr="009B67D8" w:rsidRDefault="009B67D8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Do you evaluate the drug skin test result timely and accurately?</w:t>
            </w:r>
          </w:p>
        </w:tc>
        <w:tc>
          <w:tcPr>
            <w:tcW w:w="1133" w:type="dxa"/>
          </w:tcPr>
          <w:p w14:paraId="5A3096E3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697" w:type="dxa"/>
          </w:tcPr>
          <w:p w14:paraId="15196440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7" w:type="dxa"/>
          </w:tcPr>
          <w:p w14:paraId="0A27A04E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9" w:type="dxa"/>
          </w:tcPr>
          <w:p w14:paraId="2D3D7487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39" w:type="dxa"/>
          </w:tcPr>
          <w:p w14:paraId="29AC2E9E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88" w:type="dxa"/>
          </w:tcPr>
          <w:p w14:paraId="4D85397E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</w:tr>
      <w:tr w:rsidR="00A023B1" w:rsidRPr="009B67D8" w14:paraId="3640ED95" w14:textId="77777777" w:rsidTr="00C85FBF">
        <w:trPr>
          <w:trHeight w:val="277"/>
        </w:trPr>
        <w:tc>
          <w:tcPr>
            <w:tcW w:w="3600" w:type="dxa"/>
          </w:tcPr>
          <w:p w14:paraId="28FE89FF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C4</w:t>
            </w:r>
          </w:p>
          <w:p w14:paraId="6969FC3C" w14:textId="62FEFB82" w:rsidR="009B67D8" w:rsidRPr="009B67D8" w:rsidRDefault="009B67D8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Do you perform positive control and negative control during drug skin test?</w:t>
            </w:r>
          </w:p>
        </w:tc>
        <w:tc>
          <w:tcPr>
            <w:tcW w:w="1133" w:type="dxa"/>
          </w:tcPr>
          <w:p w14:paraId="21FE6BA8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697" w:type="dxa"/>
          </w:tcPr>
          <w:p w14:paraId="3874C80D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7" w:type="dxa"/>
          </w:tcPr>
          <w:p w14:paraId="732B6127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9" w:type="dxa"/>
          </w:tcPr>
          <w:p w14:paraId="623B0B7A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39" w:type="dxa"/>
          </w:tcPr>
          <w:p w14:paraId="0E344055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88" w:type="dxa"/>
          </w:tcPr>
          <w:p w14:paraId="0594BDC5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</w:tr>
      <w:tr w:rsidR="00A023B1" w:rsidRPr="009B67D8" w14:paraId="26ADB531" w14:textId="77777777" w:rsidTr="00C85FBF">
        <w:trPr>
          <w:trHeight w:val="277"/>
        </w:trPr>
        <w:tc>
          <w:tcPr>
            <w:tcW w:w="3600" w:type="dxa"/>
          </w:tcPr>
          <w:p w14:paraId="143A2354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C5</w:t>
            </w:r>
          </w:p>
          <w:p w14:paraId="73E73DC0" w14:textId="1EA3AE3A" w:rsidR="009B67D8" w:rsidRPr="009B67D8" w:rsidRDefault="009B67D8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Do you recognize and manage DHRs timely when it occurs?</w:t>
            </w:r>
          </w:p>
        </w:tc>
        <w:tc>
          <w:tcPr>
            <w:tcW w:w="1133" w:type="dxa"/>
          </w:tcPr>
          <w:p w14:paraId="0938D9AD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697" w:type="dxa"/>
          </w:tcPr>
          <w:p w14:paraId="65037D1D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97" w:type="dxa"/>
          </w:tcPr>
          <w:p w14:paraId="51E3B560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9" w:type="dxa"/>
          </w:tcPr>
          <w:p w14:paraId="27B1F6AC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39" w:type="dxa"/>
          </w:tcPr>
          <w:p w14:paraId="7150F34E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88" w:type="dxa"/>
          </w:tcPr>
          <w:p w14:paraId="4992FAD6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A023B1" w:rsidRPr="009B67D8" w14:paraId="6CD370AE" w14:textId="77777777" w:rsidTr="00C85FBF">
        <w:trPr>
          <w:trHeight w:val="277"/>
        </w:trPr>
        <w:tc>
          <w:tcPr>
            <w:tcW w:w="3600" w:type="dxa"/>
          </w:tcPr>
          <w:p w14:paraId="7AE8F9E4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C6</w:t>
            </w:r>
          </w:p>
          <w:p w14:paraId="710CDD48" w14:textId="40A7036F" w:rsidR="009B67D8" w:rsidRPr="009B67D8" w:rsidRDefault="009B67D8" w:rsidP="00C85FB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18"/>
                <w:szCs w:val="18"/>
              </w:rPr>
              <w:t>Do you participate continuous medical education regarding drug allergy?</w:t>
            </w:r>
          </w:p>
        </w:tc>
        <w:tc>
          <w:tcPr>
            <w:tcW w:w="1133" w:type="dxa"/>
          </w:tcPr>
          <w:p w14:paraId="1592141C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697" w:type="dxa"/>
          </w:tcPr>
          <w:p w14:paraId="201A40E1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97" w:type="dxa"/>
          </w:tcPr>
          <w:p w14:paraId="2A37AEE3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39" w:type="dxa"/>
          </w:tcPr>
          <w:p w14:paraId="353D0851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39" w:type="dxa"/>
          </w:tcPr>
          <w:p w14:paraId="0174DAB4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288" w:type="dxa"/>
          </w:tcPr>
          <w:p w14:paraId="7AF6E59B" w14:textId="77777777" w:rsidR="00A023B1" w:rsidRPr="009B67D8" w:rsidRDefault="00A023B1" w:rsidP="00C85F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67D8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</w:tr>
    </w:tbl>
    <w:p w14:paraId="0696B4E2" w14:textId="77777777" w:rsidR="00A023B1" w:rsidRPr="009333E8" w:rsidRDefault="00A023B1" w:rsidP="00A023B1">
      <w:pPr>
        <w:spacing w:line="480" w:lineRule="auto"/>
        <w:rPr>
          <w:rFonts w:asciiTheme="minorBidi" w:hAnsiTheme="minorBidi"/>
          <w:color w:val="000000" w:themeColor="text1"/>
          <w:sz w:val="24"/>
          <w:szCs w:val="24"/>
        </w:rPr>
      </w:pPr>
      <w:r w:rsidRPr="009333E8">
        <w:rPr>
          <w:rFonts w:asciiTheme="minorBidi" w:eastAsiaTheme="minorEastAsia" w:hAnsiTheme="minorBidi"/>
          <w:sz w:val="24"/>
          <w:szCs w:val="24"/>
        </w:rPr>
        <w:t>Values are presented as number (%).</w:t>
      </w:r>
    </w:p>
    <w:p w14:paraId="5EA5E458" w14:textId="77777777" w:rsidR="00A023B1" w:rsidRPr="009333E8" w:rsidRDefault="00A023B1" w:rsidP="00A023B1">
      <w:pPr>
        <w:spacing w:line="480" w:lineRule="auto"/>
        <w:rPr>
          <w:rFonts w:asciiTheme="minorBidi" w:hAnsiTheme="minorBidi"/>
          <w:sz w:val="24"/>
          <w:szCs w:val="24"/>
        </w:rPr>
      </w:pPr>
    </w:p>
    <w:p w14:paraId="5380E58C" w14:textId="139ED9A9" w:rsidR="00824269" w:rsidRPr="00A023B1" w:rsidRDefault="00824269" w:rsidP="00A023B1"/>
    <w:sectPr w:rsidR="00824269" w:rsidRPr="00A023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MyungjoStd-Medium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0E4"/>
    <w:rsid w:val="006D00E4"/>
    <w:rsid w:val="008059DD"/>
    <w:rsid w:val="00824269"/>
    <w:rsid w:val="009B67D8"/>
    <w:rsid w:val="00A0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AB249"/>
  <w15:chartTrackingRefBased/>
  <w15:docId w15:val="{49222489-4F87-4E76-B879-A622BC7DA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3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D0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023B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7695B3CD08F844B745D2342E92EF1A" ma:contentTypeVersion="14" ma:contentTypeDescription="Create a new document." ma:contentTypeScope="" ma:versionID="f765c383495a78bd3925fce4b0ff42ea">
  <xsd:schema xmlns:xsd="http://www.w3.org/2001/XMLSchema" xmlns:xs="http://www.w3.org/2001/XMLSchema" xmlns:p="http://schemas.microsoft.com/office/2006/metadata/properties" xmlns:ns3="9e7d8aee-d156-41c1-b466-437e58f54597" xmlns:ns4="76ba5553-7d48-4757-9640-521d127c5136" targetNamespace="http://schemas.microsoft.com/office/2006/metadata/properties" ma:root="true" ma:fieldsID="9989c2162eb84ee71d11920c5788465f" ns3:_="" ns4:_="">
    <xsd:import namespace="9e7d8aee-d156-41c1-b466-437e58f54597"/>
    <xsd:import namespace="76ba5553-7d48-4757-9640-521d127c513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d8aee-d156-41c1-b466-437e58f5459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a5553-7d48-4757-9640-521d127c5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6ba5553-7d48-4757-9640-521d127c5136" xsi:nil="true"/>
  </documentManagement>
</p:properties>
</file>

<file path=customXml/itemProps1.xml><?xml version="1.0" encoding="utf-8"?>
<ds:datastoreItem xmlns:ds="http://schemas.openxmlformats.org/officeDocument/2006/customXml" ds:itemID="{CE9DC6EC-B9A1-4A13-9F2D-BF28F78926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d8aee-d156-41c1-b466-437e58f54597"/>
    <ds:schemaRef ds:uri="76ba5553-7d48-4757-9640-521d127c51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AC4CBF-9411-49E0-BA87-B6442D8E68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545F27-DD82-4BAD-9DE9-6B96E62CF86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9e7d8aee-d156-41c1-b466-437e58f54597"/>
    <ds:schemaRef ds:uri="http://purl.org/dc/elements/1.1/"/>
    <ds:schemaRef ds:uri="http://schemas.microsoft.com/office/2006/metadata/properties"/>
    <ds:schemaRef ds:uri="http://schemas.microsoft.com/office/infopath/2007/PartnerControls"/>
    <ds:schemaRef ds:uri="76ba5553-7d48-4757-9640-521d127c513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Mohammed Abdulrahman Alrashed</dc:creator>
  <cp:keywords/>
  <dc:description/>
  <cp:lastModifiedBy>Dr. Mohammed Abdulrahman Alrashed</cp:lastModifiedBy>
  <cp:revision>3</cp:revision>
  <dcterms:created xsi:type="dcterms:W3CDTF">2023-12-18T08:15:00Z</dcterms:created>
  <dcterms:modified xsi:type="dcterms:W3CDTF">2023-12-18T08:25:00Z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0x010100EE7695B3CD08F844B745D2342E92EF1A</vt:lpwstr>
  </property>
</Properties>
</file>