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6E" w:rsidRDefault="00DA666E" w:rsidP="00DA666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Appendix</w:t>
      </w: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770A3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International classification of diseases (ICD) codes used to classify cancer site </w:t>
      </w:r>
    </w:p>
    <w:tbl>
      <w:tblPr>
        <w:tblStyle w:val="TableGrid"/>
        <w:tblW w:w="10355" w:type="dxa"/>
        <w:tblInd w:w="-3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0"/>
        <w:gridCol w:w="1843"/>
        <w:gridCol w:w="1843"/>
        <w:gridCol w:w="1842"/>
        <w:gridCol w:w="1837"/>
      </w:tblGrid>
      <w:tr w:rsidR="00DA666E" w:rsidRPr="00AD63A9" w:rsidTr="00F74401">
        <w:tc>
          <w:tcPr>
            <w:tcW w:w="2990" w:type="dxa"/>
            <w:tcBorders>
              <w:bottom w:val="single" w:sz="4" w:space="0" w:color="auto"/>
            </w:tcBorders>
          </w:tcPr>
          <w:p w:rsidR="00DA666E" w:rsidRPr="00AD63A9" w:rsidRDefault="00DA666E" w:rsidP="00F744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63A9">
              <w:rPr>
                <w:rFonts w:ascii="Times New Roman" w:hAnsi="Times New Roman" w:cs="Times New Roman"/>
                <w:b/>
              </w:rPr>
              <w:t>Cancer site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A666E" w:rsidRPr="00AD63A9" w:rsidRDefault="00DA666E" w:rsidP="00F744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63A9">
              <w:rPr>
                <w:rFonts w:ascii="Times New Roman" w:hAnsi="Times New Roman" w:cs="Times New Roman"/>
                <w:b/>
              </w:rPr>
              <w:t>ICD-7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A666E" w:rsidRPr="00AD63A9" w:rsidRDefault="00DA666E" w:rsidP="00F744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63A9">
              <w:rPr>
                <w:rFonts w:ascii="Times New Roman" w:hAnsi="Times New Roman" w:cs="Times New Roman"/>
                <w:b/>
              </w:rPr>
              <w:t>ICD-8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A666E" w:rsidRPr="00AD63A9" w:rsidRDefault="00DA666E" w:rsidP="00F744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63A9">
              <w:rPr>
                <w:rFonts w:ascii="Times New Roman" w:hAnsi="Times New Roman" w:cs="Times New Roman"/>
                <w:b/>
              </w:rPr>
              <w:t>ICD-9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DA666E" w:rsidRPr="00AD63A9" w:rsidRDefault="00DA666E" w:rsidP="00F744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63A9">
              <w:rPr>
                <w:rFonts w:ascii="Times New Roman" w:hAnsi="Times New Roman" w:cs="Times New Roman"/>
                <w:b/>
              </w:rPr>
              <w:t>ICD-10</w:t>
            </w:r>
          </w:p>
        </w:tc>
      </w:tr>
      <w:tr w:rsidR="00DA666E" w:rsidRPr="00AD63A9" w:rsidTr="00F74401">
        <w:tc>
          <w:tcPr>
            <w:tcW w:w="2990" w:type="dxa"/>
            <w:tcBorders>
              <w:top w:val="single" w:sz="4" w:space="0" w:color="auto"/>
              <w:bottom w:val="nil"/>
            </w:tcBorders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All cancer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140-207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140-209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140-208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C00-C97</w:t>
            </w:r>
          </w:p>
        </w:tc>
      </w:tr>
      <w:tr w:rsidR="00DA666E" w:rsidRPr="00AD63A9" w:rsidTr="00F74401">
        <w:tc>
          <w:tcPr>
            <w:tcW w:w="2990" w:type="dxa"/>
            <w:tcBorders>
              <w:top w:val="nil"/>
              <w:bottom w:val="nil"/>
            </w:tcBorders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Breast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C50</w:t>
            </w:r>
          </w:p>
        </w:tc>
      </w:tr>
      <w:tr w:rsidR="00DA666E" w:rsidRPr="00AD63A9" w:rsidTr="00F74401">
        <w:tc>
          <w:tcPr>
            <w:tcW w:w="2990" w:type="dxa"/>
            <w:tcBorders>
              <w:top w:val="nil"/>
            </w:tcBorders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Prostate</w:t>
            </w:r>
          </w:p>
        </w:tc>
        <w:tc>
          <w:tcPr>
            <w:tcW w:w="1843" w:type="dxa"/>
            <w:tcBorders>
              <w:top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843" w:type="dxa"/>
            <w:tcBorders>
              <w:top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842" w:type="dxa"/>
            <w:tcBorders>
              <w:top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837" w:type="dxa"/>
            <w:tcBorders>
              <w:top w:val="nil"/>
            </w:tcBorders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C61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Pulmonary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(primary)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C33, C34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Colorectal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153, 154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153, 154.0, 154.1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153, 154.0, 154.1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C18-C20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Gastroesophageal</w:t>
            </w:r>
            <w:proofErr w:type="spellEnd"/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150, 151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150, 151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150, 151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C15-C16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Hepatobiliary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(primary)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155, 156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155, 156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C22-C24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Pancreas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C25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Kidney 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189.0, 189.1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189.0, 189.1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C64, C65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Bladder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C67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Gynecological</w:t>
            </w:r>
            <w:proofErr w:type="spellEnd"/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171-176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180-184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179-184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C51-C58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Head and neck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140-148, 160-161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140-149, 160-161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140-149, 160-161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C00-C14, C30-32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Melanoma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C43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Central nervous system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(CNS)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191, 192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191, 192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C70-C72</w:t>
            </w:r>
          </w:p>
        </w:tc>
      </w:tr>
      <w:tr w:rsidR="00DA666E" w:rsidRPr="00AD63A9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Thyroid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C73</w:t>
            </w:r>
          </w:p>
        </w:tc>
      </w:tr>
      <w:tr w:rsidR="00DA666E" w:rsidRPr="008004FC" w:rsidTr="00F74401">
        <w:tc>
          <w:tcPr>
            <w:tcW w:w="2990" w:type="dxa"/>
          </w:tcPr>
          <w:p w:rsidR="00DA666E" w:rsidRPr="00AD63A9" w:rsidRDefault="00DA666E" w:rsidP="00F7440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D63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Haematological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200-207</w:t>
            </w:r>
          </w:p>
        </w:tc>
        <w:tc>
          <w:tcPr>
            <w:tcW w:w="1843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200-209</w:t>
            </w:r>
          </w:p>
        </w:tc>
        <w:tc>
          <w:tcPr>
            <w:tcW w:w="1842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200-208</w:t>
            </w:r>
          </w:p>
        </w:tc>
        <w:tc>
          <w:tcPr>
            <w:tcW w:w="1837" w:type="dxa"/>
          </w:tcPr>
          <w:p w:rsidR="00DA666E" w:rsidRPr="00AD63A9" w:rsidRDefault="00DA666E" w:rsidP="00F74401">
            <w:pPr>
              <w:rPr>
                <w:rFonts w:ascii="Times New Roman" w:hAnsi="Times New Roman" w:cs="Times New Roman"/>
              </w:rPr>
            </w:pPr>
            <w:r w:rsidRPr="00AD63A9">
              <w:rPr>
                <w:rFonts w:ascii="Times New Roman" w:hAnsi="Times New Roman" w:cs="Times New Roman"/>
              </w:rPr>
              <w:t>C81-C96</w:t>
            </w:r>
          </w:p>
        </w:tc>
      </w:tr>
    </w:tbl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1F1" w:rsidRDefault="00AF11F1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11F1">
        <w:rPr>
          <w:rFonts w:ascii="Times New Roman" w:hAnsi="Times New Roman" w:cs="Times New Roman"/>
          <w:b/>
          <w:sz w:val="24"/>
          <w:szCs w:val="24"/>
        </w:rPr>
        <w:lastRenderedPageBreak/>
        <w:t>Table S2</w:t>
      </w:r>
      <w:r>
        <w:rPr>
          <w:rFonts w:ascii="Times New Roman" w:hAnsi="Times New Roman" w:cs="Times New Roman"/>
          <w:sz w:val="24"/>
          <w:szCs w:val="24"/>
        </w:rPr>
        <w:t>. Correlation between serum LDH levels measured in different time intervals prior to breast cancer diagnosis</w:t>
      </w:r>
    </w:p>
    <w:tbl>
      <w:tblPr>
        <w:tblStyle w:val="TableGrid"/>
        <w:tblW w:w="97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92"/>
        <w:gridCol w:w="1320"/>
        <w:gridCol w:w="1320"/>
        <w:gridCol w:w="1320"/>
        <w:gridCol w:w="1320"/>
        <w:gridCol w:w="1321"/>
        <w:gridCol w:w="1321"/>
      </w:tblGrid>
      <w:tr w:rsidR="00AF11F1" w:rsidTr="00AF11F1">
        <w:tc>
          <w:tcPr>
            <w:tcW w:w="1792" w:type="dxa"/>
            <w:vMerge w:val="restart"/>
          </w:tcPr>
          <w:p w:rsidR="00AF11F1" w:rsidRPr="00AF11F1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1F1">
              <w:rPr>
                <w:rFonts w:ascii="Times New Roman" w:hAnsi="Times New Roman" w:cs="Times New Roman"/>
                <w:b/>
                <w:sz w:val="24"/>
                <w:szCs w:val="24"/>
              </w:rPr>
              <w:t>Months before breast cancer diagnosis</w:t>
            </w:r>
          </w:p>
        </w:tc>
        <w:tc>
          <w:tcPr>
            <w:tcW w:w="7922" w:type="dxa"/>
            <w:gridSpan w:val="6"/>
            <w:tcBorders>
              <w:bottom w:val="single" w:sz="4" w:space="0" w:color="auto"/>
            </w:tcBorders>
          </w:tcPr>
          <w:p w:rsidR="00AF11F1" w:rsidRPr="00AF11F1" w:rsidRDefault="00AF11F1" w:rsidP="00B36C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Pearson correlation coefficients </w:t>
            </w:r>
            <w:r w:rsidR="00B36CC6">
              <w:rPr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Pr="00AF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P-value</w:t>
            </w:r>
            <w:r w:rsidR="00B36CC6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</w:tr>
      <w:tr w:rsidR="00AF11F1" w:rsidTr="00AF11F1">
        <w:tc>
          <w:tcPr>
            <w:tcW w:w="1792" w:type="dxa"/>
            <w:vMerge/>
            <w:tcBorders>
              <w:bottom w:val="single" w:sz="4" w:space="0" w:color="auto"/>
            </w:tcBorders>
          </w:tcPr>
          <w:p w:rsidR="00AF11F1" w:rsidRPr="00AF11F1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AF11F1" w:rsidRPr="00AF11F1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1F1">
              <w:rPr>
                <w:rFonts w:ascii="Times New Roman" w:hAnsi="Times New Roman" w:cs="Times New Roman"/>
                <w:b/>
                <w:sz w:val="24"/>
                <w:szCs w:val="24"/>
              </w:rPr>
              <w:t>0-6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AF11F1" w:rsidRPr="00AF11F1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1F1">
              <w:rPr>
                <w:rFonts w:ascii="Times New Roman" w:hAnsi="Times New Roman" w:cs="Times New Roman"/>
                <w:b/>
                <w:sz w:val="24"/>
                <w:szCs w:val="24"/>
              </w:rPr>
              <w:t>6-12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AF11F1" w:rsidRPr="00AF11F1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1F1">
              <w:rPr>
                <w:rFonts w:ascii="Times New Roman" w:hAnsi="Times New Roman" w:cs="Times New Roman"/>
                <w:b/>
                <w:sz w:val="24"/>
                <w:szCs w:val="24"/>
              </w:rPr>
              <w:t>12-18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AF11F1" w:rsidRPr="00AF11F1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1F1">
              <w:rPr>
                <w:rFonts w:ascii="Times New Roman" w:hAnsi="Times New Roman" w:cs="Times New Roman"/>
                <w:b/>
                <w:sz w:val="24"/>
                <w:szCs w:val="24"/>
              </w:rPr>
              <w:t>18-24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AF11F1" w:rsidRPr="00AF11F1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1F1">
              <w:rPr>
                <w:rFonts w:ascii="Times New Roman" w:hAnsi="Times New Roman" w:cs="Times New Roman"/>
                <w:b/>
                <w:sz w:val="24"/>
                <w:szCs w:val="24"/>
              </w:rPr>
              <w:t>24-30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AF11F1" w:rsidRPr="00AF11F1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1F1">
              <w:rPr>
                <w:rFonts w:ascii="Times New Roman" w:hAnsi="Times New Roman" w:cs="Times New Roman"/>
                <w:b/>
                <w:sz w:val="24"/>
                <w:szCs w:val="24"/>
              </w:rPr>
              <w:t>30-36</w:t>
            </w:r>
          </w:p>
        </w:tc>
      </w:tr>
      <w:tr w:rsidR="00AF11F1" w:rsidTr="00AF11F1">
        <w:tc>
          <w:tcPr>
            <w:tcW w:w="1792" w:type="dxa"/>
            <w:tcBorders>
              <w:top w:val="single" w:sz="4" w:space="0" w:color="auto"/>
              <w:bottom w:val="nil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F59">
              <w:rPr>
                <w:rFonts w:ascii="Times New Roman" w:hAnsi="Times New Roman" w:cs="Times New Roman"/>
                <w:b/>
                <w:sz w:val="24"/>
                <w:szCs w:val="24"/>
              </w:rPr>
              <w:t>0-6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AF11F1">
            <w:pPr>
              <w:tabs>
                <w:tab w:val="left" w:pos="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AF11F1" w:rsidTr="00AF11F1">
        <w:tc>
          <w:tcPr>
            <w:tcW w:w="1792" w:type="dxa"/>
            <w:tcBorders>
              <w:top w:val="nil"/>
              <w:bottom w:val="single" w:sz="4" w:space="0" w:color="auto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</w:tr>
      <w:tr w:rsidR="00AF11F1" w:rsidTr="00AF11F1">
        <w:tc>
          <w:tcPr>
            <w:tcW w:w="1792" w:type="dxa"/>
            <w:tcBorders>
              <w:top w:val="single" w:sz="4" w:space="0" w:color="auto"/>
              <w:bottom w:val="nil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F59">
              <w:rPr>
                <w:rFonts w:ascii="Times New Roman" w:hAnsi="Times New Roman" w:cs="Times New Roman"/>
                <w:b/>
                <w:sz w:val="24"/>
                <w:szCs w:val="24"/>
              </w:rPr>
              <w:t>6-12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</w:tr>
      <w:tr w:rsidR="00AF11F1" w:rsidTr="00AF11F1">
        <w:tc>
          <w:tcPr>
            <w:tcW w:w="1792" w:type="dxa"/>
            <w:tcBorders>
              <w:top w:val="nil"/>
              <w:bottom w:val="single" w:sz="4" w:space="0" w:color="auto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</w:tr>
      <w:tr w:rsidR="00AF11F1" w:rsidTr="00AF11F1">
        <w:tc>
          <w:tcPr>
            <w:tcW w:w="1792" w:type="dxa"/>
            <w:tcBorders>
              <w:top w:val="single" w:sz="4" w:space="0" w:color="auto"/>
              <w:bottom w:val="nil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F59">
              <w:rPr>
                <w:rFonts w:ascii="Times New Roman" w:hAnsi="Times New Roman" w:cs="Times New Roman"/>
                <w:b/>
                <w:sz w:val="24"/>
                <w:szCs w:val="24"/>
              </w:rPr>
              <w:t>12-18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AF11F1" w:rsidTr="00AF11F1">
        <w:tc>
          <w:tcPr>
            <w:tcW w:w="1792" w:type="dxa"/>
            <w:tcBorders>
              <w:top w:val="nil"/>
              <w:bottom w:val="single" w:sz="4" w:space="0" w:color="auto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</w:tr>
      <w:tr w:rsidR="00AF11F1" w:rsidTr="00AF11F1">
        <w:tc>
          <w:tcPr>
            <w:tcW w:w="1792" w:type="dxa"/>
            <w:tcBorders>
              <w:top w:val="single" w:sz="4" w:space="0" w:color="auto"/>
              <w:bottom w:val="nil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F59">
              <w:rPr>
                <w:rFonts w:ascii="Times New Roman" w:hAnsi="Times New Roman" w:cs="Times New Roman"/>
                <w:b/>
                <w:sz w:val="24"/>
                <w:szCs w:val="24"/>
              </w:rPr>
              <w:t>18-24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</w:tr>
      <w:tr w:rsidR="00AF11F1" w:rsidTr="00AF11F1">
        <w:tc>
          <w:tcPr>
            <w:tcW w:w="1792" w:type="dxa"/>
            <w:tcBorders>
              <w:top w:val="nil"/>
              <w:bottom w:val="single" w:sz="4" w:space="0" w:color="auto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</w:tr>
      <w:tr w:rsidR="00AF11F1" w:rsidTr="00AF11F1">
        <w:tc>
          <w:tcPr>
            <w:tcW w:w="1792" w:type="dxa"/>
            <w:tcBorders>
              <w:top w:val="single" w:sz="4" w:space="0" w:color="auto"/>
              <w:bottom w:val="nil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F59">
              <w:rPr>
                <w:rFonts w:ascii="Times New Roman" w:hAnsi="Times New Roman" w:cs="Times New Roman"/>
                <w:b/>
                <w:sz w:val="24"/>
                <w:szCs w:val="24"/>
              </w:rPr>
              <w:t>24-30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AF11F1" w:rsidTr="00AF11F1">
        <w:tc>
          <w:tcPr>
            <w:tcW w:w="1792" w:type="dxa"/>
            <w:tcBorders>
              <w:top w:val="nil"/>
              <w:bottom w:val="single" w:sz="4" w:space="0" w:color="auto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</w:tr>
      <w:tr w:rsidR="00AF11F1" w:rsidTr="00AF11F1">
        <w:tc>
          <w:tcPr>
            <w:tcW w:w="1792" w:type="dxa"/>
            <w:tcBorders>
              <w:top w:val="single" w:sz="4" w:space="0" w:color="auto"/>
              <w:bottom w:val="nil"/>
            </w:tcBorders>
          </w:tcPr>
          <w:p w:rsidR="00AF11F1" w:rsidRPr="00E13F59" w:rsidRDefault="00AF11F1" w:rsidP="00DA66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F59">
              <w:rPr>
                <w:rFonts w:ascii="Times New Roman" w:hAnsi="Times New Roman" w:cs="Times New Roman"/>
                <w:b/>
                <w:sz w:val="24"/>
                <w:szCs w:val="24"/>
              </w:rPr>
              <w:t>30-36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321" w:type="dxa"/>
            <w:tcBorders>
              <w:top w:val="single" w:sz="4" w:space="0" w:color="auto"/>
              <w:bottom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11F1" w:rsidTr="00AF11F1">
        <w:tc>
          <w:tcPr>
            <w:tcW w:w="1792" w:type="dxa"/>
            <w:tcBorders>
              <w:top w:val="nil"/>
            </w:tcBorders>
          </w:tcPr>
          <w:p w:rsidR="00AF11F1" w:rsidRDefault="00AF11F1" w:rsidP="00DA66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0" w:type="dxa"/>
            <w:tcBorders>
              <w:top w:val="nil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1321" w:type="dxa"/>
            <w:tcBorders>
              <w:top w:val="nil"/>
            </w:tcBorders>
          </w:tcPr>
          <w:p w:rsidR="00AF11F1" w:rsidRDefault="00AF11F1" w:rsidP="00794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</w:tr>
    </w:tbl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126EA" w:rsidRDefault="000126EA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126EA" w:rsidRDefault="000126EA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666E" w:rsidRDefault="00DA666E" w:rsidP="00DA66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E97" w:rsidRDefault="00491E97" w:rsidP="000126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3BF6" w:rsidRDefault="00BD3BF6" w:rsidP="000126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3BF6" w:rsidRDefault="00BD3BF6" w:rsidP="000126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3BF6" w:rsidRDefault="00BD3BF6" w:rsidP="000126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3BF6" w:rsidRDefault="00BD3BF6" w:rsidP="000126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3BF6" w:rsidRDefault="00CF5411" w:rsidP="000126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drawing>
          <wp:inline distT="0" distB="0" distL="0" distR="0">
            <wp:extent cx="5604706" cy="7753350"/>
            <wp:effectExtent l="0" t="0" r="0" b="0"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297" cy="7756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5411" w:rsidRPr="00DA666E" w:rsidRDefault="00CF5411" w:rsidP="00CF541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>. Mean and standard deviation of serum LDH z-score based on baseline characteristics of participants</w:t>
      </w:r>
    </w:p>
    <w:p w:rsidR="00CF5411" w:rsidRDefault="00CF5411" w:rsidP="000126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CF5411" w:rsidSect="000126EA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491E97" w:rsidRDefault="00491E97" w:rsidP="000126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8639175" cy="5297071"/>
            <wp:effectExtent l="19050" t="0" r="9525" b="0"/>
            <wp:docPr id="1" name="Picture 0" descr="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9175" cy="529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CFC" w:rsidRPr="00DA666E" w:rsidRDefault="000126EA" w:rsidP="000126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70A30">
        <w:rPr>
          <w:rFonts w:ascii="Times New Roman" w:hAnsi="Times New Roman" w:cs="Times New Roman"/>
          <w:b/>
          <w:sz w:val="24"/>
          <w:szCs w:val="24"/>
        </w:rPr>
        <w:t>S</w:t>
      </w:r>
      <w:r w:rsidR="00CF541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The average of serum LDH measured within 6-month interval times prior to cancer diagnosis, stratified by cancer site</w:t>
      </w:r>
    </w:p>
    <w:sectPr w:rsidR="00967CFC" w:rsidRPr="00DA666E" w:rsidSect="00491E9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A666E"/>
    <w:rsid w:val="000126EA"/>
    <w:rsid w:val="00491E97"/>
    <w:rsid w:val="005241CB"/>
    <w:rsid w:val="00545551"/>
    <w:rsid w:val="005B5D12"/>
    <w:rsid w:val="005C16E6"/>
    <w:rsid w:val="00770A30"/>
    <w:rsid w:val="009A342E"/>
    <w:rsid w:val="00AF11F1"/>
    <w:rsid w:val="00B36CC6"/>
    <w:rsid w:val="00BD3BF6"/>
    <w:rsid w:val="00C2714E"/>
    <w:rsid w:val="00CF5411"/>
    <w:rsid w:val="00DA666E"/>
    <w:rsid w:val="00E13F59"/>
    <w:rsid w:val="00FA6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6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6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6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King's College London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Wulan</dc:creator>
  <cp:lastModifiedBy>Wulan</cp:lastModifiedBy>
  <cp:revision>8</cp:revision>
  <dcterms:created xsi:type="dcterms:W3CDTF">2015-04-15T05:14:00Z</dcterms:created>
  <dcterms:modified xsi:type="dcterms:W3CDTF">2015-09-11T22:02:00Z</dcterms:modified>
</cp:coreProperties>
</file>