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83" w:rsidRPr="00DD0EF6" w:rsidRDefault="00704283" w:rsidP="00704283">
      <w:pPr>
        <w:spacing w:after="0" w:line="360" w:lineRule="auto"/>
        <w:jc w:val="both"/>
        <w:rPr>
          <w:rFonts w:ascii="Times New Roman" w:hAnsi="Times New Roman"/>
          <w:lang w:val="en-US"/>
        </w:rPr>
      </w:pPr>
    </w:p>
    <w:tbl>
      <w:tblPr>
        <w:tblStyle w:val="Tablanormal12"/>
        <w:tblW w:w="9585" w:type="dxa"/>
        <w:tblLook w:val="0600" w:firstRow="0" w:lastRow="0" w:firstColumn="0" w:lastColumn="0" w:noHBand="1" w:noVBand="1"/>
      </w:tblPr>
      <w:tblGrid>
        <w:gridCol w:w="1668"/>
        <w:gridCol w:w="7917"/>
      </w:tblGrid>
      <w:tr w:rsidR="005E0665" w:rsidRPr="005E0665" w:rsidTr="005E0665">
        <w:trPr>
          <w:trHeight w:val="190"/>
        </w:trPr>
        <w:tc>
          <w:tcPr>
            <w:tcW w:w="9585" w:type="dxa"/>
            <w:gridSpan w:val="2"/>
            <w:shd w:val="clear" w:color="auto" w:fill="002060"/>
          </w:tcPr>
          <w:p w:rsidR="005E0665" w:rsidRPr="005E0665" w:rsidRDefault="005E0665" w:rsidP="001E491C">
            <w:pPr>
              <w:rPr>
                <w:rFonts w:ascii="Times New Roman" w:hAnsi="Times New Roman"/>
                <w:b/>
                <w:color w:val="FFFFFF" w:themeColor="background1"/>
                <w:sz w:val="28"/>
                <w:szCs w:val="28"/>
                <w:lang w:val="en-US"/>
              </w:rPr>
            </w:pPr>
            <w:r w:rsidRPr="005E0665">
              <w:rPr>
                <w:rFonts w:ascii="Times New Roman" w:hAnsi="Times New Roman"/>
                <w:b/>
                <w:color w:val="FFFFFF" w:themeColor="background1"/>
                <w:sz w:val="28"/>
                <w:szCs w:val="28"/>
                <w:lang w:val="en-US"/>
              </w:rPr>
              <w:t>Supplementary Table 1: Key definitions of the study and glossary</w:t>
            </w:r>
          </w:p>
        </w:tc>
      </w:tr>
      <w:tr w:rsidR="00704283" w:rsidRPr="00DD0EF6" w:rsidTr="00CC3833">
        <w:trPr>
          <w:trHeight w:val="190"/>
        </w:trPr>
        <w:tc>
          <w:tcPr>
            <w:tcW w:w="1668" w:type="dxa"/>
          </w:tcPr>
          <w:p w:rsidR="00704283" w:rsidRPr="00DD0EF6" w:rsidRDefault="00704283" w:rsidP="005E0665">
            <w:pPr>
              <w:jc w:val="center"/>
              <w:rPr>
                <w:rFonts w:ascii="Times New Roman" w:hAnsi="Times New Roman"/>
                <w:b/>
                <w:lang w:val="en-US"/>
              </w:rPr>
            </w:pPr>
            <w:r w:rsidRPr="00DD0EF6">
              <w:rPr>
                <w:rFonts w:ascii="Times New Roman" w:hAnsi="Times New Roman"/>
                <w:b/>
                <w:lang w:val="en-US"/>
              </w:rPr>
              <w:t>Variable</w:t>
            </w:r>
          </w:p>
        </w:tc>
        <w:tc>
          <w:tcPr>
            <w:tcW w:w="7917" w:type="dxa"/>
          </w:tcPr>
          <w:p w:rsidR="00704283" w:rsidRPr="00DD0EF6" w:rsidRDefault="00704283" w:rsidP="005E0665">
            <w:pPr>
              <w:jc w:val="center"/>
              <w:rPr>
                <w:rFonts w:ascii="Times New Roman" w:hAnsi="Times New Roman"/>
                <w:b/>
                <w:lang w:val="en-US"/>
              </w:rPr>
            </w:pPr>
            <w:r w:rsidRPr="00DD0EF6">
              <w:rPr>
                <w:rFonts w:ascii="Times New Roman" w:hAnsi="Times New Roman"/>
                <w:b/>
                <w:lang w:val="en-US"/>
              </w:rPr>
              <w:t>Definition</w:t>
            </w:r>
          </w:p>
        </w:tc>
      </w:tr>
      <w:tr w:rsidR="00704283" w:rsidRPr="005E0665" w:rsidTr="00CC3833">
        <w:trPr>
          <w:trHeight w:val="364"/>
        </w:trPr>
        <w:tc>
          <w:tcPr>
            <w:tcW w:w="1668" w:type="dxa"/>
          </w:tcPr>
          <w:p w:rsidR="00704283" w:rsidRPr="005E0665" w:rsidRDefault="00C97AA6" w:rsidP="001E491C">
            <w:pPr>
              <w:rPr>
                <w:rFonts w:ascii="Times New Roman" w:hAnsi="Times New Roman"/>
                <w:sz w:val="20"/>
                <w:szCs w:val="20"/>
                <w:lang w:val="en-US"/>
              </w:rPr>
            </w:pPr>
            <w:r w:rsidRPr="005E0665">
              <w:rPr>
                <w:rFonts w:ascii="Times New Roman" w:hAnsi="Times New Roman"/>
                <w:sz w:val="20"/>
                <w:szCs w:val="20"/>
                <w:lang w:val="en-US"/>
              </w:rPr>
              <w:t>HER2-positive treated tumo</w:t>
            </w:r>
            <w:r w:rsidR="00704283" w:rsidRPr="005E0665">
              <w:rPr>
                <w:rFonts w:ascii="Times New Roman" w:hAnsi="Times New Roman"/>
                <w:sz w:val="20"/>
                <w:szCs w:val="20"/>
                <w:lang w:val="en-US"/>
              </w:rPr>
              <w:t>r</w:t>
            </w:r>
          </w:p>
        </w:tc>
        <w:tc>
          <w:tcPr>
            <w:tcW w:w="7917" w:type="dxa"/>
          </w:tcPr>
          <w:p w:rsidR="00704283" w:rsidRPr="005E0665" w:rsidRDefault="00704283" w:rsidP="00C97AA6">
            <w:pPr>
              <w:jc w:val="both"/>
              <w:rPr>
                <w:rFonts w:ascii="Times New Roman" w:hAnsi="Times New Roman"/>
                <w:sz w:val="20"/>
                <w:szCs w:val="20"/>
                <w:lang w:val="en-US"/>
              </w:rPr>
            </w:pPr>
            <w:r w:rsidRPr="005E0665">
              <w:rPr>
                <w:rFonts w:ascii="Times New Roman" w:hAnsi="Times New Roman"/>
                <w:sz w:val="20"/>
                <w:szCs w:val="20"/>
                <w:lang w:val="en-US"/>
              </w:rPr>
              <w:t xml:space="preserve">HER2-positive tumor (defined as 3+ </w:t>
            </w:r>
            <w:proofErr w:type="spellStart"/>
            <w:r w:rsidRPr="005E0665">
              <w:rPr>
                <w:rFonts w:ascii="Times New Roman" w:hAnsi="Times New Roman"/>
                <w:sz w:val="20"/>
                <w:szCs w:val="20"/>
                <w:lang w:val="en-US"/>
              </w:rPr>
              <w:t>immunohistochemical</w:t>
            </w:r>
            <w:proofErr w:type="spellEnd"/>
            <w:r w:rsidRPr="005E0665">
              <w:rPr>
                <w:rFonts w:ascii="Times New Roman" w:hAnsi="Times New Roman"/>
                <w:sz w:val="20"/>
                <w:szCs w:val="20"/>
                <w:lang w:val="en-US"/>
              </w:rPr>
              <w:t xml:space="preserve"> staining (IHC) or 2+ with fluorescence in situ hybridization (FISH) positivity) </w:t>
            </w:r>
            <w:r w:rsidR="00C97AA6" w:rsidRPr="005E0665">
              <w:rPr>
                <w:rFonts w:ascii="Times New Roman" w:hAnsi="Times New Roman"/>
                <w:sz w:val="20"/>
                <w:szCs w:val="20"/>
                <w:lang w:val="en-US"/>
              </w:rPr>
              <w:t xml:space="preserve">undergoing first-line </w:t>
            </w:r>
            <w:proofErr w:type="spellStart"/>
            <w:r w:rsidR="00C97AA6" w:rsidRPr="005E0665">
              <w:rPr>
                <w:rFonts w:ascii="Times New Roman" w:hAnsi="Times New Roman"/>
                <w:sz w:val="20"/>
                <w:szCs w:val="20"/>
                <w:lang w:val="en-US"/>
              </w:rPr>
              <w:t>trastuzumab</w:t>
            </w:r>
            <w:proofErr w:type="spellEnd"/>
            <w:r w:rsidR="00C97AA6" w:rsidRPr="005E0665">
              <w:rPr>
                <w:rFonts w:ascii="Times New Roman" w:hAnsi="Times New Roman"/>
                <w:sz w:val="20"/>
                <w:szCs w:val="20"/>
                <w:lang w:val="en-US"/>
              </w:rPr>
              <w:t xml:space="preserve"> with </w:t>
            </w:r>
            <w:proofErr w:type="spellStart"/>
            <w:r w:rsidR="00C97AA6" w:rsidRPr="005E0665">
              <w:rPr>
                <w:rFonts w:ascii="Times New Roman" w:hAnsi="Times New Roman"/>
                <w:sz w:val="20"/>
                <w:szCs w:val="20"/>
                <w:lang w:val="en-US"/>
              </w:rPr>
              <w:t>polychemotherapy</w:t>
            </w:r>
            <w:proofErr w:type="spellEnd"/>
            <w:r w:rsidR="00C97AA6" w:rsidRPr="005E0665">
              <w:rPr>
                <w:rFonts w:ascii="Times New Roman" w:hAnsi="Times New Roman"/>
                <w:sz w:val="20"/>
                <w:szCs w:val="20"/>
                <w:lang w:val="en-US"/>
              </w:rPr>
              <w:t>.</w:t>
            </w:r>
          </w:p>
        </w:tc>
      </w:tr>
      <w:tr w:rsidR="00704283" w:rsidRPr="005E0665" w:rsidTr="00CC3833">
        <w:trPr>
          <w:trHeight w:val="486"/>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ECOG PS</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The ECOG-PS is based in 5 grades, from 0 to 5, with 0 denoting perfect health and 5 indicating death. The purpose of this scale is to assess how the disease affects patients’ daily living abilities.</w:t>
            </w:r>
          </w:p>
        </w:tc>
      </w:tr>
      <w:tr w:rsidR="00704283" w:rsidRPr="00C97AA6" w:rsidTr="00CC3833">
        <w:trPr>
          <w:trHeight w:val="523"/>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Metastatic sites (organs involved)</w:t>
            </w:r>
          </w:p>
        </w:tc>
        <w:tc>
          <w:tcPr>
            <w:tcW w:w="7917" w:type="dxa"/>
          </w:tcPr>
          <w:p w:rsidR="00704283" w:rsidRPr="005E0665" w:rsidRDefault="00C97AA6" w:rsidP="001E491C">
            <w:pPr>
              <w:jc w:val="both"/>
              <w:rPr>
                <w:rFonts w:ascii="Times New Roman" w:hAnsi="Times New Roman"/>
                <w:sz w:val="20"/>
                <w:szCs w:val="20"/>
                <w:lang w:val="en-US"/>
              </w:rPr>
            </w:pPr>
            <w:r w:rsidRPr="005E0665">
              <w:rPr>
                <w:rFonts w:ascii="Times New Roman" w:hAnsi="Times New Roman"/>
                <w:sz w:val="20"/>
                <w:szCs w:val="20"/>
                <w:lang w:val="en-US"/>
              </w:rPr>
              <w:t>The variable is defined as the number of involved organs, not the number of metastases. Distant lymph node regions (cervical, thoracic, abdominal, peritoneal, retroperitoneal, inguinal, etc.) should be considered independently. The primary tumor is not counted.</w:t>
            </w:r>
          </w:p>
        </w:tc>
      </w:tr>
      <w:tr w:rsidR="00704283" w:rsidRPr="005E0665" w:rsidTr="00CC3833">
        <w:trPr>
          <w:trHeight w:val="523"/>
        </w:trPr>
        <w:tc>
          <w:tcPr>
            <w:tcW w:w="1668" w:type="dxa"/>
          </w:tcPr>
          <w:p w:rsidR="00704283" w:rsidRPr="005E0665" w:rsidRDefault="00704283" w:rsidP="001E491C">
            <w:pPr>
              <w:rPr>
                <w:rFonts w:ascii="Times New Roman" w:hAnsi="Times New Roman"/>
                <w:sz w:val="20"/>
                <w:szCs w:val="20"/>
                <w:vertAlign w:val="superscript"/>
                <w:lang w:val="en-US"/>
              </w:rPr>
            </w:pPr>
            <w:r w:rsidRPr="005E0665">
              <w:rPr>
                <w:rFonts w:ascii="Times New Roman" w:hAnsi="Times New Roman"/>
                <w:sz w:val="20"/>
                <w:szCs w:val="20"/>
                <w:lang w:val="en-US"/>
              </w:rPr>
              <w:t>Ascites</w:t>
            </w:r>
            <w:r w:rsidR="00CC3588" w:rsidRPr="005E0665">
              <w:rPr>
                <w:rFonts w:ascii="Times New Roman" w:hAnsi="Times New Roman"/>
                <w:sz w:val="20"/>
                <w:szCs w:val="20"/>
                <w:vertAlign w:val="superscript"/>
                <w:lang w:val="en-US"/>
              </w:rPr>
              <w:t>*</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 xml:space="preserve">Grade 1 (mild): </w:t>
            </w:r>
            <w:r w:rsidR="00EC1CDB" w:rsidRPr="005E0665">
              <w:rPr>
                <w:rFonts w:ascii="Times New Roman" w:hAnsi="Times New Roman"/>
                <w:sz w:val="20"/>
                <w:szCs w:val="20"/>
                <w:lang w:val="en-US"/>
              </w:rPr>
              <w:t>Ascites not clinically evident, only detectable by ultrasound or CT examination</w:t>
            </w:r>
          </w:p>
          <w:p w:rsidR="00704283" w:rsidRPr="005E0665" w:rsidRDefault="00EC1CDB" w:rsidP="001E491C">
            <w:pPr>
              <w:jc w:val="both"/>
              <w:rPr>
                <w:rFonts w:ascii="Times New Roman" w:hAnsi="Times New Roman"/>
                <w:sz w:val="20"/>
                <w:szCs w:val="20"/>
                <w:lang w:val="en-US"/>
              </w:rPr>
            </w:pPr>
            <w:r w:rsidRPr="005E0665">
              <w:rPr>
                <w:rFonts w:ascii="Times New Roman" w:hAnsi="Times New Roman"/>
                <w:sz w:val="20"/>
                <w:szCs w:val="20"/>
                <w:lang w:val="en-US"/>
              </w:rPr>
              <w:t>Grade 2 (moderate): Ascites causing sensible symmetrical abdominal distension</w:t>
            </w:r>
          </w:p>
          <w:p w:rsidR="00EC1CDB" w:rsidRPr="005E0665" w:rsidRDefault="00EC1CDB" w:rsidP="001E491C">
            <w:pPr>
              <w:jc w:val="both"/>
              <w:rPr>
                <w:rFonts w:ascii="Times New Roman" w:hAnsi="Times New Roman"/>
                <w:sz w:val="20"/>
                <w:szCs w:val="20"/>
                <w:lang w:val="en-US"/>
              </w:rPr>
            </w:pPr>
            <w:r w:rsidRPr="005E0665">
              <w:rPr>
                <w:rFonts w:ascii="Times New Roman" w:hAnsi="Times New Roman"/>
                <w:sz w:val="20"/>
                <w:szCs w:val="20"/>
                <w:lang w:val="en-US"/>
              </w:rPr>
              <w:t>Grade 3 (severe): Large</w:t>
            </w:r>
            <w:r w:rsidR="006B18AD" w:rsidRPr="005E0665">
              <w:rPr>
                <w:rFonts w:ascii="Times New Roman" w:hAnsi="Times New Roman"/>
                <w:sz w:val="20"/>
                <w:szCs w:val="20"/>
                <w:lang w:val="en-US"/>
              </w:rPr>
              <w:t xml:space="preserve"> </w:t>
            </w:r>
            <w:r w:rsidRPr="005E0665">
              <w:rPr>
                <w:rFonts w:ascii="Times New Roman" w:hAnsi="Times New Roman"/>
                <w:sz w:val="20"/>
                <w:szCs w:val="20"/>
                <w:lang w:val="en-US"/>
              </w:rPr>
              <w:t>ascites with noticeable tense abdominal distension of  abdomen</w:t>
            </w:r>
          </w:p>
        </w:tc>
      </w:tr>
      <w:tr w:rsidR="00704283" w:rsidRPr="005E0665" w:rsidTr="00CC3833">
        <w:trPr>
          <w:trHeight w:val="523"/>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Histological grade</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Grade denotes the degree of differentiation of cancer cells that correlates with the aggressiveness of the tumor. Pathologic grade classifies gastric cancer into 1 of 3 categories: well- (G1), moderately- (G2), or poorly-differentiated/anaplastic (G3).</w:t>
            </w:r>
          </w:p>
        </w:tc>
      </w:tr>
      <w:tr w:rsidR="00704283" w:rsidRPr="005E0665" w:rsidTr="00CC3833">
        <w:trPr>
          <w:trHeight w:val="383"/>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NLR ratio</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Neutrophil-to-lymphocyte ratio (NLR) was calculated by dividing the absolute neutrophil count by number of lymphocytes in a peripheral blood sample.</w:t>
            </w:r>
          </w:p>
        </w:tc>
      </w:tr>
      <w:tr w:rsidR="00704283" w:rsidRPr="005E0665" w:rsidTr="00CC3833">
        <w:trPr>
          <w:trHeight w:val="523"/>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 xml:space="preserve">Royal Marsden Hospital prognostic index (RMH-I) </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The model includes four prognostic factors: ECOG PS ≥2, liver metastases, peritoneal metastases, and alkaline phosphatase ≥100 U/L. All four factors have a similar order of magnitude; therefore, they can be combined into a simple prognostic score. Patients with no risk factors were categorized as good risk group, those with 1 or 2 risk factors as moderate risk group, and those with 3 or 4 risk factors as poor risk group. Median overall survival (OS) for good-, moderate-, and high-risk groups was 11.8, 7.4, and 4.1 months, respectively.</w:t>
            </w:r>
          </w:p>
        </w:tc>
      </w:tr>
      <w:tr w:rsidR="00704283" w:rsidRPr="00DD0EF6" w:rsidTr="00CC3833">
        <w:trPr>
          <w:trHeight w:val="523"/>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Japan Clinical Oncology Group prognostic index (JCOG-I)</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 xml:space="preserve">JCOG-I includes ECOG PS ≥1, number of metastatic sites ≥2, no prior </w:t>
            </w:r>
            <w:proofErr w:type="spellStart"/>
            <w:r w:rsidRPr="005E0665">
              <w:rPr>
                <w:rFonts w:ascii="Times New Roman" w:hAnsi="Times New Roman"/>
                <w:sz w:val="20"/>
                <w:szCs w:val="20"/>
                <w:lang w:val="en-US"/>
              </w:rPr>
              <w:t>gastrectomy</w:t>
            </w:r>
            <w:proofErr w:type="spellEnd"/>
            <w:r w:rsidRPr="005E0665">
              <w:rPr>
                <w:rFonts w:ascii="Times New Roman" w:hAnsi="Times New Roman"/>
                <w:sz w:val="20"/>
                <w:szCs w:val="20"/>
                <w:lang w:val="en-US"/>
              </w:rPr>
              <w:t>, and elevated alkaline phosphatase as prognostic factors. Patients with 0 or 1 risk factor were categorized into the low-risk group, those with 2 or 3 risk factors into the moderate-risk group, and those with 4 risk factors into the high-risk group. Median OS was 17.0, 10.4, and 5.0 months, respectively</w:t>
            </w:r>
            <w:r w:rsidR="00CC3833" w:rsidRPr="005E0665">
              <w:rPr>
                <w:rFonts w:ascii="Times New Roman" w:hAnsi="Times New Roman"/>
                <w:sz w:val="20"/>
                <w:szCs w:val="20"/>
                <w:vertAlign w:val="superscript"/>
                <w:lang w:val="en-US"/>
              </w:rPr>
              <w:t>7</w:t>
            </w:r>
            <w:r w:rsidRPr="005E0665">
              <w:rPr>
                <w:rFonts w:ascii="Times New Roman" w:hAnsi="Times New Roman"/>
                <w:sz w:val="20"/>
                <w:szCs w:val="20"/>
                <w:lang w:val="en-US"/>
              </w:rPr>
              <w:t>.</w:t>
            </w:r>
          </w:p>
        </w:tc>
      </w:tr>
      <w:tr w:rsidR="00704283" w:rsidRPr="005E0665" w:rsidTr="00CC3833">
        <w:trPr>
          <w:trHeight w:val="523"/>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Prognostic model</w:t>
            </w:r>
          </w:p>
        </w:tc>
        <w:tc>
          <w:tcPr>
            <w:tcW w:w="7917" w:type="dxa"/>
          </w:tcPr>
          <w:p w:rsidR="00704283" w:rsidRPr="005E0665" w:rsidRDefault="00CC3833" w:rsidP="001E491C">
            <w:pPr>
              <w:jc w:val="both"/>
              <w:rPr>
                <w:rFonts w:ascii="Times New Roman" w:hAnsi="Times New Roman"/>
                <w:sz w:val="20"/>
                <w:szCs w:val="20"/>
                <w:lang w:val="en-US"/>
              </w:rPr>
            </w:pPr>
            <w:r w:rsidRPr="005E0665">
              <w:rPr>
                <w:rFonts w:ascii="Times New Roman" w:hAnsi="Times New Roman"/>
                <w:sz w:val="20"/>
                <w:szCs w:val="20"/>
                <w:lang w:val="en-US"/>
              </w:rPr>
              <w:t>A mathematical equation describing the relationship between one or more prognostic variables and a given outcome</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Risk score</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simplified version of a prognostic model, in which scores are assigned to each risk factor (p.eg, on the basis of rounded regression coefficients)</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proofErr w:type="spellStart"/>
            <w:r w:rsidRPr="005E0665">
              <w:rPr>
                <w:rFonts w:ascii="Times New Roman" w:hAnsi="Times New Roman"/>
                <w:sz w:val="20"/>
                <w:szCs w:val="20"/>
                <w:lang w:val="en-US"/>
              </w:rPr>
              <w:t>Nomogram</w:t>
            </w:r>
            <w:proofErr w:type="spellEnd"/>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graphic representation of the solution of an equation that estimates the probability of an event at specific time</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Multiple imputation</w:t>
            </w:r>
          </w:p>
        </w:tc>
        <w:tc>
          <w:tcPr>
            <w:tcW w:w="7917" w:type="dxa"/>
          </w:tcPr>
          <w:p w:rsidR="00704283" w:rsidRPr="005E0665" w:rsidRDefault="00CC3833" w:rsidP="001E491C">
            <w:pPr>
              <w:jc w:val="both"/>
              <w:rPr>
                <w:rFonts w:ascii="Times New Roman" w:hAnsi="Times New Roman"/>
                <w:sz w:val="20"/>
                <w:szCs w:val="20"/>
                <w:lang w:val="en-US"/>
              </w:rPr>
            </w:pPr>
            <w:r w:rsidRPr="005E0665">
              <w:rPr>
                <w:rFonts w:ascii="Times New Roman" w:hAnsi="Times New Roman"/>
                <w:sz w:val="20"/>
                <w:szCs w:val="20"/>
                <w:lang w:val="en-US"/>
              </w:rPr>
              <w:t>A statistical strategy to deal with datasets with missing values, which replaces each missing observation with a set of plausible values that represent the uncertainty about the correct value to impute</w:t>
            </w:r>
          </w:p>
        </w:tc>
      </w:tr>
      <w:tr w:rsidR="00704283" w:rsidRPr="005E0665" w:rsidTr="00CC3833">
        <w:trPr>
          <w:trHeight w:val="585"/>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Cox proportional hazards regression model</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model to analyze survival time data, which describes the time that passes before an event occurs and a set of covariates that may be associated with that amount of time</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Log-rank test</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hypothesis test to compare the survival distributions of two samples</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Proportional hazard assumption</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key assumption of the Cox model, according to which each covariate has a multiplicative effect in the hazards function that is constant over time</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proofErr w:type="spellStart"/>
            <w:r w:rsidRPr="005E0665">
              <w:rPr>
                <w:rFonts w:ascii="Times New Roman" w:hAnsi="Times New Roman"/>
                <w:sz w:val="20"/>
                <w:szCs w:val="20"/>
                <w:lang w:val="en-US"/>
              </w:rPr>
              <w:t>Schoenfeld</w:t>
            </w:r>
            <w:proofErr w:type="spellEnd"/>
            <w:r w:rsidRPr="005E0665">
              <w:rPr>
                <w:rFonts w:ascii="Times New Roman" w:hAnsi="Times New Roman"/>
                <w:sz w:val="20"/>
                <w:szCs w:val="20"/>
                <w:lang w:val="en-US"/>
              </w:rPr>
              <w:t xml:space="preserve"> residuals test</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statistical test to assess the independence between residuals and time; hence, it is used to evaluate the proportional hazard assumption in Cox models.</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Validation</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process of testing a model on different populations to obtain unbiased estimates of its performance and to judge its applicability to these populations</w:t>
            </w:r>
          </w:p>
        </w:tc>
      </w:tr>
      <w:tr w:rsidR="00704283" w:rsidRPr="005E0665" w:rsidTr="00CC3833">
        <w:trPr>
          <w:trHeight w:val="364"/>
        </w:trPr>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Discrimination</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The model’s ability to distinguish between patients who experienc</w:t>
            </w:r>
            <w:r w:rsidR="005E0665">
              <w:rPr>
                <w:rFonts w:ascii="Times New Roman" w:hAnsi="Times New Roman"/>
                <w:sz w:val="20"/>
                <w:szCs w:val="20"/>
                <w:lang w:val="en-US"/>
              </w:rPr>
              <w:t>e an event from those who do not</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Concordance index (c-index)</w:t>
            </w:r>
          </w:p>
        </w:tc>
        <w:tc>
          <w:tcPr>
            <w:tcW w:w="7917" w:type="dxa"/>
          </w:tcPr>
          <w:p w:rsidR="004072EF"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generalization of the area under the curve (AUC) of a receiver operating curve (ROC) for censored data testing the model’s ability to separate patients with different prognoses. It is measured on a scale from 0.5 (random prediction) to 1 (</w:t>
            </w:r>
            <w:r w:rsidR="004072EF" w:rsidRPr="005E0665">
              <w:rPr>
                <w:rFonts w:ascii="Times New Roman" w:hAnsi="Times New Roman"/>
                <w:sz w:val="20"/>
                <w:szCs w:val="20"/>
                <w:lang w:val="en-US"/>
              </w:rPr>
              <w:t>perfectly discriminating model).</w:t>
            </w:r>
          </w:p>
        </w:tc>
      </w:tr>
      <w:tr w:rsidR="00704283" w:rsidRPr="005E0665" w:rsidTr="00CC3833">
        <w:tc>
          <w:tcPr>
            <w:tcW w:w="1668" w:type="dxa"/>
          </w:tcPr>
          <w:p w:rsidR="00704283" w:rsidRPr="005E0665" w:rsidRDefault="00704283" w:rsidP="001E491C">
            <w:pPr>
              <w:rPr>
                <w:rFonts w:ascii="Times New Roman" w:hAnsi="Times New Roman"/>
                <w:sz w:val="20"/>
                <w:szCs w:val="20"/>
                <w:lang w:val="en-US"/>
              </w:rPr>
            </w:pPr>
            <w:r w:rsidRPr="005E0665">
              <w:rPr>
                <w:rFonts w:ascii="Times New Roman" w:hAnsi="Times New Roman"/>
                <w:sz w:val="20"/>
                <w:szCs w:val="20"/>
                <w:lang w:val="en-US"/>
              </w:rPr>
              <w:t>Calibration</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The model’s ability to estimate how close the predicted probabilities are to the observed probabilities</w:t>
            </w:r>
          </w:p>
        </w:tc>
        <w:bookmarkStart w:id="0" w:name="_GoBack"/>
        <w:bookmarkEnd w:id="0"/>
      </w:tr>
      <w:tr w:rsidR="00704283" w:rsidRPr="005E0665" w:rsidTr="00CC3833">
        <w:tc>
          <w:tcPr>
            <w:tcW w:w="1668" w:type="dxa"/>
          </w:tcPr>
          <w:p w:rsidR="00704283" w:rsidRPr="005E0665" w:rsidRDefault="00704283" w:rsidP="001E491C">
            <w:pPr>
              <w:rPr>
                <w:rFonts w:ascii="Times New Roman" w:hAnsi="Times New Roman"/>
                <w:sz w:val="20"/>
                <w:szCs w:val="20"/>
                <w:lang w:val="en-US"/>
              </w:rPr>
            </w:pPr>
            <w:proofErr w:type="spellStart"/>
            <w:r w:rsidRPr="005E0665">
              <w:rPr>
                <w:rFonts w:ascii="Times New Roman" w:hAnsi="Times New Roman"/>
                <w:sz w:val="20"/>
                <w:szCs w:val="20"/>
                <w:lang w:val="en-US"/>
              </w:rPr>
              <w:lastRenderedPageBreak/>
              <w:t>Gronnesby-Borgan</w:t>
            </w:r>
            <w:proofErr w:type="spellEnd"/>
            <w:r w:rsidRPr="005E0665">
              <w:rPr>
                <w:rFonts w:ascii="Times New Roman" w:hAnsi="Times New Roman"/>
                <w:sz w:val="20"/>
                <w:szCs w:val="20"/>
                <w:lang w:val="en-US"/>
              </w:rPr>
              <w:t xml:space="preserve"> test</w:t>
            </w:r>
          </w:p>
        </w:tc>
        <w:tc>
          <w:tcPr>
            <w:tcW w:w="7917" w:type="dxa"/>
          </w:tcPr>
          <w:p w:rsidR="00704283" w:rsidRPr="005E0665" w:rsidRDefault="00704283" w:rsidP="001E491C">
            <w:pPr>
              <w:jc w:val="both"/>
              <w:rPr>
                <w:rFonts w:ascii="Times New Roman" w:hAnsi="Times New Roman"/>
                <w:sz w:val="20"/>
                <w:szCs w:val="20"/>
                <w:lang w:val="en-US"/>
              </w:rPr>
            </w:pPr>
            <w:r w:rsidRPr="005E0665">
              <w:rPr>
                <w:rFonts w:ascii="Times New Roman" w:hAnsi="Times New Roman"/>
                <w:sz w:val="20"/>
                <w:szCs w:val="20"/>
                <w:lang w:val="en-US"/>
              </w:rPr>
              <w:t>A goodness-of-fit test to assess the calibration of a predictive model in a survival setting analysis using a counting process approach</w:t>
            </w:r>
          </w:p>
        </w:tc>
      </w:tr>
    </w:tbl>
    <w:p w:rsidR="005E0665" w:rsidRDefault="005E0665" w:rsidP="00CC3588">
      <w:pPr>
        <w:jc w:val="both"/>
        <w:rPr>
          <w:lang w:val="en-GB"/>
        </w:rPr>
      </w:pPr>
    </w:p>
    <w:p w:rsidR="00CC3588" w:rsidRPr="00CC3588" w:rsidRDefault="00CC3588" w:rsidP="00CC3588">
      <w:pPr>
        <w:jc w:val="both"/>
        <w:rPr>
          <w:rFonts w:ascii="Times New Roman" w:hAnsi="Times New Roman"/>
          <w:sz w:val="20"/>
          <w:szCs w:val="20"/>
          <w:lang w:val="en-GB"/>
        </w:rPr>
      </w:pPr>
      <w:r w:rsidRPr="00CC3588">
        <w:rPr>
          <w:rFonts w:ascii="Times New Roman" w:hAnsi="Times New Roman"/>
          <w:sz w:val="20"/>
          <w:szCs w:val="20"/>
          <w:vertAlign w:val="superscript"/>
          <w:lang w:val="en-GB"/>
        </w:rPr>
        <w:t xml:space="preserve">* </w:t>
      </w:r>
      <w:r w:rsidRPr="00CC3588">
        <w:rPr>
          <w:rFonts w:ascii="Times New Roman" w:hAnsi="Times New Roman"/>
          <w:sz w:val="20"/>
          <w:szCs w:val="20"/>
          <w:lang w:val="en-GB"/>
        </w:rPr>
        <w:t>Grades of ascites according to the European Association for the Study of the Liver</w:t>
      </w:r>
      <w:r>
        <w:rPr>
          <w:rFonts w:ascii="Times New Roman" w:hAnsi="Times New Roman"/>
          <w:sz w:val="20"/>
          <w:szCs w:val="20"/>
          <w:lang w:val="en-GB"/>
        </w:rPr>
        <w:t xml:space="preserve"> (EASL) clinical practice guidelines</w:t>
      </w:r>
      <w:r w:rsidR="006B18AD">
        <w:rPr>
          <w:rFonts w:ascii="Times New Roman" w:hAnsi="Times New Roman"/>
          <w:sz w:val="20"/>
          <w:szCs w:val="20"/>
          <w:lang w:val="en-GB"/>
        </w:rPr>
        <w:t xml:space="preserve"> (2010) </w:t>
      </w:r>
    </w:p>
    <w:p w:rsidR="006B18AD" w:rsidRPr="006B18AD" w:rsidRDefault="006B18AD" w:rsidP="006B18AD">
      <w:pPr>
        <w:shd w:val="clear" w:color="auto" w:fill="FFFFFF"/>
        <w:spacing w:after="0" w:line="348" w:lineRule="atLeast"/>
        <w:rPr>
          <w:rFonts w:ascii="Arial" w:eastAsia="Times New Roman" w:hAnsi="Arial" w:cs="Arial"/>
          <w:color w:val="000000"/>
          <w:sz w:val="20"/>
          <w:szCs w:val="20"/>
          <w:lang w:val="en-GB" w:eastAsia="es-ES"/>
        </w:rPr>
      </w:pPr>
    </w:p>
    <w:p w:rsidR="006B18AD" w:rsidRPr="006B18AD" w:rsidRDefault="006B18AD" w:rsidP="006B18AD">
      <w:pPr>
        <w:shd w:val="clear" w:color="auto" w:fill="FFFFFF"/>
        <w:spacing w:after="0" w:line="348" w:lineRule="atLeast"/>
        <w:rPr>
          <w:rFonts w:ascii="Arial" w:eastAsia="Times New Roman" w:hAnsi="Arial" w:cs="Arial"/>
          <w:color w:val="000000"/>
          <w:sz w:val="20"/>
          <w:szCs w:val="20"/>
          <w:lang w:val="en-GB" w:eastAsia="es-ES"/>
        </w:rPr>
      </w:pPr>
    </w:p>
    <w:p w:rsidR="00CC3588" w:rsidRPr="00CC3588" w:rsidRDefault="00CC3588">
      <w:pPr>
        <w:rPr>
          <w:rFonts w:ascii="Times New Roman" w:hAnsi="Times New Roman"/>
          <w:sz w:val="20"/>
          <w:szCs w:val="20"/>
          <w:lang w:val="en-GB"/>
        </w:rPr>
      </w:pPr>
    </w:p>
    <w:sectPr w:rsidR="00CC3588" w:rsidRPr="00CC35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669F9"/>
    <w:multiLevelType w:val="hybridMultilevel"/>
    <w:tmpl w:val="0C92C150"/>
    <w:lvl w:ilvl="0" w:tplc="2BF80D4A">
      <w:start w:val="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685"/>
    <w:rsid w:val="00232A3D"/>
    <w:rsid w:val="00315452"/>
    <w:rsid w:val="00362685"/>
    <w:rsid w:val="004072EF"/>
    <w:rsid w:val="005E0665"/>
    <w:rsid w:val="006B18AD"/>
    <w:rsid w:val="006B447F"/>
    <w:rsid w:val="00704283"/>
    <w:rsid w:val="008D554E"/>
    <w:rsid w:val="00924813"/>
    <w:rsid w:val="00C97AA6"/>
    <w:rsid w:val="00CC3588"/>
    <w:rsid w:val="00CC3833"/>
    <w:rsid w:val="00EC1CDB"/>
    <w:rsid w:val="00F47A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8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normal12">
    <w:name w:val="Tabla normal 12"/>
    <w:basedOn w:val="Tablanormal"/>
    <w:uiPriority w:val="41"/>
    <w:rsid w:val="0070428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C97AA6"/>
    <w:rPr>
      <w:sz w:val="16"/>
      <w:szCs w:val="16"/>
    </w:rPr>
  </w:style>
  <w:style w:type="paragraph" w:styleId="Textocomentario">
    <w:name w:val="annotation text"/>
    <w:basedOn w:val="Normal"/>
    <w:link w:val="TextocomentarioCar"/>
    <w:uiPriority w:val="99"/>
    <w:semiHidden/>
    <w:unhideWhenUsed/>
    <w:rsid w:val="00C97A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97AA6"/>
    <w:rPr>
      <w:rFonts w:ascii="Calibri" w:eastAsia="Calibri" w:hAnsi="Calibri" w:cs="Times New Roman"/>
      <w:sz w:val="20"/>
      <w:szCs w:val="20"/>
    </w:rPr>
  </w:style>
  <w:style w:type="paragraph" w:styleId="Textodeglobo">
    <w:name w:val="Balloon Text"/>
    <w:basedOn w:val="Normal"/>
    <w:link w:val="TextodegloboCar"/>
    <w:uiPriority w:val="99"/>
    <w:semiHidden/>
    <w:unhideWhenUsed/>
    <w:rsid w:val="00C97A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7AA6"/>
    <w:rPr>
      <w:rFonts w:ascii="Tahoma" w:eastAsia="Calibri" w:hAnsi="Tahoma" w:cs="Tahoma"/>
      <w:sz w:val="16"/>
      <w:szCs w:val="16"/>
    </w:rPr>
  </w:style>
  <w:style w:type="paragraph" w:styleId="Prrafodelista">
    <w:name w:val="List Paragraph"/>
    <w:basedOn w:val="Normal"/>
    <w:uiPriority w:val="34"/>
    <w:qFormat/>
    <w:rsid w:val="00EC1CDB"/>
    <w:pPr>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8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normal12">
    <w:name w:val="Tabla normal 12"/>
    <w:basedOn w:val="Tablanormal"/>
    <w:uiPriority w:val="41"/>
    <w:rsid w:val="0070428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C97AA6"/>
    <w:rPr>
      <w:sz w:val="16"/>
      <w:szCs w:val="16"/>
    </w:rPr>
  </w:style>
  <w:style w:type="paragraph" w:styleId="Textocomentario">
    <w:name w:val="annotation text"/>
    <w:basedOn w:val="Normal"/>
    <w:link w:val="TextocomentarioCar"/>
    <w:uiPriority w:val="99"/>
    <w:semiHidden/>
    <w:unhideWhenUsed/>
    <w:rsid w:val="00C97A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97AA6"/>
    <w:rPr>
      <w:rFonts w:ascii="Calibri" w:eastAsia="Calibri" w:hAnsi="Calibri" w:cs="Times New Roman"/>
      <w:sz w:val="20"/>
      <w:szCs w:val="20"/>
    </w:rPr>
  </w:style>
  <w:style w:type="paragraph" w:styleId="Textodeglobo">
    <w:name w:val="Balloon Text"/>
    <w:basedOn w:val="Normal"/>
    <w:link w:val="TextodegloboCar"/>
    <w:uiPriority w:val="99"/>
    <w:semiHidden/>
    <w:unhideWhenUsed/>
    <w:rsid w:val="00C97A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7AA6"/>
    <w:rPr>
      <w:rFonts w:ascii="Tahoma" w:eastAsia="Calibri" w:hAnsi="Tahoma" w:cs="Tahoma"/>
      <w:sz w:val="16"/>
      <w:szCs w:val="16"/>
    </w:rPr>
  </w:style>
  <w:style w:type="paragraph" w:styleId="Prrafodelista">
    <w:name w:val="List Paragraph"/>
    <w:basedOn w:val="Normal"/>
    <w:uiPriority w:val="34"/>
    <w:qFormat/>
    <w:rsid w:val="00EC1CDB"/>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82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1309E-11CB-490D-9DED-3A13351CA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746</Words>
  <Characters>4103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Custodio</dc:creator>
  <cp:lastModifiedBy>Ana Custodio</cp:lastModifiedBy>
  <cp:revision>4</cp:revision>
  <dcterms:created xsi:type="dcterms:W3CDTF">2017-03-13T22:00:00Z</dcterms:created>
  <dcterms:modified xsi:type="dcterms:W3CDTF">2017-04-07T10:03:00Z</dcterms:modified>
</cp:coreProperties>
</file>