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55283" w14:textId="349C1C85" w:rsidR="00FD76E2" w:rsidRPr="00FD76E2" w:rsidRDefault="00105C78" w:rsidP="00FD76E2">
      <w:pPr>
        <w:tabs>
          <w:tab w:val="num" w:pos="0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en-GB"/>
        </w:rPr>
      </w:pPr>
      <w:r>
        <w:rPr>
          <w:rFonts w:ascii="Arial" w:hAnsi="Arial" w:cs="Arial"/>
          <w:b/>
          <w:color w:val="000000"/>
          <w:sz w:val="22"/>
          <w:szCs w:val="22"/>
          <w:lang w:val="en-GB"/>
        </w:rPr>
        <w:t>Supplementary Table 6</w:t>
      </w:r>
      <w:r w:rsidR="00FD76E2" w:rsidRPr="00FD76E2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: List of transcription factors identified in the </w:t>
      </w:r>
      <w:r w:rsidR="00FD76E2" w:rsidRPr="00FD76E2">
        <w:rPr>
          <w:rFonts w:ascii="Arial" w:hAnsi="Arial" w:cs="Arial"/>
          <w:b/>
          <w:i/>
          <w:color w:val="000000"/>
          <w:sz w:val="22"/>
          <w:szCs w:val="22"/>
          <w:lang w:val="en-GB"/>
        </w:rPr>
        <w:t>trans</w:t>
      </w:r>
      <w:r w:rsidR="00FD76E2" w:rsidRPr="00FD76E2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analysis</w:t>
      </w:r>
    </w:p>
    <w:p w14:paraId="76383174" w14:textId="77777777" w:rsidR="00346447" w:rsidRPr="008E6F0F" w:rsidRDefault="00346447" w:rsidP="00346447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2"/>
        <w:gridCol w:w="2125"/>
        <w:gridCol w:w="2125"/>
        <w:gridCol w:w="2467"/>
        <w:gridCol w:w="1369"/>
        <w:gridCol w:w="1789"/>
      </w:tblGrid>
      <w:tr w:rsidR="00346447" w:rsidRPr="008E6F0F" w14:paraId="39DACA94" w14:textId="77777777" w:rsidTr="008D5CB6">
        <w:trPr>
          <w:trHeight w:val="133"/>
        </w:trPr>
        <w:tc>
          <w:tcPr>
            <w:tcW w:w="2032" w:type="dxa"/>
            <w:shd w:val="clear" w:color="auto" w:fill="auto"/>
            <w:vAlign w:val="center"/>
          </w:tcPr>
          <w:p w14:paraId="64CE2527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Chromosome</w:t>
            </w:r>
          </w:p>
          <w:p w14:paraId="5374264E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of the minimal</w:t>
            </w:r>
          </w:p>
          <w:p w14:paraId="29EE4FB6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recurrent regions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674B6A2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Start of the</w:t>
            </w:r>
          </w:p>
          <w:p w14:paraId="368F4390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minimal recurrent</w:t>
            </w:r>
          </w:p>
          <w:p w14:paraId="311FB591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regions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88555BE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End of the</w:t>
            </w:r>
          </w:p>
          <w:p w14:paraId="1E371A3D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minimal recurrent</w:t>
            </w:r>
          </w:p>
          <w:p w14:paraId="42F66330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regions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0147F7CA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Transcription Factors</w:t>
            </w:r>
          </w:p>
          <w:p w14:paraId="40F9C192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of the minimal</w:t>
            </w:r>
          </w:p>
          <w:p w14:paraId="4883D8EE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recurrent regions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0525EE11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E6F0F">
              <w:rPr>
                <w:rFonts w:ascii="Calibri" w:hAnsi="Calibri"/>
                <w:b/>
                <w:lang w:val="en-GB"/>
              </w:rPr>
              <w:t>Associated gene</w:t>
            </w:r>
          </w:p>
        </w:tc>
        <w:tc>
          <w:tcPr>
            <w:tcW w:w="1789" w:type="dxa"/>
            <w:vAlign w:val="center"/>
          </w:tcPr>
          <w:p w14:paraId="1B2AC038" w14:textId="77777777" w:rsidR="00346447" w:rsidRPr="008E6F0F" w:rsidRDefault="00346447" w:rsidP="008D5CB6">
            <w:pPr>
              <w:jc w:val="center"/>
              <w:rPr>
                <w:rFonts w:ascii="Calibri" w:hAnsi="Calibri" w:cs="Calibri"/>
                <w:b/>
                <w:lang w:val="en-GB"/>
              </w:rPr>
            </w:pPr>
            <w:r w:rsidRPr="008E6F0F">
              <w:rPr>
                <w:rFonts w:ascii="Calibri" w:eastAsia="Times New Roman" w:hAnsi="Calibri"/>
                <w:b/>
                <w:color w:val="000000"/>
                <w:lang w:val="en-GB" w:eastAsia="es-ES"/>
              </w:rPr>
              <w:t>Bonferroni</w:t>
            </w:r>
            <w:r w:rsidRPr="008E6F0F">
              <w:rPr>
                <w:rFonts w:ascii="Calibri" w:hAnsi="Calibri" w:cs="Calibri"/>
                <w:b/>
                <w:lang w:val="en-GB"/>
              </w:rPr>
              <w:t xml:space="preserve"> Adjusted</w:t>
            </w:r>
          </w:p>
          <w:p w14:paraId="521CE71B" w14:textId="77777777" w:rsidR="00346447" w:rsidRPr="008E6F0F" w:rsidRDefault="00346447" w:rsidP="008D5CB6">
            <w:pPr>
              <w:jc w:val="center"/>
              <w:rPr>
                <w:rFonts w:ascii="Calibri" w:hAnsi="Calibri"/>
                <w:b/>
                <w:highlight w:val="green"/>
                <w:lang w:val="en-GB"/>
              </w:rPr>
            </w:pPr>
            <w:r w:rsidRPr="008E6F0F">
              <w:rPr>
                <w:rFonts w:ascii="Calibri" w:hAnsi="Calibri" w:cs="Calibri"/>
                <w:b/>
                <w:i/>
                <w:lang w:val="en-GB"/>
              </w:rPr>
              <w:t>P</w:t>
            </w:r>
          </w:p>
        </w:tc>
      </w:tr>
      <w:tr w:rsidR="00346447" w:rsidRPr="008E6F0F" w14:paraId="4850CE40" w14:textId="77777777" w:rsidTr="008D5CB6">
        <w:tc>
          <w:tcPr>
            <w:tcW w:w="2032" w:type="dxa"/>
            <w:shd w:val="clear" w:color="auto" w:fill="auto"/>
          </w:tcPr>
          <w:p w14:paraId="199A6C74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10</w:t>
            </w:r>
          </w:p>
        </w:tc>
        <w:tc>
          <w:tcPr>
            <w:tcW w:w="2125" w:type="dxa"/>
            <w:shd w:val="clear" w:color="auto" w:fill="auto"/>
          </w:tcPr>
          <w:p w14:paraId="543F6C11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8110024</w:t>
            </w:r>
          </w:p>
        </w:tc>
        <w:tc>
          <w:tcPr>
            <w:tcW w:w="2125" w:type="dxa"/>
            <w:shd w:val="clear" w:color="auto" w:fill="auto"/>
          </w:tcPr>
          <w:p w14:paraId="20219E6C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8110937</w:t>
            </w:r>
          </w:p>
        </w:tc>
        <w:tc>
          <w:tcPr>
            <w:tcW w:w="2467" w:type="dxa"/>
            <w:shd w:val="clear" w:color="auto" w:fill="auto"/>
          </w:tcPr>
          <w:p w14:paraId="44C74B55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GATA3</w:t>
            </w:r>
          </w:p>
        </w:tc>
        <w:tc>
          <w:tcPr>
            <w:tcW w:w="1369" w:type="dxa"/>
            <w:shd w:val="clear" w:color="auto" w:fill="auto"/>
          </w:tcPr>
          <w:p w14:paraId="2CA1DB44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CA6</w:t>
            </w:r>
          </w:p>
        </w:tc>
        <w:tc>
          <w:tcPr>
            <w:tcW w:w="1789" w:type="dxa"/>
          </w:tcPr>
          <w:p w14:paraId="58657BF2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0.002</w:t>
            </w:r>
          </w:p>
        </w:tc>
      </w:tr>
      <w:tr w:rsidR="00346447" w:rsidRPr="008E6F0F" w14:paraId="4CC074BD" w14:textId="77777777" w:rsidTr="008D5CB6">
        <w:tc>
          <w:tcPr>
            <w:tcW w:w="2032" w:type="dxa"/>
            <w:shd w:val="clear" w:color="auto" w:fill="auto"/>
          </w:tcPr>
          <w:p w14:paraId="5F055732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8</w:t>
            </w:r>
          </w:p>
        </w:tc>
        <w:tc>
          <w:tcPr>
            <w:tcW w:w="2125" w:type="dxa"/>
            <w:shd w:val="clear" w:color="auto" w:fill="auto"/>
          </w:tcPr>
          <w:p w14:paraId="6AEF1338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52820274</w:t>
            </w:r>
          </w:p>
        </w:tc>
        <w:tc>
          <w:tcPr>
            <w:tcW w:w="2125" w:type="dxa"/>
            <w:shd w:val="clear" w:color="auto" w:fill="auto"/>
          </w:tcPr>
          <w:p w14:paraId="70C1476C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53294735</w:t>
            </w:r>
          </w:p>
        </w:tc>
        <w:tc>
          <w:tcPr>
            <w:tcW w:w="2467" w:type="dxa"/>
            <w:shd w:val="clear" w:color="auto" w:fill="auto"/>
          </w:tcPr>
          <w:p w14:paraId="41DDF2A5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ST18</w:t>
            </w:r>
          </w:p>
        </w:tc>
        <w:tc>
          <w:tcPr>
            <w:tcW w:w="1369" w:type="dxa"/>
            <w:shd w:val="clear" w:color="auto" w:fill="auto"/>
          </w:tcPr>
          <w:p w14:paraId="7AB279E2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SLC30A2</w:t>
            </w:r>
          </w:p>
        </w:tc>
        <w:tc>
          <w:tcPr>
            <w:tcW w:w="1789" w:type="dxa"/>
          </w:tcPr>
          <w:p w14:paraId="2BFABA0E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0.009</w:t>
            </w:r>
          </w:p>
        </w:tc>
      </w:tr>
      <w:tr w:rsidR="00346447" w:rsidRPr="008E6F0F" w14:paraId="250C1033" w14:textId="77777777" w:rsidTr="008D5CB6">
        <w:tc>
          <w:tcPr>
            <w:tcW w:w="2032" w:type="dxa"/>
            <w:shd w:val="clear" w:color="auto" w:fill="auto"/>
          </w:tcPr>
          <w:p w14:paraId="0E4B65B5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5</w:t>
            </w:r>
          </w:p>
        </w:tc>
        <w:tc>
          <w:tcPr>
            <w:tcW w:w="2125" w:type="dxa"/>
            <w:shd w:val="clear" w:color="auto" w:fill="auto"/>
          </w:tcPr>
          <w:p w14:paraId="7D898B92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122441482</w:t>
            </w:r>
          </w:p>
        </w:tc>
        <w:tc>
          <w:tcPr>
            <w:tcW w:w="2125" w:type="dxa"/>
            <w:shd w:val="clear" w:color="auto" w:fill="auto"/>
          </w:tcPr>
          <w:p w14:paraId="20BC506F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122456271</w:t>
            </w:r>
          </w:p>
        </w:tc>
        <w:tc>
          <w:tcPr>
            <w:tcW w:w="2467" w:type="dxa"/>
            <w:shd w:val="clear" w:color="auto" w:fill="auto"/>
          </w:tcPr>
          <w:p w14:paraId="7366777B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PRDM6</w:t>
            </w:r>
          </w:p>
        </w:tc>
        <w:tc>
          <w:tcPr>
            <w:tcW w:w="1369" w:type="dxa"/>
            <w:shd w:val="clear" w:color="auto" w:fill="auto"/>
          </w:tcPr>
          <w:p w14:paraId="3D029CA0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C17orf78</w:t>
            </w:r>
          </w:p>
        </w:tc>
        <w:tc>
          <w:tcPr>
            <w:tcW w:w="1789" w:type="dxa"/>
          </w:tcPr>
          <w:p w14:paraId="283F722E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0.009</w:t>
            </w:r>
          </w:p>
        </w:tc>
      </w:tr>
      <w:tr w:rsidR="00346447" w:rsidRPr="008E6F0F" w14:paraId="350C7BF7" w14:textId="77777777" w:rsidTr="008D5CB6">
        <w:tc>
          <w:tcPr>
            <w:tcW w:w="2032" w:type="dxa"/>
            <w:shd w:val="clear" w:color="auto" w:fill="auto"/>
          </w:tcPr>
          <w:p w14:paraId="5AD644ED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12</w:t>
            </w:r>
          </w:p>
        </w:tc>
        <w:tc>
          <w:tcPr>
            <w:tcW w:w="2125" w:type="dxa"/>
            <w:shd w:val="clear" w:color="auto" w:fill="auto"/>
          </w:tcPr>
          <w:p w14:paraId="691F0E1D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48733439</w:t>
            </w:r>
          </w:p>
        </w:tc>
        <w:tc>
          <w:tcPr>
            <w:tcW w:w="2125" w:type="dxa"/>
            <w:shd w:val="clear" w:color="auto" w:fill="auto"/>
          </w:tcPr>
          <w:p w14:paraId="676D5C74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122456271</w:t>
            </w:r>
          </w:p>
        </w:tc>
        <w:tc>
          <w:tcPr>
            <w:tcW w:w="2467" w:type="dxa"/>
            <w:shd w:val="clear" w:color="auto" w:fill="auto"/>
          </w:tcPr>
          <w:p w14:paraId="6980B9E3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ZNF641</w:t>
            </w:r>
          </w:p>
        </w:tc>
        <w:tc>
          <w:tcPr>
            <w:tcW w:w="1369" w:type="dxa"/>
            <w:shd w:val="clear" w:color="auto" w:fill="auto"/>
          </w:tcPr>
          <w:p w14:paraId="0A681AF3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C17orf78</w:t>
            </w:r>
          </w:p>
        </w:tc>
        <w:tc>
          <w:tcPr>
            <w:tcW w:w="1789" w:type="dxa"/>
          </w:tcPr>
          <w:p w14:paraId="56DE9BD1" w14:textId="77777777" w:rsidR="00346447" w:rsidRPr="008E6F0F" w:rsidRDefault="00346447" w:rsidP="008D5CB6">
            <w:pPr>
              <w:jc w:val="center"/>
              <w:rPr>
                <w:rFonts w:ascii="Calibri" w:hAnsi="Calibri"/>
                <w:lang w:val="en-GB"/>
              </w:rPr>
            </w:pPr>
            <w:r w:rsidRPr="008E6F0F">
              <w:rPr>
                <w:rFonts w:ascii="Calibri" w:hAnsi="Calibri"/>
                <w:lang w:val="en-GB"/>
              </w:rPr>
              <w:t>0.049</w:t>
            </w:r>
          </w:p>
        </w:tc>
      </w:tr>
    </w:tbl>
    <w:p w14:paraId="3AFC80CE" w14:textId="77777777" w:rsidR="00346447" w:rsidRPr="008E6F0F" w:rsidRDefault="00346447" w:rsidP="00346447">
      <w:pPr>
        <w:rPr>
          <w:lang w:val="en-GB"/>
        </w:rPr>
      </w:pPr>
    </w:p>
    <w:p w14:paraId="3EF03EFF" w14:textId="2552683E" w:rsidR="00C937A7" w:rsidRDefault="00C937A7" w:rsidP="002514E4">
      <w:bookmarkStart w:id="0" w:name="_GoBack"/>
      <w:bookmarkEnd w:id="0"/>
    </w:p>
    <w:sectPr w:rsidR="00C937A7" w:rsidSect="00346447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47"/>
    <w:rsid w:val="00105C78"/>
    <w:rsid w:val="002514E4"/>
    <w:rsid w:val="00346447"/>
    <w:rsid w:val="00520C52"/>
    <w:rsid w:val="005D7C4E"/>
    <w:rsid w:val="00954523"/>
    <w:rsid w:val="00996FF7"/>
    <w:rsid w:val="00BB5EE9"/>
    <w:rsid w:val="00C937A7"/>
    <w:rsid w:val="00D773FE"/>
    <w:rsid w:val="00EB24C2"/>
    <w:rsid w:val="00EF296A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E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Supplementary Table 2: Identification of key pathways and genes related to CNA (</vt:lpstr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RAUL MORENO AGUADO</dc:creator>
  <cp:keywords/>
  <dc:description/>
  <cp:lastModifiedBy>Alonso Agudo, Maria Henar</cp:lastModifiedBy>
  <cp:revision>10</cp:revision>
  <dcterms:created xsi:type="dcterms:W3CDTF">2016-08-02T21:02:00Z</dcterms:created>
  <dcterms:modified xsi:type="dcterms:W3CDTF">2017-05-31T09:41:00Z</dcterms:modified>
</cp:coreProperties>
</file>