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82" w:rsidRPr="00EB7EE5" w:rsidRDefault="00B53A82" w:rsidP="005F51DF">
      <w:pPr>
        <w:adjustRightInd w:val="0"/>
        <w:snapToGrid w:val="0"/>
        <w:spacing w:line="480" w:lineRule="auto"/>
        <w:jc w:val="center"/>
        <w:rPr>
          <w:rFonts w:ascii="Verdana" w:hAnsi="Verdana"/>
          <w:b/>
          <w:sz w:val="22"/>
        </w:rPr>
      </w:pPr>
      <w:r w:rsidRPr="00EB7EE5">
        <w:rPr>
          <w:rFonts w:ascii="Verdana" w:hAnsi="Verdana"/>
          <w:b/>
          <w:sz w:val="22"/>
        </w:rPr>
        <w:t>Adiponectin reduces ER stress</w:t>
      </w:r>
      <w:r w:rsidRPr="00EB7EE5">
        <w:rPr>
          <w:rFonts w:ascii="Verdana" w:hAnsi="Verdana" w:hint="eastAsia"/>
          <w:b/>
          <w:sz w:val="22"/>
        </w:rPr>
        <w:t xml:space="preserve">-induced </w:t>
      </w:r>
      <w:r w:rsidRPr="00EB7EE5">
        <w:rPr>
          <w:rFonts w:ascii="Verdana" w:hAnsi="Verdana"/>
          <w:b/>
          <w:sz w:val="22"/>
        </w:rPr>
        <w:t xml:space="preserve">apoptosis </w:t>
      </w:r>
      <w:r w:rsidRPr="00EB7EE5">
        <w:rPr>
          <w:rFonts w:ascii="Verdana" w:hAnsi="Verdana" w:hint="eastAsia"/>
          <w:b/>
          <w:sz w:val="22"/>
        </w:rPr>
        <w:t>through</w:t>
      </w:r>
      <w:r w:rsidRPr="00EB7EE5">
        <w:rPr>
          <w:rFonts w:ascii="Verdana" w:hAnsi="Verdana"/>
          <w:b/>
          <w:sz w:val="22"/>
        </w:rPr>
        <w:t xml:space="preserve"> PPARα transcriptional regulat</w:t>
      </w:r>
      <w:r w:rsidRPr="00EB7EE5">
        <w:rPr>
          <w:rFonts w:ascii="Verdana" w:hAnsi="Verdana" w:hint="eastAsia"/>
          <w:b/>
          <w:sz w:val="22"/>
        </w:rPr>
        <w:t>ion of</w:t>
      </w:r>
      <w:r w:rsidRPr="00EB7EE5">
        <w:rPr>
          <w:rFonts w:ascii="Verdana" w:hAnsi="Verdana"/>
          <w:b/>
          <w:sz w:val="22"/>
        </w:rPr>
        <w:t xml:space="preserve"> ATF2 in mouse adipose</w:t>
      </w:r>
      <w:r w:rsidR="00751FE6" w:rsidRPr="00EB7EE5">
        <w:rPr>
          <w:rFonts w:ascii="Verdana" w:hAnsi="Verdana" w:hint="eastAsia"/>
          <w:b/>
          <w:sz w:val="22"/>
        </w:rPr>
        <w:t xml:space="preserve"> </w:t>
      </w:r>
      <w:bookmarkStart w:id="0" w:name="_GoBack"/>
      <w:bookmarkEnd w:id="0"/>
    </w:p>
    <w:p w:rsidR="00B53A82" w:rsidRPr="00EB7EE5" w:rsidRDefault="00B53A82" w:rsidP="005F51DF">
      <w:pPr>
        <w:adjustRightInd w:val="0"/>
        <w:snapToGrid w:val="0"/>
        <w:spacing w:line="480" w:lineRule="auto"/>
        <w:ind w:firstLine="440"/>
        <w:jc w:val="center"/>
        <w:rPr>
          <w:rFonts w:ascii="Verdana" w:hAnsi="Verdana"/>
          <w:sz w:val="22"/>
        </w:rPr>
      </w:pPr>
      <w:r w:rsidRPr="00EB7EE5">
        <w:rPr>
          <w:rFonts w:ascii="Verdana" w:hAnsi="Verdana"/>
          <w:sz w:val="22"/>
        </w:rPr>
        <w:t>Zhenjiang Liu, Lu Gan</w:t>
      </w:r>
      <w:r w:rsidRPr="00EB7EE5">
        <w:rPr>
          <w:rFonts w:ascii="Verdana" w:hAnsi="Verdana" w:hint="eastAsia"/>
          <w:sz w:val="22"/>
        </w:rPr>
        <w:t xml:space="preserve">, Tianjiao Wu, Fei Feng, Dan Luo, Huihui Gu, </w:t>
      </w:r>
      <w:r w:rsidRPr="00EB7EE5">
        <w:rPr>
          <w:rFonts w:ascii="Verdana" w:hAnsi="Verdana"/>
          <w:sz w:val="22"/>
        </w:rPr>
        <w:t>and Chao Sun</w:t>
      </w:r>
    </w:p>
    <w:p w:rsidR="007370F9" w:rsidRPr="00EB7EE5" w:rsidRDefault="007370F9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B53A82" w:rsidRPr="00EB7EE5" w:rsidRDefault="00B53A82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  <w:rPr>
          <w:rFonts w:ascii="Verdana" w:hAnsi="Verdana"/>
          <w:b/>
          <w:sz w:val="22"/>
        </w:rPr>
      </w:pPr>
      <w:r w:rsidRPr="00EB7EE5">
        <w:rPr>
          <w:rFonts w:ascii="Verdana" w:hAnsi="Verdana" w:hint="eastAsia"/>
          <w:b/>
          <w:sz w:val="22"/>
        </w:rPr>
        <w:lastRenderedPageBreak/>
        <w:t>Figure S1</w:t>
      </w:r>
    </w:p>
    <w:p w:rsidR="000638DA" w:rsidRPr="00EB7EE5" w:rsidRDefault="005F51DF" w:rsidP="005F51DF">
      <w:pPr>
        <w:spacing w:line="480" w:lineRule="auto"/>
      </w:pPr>
      <w:r w:rsidRPr="00EB7EE5">
        <w:rPr>
          <w:noProof/>
        </w:rPr>
        <w:drawing>
          <wp:inline distT="0" distB="0" distL="0" distR="0" wp14:anchorId="7694E15A" wp14:editId="489639BF">
            <wp:extent cx="5400040" cy="1573045"/>
            <wp:effectExtent l="0" t="0" r="0" b="8255"/>
            <wp:docPr id="1" name="图片 1" descr="C:\Users\Administrator\Desktop\Figure-R1-new\Supplyment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Figure-R1-new\Supplyment Figure 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8DA" w:rsidRPr="00EB7EE5" w:rsidRDefault="000638DA" w:rsidP="005F51DF">
      <w:pPr>
        <w:spacing w:line="480" w:lineRule="auto"/>
      </w:pPr>
      <w:r w:rsidRPr="00EB7EE5">
        <w:rPr>
          <w:rFonts w:ascii="Verdana" w:hAnsi="Verdana" w:hint="eastAsia"/>
          <w:b/>
          <w:sz w:val="22"/>
        </w:rPr>
        <w:t>Figure S1</w:t>
      </w:r>
      <w:r w:rsidRPr="00EB7EE5">
        <w:rPr>
          <w:rFonts w:ascii="Verdana" w:hAnsi="Verdana" w:hint="eastAsia"/>
          <w:sz w:val="22"/>
        </w:rPr>
        <w:t xml:space="preserve"> (Related with Figure 1)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a</w:t>
      </w:r>
      <w:r w:rsidR="005F51DF" w:rsidRPr="00EB7EE5">
        <w:rPr>
          <w:rFonts w:ascii="Verdana" w:hAnsi="Verdana" w:hint="eastAsia"/>
          <w:sz w:val="22"/>
        </w:rPr>
        <w:t>)</w:t>
      </w:r>
      <w:r w:rsidRPr="00EB7EE5">
        <w:rPr>
          <w:rFonts w:ascii="Verdana" w:hAnsi="Verdana" w:hint="eastAsia"/>
          <w:sz w:val="22"/>
        </w:rPr>
        <w:t xml:space="preserve"> Protein levels of IL-6, MCP-1 and TNF</w:t>
      </w:r>
      <w:r w:rsidRPr="00EB7EE5">
        <w:rPr>
          <w:rFonts w:ascii="Verdana" w:hAnsi="Verdana"/>
          <w:sz w:val="22"/>
        </w:rPr>
        <w:t>-α</w:t>
      </w:r>
      <w:r w:rsidR="00664065" w:rsidRPr="00EB7EE5">
        <w:rPr>
          <w:rFonts w:ascii="Verdana" w:hAnsi="Verdana" w:hint="eastAsia"/>
          <w:sz w:val="22"/>
        </w:rPr>
        <w:t xml:space="preserve"> of iWAT after TM injection. Measurement was con</w:t>
      </w:r>
      <w:r w:rsidR="005F51DF" w:rsidRPr="00EB7EE5">
        <w:rPr>
          <w:rFonts w:ascii="Verdana" w:hAnsi="Verdana" w:hint="eastAsia"/>
          <w:sz w:val="22"/>
        </w:rPr>
        <w:t>ducted using ELISA method (n=6).</w:t>
      </w:r>
      <w:r w:rsidR="00664065" w:rsidRPr="00EB7EE5">
        <w:rPr>
          <w:rFonts w:ascii="Verdana" w:hAnsi="Verdana" w:hint="eastAsia"/>
          <w:sz w:val="22"/>
        </w:rPr>
        <w:t xml:space="preserve">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b</w:t>
      </w:r>
      <w:r w:rsidR="005F51DF" w:rsidRPr="00EB7EE5">
        <w:rPr>
          <w:rFonts w:ascii="Verdana" w:hAnsi="Verdana" w:hint="eastAsia"/>
          <w:sz w:val="22"/>
        </w:rPr>
        <w:t>)</w:t>
      </w:r>
      <w:r w:rsidR="00664065" w:rsidRPr="00EB7EE5">
        <w:rPr>
          <w:rFonts w:ascii="Verdana" w:hAnsi="Verdana" w:hint="eastAsia"/>
          <w:sz w:val="22"/>
        </w:rPr>
        <w:t xml:space="preserve"> Insulin sensitivity and </w:t>
      </w:r>
      <w:r w:rsidR="00664065" w:rsidRPr="00EB7EE5">
        <w:rPr>
          <w:rFonts w:ascii="Verdana" w:hAnsi="Verdana"/>
          <w:sz w:val="22"/>
        </w:rPr>
        <w:t>glucose</w:t>
      </w:r>
      <w:r w:rsidR="00664065" w:rsidRPr="00EB7EE5">
        <w:rPr>
          <w:rFonts w:ascii="Verdana" w:hAnsi="Verdana" w:hint="eastAsia"/>
          <w:sz w:val="22"/>
        </w:rPr>
        <w:t xml:space="preserve"> tolerance of iWAT after TM injection (n=6). </w:t>
      </w:r>
      <w:r w:rsidR="00664065" w:rsidRPr="00EB7EE5" w:rsidDel="00605C70">
        <w:rPr>
          <w:rFonts w:ascii="Verdana" w:hAnsi="Verdana" w:hint="eastAsia"/>
          <w:sz w:val="22"/>
        </w:rPr>
        <w:t>V</w:t>
      </w:r>
      <w:r w:rsidR="00664065" w:rsidRPr="00EB7EE5" w:rsidDel="00605C70">
        <w:rPr>
          <w:rFonts w:ascii="Verdana" w:hAnsi="Verdana"/>
          <w:sz w:val="22"/>
        </w:rPr>
        <w:t xml:space="preserve">alues are means ± SD. * </w:t>
      </w:r>
      <w:r w:rsidR="00664065" w:rsidRPr="00EB7EE5" w:rsidDel="00605C70">
        <w:rPr>
          <w:rFonts w:ascii="Verdana" w:hAnsi="Verdana"/>
          <w:i/>
          <w:sz w:val="22"/>
        </w:rPr>
        <w:t>p</w:t>
      </w:r>
      <w:r w:rsidR="00664065" w:rsidRPr="00EB7EE5">
        <w:rPr>
          <w:rFonts w:ascii="Verdana" w:hAnsi="Verdana"/>
          <w:sz w:val="22"/>
        </w:rPr>
        <w:t xml:space="preserve"> &lt; 0.05</w:t>
      </w:r>
      <w:r w:rsidR="00664065" w:rsidRPr="00EB7EE5">
        <w:rPr>
          <w:rFonts w:ascii="Verdana" w:hAnsi="Verdana" w:hint="eastAsia"/>
          <w:sz w:val="22"/>
        </w:rPr>
        <w:t xml:space="preserve"> </w:t>
      </w:r>
      <w:r w:rsidR="00664065" w:rsidRPr="00EB7EE5">
        <w:rPr>
          <w:rFonts w:ascii="Verdana" w:hAnsi="Verdana"/>
          <w:sz w:val="22"/>
        </w:rPr>
        <w:t>compared with the saline control</w:t>
      </w:r>
      <w:r w:rsidR="00664065" w:rsidRPr="00EB7EE5">
        <w:rPr>
          <w:rFonts w:ascii="Verdana" w:hAnsi="Verdana" w:hint="eastAsia"/>
          <w:sz w:val="22"/>
        </w:rPr>
        <w:t>.</w:t>
      </w: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  <w:rPr>
          <w:rFonts w:ascii="Verdana" w:hAnsi="Verdana"/>
          <w:b/>
          <w:sz w:val="22"/>
        </w:rPr>
      </w:pPr>
      <w:r w:rsidRPr="00EB7EE5">
        <w:rPr>
          <w:rFonts w:ascii="Verdana" w:hAnsi="Verdana"/>
          <w:b/>
          <w:sz w:val="22"/>
        </w:rPr>
        <w:lastRenderedPageBreak/>
        <w:t>Figure</w:t>
      </w:r>
      <w:r w:rsidRPr="00EB7EE5">
        <w:rPr>
          <w:rFonts w:ascii="Verdana" w:hAnsi="Verdana" w:hint="eastAsia"/>
          <w:b/>
          <w:sz w:val="22"/>
        </w:rPr>
        <w:t xml:space="preserve"> S2</w:t>
      </w:r>
    </w:p>
    <w:p w:rsidR="000638DA" w:rsidRPr="00EB7EE5" w:rsidRDefault="005F51DF" w:rsidP="005F51DF">
      <w:pPr>
        <w:spacing w:line="480" w:lineRule="auto"/>
      </w:pPr>
      <w:r w:rsidRPr="00EB7EE5">
        <w:rPr>
          <w:noProof/>
        </w:rPr>
        <w:drawing>
          <wp:inline distT="0" distB="0" distL="0" distR="0" wp14:anchorId="10C86AFD" wp14:editId="73BD3736">
            <wp:extent cx="5400040" cy="2902582"/>
            <wp:effectExtent l="0" t="0" r="0" b="0"/>
            <wp:docPr id="5" name="图片 5" descr="C:\Users\Administrator\Desktop\Figure-R1-new\Supplyment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Figure-R1-new\Supplyment Figure 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0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065" w:rsidRPr="00EB7EE5" w:rsidRDefault="00664065" w:rsidP="005F51DF">
      <w:pPr>
        <w:spacing w:line="480" w:lineRule="auto"/>
        <w:rPr>
          <w:rFonts w:ascii="Verdana" w:hAnsi="Verdana"/>
          <w:sz w:val="22"/>
        </w:rPr>
      </w:pPr>
      <w:r w:rsidRPr="00EB7EE5">
        <w:rPr>
          <w:rFonts w:ascii="Verdana" w:hAnsi="Verdana" w:hint="eastAsia"/>
          <w:b/>
          <w:sz w:val="22"/>
        </w:rPr>
        <w:t>Figure S2</w:t>
      </w:r>
      <w:r w:rsidRPr="00EB7EE5">
        <w:rPr>
          <w:rFonts w:ascii="Verdana" w:hAnsi="Verdana" w:hint="eastAsia"/>
          <w:sz w:val="22"/>
        </w:rPr>
        <w:t xml:space="preserve"> (Related with Figure 1)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a</w:t>
      </w:r>
      <w:r w:rsidR="005F51DF" w:rsidRPr="00EB7EE5">
        <w:rPr>
          <w:rFonts w:ascii="Verdana" w:hAnsi="Verdana" w:hint="eastAsia"/>
          <w:sz w:val="22"/>
        </w:rPr>
        <w:t>)</w:t>
      </w:r>
      <w:r w:rsidRPr="00EB7EE5">
        <w:rPr>
          <w:rFonts w:ascii="Verdana" w:hAnsi="Verdana" w:hint="eastAsia"/>
          <w:sz w:val="22"/>
        </w:rPr>
        <w:t xml:space="preserve"> Body weight of mice with HFD or chow diet for 10 weeks, following injected with TM or not (n=6)</w:t>
      </w:r>
      <w:r w:rsidR="005F51DF" w:rsidRPr="00EB7EE5">
        <w:rPr>
          <w:rFonts w:ascii="Verdana" w:hAnsi="Verdana" w:hint="eastAsia"/>
          <w:sz w:val="22"/>
        </w:rPr>
        <w:t>.</w:t>
      </w:r>
      <w:r w:rsidRPr="00EB7EE5">
        <w:rPr>
          <w:rFonts w:ascii="Verdana" w:hAnsi="Verdana" w:hint="eastAsia"/>
          <w:sz w:val="22"/>
        </w:rPr>
        <w:t xml:space="preserve">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b</w:t>
      </w:r>
      <w:r w:rsidR="005F51DF" w:rsidRPr="00EB7EE5">
        <w:rPr>
          <w:rFonts w:ascii="Verdana" w:hAnsi="Verdana" w:hint="eastAsia"/>
          <w:sz w:val="22"/>
        </w:rPr>
        <w:t>)</w:t>
      </w:r>
      <w:r w:rsidRPr="00EB7EE5">
        <w:rPr>
          <w:rFonts w:ascii="Verdana" w:hAnsi="Verdana" w:hint="eastAsia"/>
          <w:sz w:val="22"/>
        </w:rPr>
        <w:t xml:space="preserve"> </w:t>
      </w:r>
      <w:r w:rsidR="00EC1F5A" w:rsidRPr="00EB7EE5">
        <w:rPr>
          <w:rFonts w:ascii="Verdana" w:hAnsi="Verdana" w:hint="eastAsia"/>
          <w:sz w:val="22"/>
        </w:rPr>
        <w:t>Serum adiponection level of mice with HFD or chow diet for 10 weeks, following injected with TM or not (n=6)</w:t>
      </w:r>
      <w:r w:rsidR="005F51DF" w:rsidRPr="00EB7EE5">
        <w:rPr>
          <w:rFonts w:ascii="Verdana" w:hAnsi="Verdana" w:hint="eastAsia"/>
          <w:sz w:val="22"/>
        </w:rPr>
        <w:t>.</w:t>
      </w:r>
      <w:r w:rsidR="00EC1F5A" w:rsidRPr="00EB7EE5">
        <w:rPr>
          <w:rFonts w:ascii="Verdana" w:hAnsi="Verdana"/>
          <w:sz w:val="22"/>
        </w:rPr>
        <w:t xml:space="preserve">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c</w:t>
      </w:r>
      <w:r w:rsidR="005F51DF" w:rsidRPr="00EB7EE5">
        <w:rPr>
          <w:rFonts w:ascii="Verdana" w:hAnsi="Verdana" w:hint="eastAsia"/>
          <w:sz w:val="22"/>
        </w:rPr>
        <w:t>)</w:t>
      </w:r>
      <w:r w:rsidR="00EC1F5A" w:rsidRPr="00EB7EE5">
        <w:rPr>
          <w:rFonts w:ascii="Verdana" w:hAnsi="Verdana" w:hint="eastAsia"/>
          <w:sz w:val="22"/>
        </w:rPr>
        <w:t xml:space="preserve"> </w:t>
      </w:r>
      <w:bookmarkStart w:id="1" w:name="OLE_LINK3"/>
      <w:bookmarkStart w:id="2" w:name="OLE_LINK4"/>
      <w:r w:rsidR="00EC1F5A" w:rsidRPr="00EB7EE5">
        <w:rPr>
          <w:rFonts w:ascii="Verdana" w:hAnsi="Verdana" w:hint="eastAsia"/>
          <w:sz w:val="22"/>
        </w:rPr>
        <w:t xml:space="preserve">Relative mRNA levels of </w:t>
      </w:r>
      <w:r w:rsidR="00EC1F5A" w:rsidRPr="00EB7EE5">
        <w:rPr>
          <w:rFonts w:ascii="Verdana" w:hAnsi="Verdana" w:hint="eastAsia"/>
          <w:i/>
          <w:sz w:val="22"/>
        </w:rPr>
        <w:t>GRP78</w:t>
      </w:r>
      <w:r w:rsidR="00EC1F5A" w:rsidRPr="00EB7EE5">
        <w:rPr>
          <w:rFonts w:ascii="Verdana" w:hAnsi="Verdana" w:hint="eastAsia"/>
          <w:sz w:val="22"/>
        </w:rPr>
        <w:t xml:space="preserve">, </w:t>
      </w:r>
      <w:r w:rsidR="00EC1F5A" w:rsidRPr="00EB7EE5">
        <w:rPr>
          <w:rFonts w:ascii="Verdana" w:hAnsi="Verdana" w:hint="eastAsia"/>
          <w:i/>
          <w:sz w:val="22"/>
        </w:rPr>
        <w:t>Chop</w:t>
      </w:r>
      <w:r w:rsidR="00EC1F5A" w:rsidRPr="00EB7EE5">
        <w:rPr>
          <w:rFonts w:ascii="Verdana" w:hAnsi="Verdana" w:hint="eastAsia"/>
          <w:sz w:val="22"/>
        </w:rPr>
        <w:t xml:space="preserve"> and</w:t>
      </w:r>
      <w:r w:rsidR="00EC1F5A" w:rsidRPr="00EB7EE5">
        <w:rPr>
          <w:rFonts w:ascii="Verdana" w:hAnsi="Verdana" w:hint="eastAsia"/>
          <w:i/>
          <w:sz w:val="22"/>
        </w:rPr>
        <w:t xml:space="preserve"> ATF2</w:t>
      </w:r>
      <w:r w:rsidR="00EC1F5A" w:rsidRPr="00EB7EE5">
        <w:rPr>
          <w:rFonts w:ascii="Verdana" w:hAnsi="Verdana" w:hint="eastAsia"/>
          <w:sz w:val="22"/>
        </w:rPr>
        <w:t xml:space="preserve"> of </w:t>
      </w:r>
      <w:bookmarkStart w:id="3" w:name="OLE_LINK1"/>
      <w:bookmarkStart w:id="4" w:name="OLE_LINK2"/>
      <w:r w:rsidR="00EC1F5A" w:rsidRPr="00EB7EE5">
        <w:rPr>
          <w:rFonts w:ascii="Verdana" w:hAnsi="Verdana" w:hint="eastAsia"/>
          <w:sz w:val="22"/>
        </w:rPr>
        <w:t xml:space="preserve">mice iWAT with HFD or chow diet for 10 weeks, following injected with TM or not </w:t>
      </w:r>
      <w:bookmarkEnd w:id="3"/>
      <w:bookmarkEnd w:id="4"/>
      <w:r w:rsidR="00EC1F5A" w:rsidRPr="00EB7EE5">
        <w:rPr>
          <w:rFonts w:ascii="Verdana" w:hAnsi="Verdana" w:hint="eastAsia"/>
          <w:sz w:val="22"/>
        </w:rPr>
        <w:t>(n=6)</w:t>
      </w:r>
      <w:r w:rsidR="005F51DF" w:rsidRPr="00EB7EE5">
        <w:rPr>
          <w:rFonts w:ascii="Verdana" w:hAnsi="Verdana" w:hint="eastAsia"/>
          <w:sz w:val="22"/>
        </w:rPr>
        <w:t>.</w:t>
      </w:r>
      <w:r w:rsidR="00EC1F5A" w:rsidRPr="00EB7EE5">
        <w:rPr>
          <w:rFonts w:ascii="Verdana" w:hAnsi="Verdana" w:hint="eastAsia"/>
          <w:sz w:val="22"/>
        </w:rPr>
        <w:t xml:space="preserve"> </w:t>
      </w:r>
      <w:bookmarkEnd w:id="1"/>
      <w:bookmarkEnd w:id="2"/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d</w:t>
      </w:r>
      <w:r w:rsidR="005F51DF" w:rsidRPr="00EB7EE5">
        <w:rPr>
          <w:rFonts w:ascii="Verdana" w:hAnsi="Verdana" w:hint="eastAsia"/>
          <w:sz w:val="22"/>
        </w:rPr>
        <w:t>)</w:t>
      </w:r>
      <w:r w:rsidR="00EC1F5A" w:rsidRPr="00EB7EE5">
        <w:rPr>
          <w:rFonts w:ascii="Verdana" w:hAnsi="Verdana" w:hint="eastAsia"/>
          <w:sz w:val="22"/>
        </w:rPr>
        <w:t xml:space="preserve"> Protein levels of IL-6, MCP-1 and TNF</w:t>
      </w:r>
      <w:r w:rsidR="00EC1F5A" w:rsidRPr="00EB7EE5">
        <w:rPr>
          <w:rFonts w:ascii="Verdana" w:hAnsi="Verdana"/>
          <w:sz w:val="22"/>
        </w:rPr>
        <w:t>-α</w:t>
      </w:r>
      <w:r w:rsidR="00EC1F5A" w:rsidRPr="00EB7EE5">
        <w:rPr>
          <w:rFonts w:ascii="Verdana" w:hAnsi="Verdana" w:hint="eastAsia"/>
          <w:sz w:val="22"/>
        </w:rPr>
        <w:t xml:space="preserve"> of mice iWAT with HFD or chow diet for 10 weeks, following injected with TM or not. Measurement was conducted using ELISA method (n=6)</w:t>
      </w:r>
      <w:r w:rsidR="005F51DF" w:rsidRPr="00EB7EE5">
        <w:rPr>
          <w:rFonts w:ascii="Verdana" w:hAnsi="Verdana" w:hint="eastAsia"/>
          <w:sz w:val="22"/>
        </w:rPr>
        <w:t>.</w:t>
      </w:r>
      <w:r w:rsidR="00EC1F5A" w:rsidRPr="00EB7EE5">
        <w:rPr>
          <w:rFonts w:ascii="Verdana" w:hAnsi="Verdana" w:hint="eastAsia"/>
          <w:sz w:val="22"/>
        </w:rPr>
        <w:t xml:space="preserve"> </w:t>
      </w:r>
      <w:r w:rsidR="005F51DF" w:rsidRPr="00EB7EE5">
        <w:rPr>
          <w:rFonts w:ascii="Verdana" w:hAnsi="Verdana" w:hint="eastAsia"/>
          <w:sz w:val="22"/>
        </w:rPr>
        <w:t>(</w:t>
      </w:r>
      <w:r w:rsidR="005F51DF" w:rsidRPr="00EB7EE5">
        <w:rPr>
          <w:rFonts w:ascii="Verdana" w:hAnsi="Verdana" w:hint="eastAsia"/>
          <w:b/>
          <w:sz w:val="22"/>
        </w:rPr>
        <w:t>e</w:t>
      </w:r>
      <w:r w:rsidR="005F51DF" w:rsidRPr="00EB7EE5">
        <w:rPr>
          <w:rFonts w:ascii="Verdana" w:hAnsi="Verdana" w:hint="eastAsia"/>
          <w:sz w:val="22"/>
        </w:rPr>
        <w:t>)</w:t>
      </w:r>
      <w:r w:rsidR="00EC1F5A" w:rsidRPr="00EB7EE5">
        <w:rPr>
          <w:rFonts w:ascii="Verdana" w:hAnsi="Verdana" w:hint="eastAsia"/>
          <w:sz w:val="22"/>
        </w:rPr>
        <w:t xml:space="preserve"> Relative mRNA levels of </w:t>
      </w:r>
      <w:r w:rsidR="00EC1F5A" w:rsidRPr="00EB7EE5">
        <w:rPr>
          <w:rFonts w:ascii="Verdana" w:hAnsi="Verdana" w:hint="eastAsia"/>
          <w:i/>
          <w:sz w:val="22"/>
        </w:rPr>
        <w:t>Caspase3</w:t>
      </w:r>
      <w:r w:rsidR="00EC1F5A" w:rsidRPr="00EB7EE5">
        <w:rPr>
          <w:rFonts w:ascii="Verdana" w:hAnsi="Verdana" w:hint="eastAsia"/>
          <w:sz w:val="22"/>
        </w:rPr>
        <w:t xml:space="preserve">, </w:t>
      </w:r>
      <w:r w:rsidR="00EC1F5A" w:rsidRPr="00EB7EE5">
        <w:rPr>
          <w:rFonts w:ascii="Verdana" w:hAnsi="Verdana" w:hint="eastAsia"/>
          <w:i/>
          <w:sz w:val="22"/>
        </w:rPr>
        <w:t xml:space="preserve">Bax </w:t>
      </w:r>
      <w:r w:rsidR="00EC1F5A" w:rsidRPr="00EB7EE5">
        <w:rPr>
          <w:rFonts w:ascii="Verdana" w:hAnsi="Verdana" w:hint="eastAsia"/>
          <w:sz w:val="22"/>
        </w:rPr>
        <w:t>and</w:t>
      </w:r>
      <w:r w:rsidR="00EC1F5A" w:rsidRPr="00EB7EE5">
        <w:rPr>
          <w:rFonts w:ascii="Verdana" w:hAnsi="Verdana" w:hint="eastAsia"/>
          <w:i/>
          <w:sz w:val="22"/>
        </w:rPr>
        <w:t xml:space="preserve"> Bcl-2</w:t>
      </w:r>
      <w:r w:rsidR="00EC1F5A" w:rsidRPr="00EB7EE5">
        <w:rPr>
          <w:rFonts w:ascii="Verdana" w:hAnsi="Verdana" w:hint="eastAsia"/>
          <w:sz w:val="22"/>
        </w:rPr>
        <w:t xml:space="preserve"> of mice iWAT with HFD or chow diet for 10 weeks, following injected with TM or not (n=6)</w:t>
      </w:r>
      <w:r w:rsidR="005F51DF" w:rsidRPr="00EB7EE5">
        <w:rPr>
          <w:rFonts w:ascii="Verdana" w:hAnsi="Verdana" w:hint="eastAsia"/>
          <w:sz w:val="22"/>
        </w:rPr>
        <w:t>.</w:t>
      </w:r>
      <w:r w:rsidR="003B1FCF" w:rsidRPr="00EB7EE5">
        <w:rPr>
          <w:rFonts w:ascii="Verdana" w:hAnsi="Verdana" w:hint="eastAsia"/>
          <w:sz w:val="22"/>
        </w:rPr>
        <w:t xml:space="preserve"> </w:t>
      </w:r>
      <w:r w:rsidRPr="00EB7EE5" w:rsidDel="00605C70">
        <w:rPr>
          <w:rFonts w:ascii="Verdana" w:hAnsi="Verdana" w:hint="eastAsia"/>
          <w:sz w:val="22"/>
        </w:rPr>
        <w:t>V</w:t>
      </w:r>
      <w:r w:rsidRPr="00EB7EE5" w:rsidDel="00605C70">
        <w:rPr>
          <w:rFonts w:ascii="Verdana" w:hAnsi="Verdana"/>
          <w:sz w:val="22"/>
        </w:rPr>
        <w:t xml:space="preserve">alues are means ± SD. * </w:t>
      </w:r>
      <w:r w:rsidRPr="00EB7EE5" w:rsidDel="00605C70">
        <w:rPr>
          <w:rFonts w:ascii="Verdana" w:hAnsi="Verdana"/>
          <w:i/>
          <w:sz w:val="22"/>
        </w:rPr>
        <w:t>p</w:t>
      </w:r>
      <w:r w:rsidRPr="00EB7EE5">
        <w:rPr>
          <w:rFonts w:ascii="Verdana" w:hAnsi="Verdana"/>
          <w:sz w:val="22"/>
        </w:rPr>
        <w:t xml:space="preserve"> &lt; 0.05</w:t>
      </w:r>
      <w:r w:rsidRPr="00EB7EE5">
        <w:rPr>
          <w:rFonts w:ascii="Verdana" w:hAnsi="Verdana" w:hint="eastAsia"/>
          <w:sz w:val="22"/>
        </w:rPr>
        <w:t xml:space="preserve"> </w:t>
      </w:r>
      <w:r w:rsidRPr="00EB7EE5">
        <w:rPr>
          <w:rFonts w:ascii="Verdana" w:hAnsi="Verdana"/>
          <w:sz w:val="22"/>
        </w:rPr>
        <w:t>compared with the saline control</w:t>
      </w:r>
      <w:r w:rsidRPr="00EB7EE5">
        <w:rPr>
          <w:rFonts w:ascii="Verdana" w:hAnsi="Verdana" w:hint="eastAsia"/>
          <w:sz w:val="22"/>
        </w:rPr>
        <w:t>.</w:t>
      </w: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</w:pPr>
    </w:p>
    <w:p w:rsidR="000638DA" w:rsidRPr="00EB7EE5" w:rsidRDefault="000638DA" w:rsidP="005F51DF">
      <w:pPr>
        <w:spacing w:line="480" w:lineRule="auto"/>
        <w:rPr>
          <w:rFonts w:ascii="Verdana" w:hAnsi="Verdana"/>
          <w:b/>
          <w:sz w:val="22"/>
        </w:rPr>
      </w:pPr>
      <w:r w:rsidRPr="00EB7EE5">
        <w:rPr>
          <w:rFonts w:ascii="Verdana" w:hAnsi="Verdana"/>
          <w:b/>
          <w:sz w:val="22"/>
        </w:rPr>
        <w:lastRenderedPageBreak/>
        <w:t>Figure</w:t>
      </w:r>
      <w:r w:rsidRPr="00EB7EE5">
        <w:rPr>
          <w:rFonts w:ascii="Verdana" w:hAnsi="Verdana" w:hint="eastAsia"/>
          <w:b/>
          <w:sz w:val="22"/>
        </w:rPr>
        <w:t xml:space="preserve"> S3</w:t>
      </w:r>
    </w:p>
    <w:p w:rsidR="00B53A82" w:rsidRPr="00EB7EE5" w:rsidRDefault="00FF3D3B" w:rsidP="005F51DF">
      <w:pPr>
        <w:spacing w:line="480" w:lineRule="auto"/>
        <w:jc w:val="center"/>
      </w:pPr>
      <w:r w:rsidRPr="00EB7EE5">
        <w:rPr>
          <w:noProof/>
        </w:rPr>
        <w:drawing>
          <wp:inline distT="0" distB="0" distL="0" distR="0" wp14:anchorId="191455EF" wp14:editId="3C3177E2">
            <wp:extent cx="4047214" cy="3780376"/>
            <wp:effectExtent l="0" t="0" r="0" b="0"/>
            <wp:docPr id="4" name="图片 4" descr="C:\Users\Administrator\Desktop\R1\Figure-R1\Supplyment Figure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R1\Figure-R1\Supplyment Figure3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631" cy="37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A82" w:rsidRPr="00EB7EE5" w:rsidRDefault="003B1FCF" w:rsidP="005F51DF">
      <w:pPr>
        <w:spacing w:line="480" w:lineRule="auto"/>
        <w:rPr>
          <w:rFonts w:ascii="Verdana" w:hAnsi="Verdana"/>
          <w:sz w:val="22"/>
        </w:rPr>
      </w:pPr>
      <w:r w:rsidRPr="00EB7EE5">
        <w:rPr>
          <w:rFonts w:ascii="Verdana" w:hAnsi="Verdana"/>
          <w:b/>
          <w:sz w:val="22"/>
        </w:rPr>
        <w:t>Figure S</w:t>
      </w:r>
      <w:r w:rsidRPr="00EB7EE5">
        <w:rPr>
          <w:rFonts w:ascii="Verdana" w:hAnsi="Verdana" w:hint="eastAsia"/>
          <w:b/>
          <w:sz w:val="22"/>
        </w:rPr>
        <w:t>3</w:t>
      </w:r>
      <w:r w:rsidR="00B53A82" w:rsidRPr="00EB7EE5">
        <w:rPr>
          <w:rFonts w:ascii="Verdana" w:hAnsi="Verdana"/>
          <w:sz w:val="22"/>
        </w:rPr>
        <w:t xml:space="preserve"> Adiponectin inhibits ER stress-induced apoptosis through the AdipoR1/AMPK/PKC pathway. PPARα is a novel transcriptional suppressor of ATF2 in alleviating ER stress and apoptosis of adipocyte.</w:t>
      </w:r>
    </w:p>
    <w:sectPr w:rsidR="00B53A82" w:rsidRPr="00EB7EE5" w:rsidSect="005F51DF">
      <w:footerReference w:type="default" r:id="rId10"/>
      <w:pgSz w:w="11906" w:h="16838"/>
      <w:pgMar w:top="1701" w:right="1701" w:bottom="1701" w:left="1701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0B2" w:rsidRDefault="00BF60B2" w:rsidP="00B53A82">
      <w:r>
        <w:separator/>
      </w:r>
    </w:p>
  </w:endnote>
  <w:endnote w:type="continuationSeparator" w:id="0">
    <w:p w:rsidR="00BF60B2" w:rsidRDefault="00BF60B2" w:rsidP="00B53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6796330"/>
      <w:docPartObj>
        <w:docPartGallery w:val="Page Numbers (Bottom of Page)"/>
        <w:docPartUnique/>
      </w:docPartObj>
    </w:sdtPr>
    <w:sdtEndPr/>
    <w:sdtContent>
      <w:p w:rsidR="003B1FCF" w:rsidRDefault="003B1F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97D" w:rsidRPr="0004397D">
          <w:rPr>
            <w:noProof/>
            <w:lang w:val="zh-CN"/>
          </w:rPr>
          <w:t>1</w:t>
        </w:r>
        <w:r>
          <w:fldChar w:fldCharType="end"/>
        </w:r>
      </w:p>
    </w:sdtContent>
  </w:sdt>
  <w:p w:rsidR="00B53A82" w:rsidRDefault="00B53A8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0B2" w:rsidRDefault="00BF60B2" w:rsidP="00B53A82">
      <w:r>
        <w:separator/>
      </w:r>
    </w:p>
  </w:footnote>
  <w:footnote w:type="continuationSeparator" w:id="0">
    <w:p w:rsidR="00BF60B2" w:rsidRDefault="00BF60B2" w:rsidP="00B53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A82"/>
    <w:rsid w:val="0004397D"/>
    <w:rsid w:val="000638DA"/>
    <w:rsid w:val="001A02CC"/>
    <w:rsid w:val="002D458A"/>
    <w:rsid w:val="002E5623"/>
    <w:rsid w:val="0038542D"/>
    <w:rsid w:val="003B1FCF"/>
    <w:rsid w:val="003C502C"/>
    <w:rsid w:val="004A58D8"/>
    <w:rsid w:val="005F51DF"/>
    <w:rsid w:val="00664065"/>
    <w:rsid w:val="007370F9"/>
    <w:rsid w:val="00751FE6"/>
    <w:rsid w:val="00910C41"/>
    <w:rsid w:val="00A72292"/>
    <w:rsid w:val="00B248EB"/>
    <w:rsid w:val="00B53A82"/>
    <w:rsid w:val="00BA3885"/>
    <w:rsid w:val="00BF60B2"/>
    <w:rsid w:val="00C4560C"/>
    <w:rsid w:val="00EB7EE5"/>
    <w:rsid w:val="00EC1F5A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3A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3A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3A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3A8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53A8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53A82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5F51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3A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3A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3A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3A8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53A8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53A82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5F5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Lu Gan</cp:lastModifiedBy>
  <cp:revision>11</cp:revision>
  <dcterms:created xsi:type="dcterms:W3CDTF">2016-06-07T02:12:00Z</dcterms:created>
  <dcterms:modified xsi:type="dcterms:W3CDTF">2016-10-21T12:47:00Z</dcterms:modified>
</cp:coreProperties>
</file>