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E81" w:rsidRPr="00D20E81" w:rsidRDefault="00D20E81" w:rsidP="00AB030C">
      <w:pPr>
        <w:spacing w:line="360" w:lineRule="auto"/>
        <w:rPr>
          <w:b/>
          <w:sz w:val="24"/>
        </w:rPr>
      </w:pPr>
      <w:r w:rsidRPr="00D20E81">
        <w:rPr>
          <w:rFonts w:hint="eastAsia"/>
          <w:b/>
          <w:sz w:val="24"/>
        </w:rPr>
        <w:t>Supplementary</w:t>
      </w:r>
      <w:r>
        <w:rPr>
          <w:b/>
          <w:sz w:val="24"/>
        </w:rPr>
        <w:t xml:space="preserve"> Materials and Metho</w:t>
      </w:r>
      <w:r w:rsidRPr="00D20E81">
        <w:rPr>
          <w:b/>
          <w:sz w:val="24"/>
        </w:rPr>
        <w:t>ds</w:t>
      </w:r>
    </w:p>
    <w:p w:rsidR="0076038F" w:rsidRPr="00267675" w:rsidRDefault="0076038F" w:rsidP="0076038F">
      <w:pPr>
        <w:spacing w:line="360" w:lineRule="auto"/>
        <w:rPr>
          <w:i/>
          <w:sz w:val="24"/>
        </w:rPr>
      </w:pPr>
      <w:r w:rsidRPr="00267675">
        <w:rPr>
          <w:i/>
          <w:sz w:val="24"/>
        </w:rPr>
        <w:t>Three-dimensional culture and sphere cells culture</w:t>
      </w:r>
    </w:p>
    <w:p w:rsidR="0076038F" w:rsidRPr="00267675" w:rsidRDefault="0076038F" w:rsidP="0076038F">
      <w:pPr>
        <w:spacing w:line="360" w:lineRule="auto"/>
        <w:rPr>
          <w:color w:val="000000"/>
          <w:sz w:val="24"/>
        </w:rPr>
      </w:pPr>
      <w:r w:rsidRPr="00267675">
        <w:rPr>
          <w:color w:val="000000"/>
          <w:sz w:val="24"/>
        </w:rPr>
        <w:t xml:space="preserve">Eight-chambered RS glass slides (BD Falcon, USA) were pre-coated with </w:t>
      </w:r>
      <w:r w:rsidRPr="00267675">
        <w:rPr>
          <w:rFonts w:eastAsia="Times New Roman"/>
          <w:color w:val="000000"/>
          <w:sz w:val="24"/>
        </w:rPr>
        <w:t>50</w:t>
      </w:r>
      <w:r>
        <w:rPr>
          <w:rFonts w:eastAsia="Times New Roman"/>
          <w:color w:val="000000"/>
          <w:sz w:val="24"/>
        </w:rPr>
        <w:t>μL</w:t>
      </w:r>
      <w:r w:rsidRPr="00267675">
        <w:rPr>
          <w:rFonts w:eastAsia="Times New Roman"/>
          <w:color w:val="000000"/>
          <w:sz w:val="24"/>
        </w:rPr>
        <w:t xml:space="preserve"> growth factor reduced Matrigel</w:t>
      </w:r>
      <w:r w:rsidRPr="00267675">
        <w:rPr>
          <w:rStyle w:val="A11"/>
          <w:rFonts w:hint="default"/>
          <w:color w:val="000000"/>
          <w:sz w:val="24"/>
        </w:rPr>
        <w:t xml:space="preserve">TM </w:t>
      </w:r>
      <w:r w:rsidRPr="00267675">
        <w:rPr>
          <w:rFonts w:eastAsia="Times New Roman"/>
          <w:color w:val="000000"/>
          <w:sz w:val="24"/>
        </w:rPr>
        <w:t>(BD Biosciences, USA) per well</w:t>
      </w:r>
      <w:r w:rsidRPr="00267675">
        <w:rPr>
          <w:color w:val="000000"/>
          <w:sz w:val="24"/>
        </w:rPr>
        <w:t>. The matrigel was solidiﬁed at 37</w:t>
      </w:r>
      <w:r w:rsidRPr="00267675">
        <w:rPr>
          <w:sz w:val="24"/>
        </w:rPr>
        <w:t>°C</w:t>
      </w:r>
      <w:r w:rsidRPr="00267675">
        <w:rPr>
          <w:color w:val="000000"/>
          <w:sz w:val="24"/>
        </w:rPr>
        <w:t xml:space="preserve"> for 30 minutes. Next, the cells were suspended in growth medium containing 2% matrigel and plated at a density of 2</w:t>
      </w:r>
      <w:r w:rsidRPr="00267675">
        <w:rPr>
          <w:sz w:val="24"/>
        </w:rPr>
        <w:t>×</w:t>
      </w:r>
      <w:r w:rsidRPr="00267675">
        <w:rPr>
          <w:color w:val="000000"/>
          <w:sz w:val="24"/>
        </w:rPr>
        <w:t>10</w:t>
      </w:r>
      <w:r w:rsidRPr="00267675">
        <w:rPr>
          <w:color w:val="000000"/>
          <w:sz w:val="24"/>
          <w:vertAlign w:val="superscript"/>
        </w:rPr>
        <w:t xml:space="preserve">3 </w:t>
      </w:r>
      <w:r w:rsidRPr="00267675">
        <w:rPr>
          <w:color w:val="000000"/>
          <w:sz w:val="24"/>
        </w:rPr>
        <w:t xml:space="preserve">cells per well. The cells were fed with growth medium containing 2% matrigel every 4 days. After 10 days of culture, the cells were digested from matrigel with </w:t>
      </w:r>
      <w:r w:rsidR="00A00747">
        <w:rPr>
          <w:color w:val="000000"/>
          <w:sz w:val="24"/>
        </w:rPr>
        <w:t>0</w:t>
      </w:r>
      <w:r w:rsidR="00A00747">
        <w:rPr>
          <w:rFonts w:hint="eastAsia"/>
          <w:color w:val="000000"/>
          <w:sz w:val="24"/>
        </w:rPr>
        <w:t>.</w:t>
      </w:r>
      <w:r w:rsidR="00A00747">
        <w:rPr>
          <w:color w:val="000000"/>
          <w:sz w:val="24"/>
        </w:rPr>
        <w:t>2</w:t>
      </w:r>
      <w:r w:rsidRPr="00267675">
        <w:rPr>
          <w:color w:val="000000"/>
          <w:sz w:val="24"/>
        </w:rPr>
        <w:t>5% EDTA-trypsin. Then collected the cells and performed RNA extraction. For sphere cells culture, dissociated single cells were seeded into ultralow attachment plates</w:t>
      </w:r>
      <w:r>
        <w:rPr>
          <w:color w:val="000000"/>
          <w:sz w:val="24"/>
        </w:rPr>
        <w:t xml:space="preserve"> </w:t>
      </w:r>
      <w:r w:rsidRPr="00267675">
        <w:rPr>
          <w:color w:val="000000"/>
          <w:sz w:val="24"/>
        </w:rPr>
        <w:t xml:space="preserve">with serum-free </w:t>
      </w:r>
      <w:r w:rsidR="00821EC0">
        <w:rPr>
          <w:color w:val="000000"/>
          <w:sz w:val="24"/>
        </w:rPr>
        <w:t>DMEM/F-12 (I</w:t>
      </w:r>
      <w:r w:rsidR="00821EC0">
        <w:rPr>
          <w:rFonts w:hint="eastAsia"/>
          <w:color w:val="000000"/>
          <w:sz w:val="24"/>
        </w:rPr>
        <w:t>n</w:t>
      </w:r>
      <w:r w:rsidR="00821EC0">
        <w:rPr>
          <w:color w:val="000000"/>
          <w:sz w:val="24"/>
        </w:rPr>
        <w:t xml:space="preserve">vitrogen, USA) </w:t>
      </w:r>
      <w:r w:rsidRPr="00267675">
        <w:rPr>
          <w:color w:val="000000"/>
          <w:sz w:val="24"/>
        </w:rPr>
        <w:t>medium supplemented with 2% B27 (</w:t>
      </w:r>
      <w:r w:rsidRPr="00267675">
        <w:rPr>
          <w:rFonts w:eastAsia="LucidaGrande"/>
          <w:sz w:val="24"/>
        </w:rPr>
        <w:t>l</w:t>
      </w:r>
      <w:r w:rsidRPr="00267675">
        <w:rPr>
          <w:sz w:val="24"/>
        </w:rPr>
        <w:t>n</w:t>
      </w:r>
      <w:r w:rsidRPr="00267675">
        <w:rPr>
          <w:rFonts w:eastAsia="LucidaGrande"/>
          <w:sz w:val="24"/>
        </w:rPr>
        <w:t>vitrogen, USA</w:t>
      </w:r>
      <w:r w:rsidRPr="00267675">
        <w:rPr>
          <w:sz w:val="24"/>
        </w:rPr>
        <w:t>)</w:t>
      </w:r>
      <w:r w:rsidRPr="00267675">
        <w:rPr>
          <w:color w:val="000000"/>
          <w:sz w:val="24"/>
        </w:rPr>
        <w:t>, 20ng/mL bFGF (</w:t>
      </w:r>
      <w:r w:rsidRPr="00267675">
        <w:rPr>
          <w:rFonts w:eastAsia="LucidaGrande"/>
          <w:sz w:val="24"/>
        </w:rPr>
        <w:t>l</w:t>
      </w:r>
      <w:r w:rsidRPr="00267675">
        <w:rPr>
          <w:sz w:val="24"/>
        </w:rPr>
        <w:t>n</w:t>
      </w:r>
      <w:r w:rsidRPr="00267675">
        <w:rPr>
          <w:rFonts w:eastAsia="LucidaGrande"/>
          <w:sz w:val="24"/>
        </w:rPr>
        <w:t>vitrogen, USA</w:t>
      </w:r>
      <w:r w:rsidRPr="00267675">
        <w:rPr>
          <w:sz w:val="24"/>
        </w:rPr>
        <w:t>)</w:t>
      </w:r>
      <w:r w:rsidRPr="00267675">
        <w:rPr>
          <w:color w:val="000000"/>
          <w:sz w:val="24"/>
        </w:rPr>
        <w:t>, and 20ng/mL EGF (</w:t>
      </w:r>
      <w:r w:rsidRPr="00267675">
        <w:rPr>
          <w:rFonts w:eastAsia="LucidaGrande"/>
          <w:sz w:val="24"/>
        </w:rPr>
        <w:t>l</w:t>
      </w:r>
      <w:r w:rsidRPr="00267675">
        <w:rPr>
          <w:sz w:val="24"/>
        </w:rPr>
        <w:t>n</w:t>
      </w:r>
      <w:r w:rsidRPr="00267675">
        <w:rPr>
          <w:rFonts w:eastAsia="LucidaGrande"/>
          <w:sz w:val="24"/>
        </w:rPr>
        <w:t>vitrogen, USA</w:t>
      </w:r>
      <w:r w:rsidRPr="00267675">
        <w:rPr>
          <w:sz w:val="24"/>
        </w:rPr>
        <w:t>)</w:t>
      </w:r>
      <w:r w:rsidRPr="00267675">
        <w:rPr>
          <w:color w:val="000000"/>
          <w:sz w:val="24"/>
        </w:rPr>
        <w:t xml:space="preserve"> and cultured at 37°C in 5% CO</w:t>
      </w:r>
      <w:r w:rsidRPr="00267675">
        <w:rPr>
          <w:color w:val="000000"/>
          <w:sz w:val="24"/>
          <w:vertAlign w:val="subscript"/>
        </w:rPr>
        <w:t>2</w:t>
      </w:r>
      <w:r w:rsidRPr="00267675">
        <w:rPr>
          <w:color w:val="000000"/>
          <w:sz w:val="24"/>
        </w:rPr>
        <w:t xml:space="preserve">. After </w:t>
      </w:r>
      <w:r>
        <w:rPr>
          <w:color w:val="000000"/>
          <w:sz w:val="24"/>
        </w:rPr>
        <w:t>one</w:t>
      </w:r>
      <w:r w:rsidRPr="00267675">
        <w:rPr>
          <w:color w:val="000000"/>
          <w:sz w:val="24"/>
        </w:rPr>
        <w:t xml:space="preserve"> month, collected the sphere cells by centrifuge and performed RNA extraction.</w:t>
      </w:r>
    </w:p>
    <w:p w:rsidR="00AB030C" w:rsidRPr="00AB030C" w:rsidRDefault="00AB030C" w:rsidP="00AB030C">
      <w:pPr>
        <w:spacing w:line="360" w:lineRule="auto"/>
        <w:rPr>
          <w:i/>
          <w:sz w:val="24"/>
        </w:rPr>
      </w:pPr>
      <w:r>
        <w:rPr>
          <w:i/>
          <w:sz w:val="24"/>
        </w:rPr>
        <w:t>Transwell migration assay</w:t>
      </w:r>
    </w:p>
    <w:p w:rsidR="00AB030C" w:rsidRPr="00AB030C" w:rsidRDefault="00AB030C" w:rsidP="00AB030C">
      <w:pPr>
        <w:spacing w:line="360" w:lineRule="auto"/>
        <w:rPr>
          <w:sz w:val="24"/>
        </w:rPr>
      </w:pPr>
      <w:r w:rsidRPr="00AB030C">
        <w:rPr>
          <w:sz w:val="24"/>
        </w:rPr>
        <w:t>For migration assay, cells (5×10</w:t>
      </w:r>
      <w:r w:rsidRPr="00AB030C">
        <w:rPr>
          <w:sz w:val="24"/>
          <w:vertAlign w:val="superscript"/>
        </w:rPr>
        <w:t>4</w:t>
      </w:r>
      <w:r w:rsidRPr="00AB030C">
        <w:rPr>
          <w:sz w:val="24"/>
        </w:rPr>
        <w:t>) in experimental group were resuspended in culture medium with the same concentration of control group and placed into uncoated membrane in the upper chamber (24-well insert, 8μm, Corning Costar, China). Growth medium supplemented with 10% FBS was used as an attractant in the lower chamber. After being incubated for 24 hours, cells migrated through the membrane were fixed with 4% paraformaldehy</w:t>
      </w:r>
      <w:r w:rsidR="00821EC0">
        <w:rPr>
          <w:sz w:val="24"/>
        </w:rPr>
        <w:t>d</w:t>
      </w:r>
      <w:r w:rsidRPr="00AB030C">
        <w:rPr>
          <w:sz w:val="24"/>
        </w:rPr>
        <w:t xml:space="preserve">e (Santa Cruz, USA) and stained with </w:t>
      </w:r>
      <w:r w:rsidR="00A00747">
        <w:rPr>
          <w:sz w:val="24"/>
        </w:rPr>
        <w:t>0</w:t>
      </w:r>
      <w:r w:rsidR="00A00747">
        <w:rPr>
          <w:rFonts w:hint="eastAsia"/>
          <w:sz w:val="24"/>
        </w:rPr>
        <w:t>.</w:t>
      </w:r>
      <w:r w:rsidR="00A00747">
        <w:rPr>
          <w:sz w:val="24"/>
        </w:rPr>
        <w:t>5</w:t>
      </w:r>
      <w:r w:rsidRPr="00AB030C">
        <w:rPr>
          <w:sz w:val="24"/>
        </w:rPr>
        <w:t>% crystal violet (Shanghai Sengon Company, China). The stained cell images were captured by microscope (Olympus, Japan), and five random fields at 10× magnif</w:t>
      </w:r>
      <w:r w:rsidR="001A1E7D">
        <w:rPr>
          <w:sz w:val="24"/>
        </w:rPr>
        <w:t>i</w:t>
      </w:r>
      <w:r w:rsidRPr="00AB030C">
        <w:rPr>
          <w:sz w:val="24"/>
        </w:rPr>
        <w:t xml:space="preserve">cation were counted. </w:t>
      </w:r>
    </w:p>
    <w:p w:rsidR="00AB030C" w:rsidRPr="00AB030C" w:rsidRDefault="00AB030C" w:rsidP="00AB030C">
      <w:pPr>
        <w:spacing w:line="360" w:lineRule="auto"/>
        <w:rPr>
          <w:i/>
          <w:sz w:val="24"/>
        </w:rPr>
      </w:pPr>
      <w:r w:rsidRPr="00AB030C">
        <w:rPr>
          <w:i/>
          <w:sz w:val="24"/>
        </w:rPr>
        <w:t>Cell plate colony formation assay</w:t>
      </w:r>
    </w:p>
    <w:p w:rsidR="00AB030C" w:rsidRPr="00AB030C" w:rsidRDefault="00AB030C" w:rsidP="00AB030C">
      <w:pPr>
        <w:spacing w:line="360" w:lineRule="auto"/>
        <w:rPr>
          <w:sz w:val="24"/>
        </w:rPr>
      </w:pPr>
      <w:r w:rsidRPr="00AB030C">
        <w:rPr>
          <w:sz w:val="24"/>
        </w:rPr>
        <w:t>Single cells were resuspended and plated in 6 cm dishes at 1000 cells/dish. Cells were incubated at 37°C, 5% CO</w:t>
      </w:r>
      <w:r w:rsidRPr="00AB030C">
        <w:rPr>
          <w:sz w:val="24"/>
          <w:vertAlign w:val="subscript"/>
        </w:rPr>
        <w:t>2</w:t>
      </w:r>
      <w:r w:rsidRPr="00AB030C">
        <w:rPr>
          <w:sz w:val="24"/>
        </w:rPr>
        <w:t>. Eight to eleven days later, the cells were fixed and stained with 1% crystal violet (Shanghai Sengon Company, China). The number of colonies, defined as &gt;50</w:t>
      </w:r>
      <w:r w:rsidRPr="00AB030C">
        <w:rPr>
          <w:rFonts w:eastAsia="Times New Roman"/>
          <w:color w:val="000000"/>
          <w:sz w:val="24"/>
        </w:rPr>
        <w:t>μm</w:t>
      </w:r>
      <w:r w:rsidRPr="00AB030C">
        <w:rPr>
          <w:sz w:val="24"/>
        </w:rPr>
        <w:t xml:space="preserve"> cells/colony were counted. Triplicate dishes were set up.</w:t>
      </w:r>
    </w:p>
    <w:p w:rsidR="00AB030C" w:rsidRPr="00AB030C" w:rsidRDefault="00AB030C" w:rsidP="00AB030C">
      <w:pPr>
        <w:spacing w:line="360" w:lineRule="auto"/>
        <w:rPr>
          <w:i/>
          <w:sz w:val="24"/>
        </w:rPr>
      </w:pPr>
      <w:r w:rsidRPr="00AB030C">
        <w:rPr>
          <w:i/>
          <w:sz w:val="24"/>
        </w:rPr>
        <w:t>Sphere formation assay</w:t>
      </w:r>
    </w:p>
    <w:p w:rsidR="00AB030C" w:rsidRPr="00267675" w:rsidRDefault="00AB030C" w:rsidP="00AB030C">
      <w:pPr>
        <w:spacing w:line="360" w:lineRule="auto"/>
        <w:rPr>
          <w:sz w:val="24"/>
        </w:rPr>
      </w:pPr>
      <w:r w:rsidRPr="00AB030C">
        <w:rPr>
          <w:sz w:val="24"/>
        </w:rPr>
        <w:lastRenderedPageBreak/>
        <w:t>Sphere formation was performed in ultralow attachment plates (Corning Costar) with dissociated single cells (1,000) were seeded in 6-well ultra-low attachment plates with serum-free medium supplemented with 2% B27, 20ng/mL bFGF, and 20ng/mL EGF and cultured at 37°C in 5% CO</w:t>
      </w:r>
      <w:r w:rsidRPr="00AB030C">
        <w:rPr>
          <w:sz w:val="24"/>
          <w:vertAlign w:val="subscript"/>
        </w:rPr>
        <w:t>2</w:t>
      </w:r>
      <w:r w:rsidRPr="00AB030C">
        <w:rPr>
          <w:sz w:val="24"/>
        </w:rPr>
        <w:t>. After 14 days, the spheres greater than 50μm diameters were counted at 40× magnification under Olympus microscope</w:t>
      </w:r>
      <w:r w:rsidR="00A00747">
        <w:rPr>
          <w:sz w:val="24"/>
        </w:rPr>
        <w:t xml:space="preserve"> </w:t>
      </w:r>
      <w:r w:rsidR="00A00747" w:rsidRPr="00AB030C">
        <w:rPr>
          <w:sz w:val="24"/>
        </w:rPr>
        <w:t>(Olympus, Japan)</w:t>
      </w:r>
      <w:r w:rsidRPr="00AB030C">
        <w:rPr>
          <w:sz w:val="24"/>
        </w:rPr>
        <w:t>. The number and diameter of spheres were calculated by Image pro plus 6.0.</w:t>
      </w:r>
      <w:r w:rsidRPr="00267675">
        <w:rPr>
          <w:b/>
          <w:sz w:val="24"/>
        </w:rPr>
        <w:t xml:space="preserve"> </w:t>
      </w:r>
    </w:p>
    <w:p w:rsidR="00AB030C" w:rsidRPr="00267675" w:rsidRDefault="00AB030C" w:rsidP="00AB030C">
      <w:pPr>
        <w:spacing w:line="360" w:lineRule="auto"/>
        <w:rPr>
          <w:bCs/>
          <w:i/>
          <w:sz w:val="24"/>
        </w:rPr>
      </w:pPr>
      <w:r w:rsidRPr="00267675">
        <w:rPr>
          <w:rFonts w:eastAsia="AdvHelv_B"/>
          <w:bCs/>
          <w:i/>
          <w:sz w:val="24"/>
        </w:rPr>
        <w:t>RN</w:t>
      </w:r>
      <w:r w:rsidRPr="00AB030C">
        <w:rPr>
          <w:rFonts w:eastAsia="AdvHelv_B"/>
          <w:bCs/>
          <w:i/>
          <w:sz w:val="24"/>
        </w:rPr>
        <w:t>A extraction,</w:t>
      </w:r>
      <w:r w:rsidRPr="00267675">
        <w:rPr>
          <w:rFonts w:eastAsia="AdvHelv_B"/>
          <w:bCs/>
          <w:i/>
          <w:sz w:val="24"/>
        </w:rPr>
        <w:t xml:space="preserve"> RT-PCR and real-time PCR analysis</w:t>
      </w:r>
    </w:p>
    <w:p w:rsidR="00AB030C" w:rsidRPr="00267675" w:rsidRDefault="00AB030C" w:rsidP="00AB030C">
      <w:pPr>
        <w:spacing w:line="360" w:lineRule="auto"/>
        <w:rPr>
          <w:rFonts w:eastAsia="AdvPSHN-H"/>
          <w:color w:val="000000"/>
          <w:sz w:val="24"/>
        </w:rPr>
      </w:pPr>
      <w:r w:rsidRPr="00267675">
        <w:rPr>
          <w:rFonts w:eastAsia="AdvHelv_NR"/>
          <w:color w:val="000000"/>
          <w:sz w:val="24"/>
        </w:rPr>
        <w:t>Total RNA</w:t>
      </w:r>
      <w:r w:rsidRPr="00267675">
        <w:rPr>
          <w:color w:val="000000"/>
          <w:sz w:val="24"/>
        </w:rPr>
        <w:t xml:space="preserve"> </w:t>
      </w:r>
      <w:r w:rsidRPr="00267675">
        <w:rPr>
          <w:rFonts w:eastAsia="AdvHelv_NR"/>
          <w:color w:val="000000"/>
          <w:sz w:val="24"/>
        </w:rPr>
        <w:t>was extracted from breast tissue specimens or cells using the Trizol reagent</w:t>
      </w:r>
      <w:r w:rsidRPr="00267675">
        <w:rPr>
          <w:color w:val="000000"/>
          <w:sz w:val="24"/>
        </w:rPr>
        <w:t xml:space="preserve"> </w:t>
      </w:r>
      <w:r w:rsidRPr="00267675">
        <w:rPr>
          <w:rFonts w:eastAsia="AdvHelv_NR"/>
          <w:color w:val="000000"/>
          <w:sz w:val="24"/>
        </w:rPr>
        <w:t>(Invitrogen, USA) following manufacturer’s instructions. The cDNA was generated with</w:t>
      </w:r>
      <w:r w:rsidRPr="00267675">
        <w:rPr>
          <w:color w:val="000000"/>
          <w:sz w:val="24"/>
        </w:rPr>
        <w:t xml:space="preserve"> an oligo-dT primer by </w:t>
      </w:r>
      <w:r w:rsidRPr="00267675">
        <w:rPr>
          <w:rFonts w:eastAsia="AdvHelv_NR"/>
          <w:color w:val="000000"/>
          <w:sz w:val="24"/>
        </w:rPr>
        <w:t xml:space="preserve">using </w:t>
      </w:r>
      <w:bookmarkStart w:id="0" w:name="OLE_LINK70"/>
      <w:r w:rsidRPr="00267675">
        <w:rPr>
          <w:color w:val="000000"/>
          <w:sz w:val="24"/>
        </w:rPr>
        <w:t>SuperScript III RT</w:t>
      </w:r>
      <w:r w:rsidRPr="00267675">
        <w:rPr>
          <w:rFonts w:eastAsia="AdvHelv_NR"/>
          <w:color w:val="000000"/>
          <w:sz w:val="24"/>
        </w:rPr>
        <w:t xml:space="preserve"> System</w:t>
      </w:r>
      <w:bookmarkEnd w:id="0"/>
      <w:r w:rsidRPr="00267675">
        <w:rPr>
          <w:rFonts w:eastAsia="AdvHelv_NR"/>
          <w:color w:val="000000"/>
          <w:sz w:val="24"/>
        </w:rPr>
        <w:t xml:space="preserve"> (</w:t>
      </w:r>
      <w:bookmarkStart w:id="1" w:name="OLE_LINK71"/>
      <w:r w:rsidRPr="00267675">
        <w:rPr>
          <w:color w:val="000000"/>
          <w:sz w:val="24"/>
        </w:rPr>
        <w:t>Invitrogen</w:t>
      </w:r>
      <w:bookmarkEnd w:id="1"/>
      <w:r w:rsidRPr="00267675">
        <w:rPr>
          <w:color w:val="000000"/>
          <w:sz w:val="24"/>
        </w:rPr>
        <w:t>, USA</w:t>
      </w:r>
      <w:r w:rsidRPr="00267675">
        <w:rPr>
          <w:rFonts w:eastAsia="AdvHelv_NR"/>
          <w:color w:val="000000"/>
          <w:sz w:val="24"/>
        </w:rPr>
        <w:t>)</w:t>
      </w:r>
      <w:r w:rsidRPr="00267675">
        <w:rPr>
          <w:color w:val="000000"/>
          <w:sz w:val="24"/>
        </w:rPr>
        <w:t>.</w:t>
      </w:r>
      <w:r w:rsidRPr="00267675">
        <w:rPr>
          <w:rFonts w:eastAsia="AdvHelv_NR"/>
          <w:color w:val="000000"/>
          <w:sz w:val="24"/>
        </w:rPr>
        <w:t xml:space="preserve"> </w:t>
      </w:r>
      <w:r w:rsidRPr="00267675">
        <w:rPr>
          <w:color w:val="000000"/>
          <w:sz w:val="24"/>
        </w:rPr>
        <w:t xml:space="preserve">RT-qPCR was performed using Platinum SYBR Green QPCR SuperMix (Invitrogen, USA) as recommended by the manufacturer. β-actin was used as the internal control. </w:t>
      </w:r>
      <w:r w:rsidRPr="00267675">
        <w:rPr>
          <w:rFonts w:eastAsia="AdvPSA183"/>
          <w:color w:val="000000"/>
          <w:sz w:val="24"/>
        </w:rPr>
        <w:t>For the</w:t>
      </w:r>
      <w:r w:rsidRPr="00267675">
        <w:rPr>
          <w:color w:val="000000"/>
          <w:sz w:val="24"/>
        </w:rPr>
        <w:t xml:space="preserve"> cytoplasmic and nuclear RNA extraction, the cytoplasmic and nuclear RNA were respecti</w:t>
      </w:r>
      <w:bookmarkStart w:id="2" w:name="_GoBack"/>
      <w:bookmarkEnd w:id="2"/>
      <w:r w:rsidRPr="00267675">
        <w:rPr>
          <w:color w:val="000000"/>
          <w:sz w:val="24"/>
        </w:rPr>
        <w:t xml:space="preserve">vely isolated from cancer cells </w:t>
      </w:r>
      <w:r w:rsidRPr="00267675">
        <w:rPr>
          <w:rFonts w:eastAsia="AdvPSA183"/>
          <w:color w:val="000000"/>
          <w:sz w:val="24"/>
        </w:rPr>
        <w:t xml:space="preserve">using the </w:t>
      </w:r>
      <w:r w:rsidRPr="00267675">
        <w:rPr>
          <w:color w:val="000000"/>
          <w:sz w:val="24"/>
        </w:rPr>
        <w:t>PARIS</w:t>
      </w:r>
      <w:r w:rsidRPr="00267675">
        <w:rPr>
          <w:color w:val="000000"/>
          <w:sz w:val="24"/>
          <w:vertAlign w:val="superscript"/>
        </w:rPr>
        <w:t xml:space="preserve">TM </w:t>
      </w:r>
      <w:r w:rsidRPr="00267675">
        <w:rPr>
          <w:color w:val="000000"/>
          <w:sz w:val="24"/>
        </w:rPr>
        <w:t xml:space="preserve">kit Protein and RNA Isolation System </w:t>
      </w:r>
      <w:r w:rsidRPr="00267675">
        <w:rPr>
          <w:rFonts w:eastAsia="AdvPSA183"/>
          <w:color w:val="000000"/>
          <w:sz w:val="24"/>
        </w:rPr>
        <w:t>(Ambion, USA)</w:t>
      </w:r>
      <w:r w:rsidRPr="00267675">
        <w:rPr>
          <w:color w:val="000000"/>
          <w:sz w:val="24"/>
        </w:rPr>
        <w:t xml:space="preserve"> according to </w:t>
      </w:r>
      <w:r w:rsidRPr="00267675">
        <w:rPr>
          <w:rFonts w:eastAsia="AdvPSA183"/>
          <w:color w:val="000000"/>
          <w:sz w:val="24"/>
        </w:rPr>
        <w:t>the manufacturer’s directions</w:t>
      </w:r>
      <w:r w:rsidRPr="00267675">
        <w:rPr>
          <w:color w:val="000000"/>
          <w:sz w:val="24"/>
        </w:rPr>
        <w:t xml:space="preserve">, and </w:t>
      </w:r>
      <w:r w:rsidRPr="00267675">
        <w:rPr>
          <w:color w:val="000000"/>
          <w:kern w:val="0"/>
          <w:sz w:val="24"/>
        </w:rPr>
        <w:t>following steps were similar as previously described. T</w:t>
      </w:r>
      <w:r w:rsidRPr="00267675">
        <w:rPr>
          <w:rFonts w:eastAsia="Times New Roman"/>
          <w:color w:val="000000"/>
          <w:sz w:val="24"/>
        </w:rPr>
        <w:t xml:space="preserve">he </w:t>
      </w:r>
      <w:r w:rsidRPr="00267675">
        <w:rPr>
          <w:color w:val="000000"/>
          <w:sz w:val="24"/>
        </w:rPr>
        <w:t>cytoplasmic</w:t>
      </w:r>
      <w:r w:rsidRPr="00267675">
        <w:rPr>
          <w:rFonts w:eastAsia="Times New Roman"/>
          <w:color w:val="000000"/>
          <w:sz w:val="24"/>
        </w:rPr>
        <w:t xml:space="preserve"> mRNA levels were normalized against </w:t>
      </w:r>
      <w:r w:rsidRPr="00267675">
        <w:rPr>
          <w:color w:val="000000"/>
          <w:sz w:val="24"/>
        </w:rPr>
        <w:t>ACTB and t</w:t>
      </w:r>
      <w:r w:rsidRPr="00267675">
        <w:rPr>
          <w:rFonts w:eastAsia="Times New Roman"/>
          <w:color w:val="000000"/>
          <w:sz w:val="24"/>
        </w:rPr>
        <w:t>h</w:t>
      </w:r>
      <w:r w:rsidRPr="00267675">
        <w:rPr>
          <w:color w:val="000000"/>
          <w:sz w:val="24"/>
        </w:rPr>
        <w:t xml:space="preserve">e nuclear </w:t>
      </w:r>
      <w:r w:rsidRPr="00267675">
        <w:rPr>
          <w:rFonts w:eastAsia="Times New Roman"/>
          <w:color w:val="000000"/>
          <w:sz w:val="24"/>
        </w:rPr>
        <w:t>mRNA levels were normalized against</w:t>
      </w:r>
      <w:r w:rsidRPr="00267675">
        <w:rPr>
          <w:color w:val="000000"/>
          <w:sz w:val="24"/>
        </w:rPr>
        <w:t xml:space="preserve"> XIST. </w:t>
      </w:r>
      <w:r w:rsidRPr="00267675">
        <w:rPr>
          <w:rFonts w:eastAsia="Times New Roman"/>
          <w:color w:val="000000"/>
          <w:sz w:val="24"/>
        </w:rPr>
        <w:t xml:space="preserve">For miRNA </w:t>
      </w:r>
      <w:r w:rsidRPr="00267675">
        <w:rPr>
          <w:rFonts w:eastAsia="AdvHelv_B"/>
          <w:color w:val="000000"/>
          <w:sz w:val="24"/>
        </w:rPr>
        <w:t>extraction</w:t>
      </w:r>
      <w:r w:rsidRPr="00267675">
        <w:rPr>
          <w:rFonts w:eastAsia="Times New Roman"/>
          <w:color w:val="000000"/>
          <w:sz w:val="24"/>
        </w:rPr>
        <w:t xml:space="preserve">, total RNAs were extracted from </w:t>
      </w:r>
      <w:r w:rsidRPr="00267675">
        <w:rPr>
          <w:rFonts w:eastAsia="AdvHelv_NR"/>
          <w:color w:val="000000"/>
          <w:sz w:val="24"/>
        </w:rPr>
        <w:t>breast tissue specimens or cells</w:t>
      </w:r>
      <w:r w:rsidRPr="00267675">
        <w:rPr>
          <w:rFonts w:eastAsia="Times New Roman"/>
          <w:color w:val="000000"/>
          <w:sz w:val="24"/>
        </w:rPr>
        <w:t xml:space="preserve"> using</w:t>
      </w:r>
      <w:r w:rsidRPr="00267675">
        <w:rPr>
          <w:color w:val="000000"/>
          <w:sz w:val="24"/>
        </w:rPr>
        <w:t xml:space="preserve"> </w:t>
      </w:r>
      <w:r w:rsidRPr="00267675">
        <w:rPr>
          <w:rFonts w:eastAsia="Times New Roman"/>
          <w:color w:val="000000"/>
          <w:sz w:val="24"/>
        </w:rPr>
        <w:t>miRNeasy Mini kit (Qiagen, USA). Levels of mature miRNAs were determined by RT-</w:t>
      </w:r>
      <w:r w:rsidRPr="00267675">
        <w:rPr>
          <w:color w:val="000000"/>
          <w:sz w:val="24"/>
        </w:rPr>
        <w:t>q</w:t>
      </w:r>
      <w:r w:rsidRPr="00267675">
        <w:rPr>
          <w:rFonts w:eastAsia="Times New Roman"/>
          <w:color w:val="000000"/>
          <w:sz w:val="24"/>
        </w:rPr>
        <w:t>PCR using miScript reverse transcription kit (Qiagen, USA) and miScript SYBR Green PCR kit (Qiagen, USA) according to the manufacturers’ instructions</w:t>
      </w:r>
      <w:r w:rsidRPr="00267675">
        <w:rPr>
          <w:color w:val="000000"/>
          <w:sz w:val="24"/>
        </w:rPr>
        <w:t xml:space="preserve">. </w:t>
      </w:r>
      <w:r w:rsidRPr="00267675">
        <w:rPr>
          <w:rFonts w:eastAsia="Times New Roman"/>
          <w:color w:val="000000"/>
          <w:sz w:val="24"/>
        </w:rPr>
        <w:t>PCR</w:t>
      </w:r>
      <w:r w:rsidRPr="00267675">
        <w:rPr>
          <w:color w:val="000000"/>
          <w:sz w:val="24"/>
        </w:rPr>
        <w:t xml:space="preserve"> </w:t>
      </w:r>
      <w:r w:rsidRPr="00267675">
        <w:rPr>
          <w:rFonts w:eastAsia="Times New Roman"/>
          <w:color w:val="000000"/>
          <w:sz w:val="24"/>
        </w:rPr>
        <w:t>primer sets</w:t>
      </w:r>
      <w:r w:rsidRPr="00267675">
        <w:rPr>
          <w:color w:val="000000"/>
          <w:sz w:val="24"/>
        </w:rPr>
        <w:t xml:space="preserve"> </w:t>
      </w:r>
      <w:r w:rsidRPr="00267675">
        <w:rPr>
          <w:rFonts w:eastAsia="Times New Roman"/>
          <w:color w:val="000000"/>
          <w:sz w:val="24"/>
        </w:rPr>
        <w:t>specific for let-7</w:t>
      </w:r>
      <w:r w:rsidRPr="00267675">
        <w:rPr>
          <w:color w:val="000000"/>
          <w:sz w:val="24"/>
        </w:rPr>
        <w:t xml:space="preserve">a or </w:t>
      </w:r>
      <w:r w:rsidRPr="00267675">
        <w:rPr>
          <w:rFonts w:eastAsia="Times New Roman"/>
          <w:color w:val="000000"/>
          <w:sz w:val="24"/>
        </w:rPr>
        <w:t>let-7b</w:t>
      </w:r>
      <w:r w:rsidRPr="00267675">
        <w:rPr>
          <w:color w:val="000000"/>
          <w:sz w:val="24"/>
        </w:rPr>
        <w:t xml:space="preserve"> </w:t>
      </w:r>
      <w:r w:rsidRPr="00267675">
        <w:rPr>
          <w:rFonts w:eastAsia="Times New Roman"/>
          <w:color w:val="000000"/>
          <w:sz w:val="24"/>
        </w:rPr>
        <w:t>were purchased from Qiagen</w:t>
      </w:r>
      <w:r w:rsidRPr="00267675">
        <w:rPr>
          <w:color w:val="000000"/>
          <w:sz w:val="24"/>
        </w:rPr>
        <w:t>, and t</w:t>
      </w:r>
      <w:r w:rsidRPr="00267675">
        <w:rPr>
          <w:rFonts w:eastAsia="Times New Roman"/>
          <w:color w:val="000000"/>
          <w:sz w:val="24"/>
        </w:rPr>
        <w:t>he indicated miRNA levels were normalized against snRNA RNU6B</w:t>
      </w:r>
      <w:r>
        <w:rPr>
          <w:color w:val="000000"/>
          <w:sz w:val="24"/>
        </w:rPr>
        <w:t>.</w:t>
      </w:r>
    </w:p>
    <w:p w:rsidR="00AB030C" w:rsidRPr="00267675" w:rsidRDefault="00AB030C" w:rsidP="00AB030C">
      <w:pPr>
        <w:spacing w:line="360" w:lineRule="auto"/>
        <w:rPr>
          <w:i/>
          <w:sz w:val="24"/>
        </w:rPr>
      </w:pPr>
      <w:r w:rsidRPr="00AB030C">
        <w:rPr>
          <w:i/>
          <w:sz w:val="24"/>
        </w:rPr>
        <w:t>Western blot</w:t>
      </w:r>
    </w:p>
    <w:p w:rsidR="00AB030C" w:rsidRDefault="00AB030C" w:rsidP="00AB030C">
      <w:pPr>
        <w:spacing w:line="360" w:lineRule="auto"/>
        <w:rPr>
          <w:sz w:val="24"/>
        </w:rPr>
      </w:pPr>
      <w:r w:rsidRPr="00267675">
        <w:rPr>
          <w:rFonts w:eastAsia="Times New Roman"/>
          <w:color w:val="0C0C0C"/>
          <w:sz w:val="24"/>
        </w:rPr>
        <w:t>Cellular or tissue samples were lysed with RIPA buffer with freshly added cocktail protease inhibitor (Thermo Fisher Scientific, USA)</w:t>
      </w:r>
      <w:r w:rsidRPr="00267675">
        <w:rPr>
          <w:color w:val="0C0C0C"/>
          <w:sz w:val="24"/>
        </w:rPr>
        <w:t xml:space="preserve">. An equal amount of protein was separated by SDS-PAGE and transferred to a NC membrane </w:t>
      </w:r>
      <w:r w:rsidRPr="00267675">
        <w:rPr>
          <w:rFonts w:eastAsia="Times New Roman"/>
          <w:color w:val="0C0C0C"/>
          <w:sz w:val="24"/>
        </w:rPr>
        <w:t>(Millipore, USA)</w:t>
      </w:r>
      <w:r w:rsidRPr="00267675">
        <w:rPr>
          <w:color w:val="0C0C0C"/>
          <w:sz w:val="24"/>
        </w:rPr>
        <w:t xml:space="preserve">. The membranes were blocked with 5% fat-free milk in TBST at room temperature for 1 hour and </w:t>
      </w:r>
      <w:r w:rsidRPr="00267675">
        <w:rPr>
          <w:rFonts w:eastAsia="Times New Roman"/>
          <w:color w:val="0C0C0C"/>
          <w:sz w:val="24"/>
        </w:rPr>
        <w:t xml:space="preserve">incubated at 4°C overnight with </w:t>
      </w:r>
      <w:r w:rsidRPr="00267675">
        <w:rPr>
          <w:color w:val="0C0C0C"/>
          <w:sz w:val="24"/>
        </w:rPr>
        <w:t>primary</w:t>
      </w:r>
      <w:r w:rsidRPr="00267675">
        <w:rPr>
          <w:rFonts w:eastAsia="Times New Roman"/>
          <w:color w:val="0C0C0C"/>
          <w:sz w:val="24"/>
        </w:rPr>
        <w:t xml:space="preserve"> antibodies</w:t>
      </w:r>
      <w:r w:rsidRPr="00267675">
        <w:rPr>
          <w:color w:val="0C0C0C"/>
          <w:sz w:val="24"/>
        </w:rPr>
        <w:t xml:space="preserve">, followed by incubation </w:t>
      </w:r>
      <w:r w:rsidRPr="00267675">
        <w:rPr>
          <w:color w:val="0C0C0C"/>
          <w:sz w:val="24"/>
        </w:rPr>
        <w:lastRenderedPageBreak/>
        <w:t xml:space="preserve">with appropriate secondary antibodies (Thermo Fisher Scientific, USA) at room temperature for 60 minutes. Antibody binding was detected with an enhanced chemiluminescence kit (Amersham, UK) </w:t>
      </w:r>
      <w:r w:rsidRPr="00267675">
        <w:rPr>
          <w:rFonts w:eastAsia="Times New Roman"/>
          <w:color w:val="0C0C0C"/>
          <w:sz w:val="24"/>
        </w:rPr>
        <w:t>using Bio- Rad ChemiDoc</w:t>
      </w:r>
      <w:r w:rsidRPr="00267675">
        <w:rPr>
          <w:color w:val="0C0C0C"/>
          <w:sz w:val="24"/>
        </w:rPr>
        <w:t xml:space="preserve"> </w:t>
      </w:r>
      <w:r w:rsidRPr="00267675">
        <w:rPr>
          <w:rFonts w:eastAsia="Times New Roman"/>
          <w:color w:val="0C0C0C"/>
          <w:sz w:val="24"/>
        </w:rPr>
        <w:t>XRS+</w:t>
      </w:r>
      <w:r w:rsidRPr="00267675">
        <w:rPr>
          <w:color w:val="0C0C0C"/>
          <w:sz w:val="24"/>
        </w:rPr>
        <w:t xml:space="preserve"> </w:t>
      </w:r>
      <w:r w:rsidRPr="00267675">
        <w:rPr>
          <w:rFonts w:eastAsia="Times New Roman"/>
          <w:color w:val="0C0C0C"/>
          <w:sz w:val="24"/>
        </w:rPr>
        <w:t>Imaging System according to the manufacturer’s instructions</w:t>
      </w:r>
      <w:r w:rsidRPr="00267675">
        <w:rPr>
          <w:color w:val="0C0C0C"/>
          <w:sz w:val="24"/>
        </w:rPr>
        <w:t xml:space="preserve">. </w:t>
      </w:r>
      <w:r w:rsidRPr="00267675">
        <w:rPr>
          <w:sz w:val="24"/>
        </w:rPr>
        <w:t xml:space="preserve">The </w:t>
      </w:r>
      <w:r w:rsidRPr="00267675">
        <w:rPr>
          <w:rFonts w:eastAsia="AdvHelv_NR"/>
          <w:sz w:val="24"/>
        </w:rPr>
        <w:t>Primary antibodies</w:t>
      </w:r>
      <w:r w:rsidRPr="00267675">
        <w:rPr>
          <w:sz w:val="24"/>
        </w:rPr>
        <w:t xml:space="preserve"> </w:t>
      </w:r>
      <w:r w:rsidRPr="00267675">
        <w:rPr>
          <w:rFonts w:eastAsia="Times New Roman"/>
          <w:color w:val="000000"/>
          <w:sz w:val="24"/>
        </w:rPr>
        <w:t xml:space="preserve">were </w:t>
      </w:r>
      <w:r w:rsidRPr="00267675">
        <w:rPr>
          <w:color w:val="000000"/>
          <w:sz w:val="24"/>
        </w:rPr>
        <w:t>used</w:t>
      </w:r>
      <w:r w:rsidRPr="00267675">
        <w:rPr>
          <w:rFonts w:eastAsia="Times New Roman"/>
          <w:color w:val="000000"/>
          <w:sz w:val="24"/>
        </w:rPr>
        <w:t xml:space="preserve"> as follows: β</w:t>
      </w:r>
      <w:r w:rsidRPr="00267675">
        <w:rPr>
          <w:rFonts w:eastAsia="AdvP1491"/>
          <w:sz w:val="24"/>
        </w:rPr>
        <w:t>-</w:t>
      </w:r>
      <w:r w:rsidR="00A00747">
        <w:rPr>
          <w:rFonts w:eastAsia="AdvP1491"/>
          <w:sz w:val="24"/>
        </w:rPr>
        <w:t>ACTIN</w:t>
      </w:r>
      <w:r w:rsidRPr="00267675">
        <w:rPr>
          <w:sz w:val="24"/>
        </w:rPr>
        <w:t xml:space="preserve"> </w:t>
      </w:r>
      <w:r w:rsidRPr="00267675">
        <w:rPr>
          <w:rFonts w:eastAsia="AdvP1491"/>
          <w:sz w:val="24"/>
        </w:rPr>
        <w:t>(Santa Cruz Biotechnology, USA)</w:t>
      </w:r>
      <w:r w:rsidRPr="00267675">
        <w:rPr>
          <w:sz w:val="24"/>
        </w:rPr>
        <w:t xml:space="preserve">, </w:t>
      </w:r>
      <w:r w:rsidRPr="00267675">
        <w:rPr>
          <w:rFonts w:eastAsia="AdvP1491"/>
          <w:sz w:val="24"/>
        </w:rPr>
        <w:t>S</w:t>
      </w:r>
      <w:r w:rsidRPr="00267675">
        <w:rPr>
          <w:sz w:val="24"/>
        </w:rPr>
        <w:t>OX</w:t>
      </w:r>
      <w:r w:rsidRPr="00267675">
        <w:rPr>
          <w:rFonts w:eastAsia="AdvP1491"/>
          <w:sz w:val="24"/>
        </w:rPr>
        <w:t>2 (</w:t>
      </w:r>
      <w:r w:rsidRPr="00267675">
        <w:rPr>
          <w:sz w:val="24"/>
        </w:rPr>
        <w:t>Cell signaling technology, USA</w:t>
      </w:r>
      <w:r w:rsidRPr="00267675">
        <w:rPr>
          <w:rFonts w:eastAsia="AdvP1491"/>
          <w:sz w:val="24"/>
        </w:rPr>
        <w:t>), O</w:t>
      </w:r>
      <w:r w:rsidRPr="00267675">
        <w:rPr>
          <w:sz w:val="24"/>
        </w:rPr>
        <w:t>CT</w:t>
      </w:r>
      <w:r w:rsidRPr="00267675">
        <w:rPr>
          <w:rFonts w:eastAsia="AdvP1491"/>
          <w:sz w:val="24"/>
        </w:rPr>
        <w:t>4 (</w:t>
      </w:r>
      <w:r w:rsidRPr="00267675">
        <w:rPr>
          <w:sz w:val="24"/>
        </w:rPr>
        <w:t>Cell signaling technology, USA</w:t>
      </w:r>
      <w:r w:rsidRPr="00267675">
        <w:rPr>
          <w:rFonts w:eastAsia="AdvP1491"/>
          <w:sz w:val="24"/>
        </w:rPr>
        <w:t xml:space="preserve">), </w:t>
      </w:r>
      <w:r w:rsidRPr="00267675">
        <w:rPr>
          <w:sz w:val="24"/>
        </w:rPr>
        <w:t>NANOG</w:t>
      </w:r>
      <w:r w:rsidRPr="00267675">
        <w:rPr>
          <w:rFonts w:eastAsia="AdvP1491"/>
          <w:sz w:val="24"/>
        </w:rPr>
        <w:t xml:space="preserve"> (</w:t>
      </w:r>
      <w:r w:rsidRPr="00267675">
        <w:rPr>
          <w:sz w:val="24"/>
        </w:rPr>
        <w:t>Abcam, USA</w:t>
      </w:r>
      <w:r w:rsidRPr="00267675">
        <w:rPr>
          <w:rFonts w:eastAsia="AdvP1491"/>
          <w:sz w:val="24"/>
        </w:rPr>
        <w:t>)</w:t>
      </w:r>
      <w:r w:rsidRPr="00267675">
        <w:rPr>
          <w:sz w:val="24"/>
        </w:rPr>
        <w:t>, DICER</w:t>
      </w:r>
      <w:r>
        <w:rPr>
          <w:sz w:val="24"/>
        </w:rPr>
        <w:t xml:space="preserve"> </w:t>
      </w:r>
      <w:r w:rsidRPr="00267675">
        <w:rPr>
          <w:sz w:val="24"/>
        </w:rPr>
        <w:t xml:space="preserve">(Cell signaling technology, USA), RAS (Cell signaling technology, USA) and LIN28 (Abcam, USA). </w:t>
      </w:r>
    </w:p>
    <w:p w:rsidR="00AB030C" w:rsidRPr="00267675" w:rsidRDefault="00AB030C" w:rsidP="00AB030C">
      <w:pPr>
        <w:spacing w:line="360" w:lineRule="auto"/>
        <w:rPr>
          <w:rFonts w:eastAsia="AdvHelv_NR"/>
          <w:i/>
          <w:color w:val="000000"/>
          <w:sz w:val="24"/>
        </w:rPr>
      </w:pPr>
      <w:r w:rsidRPr="00AB030C">
        <w:rPr>
          <w:rFonts w:eastAsia="AdvHelv_NR"/>
          <w:i/>
          <w:color w:val="000000"/>
          <w:sz w:val="24"/>
        </w:rPr>
        <w:t>Proliferation assa</w:t>
      </w:r>
      <w:r w:rsidRPr="00267675">
        <w:rPr>
          <w:rFonts w:eastAsia="AdvHelv_NR"/>
          <w:i/>
          <w:color w:val="000000"/>
          <w:sz w:val="24"/>
        </w:rPr>
        <w:t>y</w:t>
      </w:r>
    </w:p>
    <w:p w:rsidR="001B03EE" w:rsidRDefault="00AB030C" w:rsidP="00AB030C">
      <w:pPr>
        <w:spacing w:line="360" w:lineRule="auto"/>
        <w:rPr>
          <w:rFonts w:eastAsia="AdvHelv_NR"/>
          <w:color w:val="000000"/>
          <w:sz w:val="24"/>
        </w:rPr>
      </w:pPr>
      <w:r w:rsidRPr="00267675">
        <w:rPr>
          <w:rFonts w:eastAsia="AdvHelv_NR"/>
          <w:color w:val="000000"/>
          <w:sz w:val="24"/>
        </w:rPr>
        <w:t>Dissociated cells (2</w:t>
      </w:r>
      <w:r w:rsidRPr="00267675">
        <w:rPr>
          <w:sz w:val="24"/>
        </w:rPr>
        <w:t>×</w:t>
      </w:r>
      <w:r w:rsidRPr="00267675">
        <w:rPr>
          <w:rFonts w:eastAsia="AdvHelv_NR"/>
          <w:color w:val="000000"/>
          <w:sz w:val="24"/>
        </w:rPr>
        <w:t>10</w:t>
      </w:r>
      <w:r w:rsidRPr="00F6793B">
        <w:rPr>
          <w:rFonts w:eastAsia="AdvHelv_NR"/>
          <w:color w:val="000000"/>
          <w:sz w:val="24"/>
          <w:vertAlign w:val="superscript"/>
        </w:rPr>
        <w:t>3</w:t>
      </w:r>
      <w:r w:rsidRPr="00267675">
        <w:rPr>
          <w:rFonts w:eastAsia="AdvHelv_NR"/>
          <w:color w:val="000000"/>
          <w:sz w:val="24"/>
        </w:rPr>
        <w:t>) were seeded in triplicate in 96-well plates. At day 2, ten microliters of sterile cell counting kit-8(cck-8) (Beyotime</w:t>
      </w:r>
      <w:r>
        <w:rPr>
          <w:rFonts w:eastAsia="AdvHelv_NR"/>
          <w:color w:val="000000"/>
          <w:sz w:val="24"/>
        </w:rPr>
        <w:t xml:space="preserve">, </w:t>
      </w:r>
      <w:r w:rsidRPr="00BA453C">
        <w:rPr>
          <w:rFonts w:eastAsia="等线" w:hint="eastAsia"/>
          <w:color w:val="000000"/>
          <w:sz w:val="24"/>
        </w:rPr>
        <w:t>Ch</w:t>
      </w:r>
      <w:r w:rsidRPr="00BA453C">
        <w:rPr>
          <w:rFonts w:eastAsia="等线"/>
          <w:color w:val="000000"/>
          <w:sz w:val="24"/>
        </w:rPr>
        <w:t>ina</w:t>
      </w:r>
      <w:r w:rsidRPr="00267675">
        <w:rPr>
          <w:rFonts w:eastAsia="AdvHelv_NR"/>
          <w:color w:val="000000"/>
          <w:sz w:val="24"/>
        </w:rPr>
        <w:t>) were added to each well and incubated for 3h at 37</w:t>
      </w:r>
      <w:r w:rsidRPr="00267675">
        <w:rPr>
          <w:rFonts w:ascii="宋体" w:hAnsi="宋体" w:cs="宋体" w:hint="eastAsia"/>
          <w:color w:val="000000"/>
          <w:sz w:val="24"/>
        </w:rPr>
        <w:t>℃</w:t>
      </w:r>
      <w:r w:rsidRPr="00267675">
        <w:rPr>
          <w:rFonts w:eastAsia="AdvHelv_NR"/>
          <w:color w:val="000000"/>
          <w:sz w:val="24"/>
        </w:rPr>
        <w:t>. The optical density values were determined at least in triplicate against a reagent blank at a test wavelength of 450nm and reference wavelength of 630nm.</w:t>
      </w:r>
    </w:p>
    <w:p w:rsidR="0076038F" w:rsidRPr="00267675" w:rsidRDefault="0076038F" w:rsidP="0076038F">
      <w:pPr>
        <w:spacing w:line="360" w:lineRule="auto"/>
        <w:rPr>
          <w:i/>
          <w:sz w:val="24"/>
        </w:rPr>
      </w:pPr>
      <w:r w:rsidRPr="00267675">
        <w:rPr>
          <w:i/>
          <w:sz w:val="24"/>
        </w:rPr>
        <w:t xml:space="preserve">Statistical analysis </w:t>
      </w:r>
    </w:p>
    <w:p w:rsidR="0076038F" w:rsidRDefault="0076038F" w:rsidP="0076038F">
      <w:pPr>
        <w:widowControl/>
        <w:spacing w:line="360" w:lineRule="auto"/>
        <w:jc w:val="left"/>
        <w:rPr>
          <w:rFonts w:eastAsia="AdvHelv_NR"/>
          <w:color w:val="000000"/>
          <w:sz w:val="24"/>
        </w:rPr>
      </w:pPr>
      <w:r w:rsidRPr="00267675">
        <w:rPr>
          <w:rFonts w:eastAsia="AdvHelv_NR"/>
          <w:color w:val="000000"/>
          <w:sz w:val="24"/>
        </w:rPr>
        <w:t>Data were expressed as mean ± SD of three independent experiments with GraphPad Prism software. Statistical analysis was performed using Statistical Package for Social Sciences (SPSS) software (version 16.0). The Stud</w:t>
      </w:r>
      <w:r>
        <w:rPr>
          <w:rFonts w:eastAsia="AdvHelv_NR"/>
          <w:color w:val="000000"/>
          <w:sz w:val="24"/>
        </w:rPr>
        <w:t xml:space="preserve">ent’s t-test was used to make a </w:t>
      </w:r>
      <w:r w:rsidRPr="00267675">
        <w:rPr>
          <w:rFonts w:eastAsia="AdvHelv_NR"/>
          <w:color w:val="000000"/>
          <w:sz w:val="24"/>
        </w:rPr>
        <w:t xml:space="preserve">statistical comparison between groups. p&lt;0.05 was considered statistically significant. </w:t>
      </w:r>
    </w:p>
    <w:p w:rsidR="0076038F" w:rsidRPr="0076038F" w:rsidRDefault="0076038F" w:rsidP="0076038F">
      <w:pPr>
        <w:spacing w:line="360" w:lineRule="auto"/>
        <w:rPr>
          <w:rFonts w:eastAsiaTheme="minorEastAsia"/>
          <w:color w:val="000000"/>
          <w:sz w:val="24"/>
        </w:rPr>
      </w:pPr>
    </w:p>
    <w:sectPr w:rsidR="0076038F" w:rsidRPr="007603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881" w:rsidRDefault="000C5881" w:rsidP="00AB030C">
      <w:r>
        <w:separator/>
      </w:r>
    </w:p>
  </w:endnote>
  <w:endnote w:type="continuationSeparator" w:id="0">
    <w:p w:rsidR="000C5881" w:rsidRDefault="000C5881" w:rsidP="00AB0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Grande">
    <w:altName w:val="Latha"/>
    <w:charset w:val="00"/>
    <w:family w:val="modern"/>
    <w:pitch w:val="default"/>
    <w:sig w:usb0="00000000" w:usb1="00000000" w:usb2="00000000" w:usb3="00000000" w:csb0="00000001" w:csb1="00000000"/>
  </w:font>
  <w:font w:name="AdvHelv_B">
    <w:altName w:val="Latha"/>
    <w:charset w:val="00"/>
    <w:family w:val="modern"/>
    <w:pitch w:val="default"/>
    <w:sig w:usb0="00000000" w:usb1="00000000" w:usb2="00000000" w:usb3="00000000" w:csb0="00000001" w:csb1="00000000"/>
  </w:font>
  <w:font w:name="AdvHelv_NR">
    <w:altName w:val="Latha"/>
    <w:charset w:val="00"/>
    <w:family w:val="decorative"/>
    <w:pitch w:val="default"/>
    <w:sig w:usb0="00000000" w:usb1="00000000" w:usb2="00000000" w:usb3="00000000" w:csb0="00000001" w:csb1="00000000"/>
  </w:font>
  <w:font w:name="AdvPSHN-H">
    <w:altName w:val="Latha"/>
    <w:charset w:val="00"/>
    <w:family w:val="modern"/>
    <w:pitch w:val="default"/>
    <w:sig w:usb0="00000000" w:usb1="00000000" w:usb2="00000000" w:usb3="00000000" w:csb0="00000001" w:csb1="00000000"/>
  </w:font>
  <w:font w:name="AdvPSA183">
    <w:altName w:val="Latha"/>
    <w:charset w:val="00"/>
    <w:family w:val="modern"/>
    <w:pitch w:val="default"/>
    <w:sig w:usb0="00000000" w:usb1="00000000" w:usb2="00000000" w:usb3="00000000" w:csb0="00000001" w:csb1="00000000"/>
  </w:font>
  <w:font w:name="AdvP1491">
    <w:altName w:val="Latha"/>
    <w:charset w:val="00"/>
    <w:family w:val="roman"/>
    <w:pitch w:val="default"/>
    <w:sig w:usb0="00000000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881" w:rsidRDefault="000C5881" w:rsidP="00AB030C">
      <w:r>
        <w:separator/>
      </w:r>
    </w:p>
  </w:footnote>
  <w:footnote w:type="continuationSeparator" w:id="0">
    <w:p w:rsidR="000C5881" w:rsidRDefault="000C5881" w:rsidP="00AB0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56E0E"/>
    <w:rsid w:val="000C5881"/>
    <w:rsid w:val="001539A2"/>
    <w:rsid w:val="001A1E7D"/>
    <w:rsid w:val="001B03EE"/>
    <w:rsid w:val="00481277"/>
    <w:rsid w:val="004C5CF8"/>
    <w:rsid w:val="005A6CA7"/>
    <w:rsid w:val="00706725"/>
    <w:rsid w:val="0073789B"/>
    <w:rsid w:val="0076038F"/>
    <w:rsid w:val="00821EC0"/>
    <w:rsid w:val="00A00747"/>
    <w:rsid w:val="00AB030C"/>
    <w:rsid w:val="00BF7D9D"/>
    <w:rsid w:val="00D20E81"/>
    <w:rsid w:val="00DA69B0"/>
    <w:rsid w:val="00DB3B47"/>
    <w:rsid w:val="00F5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8A9FE9"/>
  <w15:chartTrackingRefBased/>
  <w15:docId w15:val="{B7A7B920-D87B-4954-BF68-6834D371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AB030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03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03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03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030C"/>
    <w:rPr>
      <w:sz w:val="18"/>
      <w:szCs w:val="18"/>
    </w:rPr>
  </w:style>
  <w:style w:type="character" w:customStyle="1" w:styleId="A11">
    <w:name w:val="A11"/>
    <w:uiPriority w:val="99"/>
    <w:unhideWhenUsed/>
    <w:rsid w:val="0076038F"/>
    <w:rPr>
      <w:rFonts w:hint="eastAsia"/>
      <w:sz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835</Words>
  <Characters>4764</Characters>
  <Application>Microsoft Office Word</Application>
  <DocSecurity>0</DocSecurity>
  <Lines>39</Lines>
  <Paragraphs>11</Paragraphs>
  <ScaleCrop>false</ScaleCrop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11</cp:revision>
  <dcterms:created xsi:type="dcterms:W3CDTF">2016-06-21T18:05:00Z</dcterms:created>
  <dcterms:modified xsi:type="dcterms:W3CDTF">2016-07-18T15:57:00Z</dcterms:modified>
</cp:coreProperties>
</file>