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ED1" w:rsidRPr="001A0ED1" w:rsidRDefault="001A0ED1" w:rsidP="001A0ED1">
      <w:pPr>
        <w:spacing w:line="480" w:lineRule="auto"/>
        <w:rPr>
          <w:rFonts w:ascii="Arial" w:hAnsi="Arial"/>
          <w:b/>
        </w:rPr>
      </w:pPr>
      <w:proofErr w:type="spellStart"/>
      <w:r w:rsidRPr="001A0ED1">
        <w:rPr>
          <w:rFonts w:ascii="Arial" w:hAnsi="Arial"/>
          <w:b/>
        </w:rPr>
        <w:t>Supplementary</w:t>
      </w:r>
      <w:proofErr w:type="spellEnd"/>
      <w:r w:rsidRPr="001A0ED1">
        <w:rPr>
          <w:rFonts w:ascii="Arial" w:hAnsi="Arial"/>
          <w:b/>
        </w:rPr>
        <w:t xml:space="preserve"> </w:t>
      </w:r>
      <w:r w:rsidRPr="001A0ED1">
        <w:rPr>
          <w:rFonts w:ascii="Arial" w:hAnsi="Arial"/>
          <w:b/>
        </w:rPr>
        <w:t xml:space="preserve">Figure </w:t>
      </w:r>
      <w:proofErr w:type="spellStart"/>
      <w:r w:rsidRPr="001A0ED1">
        <w:rPr>
          <w:rFonts w:ascii="Arial" w:hAnsi="Arial"/>
          <w:b/>
        </w:rPr>
        <w:t>Legends</w:t>
      </w:r>
      <w:proofErr w:type="spellEnd"/>
    </w:p>
    <w:p w:rsidR="001A0ED1" w:rsidRPr="00EC6A5E" w:rsidRDefault="001A0ED1" w:rsidP="001A0ED1">
      <w:pPr>
        <w:spacing w:before="100" w:beforeAutospacing="1" w:after="100" w:afterAutospacing="1" w:line="480" w:lineRule="auto"/>
        <w:jc w:val="both"/>
        <w:rPr>
          <w:rFonts w:ascii="Arial" w:hAnsi="Arial"/>
          <w:lang w:val="en-US"/>
        </w:rPr>
      </w:pPr>
      <w:proofErr w:type="gramStart"/>
      <w:r w:rsidRPr="00EC6A5E">
        <w:rPr>
          <w:rFonts w:ascii="Arial" w:hAnsi="Arial"/>
          <w:lang w:val="en-US"/>
        </w:rPr>
        <w:t>Supplementary Fig 1.</w:t>
      </w:r>
      <w:proofErr w:type="gramEnd"/>
      <w:r w:rsidRPr="00EC6A5E">
        <w:rPr>
          <w:rFonts w:ascii="Arial" w:hAnsi="Arial"/>
          <w:lang w:val="en-US"/>
        </w:rPr>
        <w:t xml:space="preserve"> The </w:t>
      </w:r>
      <w:proofErr w:type="spellStart"/>
      <w:r w:rsidRPr="00EC6A5E">
        <w:rPr>
          <w:rFonts w:ascii="Arial" w:hAnsi="Arial"/>
          <w:lang w:val="en-US"/>
        </w:rPr>
        <w:t>autophagic</w:t>
      </w:r>
      <w:proofErr w:type="spellEnd"/>
      <w:r w:rsidRPr="00EC6A5E">
        <w:rPr>
          <w:rFonts w:ascii="Arial" w:hAnsi="Arial"/>
          <w:lang w:val="en-US"/>
        </w:rPr>
        <w:t xml:space="preserve"> flux was blocked during GD and reestablished during GR. Representative </w:t>
      </w:r>
      <w:proofErr w:type="spellStart"/>
      <w:proofErr w:type="gramStart"/>
      <w:r w:rsidRPr="00EC6A5E">
        <w:rPr>
          <w:rFonts w:ascii="Arial" w:hAnsi="Arial"/>
          <w:lang w:val="en-US"/>
        </w:rPr>
        <w:t>immunoblots</w:t>
      </w:r>
      <w:proofErr w:type="spellEnd"/>
      <w:proofErr w:type="gramEnd"/>
      <w:r w:rsidRPr="00EC6A5E">
        <w:rPr>
          <w:rFonts w:ascii="Arial" w:hAnsi="Arial"/>
          <w:lang w:val="en-US"/>
        </w:rPr>
        <w:t xml:space="preserve"> and quantification of LC3-II/Actin ratio (A) and p62/SQSTM1/Actin ratio (B) after 1-2 h GD and 2-4 h GR in the presence or absence of CQ. </w:t>
      </w:r>
      <w:proofErr w:type="gramStart"/>
      <w:r w:rsidRPr="00EC6A5E">
        <w:rPr>
          <w:rFonts w:ascii="Arial" w:hAnsi="Arial"/>
          <w:lang w:val="en-US"/>
        </w:rPr>
        <w:t>ATP concentration after GD/GR (C).</w:t>
      </w:r>
      <w:proofErr w:type="gramEnd"/>
      <w:r w:rsidRPr="00EC6A5E">
        <w:rPr>
          <w:rFonts w:ascii="Arial" w:hAnsi="Arial"/>
          <w:lang w:val="en-US"/>
        </w:rPr>
        <w:t xml:space="preserve"> Bars represent mean ± SEM (n=4-5). Data were analyzed by One way ANOVA followed Fisher’s post hoc test *p&lt;0.05 </w:t>
      </w:r>
      <w:proofErr w:type="spellStart"/>
      <w:r w:rsidRPr="00EC6A5E">
        <w:rPr>
          <w:rFonts w:ascii="Arial" w:hAnsi="Arial"/>
          <w:lang w:val="en-US"/>
        </w:rPr>
        <w:t>vs</w:t>
      </w:r>
      <w:proofErr w:type="spellEnd"/>
      <w:r w:rsidRPr="00EC6A5E">
        <w:rPr>
          <w:rFonts w:ascii="Arial" w:hAnsi="Arial"/>
          <w:lang w:val="en-US"/>
        </w:rPr>
        <w:t xml:space="preserve"> GD without</w:t>
      </w:r>
      <w:bookmarkStart w:id="0" w:name="_GoBack"/>
      <w:bookmarkEnd w:id="0"/>
      <w:r w:rsidRPr="00EC6A5E">
        <w:rPr>
          <w:rFonts w:ascii="Arial" w:hAnsi="Arial"/>
          <w:lang w:val="en-US"/>
        </w:rPr>
        <w:t xml:space="preserve"> CQ (A-B) or </w:t>
      </w:r>
      <w:proofErr w:type="spellStart"/>
      <w:r w:rsidRPr="00EC6A5E">
        <w:rPr>
          <w:rFonts w:ascii="Arial" w:hAnsi="Arial"/>
          <w:lang w:val="en-US"/>
        </w:rPr>
        <w:t>vs</w:t>
      </w:r>
      <w:proofErr w:type="spellEnd"/>
      <w:r w:rsidRPr="00EC6A5E">
        <w:rPr>
          <w:rFonts w:ascii="Arial" w:hAnsi="Arial"/>
          <w:lang w:val="en-US"/>
        </w:rPr>
        <w:t xml:space="preserve"> control (C).</w:t>
      </w:r>
    </w:p>
    <w:p w:rsidR="001A0ED1" w:rsidRPr="00EC6A5E" w:rsidRDefault="001A0ED1" w:rsidP="001A0ED1">
      <w:pPr>
        <w:spacing w:line="480" w:lineRule="auto"/>
        <w:jc w:val="both"/>
        <w:rPr>
          <w:rFonts w:ascii="Arial" w:hAnsi="Arial"/>
          <w:lang w:val="en-US"/>
        </w:rPr>
      </w:pPr>
      <w:proofErr w:type="spellStart"/>
      <w:r w:rsidRPr="00EC6A5E">
        <w:rPr>
          <w:rFonts w:ascii="Arial" w:hAnsi="Arial"/>
        </w:rPr>
        <w:t>Supplementary</w:t>
      </w:r>
      <w:proofErr w:type="spellEnd"/>
      <w:r w:rsidRPr="00EC6A5E">
        <w:rPr>
          <w:rFonts w:ascii="Arial" w:hAnsi="Arial"/>
        </w:rPr>
        <w:t xml:space="preserve"> </w:t>
      </w:r>
      <w:proofErr w:type="spellStart"/>
      <w:r w:rsidRPr="00EC6A5E">
        <w:rPr>
          <w:rFonts w:ascii="Arial" w:hAnsi="Arial"/>
        </w:rPr>
        <w:t>Fig</w:t>
      </w:r>
      <w:proofErr w:type="spellEnd"/>
      <w:r w:rsidRPr="00EC6A5E">
        <w:rPr>
          <w:rFonts w:ascii="Arial" w:hAnsi="Arial"/>
        </w:rPr>
        <w:t xml:space="preserve"> 2. GD induces </w:t>
      </w:r>
      <w:proofErr w:type="spellStart"/>
      <w:r w:rsidRPr="00EC6A5E">
        <w:rPr>
          <w:rFonts w:ascii="Arial" w:hAnsi="Arial"/>
        </w:rPr>
        <w:t>the</w:t>
      </w:r>
      <w:proofErr w:type="spellEnd"/>
      <w:r w:rsidRPr="00EC6A5E">
        <w:rPr>
          <w:rFonts w:ascii="Arial" w:hAnsi="Arial"/>
        </w:rPr>
        <w:t xml:space="preserve"> </w:t>
      </w:r>
      <w:proofErr w:type="spellStart"/>
      <w:r w:rsidRPr="00EC6A5E">
        <w:rPr>
          <w:rFonts w:ascii="Arial" w:hAnsi="Arial"/>
        </w:rPr>
        <w:t>formation</w:t>
      </w:r>
      <w:proofErr w:type="spellEnd"/>
      <w:r w:rsidRPr="00EC6A5E">
        <w:rPr>
          <w:rFonts w:ascii="Arial" w:hAnsi="Arial"/>
        </w:rPr>
        <w:t xml:space="preserve"> of </w:t>
      </w:r>
      <w:proofErr w:type="spellStart"/>
      <w:r w:rsidRPr="00EC6A5E">
        <w:rPr>
          <w:rFonts w:ascii="Arial" w:hAnsi="Arial"/>
        </w:rPr>
        <w:t>autophagosomes</w:t>
      </w:r>
      <w:proofErr w:type="spellEnd"/>
      <w:r w:rsidRPr="00EC6A5E">
        <w:rPr>
          <w:rFonts w:ascii="Arial" w:hAnsi="Arial"/>
          <w:lang w:val="en-US"/>
        </w:rPr>
        <w:t>. LC3 immunocytochemistry in control cells and cells exposed to 1h GD (A). Electron microscopy images of control cells and cells exposed to 1 h GD showing double and multi-membrane vesicle-like structures (B).</w:t>
      </w:r>
    </w:p>
    <w:p w:rsidR="001A0ED1" w:rsidRPr="00EC6A5E" w:rsidRDefault="001A0ED1" w:rsidP="001A0ED1">
      <w:pPr>
        <w:spacing w:before="100" w:beforeAutospacing="1" w:after="100" w:afterAutospacing="1" w:line="480" w:lineRule="auto"/>
        <w:jc w:val="both"/>
        <w:rPr>
          <w:rFonts w:ascii="Arial" w:hAnsi="Arial"/>
          <w:lang w:val="en-US"/>
        </w:rPr>
      </w:pPr>
      <w:proofErr w:type="gramStart"/>
      <w:r w:rsidRPr="00EC6A5E">
        <w:rPr>
          <w:rFonts w:ascii="Arial" w:hAnsi="Arial"/>
          <w:lang w:val="en-US"/>
        </w:rPr>
        <w:t>Supplementary Fig 3.</w:t>
      </w:r>
      <w:proofErr w:type="gramEnd"/>
      <w:r w:rsidRPr="00EC6A5E">
        <w:rPr>
          <w:rFonts w:ascii="Arial" w:hAnsi="Arial"/>
          <w:lang w:val="en-US"/>
        </w:rPr>
        <w:t xml:space="preserve"> </w:t>
      </w:r>
      <w:proofErr w:type="spellStart"/>
      <w:r w:rsidRPr="00EC6A5E">
        <w:rPr>
          <w:rFonts w:ascii="Arial" w:hAnsi="Arial"/>
          <w:lang w:val="en-US"/>
        </w:rPr>
        <w:t>Caspase</w:t>
      </w:r>
      <w:proofErr w:type="spellEnd"/>
      <w:r w:rsidRPr="00EC6A5E">
        <w:rPr>
          <w:rFonts w:ascii="Arial" w:hAnsi="Arial"/>
          <w:lang w:val="en-US"/>
        </w:rPr>
        <w:t xml:space="preserve"> inhibition reduces neuronal death. MTT reduction and LDH activity of cortical cultures exposed to GD/GR in the presence or the absence of </w:t>
      </w:r>
      <w:proofErr w:type="spellStart"/>
      <w:r w:rsidRPr="00EC6A5E">
        <w:rPr>
          <w:rFonts w:ascii="Arial" w:hAnsi="Arial"/>
          <w:lang w:val="en-US"/>
        </w:rPr>
        <w:t>caspase</w:t>
      </w:r>
      <w:proofErr w:type="spellEnd"/>
      <w:r w:rsidRPr="00EC6A5E">
        <w:rPr>
          <w:rFonts w:ascii="Arial" w:hAnsi="Arial"/>
          <w:lang w:val="en-US"/>
        </w:rPr>
        <w:t xml:space="preserve"> inhibitors (A). Images showing nuclei stained with TUNEL (red) and Hoechst (blue) of cortical neurons exposed to GD/GR in the presence or absence of 3-MA, MDL, </w:t>
      </w:r>
      <w:proofErr w:type="spellStart"/>
      <w:r w:rsidRPr="00EC6A5E">
        <w:rPr>
          <w:rFonts w:ascii="Arial" w:hAnsi="Arial"/>
          <w:lang w:val="en-US"/>
        </w:rPr>
        <w:t>Calpastatin</w:t>
      </w:r>
      <w:proofErr w:type="spellEnd"/>
      <w:r w:rsidRPr="00EC6A5E">
        <w:rPr>
          <w:rFonts w:ascii="Arial" w:hAnsi="Arial"/>
          <w:lang w:val="en-US"/>
        </w:rPr>
        <w:t xml:space="preserve">, QVD, CA074 or </w:t>
      </w:r>
      <w:proofErr w:type="spellStart"/>
      <w:r w:rsidRPr="00EC6A5E">
        <w:rPr>
          <w:rFonts w:ascii="Arial" w:hAnsi="Arial"/>
          <w:lang w:val="en-US"/>
        </w:rPr>
        <w:t>pepstatin</w:t>
      </w:r>
      <w:proofErr w:type="spellEnd"/>
      <w:r w:rsidRPr="00EC6A5E">
        <w:rPr>
          <w:rFonts w:ascii="Arial" w:hAnsi="Arial"/>
          <w:lang w:val="en-US"/>
        </w:rPr>
        <w:t xml:space="preserve">. Inhibitors were added during GR. Graph shows the number of TUNEL-stained nuclei in the presence of the absence of the different inhibitors (B). Bars represent mean ± SEM (n=5-7). Data were analyzed by One way ANOVA followed Fisher’s post hoc test *p&lt;0.05 </w:t>
      </w:r>
      <w:proofErr w:type="spellStart"/>
      <w:r w:rsidRPr="00EC6A5E">
        <w:rPr>
          <w:rFonts w:ascii="Arial" w:hAnsi="Arial"/>
          <w:lang w:val="en-US"/>
        </w:rPr>
        <w:t>vs</w:t>
      </w:r>
      <w:proofErr w:type="spellEnd"/>
      <w:r w:rsidRPr="00EC6A5E">
        <w:rPr>
          <w:rFonts w:ascii="Arial" w:hAnsi="Arial"/>
          <w:lang w:val="en-US"/>
        </w:rPr>
        <w:t xml:space="preserve"> GD.</w:t>
      </w:r>
    </w:p>
    <w:p w:rsidR="001A0ED1" w:rsidRPr="00EC6A5E" w:rsidRDefault="001A0ED1" w:rsidP="001A0ED1">
      <w:pPr>
        <w:spacing w:line="480" w:lineRule="auto"/>
        <w:jc w:val="both"/>
        <w:rPr>
          <w:rFonts w:ascii="Arial" w:hAnsi="Arial"/>
          <w:lang w:val="en-US"/>
        </w:rPr>
      </w:pPr>
      <w:proofErr w:type="gramStart"/>
      <w:r w:rsidRPr="00EC6A5E">
        <w:rPr>
          <w:rFonts w:ascii="Arial" w:hAnsi="Arial"/>
          <w:lang w:val="en-US"/>
        </w:rPr>
        <w:t>Suppleme</w:t>
      </w:r>
      <w:r>
        <w:rPr>
          <w:rFonts w:ascii="Arial" w:hAnsi="Arial"/>
          <w:lang w:val="en-US"/>
        </w:rPr>
        <w:t>n</w:t>
      </w:r>
      <w:r w:rsidRPr="00EC6A5E">
        <w:rPr>
          <w:rFonts w:ascii="Arial" w:hAnsi="Arial"/>
          <w:lang w:val="en-US"/>
        </w:rPr>
        <w:t>tary Fig. 4.</w:t>
      </w:r>
      <w:proofErr w:type="gramEnd"/>
      <w:r w:rsidRPr="00EC6A5E">
        <w:rPr>
          <w:rFonts w:ascii="Arial" w:hAnsi="Arial"/>
          <w:lang w:val="en-US"/>
        </w:rPr>
        <w:t xml:space="preserve"> Autophagy inhibition by 3-MA reduces </w:t>
      </w:r>
      <w:proofErr w:type="spellStart"/>
      <w:r w:rsidRPr="00EC6A5E">
        <w:rPr>
          <w:rFonts w:ascii="Arial" w:hAnsi="Arial"/>
          <w:lang w:val="en-US"/>
        </w:rPr>
        <w:t>autophagosome</w:t>
      </w:r>
      <w:proofErr w:type="spellEnd"/>
      <w:r w:rsidRPr="00EC6A5E">
        <w:rPr>
          <w:rFonts w:ascii="Arial" w:hAnsi="Arial"/>
          <w:lang w:val="en-US"/>
        </w:rPr>
        <w:t xml:space="preserve"> and </w:t>
      </w:r>
      <w:proofErr w:type="spellStart"/>
      <w:r w:rsidRPr="00EC6A5E">
        <w:rPr>
          <w:rFonts w:ascii="Arial" w:hAnsi="Arial"/>
          <w:lang w:val="en-US"/>
        </w:rPr>
        <w:t>autolysosome</w:t>
      </w:r>
      <w:proofErr w:type="spellEnd"/>
      <w:r w:rsidRPr="00EC6A5E">
        <w:rPr>
          <w:rFonts w:ascii="Arial" w:hAnsi="Arial"/>
          <w:lang w:val="en-US"/>
        </w:rPr>
        <w:t xml:space="preserve">/lysosome formation. Representative </w:t>
      </w:r>
      <w:proofErr w:type="spellStart"/>
      <w:r w:rsidRPr="00EC6A5E">
        <w:rPr>
          <w:rFonts w:ascii="Arial" w:hAnsi="Arial"/>
          <w:lang w:val="en-US"/>
        </w:rPr>
        <w:t>immunoblot</w:t>
      </w:r>
      <w:proofErr w:type="spellEnd"/>
      <w:r w:rsidRPr="00EC6A5E">
        <w:rPr>
          <w:rFonts w:ascii="Arial" w:hAnsi="Arial"/>
          <w:lang w:val="en-US"/>
        </w:rPr>
        <w:t xml:space="preserve"> showing the effect of 3-MA added during </w:t>
      </w:r>
      <w:proofErr w:type="gramStart"/>
      <w:r w:rsidRPr="00EC6A5E">
        <w:rPr>
          <w:rFonts w:ascii="Arial" w:hAnsi="Arial"/>
          <w:lang w:val="en-US"/>
        </w:rPr>
        <w:t>GD  (</w:t>
      </w:r>
      <w:proofErr w:type="gramEnd"/>
      <w:r w:rsidRPr="00EC6A5E">
        <w:rPr>
          <w:rFonts w:ascii="Arial" w:hAnsi="Arial"/>
          <w:lang w:val="en-US"/>
        </w:rPr>
        <w:t xml:space="preserve">lane 3) or GR (lane 6) (A). </w:t>
      </w:r>
      <w:proofErr w:type="gramStart"/>
      <w:r w:rsidRPr="00EC6A5E">
        <w:rPr>
          <w:rFonts w:ascii="Arial" w:hAnsi="Arial"/>
          <w:lang w:val="en-US"/>
        </w:rPr>
        <w:t xml:space="preserve">Representative confocal images </w:t>
      </w:r>
      <w:r w:rsidRPr="00EC6A5E">
        <w:rPr>
          <w:rFonts w:ascii="Arial" w:hAnsi="Arial"/>
          <w:lang w:val="en-US"/>
        </w:rPr>
        <w:lastRenderedPageBreak/>
        <w:t xml:space="preserve">showing </w:t>
      </w:r>
      <w:proofErr w:type="spellStart"/>
      <w:r w:rsidRPr="00EC6A5E">
        <w:rPr>
          <w:rFonts w:ascii="Arial" w:hAnsi="Arial"/>
          <w:lang w:val="en-US"/>
        </w:rPr>
        <w:t>autophagosomes</w:t>
      </w:r>
      <w:proofErr w:type="spellEnd"/>
      <w:r w:rsidRPr="00EC6A5E">
        <w:rPr>
          <w:rFonts w:ascii="Arial" w:hAnsi="Arial"/>
          <w:lang w:val="en-US"/>
        </w:rPr>
        <w:t xml:space="preserve"> (B) and lysosomes (C) in the different experimental conditions and their quantification.</w:t>
      </w:r>
      <w:proofErr w:type="gramEnd"/>
      <w:r w:rsidRPr="00EC6A5E">
        <w:rPr>
          <w:rFonts w:ascii="Arial" w:hAnsi="Arial"/>
          <w:lang w:val="en-US"/>
        </w:rPr>
        <w:t xml:space="preserve"> Bars represent mean ± SEM (n=4-7, B and 3-4 C). Data were analyzed by One way ANOVA followed Fisher’s post hoc test *p&lt;0.05 </w:t>
      </w:r>
      <w:proofErr w:type="spellStart"/>
      <w:r w:rsidRPr="00EC6A5E">
        <w:rPr>
          <w:rFonts w:ascii="Arial" w:hAnsi="Arial"/>
          <w:lang w:val="en-US"/>
        </w:rPr>
        <w:t>vs</w:t>
      </w:r>
      <w:proofErr w:type="spellEnd"/>
      <w:r w:rsidRPr="00EC6A5E">
        <w:rPr>
          <w:rFonts w:ascii="Arial" w:hAnsi="Arial"/>
          <w:lang w:val="en-US"/>
        </w:rPr>
        <w:t xml:space="preserve"> GD.</w:t>
      </w:r>
    </w:p>
    <w:p w:rsidR="001A0ED1" w:rsidRPr="00EC6A5E" w:rsidRDefault="001A0ED1" w:rsidP="001A0ED1">
      <w:pPr>
        <w:spacing w:line="480" w:lineRule="auto"/>
        <w:jc w:val="both"/>
        <w:rPr>
          <w:rFonts w:ascii="Arial" w:hAnsi="Arial"/>
          <w:lang w:val="en-US"/>
        </w:rPr>
      </w:pPr>
      <w:r w:rsidRPr="00EC6A5E">
        <w:rPr>
          <w:rFonts w:ascii="Arial" w:hAnsi="Arial"/>
          <w:lang w:val="en-US"/>
        </w:rPr>
        <w:t xml:space="preserve">Supplementary Fig. 5 </w:t>
      </w:r>
      <w:proofErr w:type="spellStart"/>
      <w:r w:rsidRPr="00EC6A5E">
        <w:rPr>
          <w:rFonts w:ascii="Arial" w:hAnsi="Arial"/>
          <w:lang w:val="en-US"/>
        </w:rPr>
        <w:t>Calpain</w:t>
      </w:r>
      <w:proofErr w:type="spellEnd"/>
      <w:r w:rsidRPr="00EC6A5E">
        <w:rPr>
          <w:rFonts w:ascii="Arial" w:hAnsi="Arial"/>
          <w:lang w:val="en-US"/>
        </w:rPr>
        <w:t xml:space="preserve"> inhibition prevents LAMP1 </w:t>
      </w:r>
      <w:proofErr w:type="spellStart"/>
      <w:r w:rsidRPr="00EC6A5E">
        <w:rPr>
          <w:rFonts w:ascii="Arial" w:hAnsi="Arial"/>
          <w:lang w:val="en-US"/>
        </w:rPr>
        <w:t>immunoreactivity</w:t>
      </w:r>
      <w:proofErr w:type="spellEnd"/>
      <w:r w:rsidRPr="00EC6A5E">
        <w:rPr>
          <w:rFonts w:ascii="Arial" w:hAnsi="Arial"/>
          <w:lang w:val="en-US"/>
        </w:rPr>
        <w:t xml:space="preserve"> reduction and CTSB </w:t>
      </w:r>
      <w:proofErr w:type="spellStart"/>
      <w:r w:rsidRPr="00EC6A5E">
        <w:rPr>
          <w:rFonts w:ascii="Arial" w:hAnsi="Arial"/>
          <w:lang w:val="en-US"/>
        </w:rPr>
        <w:t>extralysosomal</w:t>
      </w:r>
      <w:proofErr w:type="spellEnd"/>
      <w:r w:rsidRPr="00EC6A5E">
        <w:rPr>
          <w:rFonts w:ascii="Arial" w:hAnsi="Arial"/>
          <w:lang w:val="en-US"/>
        </w:rPr>
        <w:t xml:space="preserve"> leakage and CTSB inhibitors increase cell survival. Representative </w:t>
      </w:r>
      <w:proofErr w:type="spellStart"/>
      <w:proofErr w:type="gramStart"/>
      <w:r w:rsidRPr="00EC6A5E">
        <w:rPr>
          <w:rFonts w:ascii="Arial" w:hAnsi="Arial"/>
          <w:lang w:val="en-US"/>
        </w:rPr>
        <w:t>immunoblot</w:t>
      </w:r>
      <w:proofErr w:type="spellEnd"/>
      <w:proofErr w:type="gramEnd"/>
      <w:r w:rsidRPr="00EC6A5E">
        <w:rPr>
          <w:rFonts w:ascii="Arial" w:hAnsi="Arial"/>
          <w:lang w:val="en-US"/>
        </w:rPr>
        <w:t xml:space="preserve"> showing pro-CSTB (37 </w:t>
      </w:r>
      <w:proofErr w:type="spellStart"/>
      <w:r w:rsidRPr="00EC6A5E">
        <w:rPr>
          <w:rFonts w:ascii="Arial" w:hAnsi="Arial"/>
          <w:lang w:val="en-US"/>
        </w:rPr>
        <w:t>KDa</w:t>
      </w:r>
      <w:proofErr w:type="spellEnd"/>
      <w:r w:rsidRPr="00EC6A5E">
        <w:rPr>
          <w:rFonts w:ascii="Arial" w:hAnsi="Arial"/>
          <w:lang w:val="en-US"/>
        </w:rPr>
        <w:t xml:space="preserve">) and active CTSB (25 </w:t>
      </w:r>
      <w:proofErr w:type="spellStart"/>
      <w:r w:rsidRPr="00EC6A5E">
        <w:rPr>
          <w:rFonts w:ascii="Arial" w:hAnsi="Arial"/>
          <w:lang w:val="en-US"/>
        </w:rPr>
        <w:t>KDa</w:t>
      </w:r>
      <w:proofErr w:type="spellEnd"/>
      <w:r w:rsidRPr="00EC6A5E">
        <w:rPr>
          <w:rFonts w:ascii="Arial" w:hAnsi="Arial"/>
          <w:lang w:val="en-US"/>
        </w:rPr>
        <w:t xml:space="preserve">) in the lysosome enriched and cytosolic fractions in the absence or the presence of </w:t>
      </w:r>
      <w:proofErr w:type="spellStart"/>
      <w:r w:rsidRPr="00EC6A5E">
        <w:rPr>
          <w:rFonts w:ascii="Arial" w:hAnsi="Arial"/>
          <w:lang w:val="en-US"/>
        </w:rPr>
        <w:t>calpain</w:t>
      </w:r>
      <w:proofErr w:type="spellEnd"/>
      <w:r w:rsidRPr="00EC6A5E">
        <w:rPr>
          <w:rFonts w:ascii="Arial" w:hAnsi="Arial"/>
          <w:lang w:val="en-US"/>
        </w:rPr>
        <w:t xml:space="preserve"> inhibitors (A). </w:t>
      </w:r>
      <w:proofErr w:type="gramStart"/>
      <w:r w:rsidRPr="00EC6A5E">
        <w:rPr>
          <w:rFonts w:ascii="Arial" w:hAnsi="Arial"/>
          <w:lang w:val="en-US"/>
        </w:rPr>
        <w:t xml:space="preserve">Confocal images showing the effect of </w:t>
      </w:r>
      <w:proofErr w:type="spellStart"/>
      <w:r w:rsidRPr="00EC6A5E">
        <w:rPr>
          <w:rFonts w:ascii="Arial" w:hAnsi="Arial"/>
          <w:lang w:val="en-US"/>
        </w:rPr>
        <w:t>calpain</w:t>
      </w:r>
      <w:proofErr w:type="spellEnd"/>
      <w:r w:rsidRPr="00EC6A5E">
        <w:rPr>
          <w:rFonts w:ascii="Arial" w:hAnsi="Arial"/>
          <w:lang w:val="en-US"/>
        </w:rPr>
        <w:t xml:space="preserve"> inhibitors on LAMP1 </w:t>
      </w:r>
      <w:proofErr w:type="spellStart"/>
      <w:r w:rsidRPr="00EC6A5E">
        <w:rPr>
          <w:rFonts w:ascii="Arial" w:hAnsi="Arial"/>
          <w:lang w:val="en-US"/>
        </w:rPr>
        <w:t>immunoreactivity</w:t>
      </w:r>
      <w:proofErr w:type="spellEnd"/>
      <w:r w:rsidRPr="00EC6A5E">
        <w:rPr>
          <w:rFonts w:ascii="Arial" w:hAnsi="Arial"/>
          <w:lang w:val="en-US"/>
        </w:rPr>
        <w:t xml:space="preserve"> and its quantification (B).</w:t>
      </w:r>
      <w:proofErr w:type="gramEnd"/>
      <w:r w:rsidRPr="00EC6A5E">
        <w:rPr>
          <w:rFonts w:ascii="Arial" w:hAnsi="Arial"/>
          <w:lang w:val="en-US"/>
        </w:rPr>
        <w:t xml:space="preserve"> </w:t>
      </w:r>
      <w:proofErr w:type="gramStart"/>
      <w:r w:rsidRPr="00EC6A5E">
        <w:rPr>
          <w:rFonts w:ascii="Arial" w:hAnsi="Arial"/>
          <w:lang w:val="en-US"/>
        </w:rPr>
        <w:t xml:space="preserve">Effect of </w:t>
      </w:r>
      <w:proofErr w:type="spellStart"/>
      <w:r w:rsidRPr="00EC6A5E">
        <w:rPr>
          <w:rFonts w:ascii="Arial" w:hAnsi="Arial"/>
          <w:lang w:val="en-US"/>
        </w:rPr>
        <w:t>cathepsin</w:t>
      </w:r>
      <w:proofErr w:type="spellEnd"/>
      <w:r w:rsidRPr="00EC6A5E">
        <w:rPr>
          <w:rFonts w:ascii="Arial" w:hAnsi="Arial"/>
          <w:lang w:val="en-US"/>
        </w:rPr>
        <w:t xml:space="preserve"> inhibitors on cell viability (C).</w:t>
      </w:r>
      <w:proofErr w:type="gramEnd"/>
      <w:r w:rsidRPr="00EC6A5E">
        <w:rPr>
          <w:rFonts w:ascii="Arial" w:hAnsi="Arial"/>
          <w:lang w:val="en-US"/>
        </w:rPr>
        <w:t xml:space="preserve"> Inhibitors were added during GR. Bars represent mean ± SEM (n=4, </w:t>
      </w:r>
      <w:proofErr w:type="gramStart"/>
      <w:r w:rsidRPr="00EC6A5E">
        <w:rPr>
          <w:rFonts w:ascii="Arial" w:hAnsi="Arial"/>
          <w:lang w:val="en-US"/>
        </w:rPr>
        <w:t>A and</w:t>
      </w:r>
      <w:proofErr w:type="gramEnd"/>
      <w:r w:rsidRPr="00EC6A5E">
        <w:rPr>
          <w:rFonts w:ascii="Arial" w:hAnsi="Arial"/>
          <w:lang w:val="en-US"/>
        </w:rPr>
        <w:t xml:space="preserve"> 3-4 C). Data were analyzed by One way ANOVA followed Fisher’s post hoc test *p&lt;0.05 </w:t>
      </w:r>
      <w:proofErr w:type="spellStart"/>
      <w:r w:rsidRPr="00EC6A5E">
        <w:rPr>
          <w:rFonts w:ascii="Arial" w:hAnsi="Arial"/>
          <w:lang w:val="en-US"/>
        </w:rPr>
        <w:t>vs</w:t>
      </w:r>
      <w:proofErr w:type="spellEnd"/>
      <w:r w:rsidRPr="00EC6A5E">
        <w:rPr>
          <w:rFonts w:ascii="Arial" w:hAnsi="Arial"/>
          <w:lang w:val="en-US"/>
        </w:rPr>
        <w:t xml:space="preserve"> GD.</w:t>
      </w:r>
    </w:p>
    <w:p w:rsidR="008224B9" w:rsidRDefault="008224B9"/>
    <w:sectPr w:rsidR="008224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ED1"/>
    <w:rsid w:val="001A0ED1"/>
    <w:rsid w:val="0082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ED1"/>
    <w:pPr>
      <w:spacing w:line="240" w:lineRule="auto"/>
    </w:pPr>
    <w:rPr>
      <w:rFonts w:ascii="Cambria" w:eastAsia="Cambria" w:hAnsi="Cambria" w:cs="Times New Roman"/>
      <w:sz w:val="24"/>
      <w:szCs w:val="24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ED1"/>
    <w:pPr>
      <w:spacing w:line="240" w:lineRule="auto"/>
    </w:pPr>
    <w:rPr>
      <w:rFonts w:ascii="Cambria" w:eastAsia="Cambria" w:hAnsi="Cambria" w:cs="Times New Roman"/>
      <w:sz w:val="24"/>
      <w:szCs w:val="24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May, Mercy</dc:creator>
  <cp:lastModifiedBy>May, Mercy</cp:lastModifiedBy>
  <cp:revision>1</cp:revision>
  <dcterms:created xsi:type="dcterms:W3CDTF">2017-06-27T16:53:00Z</dcterms:created>
  <dcterms:modified xsi:type="dcterms:W3CDTF">2017-06-27T16:53:00Z</dcterms:modified>
</cp:coreProperties>
</file>