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t xml:space="preserve">Supplementary </w:t>
      </w:r>
      <w:r>
        <w:rPr>
          <w:rFonts w:ascii="Times New Roman" w:hAnsi="Times New Roman" w:cs="Times New Roman"/>
          <w:b/>
          <w:szCs w:val="21"/>
        </w:rPr>
        <w:t xml:space="preserve">Table </w:t>
      </w:r>
      <w:r>
        <w:rPr>
          <w:rFonts w:hint="eastAsia" w:ascii="Times New Roman" w:hAnsi="Times New Roman" w:cs="Times New Roman"/>
          <w:b/>
          <w:szCs w:val="21"/>
        </w:rPr>
        <w:t>S</w:t>
      </w:r>
      <w:r>
        <w:rPr>
          <w:rFonts w:ascii="Times New Roman" w:hAnsi="Times New Roman" w:cs="Times New Roman"/>
          <w:b/>
          <w:szCs w:val="21"/>
        </w:rPr>
        <w:t xml:space="preserve">2 </w:t>
      </w:r>
      <w:r>
        <w:rPr>
          <w:rFonts w:ascii="Times New Roman" w:hAnsi="Times New Roman" w:cs="Times New Roman"/>
          <w:szCs w:val="21"/>
        </w:rPr>
        <w:t>Univariate and multivariate analyses of various potential prognostic factors in 1</w:t>
      </w:r>
      <w:r>
        <w:rPr>
          <w:rFonts w:hint="eastAsia" w:ascii="Times New Roman" w:hAnsi="Times New Roman" w:cs="Times New Roman"/>
          <w:szCs w:val="21"/>
        </w:rPr>
        <w:t xml:space="preserve">15 CRC </w:t>
      </w:r>
      <w:r>
        <w:rPr>
          <w:rFonts w:ascii="Times New Roman" w:hAnsi="Times New Roman" w:cs="Times New Roman"/>
          <w:szCs w:val="21"/>
        </w:rPr>
        <w:t>patients</w:t>
      </w:r>
    </w:p>
    <w:tbl>
      <w:tblPr>
        <w:tblStyle w:val="6"/>
        <w:tblW w:w="8282" w:type="dxa"/>
        <w:tblInd w:w="108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1620"/>
        <w:gridCol w:w="1024"/>
        <w:gridCol w:w="236"/>
        <w:gridCol w:w="1620"/>
        <w:gridCol w:w="108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0" w:type="dxa"/>
            <w:vMerge w:val="restart"/>
            <w:tcBorders>
              <w:top w:val="single" w:color="auto" w:sz="4" w:space="0"/>
              <w:bottom w:val="single" w:color="auto" w:sz="12" w:space="0"/>
            </w:tcBorders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Factors</w:t>
            </w:r>
          </w:p>
        </w:tc>
        <w:tc>
          <w:tcPr>
            <w:tcW w:w="2644" w:type="dxa"/>
            <w:gridSpan w:val="2"/>
            <w:tcBorders>
              <w:top w:val="single" w:color="auto" w:sz="4" w:space="0"/>
              <w:bottom w:val="single" w:color="auto" w:sz="8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Univariate analysis</w:t>
            </w:r>
          </w:p>
        </w:tc>
        <w:tc>
          <w:tcPr>
            <w:tcW w:w="236" w:type="dxa"/>
            <w:tcBorders>
              <w:top w:val="single" w:color="auto" w:sz="4" w:space="0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2" w:type="dxa"/>
            <w:gridSpan w:val="2"/>
            <w:tcBorders>
              <w:top w:val="single" w:color="auto" w:sz="4" w:space="0"/>
              <w:bottom w:val="single" w:color="auto" w:sz="8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Multivariate analysis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0" w:type="dxa"/>
            <w:vMerge w:val="continue"/>
            <w:tcBorders>
              <w:top w:val="single" w:color="auto" w:sz="12" w:space="0"/>
              <w:bottom w:val="single" w:color="auto" w:sz="8" w:space="0"/>
            </w:tcBorders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  <w:tcBorders>
              <w:top w:val="single" w:color="auto" w:sz="8" w:space="0"/>
              <w:bottom w:val="single" w:color="auto" w:sz="8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HR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  <w:r>
              <w:rPr>
                <w:rFonts w:ascii="Times New Roman" w:hAnsi="Times New Roman" w:cs="Times New Roman"/>
                <w:szCs w:val="21"/>
              </w:rPr>
              <w:t>(95%CI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24" w:type="dxa"/>
            <w:tcBorders>
              <w:top w:val="single" w:color="auto" w:sz="8" w:space="0"/>
              <w:bottom w:val="single" w:color="auto" w:sz="8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</w:p>
        </w:tc>
        <w:tc>
          <w:tcPr>
            <w:tcW w:w="236" w:type="dxa"/>
            <w:tcBorders>
              <w:top w:val="nil"/>
              <w:bottom w:val="single" w:color="auto" w:sz="8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  <w:tcBorders>
              <w:top w:val="single" w:color="auto" w:sz="8" w:space="0"/>
              <w:bottom w:val="single" w:color="auto" w:sz="8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HR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  <w:r>
              <w:rPr>
                <w:rFonts w:ascii="Times New Roman" w:hAnsi="Times New Roman" w:cs="Times New Roman"/>
                <w:szCs w:val="21"/>
              </w:rPr>
              <w:t>(95%CI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c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82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0" w:type="dxa"/>
            <w:tcBorders>
              <w:top w:val="single" w:color="auto" w:sz="8" w:space="0"/>
              <w:bottom w:val="nil"/>
            </w:tcBorders>
          </w:tcPr>
          <w:p>
            <w:pPr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Age</w:t>
            </w:r>
          </w:p>
        </w:tc>
        <w:tc>
          <w:tcPr>
            <w:tcW w:w="1620" w:type="dxa"/>
            <w:tcBorders>
              <w:top w:val="single" w:color="auto" w:sz="8" w:space="0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03 </w:t>
            </w:r>
            <w:r>
              <w:rPr>
                <w:rFonts w:ascii="Times New Roman" w:hAnsi="Times New Roman" w:cs="Times New Roman"/>
                <w:szCs w:val="21"/>
              </w:rPr>
              <w:t>(0.</w:t>
            </w:r>
            <w:r>
              <w:rPr>
                <w:rFonts w:hint="eastAsia" w:ascii="Times New Roman" w:hAnsi="Times New Roman" w:cs="Times New Roman"/>
                <w:szCs w:val="21"/>
              </w:rPr>
              <w:t>87</w:t>
            </w:r>
            <w:r>
              <w:rPr>
                <w:rFonts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24" w:type="dxa"/>
            <w:tcBorders>
              <w:top w:val="single" w:color="auto" w:sz="8" w:space="0"/>
              <w:bottom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</w:rPr>
              <w:t>342</w:t>
            </w:r>
          </w:p>
        </w:tc>
        <w:tc>
          <w:tcPr>
            <w:tcW w:w="236" w:type="dxa"/>
            <w:tcBorders>
              <w:top w:val="single" w:color="auto" w:sz="8" w:space="0"/>
              <w:bottom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  <w:tcBorders>
              <w:top w:val="single" w:color="auto" w:sz="8" w:space="0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082" w:type="dxa"/>
            <w:tcBorders>
              <w:top w:val="single" w:color="auto" w:sz="8" w:space="0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0" w:type="dxa"/>
            <w:tcBorders>
              <w:top w:val="nil"/>
              <w:bottom w:val="nil"/>
            </w:tcBorders>
          </w:tcPr>
          <w:p>
            <w:pPr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Gender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12 </w:t>
            </w:r>
            <w:r>
              <w:rPr>
                <w:rFonts w:ascii="Times New Roman" w:hAnsi="Times New Roman" w:cs="Times New Roman"/>
                <w:szCs w:val="21"/>
              </w:rPr>
              <w:t>(1.</w:t>
            </w:r>
            <w:r>
              <w:rPr>
                <w:rFonts w:hint="eastAsia" w:ascii="Times New Roman" w:hAnsi="Times New Roman" w:cs="Times New Roman"/>
                <w:szCs w:val="21"/>
              </w:rPr>
              <w:t>03</w:t>
            </w:r>
            <w:r>
              <w:rPr>
                <w:rFonts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</w:rPr>
              <w:t>45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24" w:type="dxa"/>
            <w:tcBorders>
              <w:top w:val="nil"/>
              <w:bottom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</w:rPr>
              <w:t>215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082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0" w:type="dxa"/>
            <w:tcBorders>
              <w:top w:val="nil"/>
              <w:bottom w:val="nil"/>
            </w:tcBorders>
          </w:tcPr>
          <w:p>
            <w:pPr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val="fr-FR"/>
              </w:rPr>
              <w:t>Tumor size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23 </w:t>
            </w:r>
            <w:r>
              <w:rPr>
                <w:rFonts w:ascii="Times New Roman" w:hAnsi="Times New Roman" w:cs="Times New Roman"/>
                <w:szCs w:val="21"/>
              </w:rPr>
              <w:t>(1.</w:t>
            </w:r>
            <w:r>
              <w:rPr>
                <w:rFonts w:hint="eastAsia" w:ascii="Times New Roman" w:hAnsi="Times New Roman" w:cs="Times New Roman"/>
                <w:szCs w:val="21"/>
              </w:rPr>
              <w:t>01</w:t>
            </w:r>
            <w:r>
              <w:rPr>
                <w:rFonts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</w:rPr>
              <w:t>46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24" w:type="dxa"/>
            <w:tcBorders>
              <w:top w:val="nil"/>
              <w:bottom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</w:rPr>
              <w:t>089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082" w:type="dxa"/>
            <w:tcBorders>
              <w:top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0" w:type="dxa"/>
            <w:tcBorders>
              <w:top w:val="nil"/>
              <w:bottom w:val="nil"/>
              <w:right w:val="nil"/>
            </w:tcBorders>
          </w:tcPr>
          <w:p>
            <w:pPr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Differentiation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02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hint="eastAsia" w:ascii="Times New Roman" w:hAnsi="Times New Roman" w:cs="Times New Roman"/>
                <w:szCs w:val="21"/>
              </w:rPr>
              <w:t>0.78</w:t>
            </w:r>
            <w:r>
              <w:rPr>
                <w:rFonts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</w:rPr>
              <w:t>42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</w:rPr>
              <w:t>112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0" w:type="dxa"/>
            <w:tcBorders>
              <w:top w:val="nil"/>
              <w:bottom w:val="nil"/>
              <w:right w:val="nil"/>
            </w:tcBorders>
          </w:tcPr>
          <w:p>
            <w:pPr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Lymph node invasion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43 </w:t>
            </w:r>
            <w:r>
              <w:rPr>
                <w:rFonts w:ascii="Times New Roman" w:hAnsi="Times New Roman" w:cs="Times New Roman"/>
                <w:szCs w:val="21"/>
              </w:rPr>
              <w:t>(1.</w:t>
            </w:r>
            <w:r>
              <w:rPr>
                <w:rFonts w:hint="eastAsia" w:ascii="Times New Roman" w:hAnsi="Times New Roman" w:cs="Times New Roman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>1.97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szCs w:val="21"/>
              </w:rPr>
              <w:t>0.0</w:t>
            </w:r>
            <w:r>
              <w:rPr>
                <w:rFonts w:hint="eastAsia" w:ascii="Times New Roman" w:hAnsi="Times New Roman" w:cs="Times New Roman"/>
                <w:szCs w:val="21"/>
              </w:rPr>
              <w:t>47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 xml:space="preserve"> 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87 </w:t>
            </w:r>
            <w:r>
              <w:rPr>
                <w:rFonts w:ascii="Times New Roman" w:hAnsi="Times New Roman" w:cs="Times New Roman"/>
                <w:szCs w:val="21"/>
              </w:rPr>
              <w:t>(0.</w:t>
            </w:r>
            <w:r>
              <w:rPr>
                <w:rFonts w:hint="eastAsia" w:ascii="Times New Roman" w:hAnsi="Times New Roman" w:cs="Times New Roman"/>
                <w:szCs w:val="21"/>
              </w:rPr>
              <w:t>56</w:t>
            </w:r>
            <w:r>
              <w:rPr>
                <w:rFonts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</w:rPr>
              <w:t>36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</w:rPr>
              <w:t>123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0" w:type="dxa"/>
            <w:tcBorders>
              <w:top w:val="nil"/>
              <w:bottom w:val="nil"/>
              <w:right w:val="nil"/>
            </w:tcBorders>
          </w:tcPr>
          <w:p>
            <w:pPr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Distant metastasis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 xml:space="preserve">1.56 </w:t>
            </w:r>
            <w:r>
              <w:rPr>
                <w:rFonts w:ascii="Times New Roman" w:hAnsi="Times New Roman" w:cs="Times New Roman"/>
                <w:szCs w:val="21"/>
              </w:rPr>
              <w:t>(1.</w:t>
            </w:r>
            <w:r>
              <w:rPr>
                <w:rFonts w:hint="eastAsia" w:ascii="Times New Roman" w:hAnsi="Times New Roman" w:cs="Times New Roman"/>
                <w:szCs w:val="21"/>
              </w:rPr>
              <w:t>13</w:t>
            </w:r>
            <w:r>
              <w:rPr>
                <w:rFonts w:ascii="Times New Roman" w:hAnsi="Times New Roman" w:cs="Times New Roman"/>
                <w:szCs w:val="21"/>
              </w:rPr>
              <w:t>-2.</w:t>
            </w:r>
            <w:r>
              <w:rPr>
                <w:rFonts w:hint="eastAsia" w:ascii="Times New Roman" w:hAnsi="Times New Roman" w:cs="Times New Roman"/>
                <w:szCs w:val="21"/>
              </w:rPr>
              <w:t>08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szCs w:val="21"/>
              </w:rPr>
              <w:t>0.0</w:t>
            </w:r>
            <w:r>
              <w:rPr>
                <w:rFonts w:hint="eastAsia" w:ascii="Times New Roman" w:hAnsi="Times New Roman" w:cs="Times New Roman"/>
                <w:szCs w:val="21"/>
              </w:rPr>
              <w:t>25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35 </w:t>
            </w:r>
            <w:r>
              <w:rPr>
                <w:rFonts w:ascii="Times New Roman" w:hAnsi="Times New Roman" w:cs="Times New Roman"/>
                <w:szCs w:val="21"/>
              </w:rPr>
              <w:t>(1.15-2.56)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szCs w:val="21"/>
              </w:rPr>
              <w:t>0.033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TNM stage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47 </w:t>
            </w:r>
            <w:r>
              <w:rPr>
                <w:rFonts w:ascii="Times New Roman" w:hAnsi="Times New Roman" w:cs="Times New Roman"/>
                <w:szCs w:val="21"/>
              </w:rPr>
              <w:t>(1.</w:t>
            </w:r>
            <w:r>
              <w:rPr>
                <w:rFonts w:hint="eastAsia" w:ascii="Times New Roman" w:hAnsi="Times New Roman" w:cs="Times New Roman"/>
                <w:szCs w:val="21"/>
              </w:rPr>
              <w:t>23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>2.22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szCs w:val="21"/>
              </w:rPr>
              <w:t>0.0</w:t>
            </w:r>
            <w:r>
              <w:rPr>
                <w:rFonts w:hint="eastAsia" w:ascii="Times New Roman" w:hAnsi="Times New Roman" w:cs="Times New Roman"/>
                <w:szCs w:val="21"/>
              </w:rPr>
              <w:t>21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15 </w:t>
            </w:r>
            <w:r>
              <w:rPr>
                <w:rFonts w:ascii="Times New Roman" w:hAnsi="Times New Roman" w:cs="Times New Roman"/>
                <w:szCs w:val="21"/>
              </w:rPr>
              <w:t>(1.08-2.36)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</w:rPr>
              <w:t>116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00" w:type="dxa"/>
            <w:tcBorders>
              <w:top w:val="nil"/>
              <w:left w:val="nil"/>
              <w:right w:val="nil"/>
            </w:tcBorders>
          </w:tcPr>
          <w:p>
            <w:pPr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lncRNA XIST expression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 xml:space="preserve">2.76 </w:t>
            </w:r>
            <w:r>
              <w:rPr>
                <w:rFonts w:ascii="Times New Roman" w:hAnsi="Times New Roman" w:cs="Times New Roman"/>
                <w:szCs w:val="21"/>
              </w:rPr>
              <w:t>(1.</w:t>
            </w:r>
            <w:r>
              <w:rPr>
                <w:rFonts w:hint="eastAsia" w:ascii="Times New Roman" w:hAnsi="Times New Roman" w:cs="Times New Roman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>2.79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szCs w:val="21"/>
              </w:rPr>
              <w:t>0.0</w:t>
            </w:r>
            <w:r>
              <w:rPr>
                <w:rFonts w:hint="eastAsia" w:ascii="Times New Roman" w:hAnsi="Times New Roman" w:cs="Times New Roman"/>
                <w:szCs w:val="21"/>
              </w:rPr>
              <w:t>10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29 </w:t>
            </w:r>
            <w:r>
              <w:rPr>
                <w:rFonts w:ascii="Times New Roman" w:hAnsi="Times New Roman" w:cs="Times New Roman"/>
                <w:szCs w:val="21"/>
              </w:rPr>
              <w:t>(1.</w:t>
            </w:r>
            <w:r>
              <w:rPr>
                <w:rFonts w:hint="eastAsia" w:ascii="Times New Roman" w:hAnsi="Times New Roman" w:cs="Times New Roman"/>
                <w:szCs w:val="21"/>
              </w:rPr>
              <w:t>11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>1.96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82" w:type="dxa"/>
            <w:tcBorders>
              <w:top w:val="nil"/>
              <w:left w:val="nil"/>
              <w:right w:val="nil"/>
            </w:tcBorders>
          </w:tcPr>
          <w:p>
            <w:pPr>
              <w:jc w:val="right"/>
              <w:rPr>
                <w:rFonts w:ascii="Times New Roman" w:hAnsi="Times New Roman" w:cs="Times New Roman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szCs w:val="21"/>
              </w:rPr>
              <w:t>0.0</w:t>
            </w:r>
            <w:r>
              <w:rPr>
                <w:rFonts w:hint="eastAsia" w:ascii="Times New Roman" w:hAnsi="Times New Roman" w:cs="Times New Roman"/>
                <w:szCs w:val="21"/>
              </w:rPr>
              <w:t>39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</w:tbl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  <w:vertAlign w:val="superscript"/>
        </w:rPr>
        <w:t>a</w:t>
      </w:r>
      <w:r>
        <w:rPr>
          <w:rFonts w:ascii="Times New Roman" w:hAnsi="Times New Roman" w:cs="Times New Roman"/>
          <w:i/>
          <w:szCs w:val="21"/>
        </w:rPr>
        <w:t>P</w:t>
      </w:r>
      <w:r>
        <w:rPr>
          <w:rFonts w:hint="eastAsia" w:ascii="Times New Roman" w:hAnsi="Times New Roman" w:cs="Times New Roman"/>
          <w:i/>
          <w:szCs w:val="21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szCs w:val="21"/>
        </w:rPr>
        <w:t>&lt;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Cs w:val="21"/>
        </w:rPr>
        <w:t>0.05.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  <w:vertAlign w:val="superscript"/>
        </w:rPr>
        <w:t>b</w:t>
      </w:r>
      <w:r>
        <w:rPr>
          <w:rFonts w:ascii="Times New Roman" w:hAnsi="Times New Roman" w:cs="Times New Roman"/>
          <w:szCs w:val="21"/>
        </w:rPr>
        <w:t>HR, hazard ratio.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  <w:vertAlign w:val="superscript"/>
        </w:rPr>
        <w:t>c</w:t>
      </w:r>
      <w:r>
        <w:rPr>
          <w:rFonts w:ascii="Times New Roman" w:hAnsi="Times New Roman" w:cs="Times New Roman"/>
          <w:szCs w:val="21"/>
        </w:rPr>
        <w:t>CI, confidence interval.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345E"/>
    <w:rsid w:val="001D69A4"/>
    <w:rsid w:val="00256EAB"/>
    <w:rsid w:val="00332968"/>
    <w:rsid w:val="004661FC"/>
    <w:rsid w:val="004C345E"/>
    <w:rsid w:val="00597CD8"/>
    <w:rsid w:val="006209BD"/>
    <w:rsid w:val="008530F7"/>
    <w:rsid w:val="009B2EEE"/>
    <w:rsid w:val="00A27606"/>
    <w:rsid w:val="00BF35DE"/>
    <w:rsid w:val="00FC1974"/>
    <w:rsid w:val="14840EA4"/>
    <w:rsid w:val="1C9E5B83"/>
    <w:rsid w:val="1EF8354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4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101</Words>
  <Characters>581</Characters>
  <Lines>4</Lines>
  <Paragraphs>1</Paragraphs>
  <TotalTime>0</TotalTime>
  <ScaleCrop>false</ScaleCrop>
  <LinksUpToDate>false</LinksUpToDate>
  <CharactersWithSpaces>681</CharactersWithSpaces>
  <Application>WPS Office_10.1.0.6441_F1E327BC-269C-435d-A152-05C5408002CA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tj</dc:creator>
  <cp:lastModifiedBy>tj</cp:lastModifiedBy>
  <dcterms:modified xsi:type="dcterms:W3CDTF">2017-05-19T01:50:30Z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2052-10.1.0.6441</vt:lpwstr>
  </property>
</Properties>
</file>