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Supplementary Figure S1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SIRT3 mRNA expression and secondary sphere formation by NAM treatment in SSEA1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  <w:vertAlign w:val="superscript"/>
        </w:rPr>
        <w:t>+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 cells and the effect of NAM and FK866 treatment in SSEA1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  <w:vertAlign w:val="superscript"/>
        </w:rPr>
        <w:t>-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 cells. (a) SIRT3 mRNA expression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in each subpopulation was determined by real-time PCR analysis. (b)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Serial secondary sphere forming assay of NAM-treated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SSEA1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  <w:vertAlign w:val="superscript"/>
        </w:rPr>
        <w:t>+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 cells. (c)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U373MG 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 xml:space="preserve">-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cells were sorted and then incubated with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>1 mM of NAM (NAD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+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precursor) or 0.1 nM of FK866 (inhibitor of NAD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+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biosynthesis).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R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epresentative cell images at 48 hours after treatment are shown.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(d)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>The NAD</w:t>
      </w:r>
      <w:r w:rsidRPr="00B646D6">
        <w:rPr>
          <w:rFonts w:ascii="Times New Roman" w:eastAsia="바탕" w:hAnsi="Times New Roman" w:cs="Times New Roman"/>
          <w:sz w:val="24"/>
          <w:szCs w:val="24"/>
          <w:vertAlign w:val="superscript"/>
        </w:rPr>
        <w:t>+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 levels in each lysate were quantified. (e) Clonogenicity was determined in each condition using limiting dilution analysis. (f)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SIRT3 enzyme activity in the mitochondrial fraction and (g) lactate production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in each condition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were determined. *p &lt; 0.05; **p &lt; 0.01; ***p &lt; 0.001 (Student’s</w:t>
      </w:r>
      <w:r w:rsidRPr="00B646D6">
        <w:rPr>
          <w:rFonts w:ascii="Times New Roman" w:eastAsia="바탕" w:hAnsi="Times New Roman" w:cs="Times New Roman"/>
          <w:i/>
          <w:kern w:val="0"/>
          <w:sz w:val="24"/>
          <w:szCs w:val="24"/>
        </w:rPr>
        <w:t xml:space="preserve"> t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-test). Scale bar = 50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>m.</w:t>
      </w:r>
    </w:p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Supplementary Figure S2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T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he effect of NNT overexpression or knockdown on clonogenicity of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 xml:space="preserve">-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TICs is shown. (a)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U373MG 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 xml:space="preserve">-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cells were sorted and then </w:t>
      </w:r>
      <w:r w:rsidRPr="00B646D6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transduced with retroviral NNT or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>transfected with siRNA for NNT (siNNT).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R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epresentative morphology of each population at 3 days after treatment is shown.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Scale bar = 50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>m.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(b) Overexpression or knockdown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 w:rsidRPr="00B646D6">
        <w:rPr>
          <w:rFonts w:ascii="Times New Roman" w:eastAsia="바탕" w:hAnsi="Times New Roman" w:cs="Times New Roman"/>
          <w:bCs/>
          <w:kern w:val="0"/>
          <w:sz w:val="24"/>
          <w:szCs w:val="24"/>
        </w:rPr>
        <w:t>NNT</w:t>
      </w:r>
      <w:r w:rsidRPr="00B646D6">
        <w:rPr>
          <w:rFonts w:ascii="Times New Roman" w:hAnsi="Times New Roman" w:cs="Times New Roman"/>
          <w:i/>
          <w:kern w:val="0"/>
          <w:sz w:val="24"/>
          <w:szCs w:val="24"/>
        </w:rPr>
        <w:t xml:space="preserve">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was confirmed by real-time PCR analysis. (c) Clonogenicity of each condition was compared using limiting dilution analysis. (d)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R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epresentative sphere images, (e) the diameter of spheres, (f) sphere numbers per well (initial seeding number = 50 cells) in each condition were quantitated at the end-point of the limiting dilution analysis (4-week incubation). 1 mM of NAM and 0.1 nM of FK866 were used as the comparison groups.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*p &lt; 0.05; **p &lt; 0.01; ***p &lt; 0.001 (Student’s</w:t>
      </w:r>
      <w:r w:rsidRPr="00B646D6">
        <w:rPr>
          <w:rFonts w:ascii="Times New Roman" w:eastAsia="바탕" w:hAnsi="Times New Roman" w:cs="Times New Roman"/>
          <w:i/>
          <w:kern w:val="0"/>
          <w:sz w:val="24"/>
          <w:szCs w:val="24"/>
        </w:rPr>
        <w:t xml:space="preserve"> t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-test). Scale bar = 200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>m.</w:t>
      </w:r>
    </w:p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Supplementary Figure S3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T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he effect of NMNAT3 overexpression or knockdown on the clonogenicity of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 xml:space="preserve">+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TICs is shown. (a)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U373MG 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 xml:space="preserve">+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cells were </w:t>
      </w:r>
      <w:r w:rsidRPr="00B646D6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transduced with retroviral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>NMNAT3</w:t>
      </w:r>
      <w:r w:rsidRPr="00B646D6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 or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transfected with siRNA for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>NMNAT3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 (si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>NMNAT3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).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R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epresentative morphology of each population at 3 days after treatment is shown. (b)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Clonogenicity of each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condition was compared using limiting dilution analysis. (c) The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diameter of spheres in each condition was quantitated at the end-point of limiting dilution analysis (4-week incubation). Box plots indicate the median and 25th and 75th percentiles. Whiskers indicate the minimum and maximum values.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***p &lt; 0.001 (Student’s</w:t>
      </w:r>
      <w:r w:rsidRPr="00B646D6">
        <w:rPr>
          <w:rFonts w:ascii="Times New Roman" w:eastAsia="바탕" w:hAnsi="Times New Roman" w:cs="Times New Roman"/>
          <w:i/>
          <w:kern w:val="0"/>
          <w:sz w:val="24"/>
          <w:szCs w:val="24"/>
        </w:rPr>
        <w:t xml:space="preserve"> t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-test); Scale bar = 50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>m.</w:t>
      </w:r>
    </w:p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Supplementary Figure S4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NNT overexpression decreases the expression of neural stem cell markers, namely, SSEA1, Nestin, and Sox2. </w:t>
      </w:r>
      <w:r w:rsidRPr="00B646D6">
        <w:rPr>
          <w:rFonts w:ascii="Times New Roman" w:eastAsia="바탕" w:hAnsi="Times New Roman" w:cs="Times New Roman"/>
          <w:bCs/>
          <w:kern w:val="0"/>
          <w:sz w:val="24"/>
          <w:szCs w:val="24"/>
        </w:rPr>
        <w:t xml:space="preserve">NNT overexpressed- or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>siNNT transfected-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U373MG 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 xml:space="preserve">+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cells were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fixed and stained with indicated antibodies at 7 days after treatment.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Scale bar = 50 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sym w:font="Symbol" w:char="F06D"/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>m.</w:t>
      </w:r>
    </w:p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Supplementary Figure S5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T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he tumorigenic potential of NNT-overexpressed or -knock downed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 xml:space="preserve">+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>TICs. Control, r</w:t>
      </w:r>
      <w:r w:rsidRPr="00B646D6">
        <w:rPr>
          <w:rFonts w:ascii="Times New Roman" w:eastAsia="바탕" w:hAnsi="Times New Roman" w:cs="Times New Roman"/>
          <w:bCs/>
          <w:kern w:val="0"/>
          <w:sz w:val="24"/>
          <w:szCs w:val="24"/>
        </w:rPr>
        <w:t>etroviral NNT-transduced, or</w:t>
      </w:r>
      <w:r w:rsidRPr="00B646D6">
        <w:rPr>
          <w:rFonts w:ascii="Times New Roman" w:hAnsi="Times New Roman" w:cs="Times New Roman"/>
          <w:kern w:val="0"/>
          <w:sz w:val="24"/>
          <w:szCs w:val="24"/>
        </w:rPr>
        <w:t xml:space="preserve"> siNNT-transfected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U373MG 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 xml:space="preserve">+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cells were injected subcutaneously and representative images of mice at 6 weeks after injection of each group were shown.</w:t>
      </w:r>
      <w:r w:rsidRPr="00B646D6">
        <w:t xml:space="preserve"> </w:t>
      </w:r>
    </w:p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eastAsia="바탕" w:hAnsi="Times New Roman" w:cs="Times New Roman"/>
          <w:iCs/>
          <w:kern w:val="0"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Supplementary Figure S6 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 xml:space="preserve">Summary of data from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NNT overexpression and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knockdown in 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>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 xml:space="preserve">+ 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>TICs. NNT level increase and followed induction of mitochondrial NAD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  <w:vertAlign w:val="superscript"/>
        </w:rPr>
        <w:t>+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 xml:space="preserve"> level and SIRT3 activity impair clonogenicity of SSEA1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  <w:vertAlign w:val="superscript"/>
        </w:rPr>
        <w:t>+</w:t>
      </w:r>
      <w:r w:rsidRPr="00B646D6">
        <w:rPr>
          <w:rFonts w:ascii="Times New Roman" w:eastAsia="바탕" w:hAnsi="Times New Roman" w:cs="Times New Roman"/>
          <w:iCs/>
          <w:kern w:val="0"/>
          <w:sz w:val="24"/>
          <w:szCs w:val="24"/>
        </w:rPr>
        <w:t xml:space="preserve"> glioma T</w:t>
      </w:r>
      <w:r w:rsidRPr="00B646D6">
        <w:rPr>
          <w:rFonts w:ascii="Times New Roman" w:eastAsia="맑은 고딕" w:hAnsi="Times New Roman" w:cs="Times New Roman"/>
          <w:color w:val="000000"/>
          <w:sz w:val="24"/>
          <w:szCs w:val="24"/>
        </w:rPr>
        <w:t>ICs.</w:t>
      </w:r>
    </w:p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eastAsia="바탕" w:hAnsi="Times New Roman" w:cs="Times New Roman"/>
          <w:iCs/>
          <w:kern w:val="0"/>
          <w:sz w:val="24"/>
          <w:szCs w:val="24"/>
        </w:rPr>
      </w:pPr>
    </w:p>
    <w:p w:rsidR="00CF2D22" w:rsidRPr="00B646D6" w:rsidRDefault="00CF2D22" w:rsidP="00CF2D22">
      <w:pPr>
        <w:widowControl/>
        <w:wordWrap/>
        <w:autoSpaceDE/>
        <w:autoSpaceDN/>
        <w:spacing w:after="160" w:line="480" w:lineRule="auto"/>
        <w:rPr>
          <w:rFonts w:ascii="Times New Roman" w:eastAsia="바탕" w:hAnsi="Times New Roman" w:cs="Times New Roman"/>
          <w:b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sz w:val="24"/>
          <w:szCs w:val="24"/>
        </w:rPr>
        <w:br w:type="page"/>
      </w:r>
    </w:p>
    <w:p w:rsidR="00CF2D22" w:rsidRPr="00B646D6" w:rsidRDefault="00CF2D22" w:rsidP="00CF2D22">
      <w:pPr>
        <w:wordWrap/>
        <w:adjustRightInd w:val="0"/>
        <w:spacing w:line="480" w:lineRule="auto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sz w:val="24"/>
          <w:szCs w:val="24"/>
        </w:rPr>
        <w:lastRenderedPageBreak/>
        <w:t>Supporting Information</w:t>
      </w:r>
      <w:r w:rsidRPr="00B646D6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 Table 1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. Antibodies used in this study.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03"/>
        <w:gridCol w:w="1701"/>
        <w:gridCol w:w="3118"/>
        <w:gridCol w:w="1418"/>
      </w:tblGrid>
      <w:tr w:rsidR="00CF2D22" w:rsidRPr="00B646D6" w:rsidTr="00BA1397">
        <w:trPr>
          <w:trHeight w:val="334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Antibodies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Catalog No.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Company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Dilution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leftChars="100" w:left="20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anti-SIRT1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8469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Cell Signaling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1:1000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leftChars="100" w:left="20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anti-SIRT2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2313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Cell Signaling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1:1000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leftChars="100" w:left="20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anti-SIRT3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5490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Cell Signaling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1:1000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leftChars="100" w:left="20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anti-actin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A1978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Sigma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1:500000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leftChars="100" w:left="20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anti-NNT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ab110352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Abcam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leftChars="100" w:left="20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anti-GFAP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Z0334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DAKO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1:200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leftChars="100" w:left="20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anti-Tuj1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MMS-435p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Covance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1:500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leftChars="100" w:left="20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anti-Sox2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MAB2018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R&amp;D Systems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1:100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leftChars="100" w:left="20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anti-SSEA1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MAB2155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R&amp;D Systems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1:100</w:t>
            </w:r>
          </w:p>
        </w:tc>
      </w:tr>
      <w:tr w:rsidR="00CF2D22" w:rsidRPr="00B646D6" w:rsidTr="00BA1397">
        <w:trPr>
          <w:trHeight w:val="346"/>
          <w:jc w:val="center"/>
        </w:trPr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ind w:firstLineChars="100" w:firstLine="240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anti-Nestin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idowControl/>
              <w:wordWrap/>
              <w:autoSpaceDE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sc-21247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SantaCruz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1:100</w:t>
            </w:r>
          </w:p>
        </w:tc>
      </w:tr>
    </w:tbl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</w:p>
    <w:p w:rsidR="00CF2D22" w:rsidRPr="00B646D6" w:rsidRDefault="00CF2D22" w:rsidP="00CF2D22">
      <w:pPr>
        <w:widowControl/>
        <w:wordWrap/>
        <w:autoSpaceDE/>
        <w:autoSpaceDN/>
        <w:spacing w:after="160" w:line="480" w:lineRule="auto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kern w:val="0"/>
          <w:sz w:val="24"/>
          <w:szCs w:val="24"/>
        </w:rPr>
        <w:br w:type="page"/>
      </w:r>
    </w:p>
    <w:p w:rsidR="00CF2D22" w:rsidRPr="00B646D6" w:rsidRDefault="00CF2D22" w:rsidP="00CF2D22">
      <w:pPr>
        <w:wordWrap/>
        <w:adjustRightInd w:val="0"/>
        <w:spacing w:line="480" w:lineRule="auto"/>
        <w:rPr>
          <w:rFonts w:ascii="Times New Roman" w:eastAsia="바탕" w:hAnsi="Times New Roman" w:cs="Times New Roman"/>
          <w:kern w:val="0"/>
          <w:sz w:val="24"/>
          <w:szCs w:val="24"/>
        </w:rPr>
      </w:pPr>
      <w:r w:rsidRPr="00B646D6">
        <w:rPr>
          <w:rFonts w:ascii="Times New Roman" w:eastAsia="바탕" w:hAnsi="Times New Roman" w:cs="Times New Roman"/>
          <w:b/>
          <w:sz w:val="24"/>
          <w:szCs w:val="24"/>
        </w:rPr>
        <w:lastRenderedPageBreak/>
        <w:t>Supporting Information</w:t>
      </w:r>
      <w:r w:rsidRPr="00B646D6">
        <w:rPr>
          <w:rFonts w:ascii="Times New Roman" w:eastAsia="바탕" w:hAnsi="Times New Roman" w:cs="Times New Roman"/>
          <w:b/>
          <w:kern w:val="0"/>
          <w:sz w:val="24"/>
          <w:szCs w:val="24"/>
        </w:rPr>
        <w:t xml:space="preserve"> Table 2</w:t>
      </w:r>
      <w:r w:rsidRPr="00B646D6">
        <w:rPr>
          <w:rFonts w:ascii="Times New Roman" w:eastAsia="바탕" w:hAnsi="Times New Roman" w:cs="Times New Roman"/>
          <w:kern w:val="0"/>
          <w:sz w:val="24"/>
          <w:szCs w:val="24"/>
        </w:rPr>
        <w:t>. Primers used in this study.</w:t>
      </w:r>
    </w:p>
    <w:tbl>
      <w:tblPr>
        <w:tblW w:w="9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3829"/>
        <w:gridCol w:w="3829"/>
      </w:tblGrid>
      <w:tr w:rsidR="00CF2D22" w:rsidRPr="00B646D6" w:rsidTr="00BA1397">
        <w:trPr>
          <w:trHeight w:val="33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Gene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Primer (Forward)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center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Primer (Reverse)</w:t>
            </w:r>
          </w:p>
        </w:tc>
      </w:tr>
      <w:tr w:rsidR="00CF2D22" w:rsidRPr="00B646D6" w:rsidTr="00BA1397">
        <w:trPr>
          <w:trHeight w:val="33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D22" w:rsidRPr="00B646D6" w:rsidRDefault="00CF2D22" w:rsidP="00BA139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  <w:t>hNNT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GGGGTCCTGTAAGGGTCTAC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ATGCCACTCGCTTCTCATTTT</w:t>
            </w:r>
          </w:p>
        </w:tc>
      </w:tr>
      <w:tr w:rsidR="00CF2D22" w:rsidRPr="00B646D6" w:rsidTr="00BA1397">
        <w:trPr>
          <w:trHeight w:val="33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D22" w:rsidRPr="00B646D6" w:rsidRDefault="00CF2D22" w:rsidP="00BA139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  <w:t>hSIRT3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ACCCAGTGGCATTCCAGAC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GGCTTGGGGTTGTGAAAGAAG</w:t>
            </w:r>
          </w:p>
        </w:tc>
      </w:tr>
      <w:tr w:rsidR="00CF2D22" w:rsidRPr="00B646D6" w:rsidTr="00BA1397">
        <w:trPr>
          <w:trHeight w:val="330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D22" w:rsidRPr="00B646D6" w:rsidRDefault="00CF2D22" w:rsidP="00BA1397">
            <w:pPr>
              <w:widowControl/>
              <w:wordWrap/>
              <w:autoSpaceDE/>
              <w:spacing w:line="480" w:lineRule="auto"/>
              <w:jc w:val="left"/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i/>
                <w:iCs/>
                <w:kern w:val="0"/>
                <w:sz w:val="24"/>
                <w:szCs w:val="24"/>
              </w:rPr>
              <w:t>hβ-actin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GGACTTCGAGCAAGAGATGG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F2D22" w:rsidRPr="00B646D6" w:rsidRDefault="00CF2D22" w:rsidP="00BA1397">
            <w:pPr>
              <w:wordWrap/>
              <w:adjustRightInd w:val="0"/>
              <w:spacing w:line="480" w:lineRule="auto"/>
              <w:jc w:val="left"/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</w:pPr>
            <w:r w:rsidRPr="00B646D6">
              <w:rPr>
                <w:rFonts w:ascii="Times New Roman" w:eastAsia="바탕" w:hAnsi="Times New Roman" w:cs="Times New Roman"/>
                <w:kern w:val="0"/>
                <w:sz w:val="24"/>
                <w:szCs w:val="24"/>
              </w:rPr>
              <w:t>AGCACTGTGTTGGCGTACAG</w:t>
            </w:r>
          </w:p>
        </w:tc>
      </w:tr>
    </w:tbl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</w:p>
    <w:p w:rsidR="00CF2D22" w:rsidRPr="00B646D6" w:rsidRDefault="00CF2D22" w:rsidP="00CF2D22">
      <w:pPr>
        <w:wordWrap/>
        <w:adjustRightInd w:val="0"/>
        <w:spacing w:before="100" w:beforeAutospacing="1" w:line="480" w:lineRule="auto"/>
        <w:rPr>
          <w:rFonts w:ascii="Times New Roman" w:eastAsia="바탕" w:hAnsi="Times New Roman" w:cs="Times New Roman"/>
          <w:b/>
          <w:kern w:val="0"/>
          <w:sz w:val="24"/>
          <w:szCs w:val="24"/>
        </w:rPr>
      </w:pPr>
    </w:p>
    <w:p w:rsidR="00C948D9" w:rsidRDefault="00CF2D22">
      <w:bookmarkStart w:id="0" w:name="_GoBack"/>
      <w:bookmarkEnd w:id="0"/>
    </w:p>
    <w:sectPr w:rsidR="00C948D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22"/>
    <w:rsid w:val="008759FA"/>
    <w:rsid w:val="00CF2D22"/>
    <w:rsid w:val="00F2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5A583F-0E96-4905-98C7-055D8D3B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D22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손명진</dc:creator>
  <cp:keywords/>
  <dc:description/>
  <cp:lastModifiedBy>손명진</cp:lastModifiedBy>
  <cp:revision>1</cp:revision>
  <dcterms:created xsi:type="dcterms:W3CDTF">2017-03-06T04:36:00Z</dcterms:created>
  <dcterms:modified xsi:type="dcterms:W3CDTF">2017-03-06T04:37:00Z</dcterms:modified>
</cp:coreProperties>
</file>