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A58" w:rsidRPr="009931C1" w:rsidRDefault="00670982" w:rsidP="00B01A58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Table 2</w:t>
      </w:r>
      <w:r w:rsidR="00B01A58" w:rsidRPr="009931C1">
        <w:rPr>
          <w:rFonts w:ascii="Times New Roman" w:hAnsi="Times New Roman" w:cs="Times New Roman"/>
          <w:b/>
          <w:lang w:val="en-US"/>
        </w:rPr>
        <w:t>.</w:t>
      </w:r>
      <w:r w:rsidR="00B01A58" w:rsidRPr="009931C1">
        <w:rPr>
          <w:rFonts w:ascii="Times New Roman" w:hAnsi="Times New Roman" w:cs="Times New Roman"/>
          <w:lang w:val="en-US"/>
        </w:rPr>
        <w:t xml:space="preserve"> Quality assessment of studies </w:t>
      </w:r>
      <w:r w:rsidR="009931C1" w:rsidRPr="009931C1">
        <w:rPr>
          <w:rFonts w:ascii="Times New Roman" w:hAnsi="Times New Roman" w:cs="Times New Roman"/>
          <w:lang w:val="en-US"/>
        </w:rPr>
        <w:t xml:space="preserve">included </w:t>
      </w:r>
      <w:r w:rsidR="00B01A58" w:rsidRPr="009931C1">
        <w:rPr>
          <w:rFonts w:ascii="Times New Roman" w:hAnsi="Times New Roman" w:cs="Times New Roman"/>
          <w:lang w:val="en-US"/>
        </w:rPr>
        <w:t>according to BMJ checklist.</w:t>
      </w:r>
    </w:p>
    <w:tbl>
      <w:tblPr>
        <w:tblStyle w:val="PlainTable4"/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9067"/>
        <w:gridCol w:w="1698"/>
        <w:gridCol w:w="1939"/>
      </w:tblGrid>
      <w:tr w:rsidR="00B01A58" w:rsidRPr="009931C1" w:rsidTr="00B01A58">
        <w:trPr>
          <w:cnfStyle w:val="100000000000"/>
          <w:trHeight w:val="633"/>
        </w:trPr>
        <w:tc>
          <w:tcPr>
            <w:cnfStyle w:val="001000000000"/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Quality 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cnfStyle w:val="1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Number</w:t>
            </w:r>
          </w:p>
          <w:p w:rsidR="00B01A58" w:rsidRPr="009931C1" w:rsidRDefault="00B01A58" w:rsidP="00B01A58">
            <w:pPr>
              <w:autoSpaceDE w:val="0"/>
              <w:autoSpaceDN w:val="0"/>
              <w:adjustRightInd w:val="0"/>
              <w:cnfStyle w:val="1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of studies</w:t>
            </w:r>
          </w:p>
          <w:p w:rsidR="00B01A58" w:rsidRPr="009931C1" w:rsidRDefault="00B01A58" w:rsidP="00B01A58">
            <w:pPr>
              <w:cnfStyle w:val="100000000000"/>
              <w:rPr>
                <w:rFonts w:ascii="Times New Roman" w:hAnsi="Times New Roman" w:cs="Times New Roman"/>
                <w:sz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complying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cnfStyle w:val="100000000000"/>
              <w:rPr>
                <w:rFonts w:ascii="Times New Roman" w:hAnsi="Times New Roman" w:cs="Times New Roman"/>
                <w:sz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NA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i/>
                <w:iCs/>
                <w:sz w:val="16"/>
                <w:szCs w:val="18"/>
                <w:lang w:val="en-US"/>
              </w:rPr>
              <w:t>Study design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The research question is stated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economic importance of the research question is stated 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viewpoint(s) of the analysis is clearly stated and justified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11/20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27,28,30,33-35,37,38,41-43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rationale for choosing alternative programmes or interventions compared is stated 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The alternatives being compared are clearly described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18/20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25-28,30-35,37-44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form of economic evaluation used is stated 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The choice of form of economic evaluation is justified in relation to the questions addressed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25,30,31,33-35,37,41,43,44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i/>
                <w:iCs/>
                <w:sz w:val="16"/>
                <w:szCs w:val="18"/>
                <w:lang w:val="en-US"/>
              </w:rPr>
              <w:t>Data collection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The source(s) of effectiveness estimates used is stated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19/20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25-27,29-44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Details of the design and results of effectiveness study are given (if based on a single study)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12/20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28,30,31,33,34,36-39,41,43,44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Details of the methods of synthesis or meta-analysis of estimates are given (if based on a synthesis of a number of effectiveness studies)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9/20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25-29,32,35,40,42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primary outcome measure(s) for the economic evaluation is clearly stated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Methods to value benefits are stated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34,37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15/20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25-30,32,33,35,36,38,39,41,42,44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Details of the subjects from whom valuations were obtained are given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34,37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15/20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25-30,32,33,35,36,38,39,41,42,44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Productivity changes (if included) are reported separately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relevance of productivity changes to the study question is discussed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Quantities of resource use are reported separately from their unit costs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17/20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26-34,36-39,41-44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Methods for the estimation of quantities and unit costs are described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17/20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26-34,36-39,41-44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Currency and price data are recorded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18/20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26-38, 40-44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Details of currency of price adjustments for inflation or currency conversion are given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7/20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29,35,37,40-42,44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Details of any model used are given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15/20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26-28,30-39,42,43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  <w:shd w:val="clear" w:color="auto" w:fill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The choice of model used and the key parameters on which it is based are justified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15/20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26-28,30-39,42,43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7F7053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i/>
                <w:iCs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i/>
                <w:iCs/>
                <w:sz w:val="16"/>
                <w:szCs w:val="18"/>
                <w:lang w:val="en-US"/>
              </w:rPr>
              <w:t>Analysis and interpretation of results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b/>
                <w:i/>
                <w:iCs/>
                <w:sz w:val="16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b/>
                <w:i/>
                <w:iCs/>
                <w:sz w:val="16"/>
                <w:szCs w:val="18"/>
                <w:lang w:val="en-US"/>
              </w:rPr>
            </w:pP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Time horizon of costs and benefits is stated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15/20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25-28,30,32-39,42,43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discount rate(s) is stated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choice of discount rate(s) is justified 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18/20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25-37,39,41-44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An explanation is given if costs and benefits are not discounted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Details of statistical tests and confidence intervals are given for stochastic data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7/20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26,27,33,34,36,38,42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11/20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25,28-32,35,37,39,41,44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approach to sensitivity analysis is given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choice of variables for sensitivity analysis is justified 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18/20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25-30,32-35,37-44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ranges over which the variables are varied are justified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17/20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25-30,33-35,37-44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Relevant alternatives are compared 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19/20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26-44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Incremental analysis is reported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Major outcomes are presented in a disaggregated as well as aggregated form 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19/20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26-44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The answer to the study question is given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 xml:space="preserve">Conclusions follow from the data reported 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20/20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25-44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0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firstLine="142"/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8"/>
                <w:lang w:val="en-US"/>
              </w:rPr>
              <w:t>Conclusions are accompanied by the appropriate caveats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18/20</w:t>
            </w:r>
            <w:r w:rsidRPr="009931C1">
              <w:rPr>
                <w:rFonts w:ascii="Times New Roman" w:hAnsi="Times New Roman" w:cs="Times New Roman"/>
                <w:sz w:val="16"/>
                <w:szCs w:val="18"/>
                <w:vertAlign w:val="superscript"/>
                <w:lang w:val="en-US"/>
              </w:rPr>
              <w:t>25-35,37,38,40-44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-</w:t>
            </w:r>
          </w:p>
        </w:tc>
      </w:tr>
    </w:tbl>
    <w:p w:rsidR="00B01A58" w:rsidRPr="009931C1" w:rsidRDefault="00B01A58" w:rsidP="00B01A58">
      <w:pPr>
        <w:rPr>
          <w:rFonts w:ascii="Times New Roman" w:hAnsi="Times New Roman" w:cs="Times New Roman"/>
          <w:sz w:val="16"/>
          <w:lang w:val="en-US"/>
        </w:rPr>
      </w:pPr>
      <w:r w:rsidRPr="009931C1">
        <w:rPr>
          <w:rFonts w:ascii="Times New Roman" w:hAnsi="Times New Roman" w:cs="Times New Roman"/>
          <w:sz w:val="16"/>
          <w:lang w:val="en-US"/>
        </w:rPr>
        <w:t>NA, not appropriate</w:t>
      </w:r>
    </w:p>
    <w:p w:rsidR="00B01A58" w:rsidRPr="009931C1" w:rsidRDefault="00B01A58">
      <w:pPr>
        <w:rPr>
          <w:rFonts w:ascii="Times New Roman" w:hAnsi="Times New Roman" w:cs="Times New Roman"/>
          <w:lang w:val="en-US"/>
        </w:rPr>
      </w:pPr>
      <w:r w:rsidRPr="009931C1">
        <w:rPr>
          <w:rFonts w:ascii="Times New Roman" w:hAnsi="Times New Roman" w:cs="Times New Roman"/>
          <w:lang w:val="en-US"/>
        </w:rPr>
        <w:br w:type="page"/>
      </w:r>
    </w:p>
    <w:p w:rsidR="00B01A58" w:rsidRPr="009931C1" w:rsidRDefault="00670982" w:rsidP="00B01A58">
      <w:pPr>
        <w:spacing w:after="0"/>
        <w:rPr>
          <w:rFonts w:ascii="Times New Roman" w:eastAsia="Calibri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Supplementary Table 3</w:t>
      </w:r>
      <w:r w:rsidR="00B01A58" w:rsidRPr="009931C1">
        <w:rPr>
          <w:rFonts w:ascii="Times New Roman" w:hAnsi="Times New Roman" w:cs="Times New Roman"/>
          <w:b/>
          <w:sz w:val="24"/>
          <w:lang w:val="en-US"/>
        </w:rPr>
        <w:t>.</w:t>
      </w:r>
      <w:r w:rsidR="00B01A58" w:rsidRPr="009931C1">
        <w:rPr>
          <w:rFonts w:ascii="Times New Roman" w:hAnsi="Times New Roman" w:cs="Times New Roman"/>
          <w:sz w:val="24"/>
          <w:lang w:val="en-US"/>
        </w:rPr>
        <w:t xml:space="preserve"> </w:t>
      </w:r>
      <w:r w:rsidR="00B01A58" w:rsidRPr="009931C1">
        <w:rPr>
          <w:rFonts w:ascii="Times New Roman" w:eastAsia="Calibri" w:hAnsi="Times New Roman" w:cs="Times New Roman"/>
          <w:sz w:val="24"/>
          <w:lang w:val="en-US"/>
        </w:rPr>
        <w:t>Basic assumptions of key model parameters of studies</w:t>
      </w:r>
      <w:r w:rsidR="009931C1" w:rsidRPr="009931C1">
        <w:rPr>
          <w:rFonts w:ascii="Times New Roman" w:eastAsia="Calibri" w:hAnsi="Times New Roman" w:cs="Times New Roman"/>
          <w:sz w:val="24"/>
          <w:lang w:val="en-US"/>
        </w:rPr>
        <w:t xml:space="preserve"> included</w:t>
      </w:r>
      <w:r w:rsidR="00B01A58" w:rsidRPr="009931C1">
        <w:rPr>
          <w:rFonts w:ascii="Times New Roman" w:eastAsia="Calibri" w:hAnsi="Times New Roman" w:cs="Times New Roman"/>
          <w:sz w:val="24"/>
          <w:lang w:val="en-US"/>
        </w:rPr>
        <w:t>.</w:t>
      </w:r>
    </w:p>
    <w:tbl>
      <w:tblPr>
        <w:tblStyle w:val="PlainTable41"/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030"/>
        <w:gridCol w:w="1285"/>
        <w:gridCol w:w="1227"/>
        <w:gridCol w:w="1083"/>
        <w:gridCol w:w="901"/>
        <w:gridCol w:w="1134"/>
        <w:gridCol w:w="1026"/>
        <w:gridCol w:w="981"/>
        <w:gridCol w:w="1111"/>
        <w:gridCol w:w="1519"/>
        <w:gridCol w:w="1613"/>
        <w:gridCol w:w="1264"/>
      </w:tblGrid>
      <w:tr w:rsidR="00B01A58" w:rsidRPr="007F7053" w:rsidTr="00B01A58">
        <w:trPr>
          <w:cnfStyle w:val="100000000000"/>
          <w:tblHeader/>
        </w:trPr>
        <w:tc>
          <w:tcPr>
            <w:cnfStyle w:val="001000000000"/>
            <w:tcW w:w="3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First author, year, country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Target population, age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Prevalence of LS in target population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Uptake of genetic testing (proband)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N. of relative per proband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Uptake of genetic counseling (relative)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Uptake of genetic testing (relative)</w:t>
            </w: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N. of relative tested per proband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Prevalence of LS in tested relatives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Cumulative risk of CRC for mutation carriers without prevention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Uptake of preventive strategy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Risk reduction of CRC with LS surveillance</w:t>
            </w:r>
          </w:p>
        </w:tc>
      </w:tr>
      <w:tr w:rsidR="00B01A58" w:rsidRPr="009931C1" w:rsidTr="00B01A58">
        <w:trPr>
          <w:cnfStyle w:val="000000100000"/>
          <w:trHeight w:val="64"/>
        </w:trPr>
        <w:tc>
          <w:tcPr>
            <w:cnfStyle w:val="001000000000"/>
            <w:tcW w:w="363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Brown, 1995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USA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25)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0.038%, 0.076%, 0.23%, 0.46%, 0.77%, 1.15%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18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46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36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9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46" w:type="pct"/>
            <w:tcBorders>
              <w:top w:val="nil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64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2001, USA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60%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0.5 (sibling)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1.1 (child)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60% (sibling)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70% (child)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60% (sibling)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70% (child)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0.2 (sibling)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0.6 (child)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80%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75% of probands (colectomy)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62%</w:t>
            </w:r>
          </w:p>
        </w:tc>
      </w:tr>
      <w:tr w:rsidR="00B01A58" w:rsidRPr="009931C1" w:rsidTr="00B01A58">
        <w:trPr>
          <w:cnfStyle w:val="000000100000"/>
          <w:trHeight w:val="64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60%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0.5 (sibling)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1.1 (child)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60% (sibling)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70% (child)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60% (sibling)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70% (child)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0.2 (sibling)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0.6 (child)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80%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75% of probands (colectomy)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62%</w:t>
            </w:r>
          </w:p>
        </w:tc>
      </w:tr>
      <w:tr w:rsidR="00B01A58" w:rsidRPr="009931C1" w:rsidTr="00B01A58"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Kievit 2005, Netherlands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87%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87%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64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Olsen 2007, Denmark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Families referred to LS registry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80-90%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62%</w:t>
            </w:r>
          </w:p>
        </w:tc>
      </w:tr>
      <w:tr w:rsidR="00B01A58" w:rsidRPr="009931C1" w:rsidTr="00B01A58">
        <w:trPr>
          <w:trHeight w:val="64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 (all ages or &lt;50)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67%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52%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95%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2.0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45%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40%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79% (colonoscopy)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62%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63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453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 20, &gt;25, &gt;30, &gt;35, &gt;40)</w:t>
            </w:r>
          </w:p>
        </w:tc>
        <w:tc>
          <w:tcPr>
            <w:tcW w:w="433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3% (CRC patients)</w:t>
            </w:r>
          </w:p>
        </w:tc>
        <w:tc>
          <w:tcPr>
            <w:tcW w:w="382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100%</w:t>
            </w:r>
          </w:p>
        </w:tc>
        <w:tc>
          <w:tcPr>
            <w:tcW w:w="318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00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60% (sibling)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70% (child)</w:t>
            </w:r>
          </w:p>
        </w:tc>
        <w:tc>
          <w:tcPr>
            <w:tcW w:w="346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36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9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81% (colonoscopy)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57% (endometrial biopsy)</w:t>
            </w:r>
          </w:p>
        </w:tc>
        <w:tc>
          <w:tcPr>
            <w:tcW w:w="446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Kwon 2011, USA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 (all ages or &lt;50 or &lt;60)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40%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100% (colonoscopy)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62%</w:t>
            </w:r>
          </w:p>
        </w:tc>
      </w:tr>
      <w:tr w:rsidR="00B01A58" w:rsidRPr="009931C1" w:rsidTr="00B01A58">
        <w:trPr>
          <w:cnfStyle w:val="000000100000"/>
          <w:trHeight w:val="340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Ladabaum 2011, USA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90%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4.2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46% - 54%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80% (colonoscopy and gynecologic surveillance)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18%-19% (TAHBSO)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1% (colectomy)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58%</w:t>
            </w:r>
          </w:p>
        </w:tc>
      </w:tr>
      <w:tr w:rsidR="00B01A58" w:rsidRPr="009931C1" w:rsidTr="00B01A58">
        <w:trPr>
          <w:trHeight w:val="339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Wang G 2012, USA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90%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4.2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46% - 54%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80% (colonoscopy and gynecologic surveillance) 18%-19% (TAHBSO)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1% (colectomy)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58%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Wang VW 2012, Singapore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FDRs of LS patients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100%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42%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100% (colonoscopy)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62%</w:t>
            </w:r>
          </w:p>
        </w:tc>
      </w:tr>
      <w:tr w:rsidR="00B01A58" w:rsidRPr="009931C1" w:rsidTr="00B01A58"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Sie 2014, Netherlands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 (age &lt;50, &lt;70)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84%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100%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8.0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39%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3.5% per year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88% (colonoscopy)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62%</w:t>
            </w:r>
          </w:p>
        </w:tc>
      </w:tr>
      <w:tr w:rsidR="00B01A58" w:rsidRPr="009931C1" w:rsidTr="00B01A58">
        <w:trPr>
          <w:cnfStyle w:val="000000100000"/>
          <w:trHeight w:val="575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 (age &lt;50)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8.4%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90%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45%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96%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2.2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44%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31%-38%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80% (colonoscopy)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55% (TAHBSO)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61%</w:t>
            </w:r>
          </w:p>
        </w:tc>
      </w:tr>
      <w:tr w:rsidR="00B01A58" w:rsidRPr="009931C1" w:rsidTr="00B01A58">
        <w:trPr>
          <w:trHeight w:val="64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85%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3.8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29.5%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1.1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42%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82% (colonoscopy and aspirin)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52%</w:t>
            </w:r>
          </w:p>
        </w:tc>
      </w:tr>
      <w:tr w:rsidR="00B01A58" w:rsidRPr="009931C1" w:rsidTr="00B01A58">
        <w:trPr>
          <w:cnfStyle w:val="000000100000"/>
          <w:trHeight w:val="64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patients,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&gt;20, &gt;25, &gt;30, &gt;35)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3% (CRC patients)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0.23% (Gp)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90%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2.6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46%-54%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80% (colonoscopy)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20% (TAHBSO)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56%</w:t>
            </w:r>
          </w:p>
        </w:tc>
      </w:tr>
      <w:tr w:rsidR="00B01A58" w:rsidRPr="009931C1" w:rsidTr="00B01A58">
        <w:trPr>
          <w:trHeight w:val="502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Gallego 2015, USA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Patients referred to genetics clinics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8.5%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12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52%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95%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5.9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62%</w:t>
            </w:r>
          </w:p>
        </w:tc>
      </w:tr>
      <w:tr w:rsidR="00B01A58" w:rsidRPr="009931C1" w:rsidTr="00B01A58">
        <w:trPr>
          <w:cnfStyle w:val="000000100000"/>
          <w:trHeight w:val="64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Leenen 2016, Netherlands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 (age &lt;50, &lt;60, &lt; 70)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4.9% (age &lt;50)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2.1% (51-60)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1.5% (61-70)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25%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80% (colonoscopy and gynecologic surveillance)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18-19% (TAHBSO)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56%</w:t>
            </w:r>
          </w:p>
        </w:tc>
      </w:tr>
      <w:tr w:rsidR="00B01A58" w:rsidRPr="009931C1" w:rsidTr="00B01A58"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Chen 2016, Taiwan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2.3%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67%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52%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95%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2.0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79% (colonoscopy)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59%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63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45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 (age &gt;50 or 51-70)</w:t>
            </w:r>
          </w:p>
        </w:tc>
        <w:tc>
          <w:tcPr>
            <w:tcW w:w="43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2.8%</w:t>
            </w:r>
          </w:p>
        </w:tc>
        <w:tc>
          <w:tcPr>
            <w:tcW w:w="38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100%</w:t>
            </w:r>
          </w:p>
        </w:tc>
        <w:tc>
          <w:tcPr>
            <w:tcW w:w="31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17.63</w:t>
            </w:r>
          </w:p>
        </w:tc>
        <w:tc>
          <w:tcPr>
            <w:tcW w:w="40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29.11%</w:t>
            </w:r>
          </w:p>
        </w:tc>
        <w:tc>
          <w:tcPr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5.1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41%</w:t>
            </w:r>
          </w:p>
        </w:tc>
        <w:tc>
          <w:tcPr>
            <w:tcW w:w="53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35%</w:t>
            </w:r>
          </w:p>
        </w:tc>
        <w:tc>
          <w:tcPr>
            <w:tcW w:w="56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81% (colonoscopy)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20% (TAHBSO)</w:t>
            </w:r>
          </w:p>
        </w:tc>
        <w:tc>
          <w:tcPr>
            <w:tcW w:w="44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68%</w:t>
            </w:r>
          </w:p>
        </w:tc>
      </w:tr>
      <w:tr w:rsidR="00B01A58" w:rsidRPr="009931C1" w:rsidTr="00B01A58">
        <w:tc>
          <w:tcPr>
            <w:cnfStyle w:val="001000000000"/>
            <w:tcW w:w="363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Goverde 2016, Netherlands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 (age ≤70)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3.9%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90%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37%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25%</w:t>
            </w:r>
          </w:p>
        </w:tc>
        <w:tc>
          <w:tcPr>
            <w:tcW w:w="569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80% (colonoscopy and gynecologic surveillance)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18% (TAHBSO)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56%</w:t>
            </w:r>
          </w:p>
        </w:tc>
      </w:tr>
    </w:tbl>
    <w:p w:rsidR="00B01A58" w:rsidRPr="009931C1" w:rsidRDefault="00B01A58">
      <w:pPr>
        <w:rPr>
          <w:rFonts w:ascii="Times New Roman" w:hAnsi="Times New Roman" w:cs="Times New Roman"/>
          <w:lang w:val="en-US"/>
        </w:rPr>
      </w:pPr>
    </w:p>
    <w:p w:rsidR="00B01A58" w:rsidRPr="009931C1" w:rsidRDefault="00B01A58">
      <w:pPr>
        <w:rPr>
          <w:rFonts w:ascii="Times New Roman" w:hAnsi="Times New Roman" w:cs="Times New Roman"/>
          <w:lang w:val="en-US"/>
        </w:rPr>
      </w:pPr>
      <w:r w:rsidRPr="009931C1">
        <w:rPr>
          <w:rFonts w:ascii="Times New Roman" w:hAnsi="Times New Roman" w:cs="Times New Roman"/>
          <w:lang w:val="en-US"/>
        </w:rPr>
        <w:br w:type="page"/>
      </w:r>
    </w:p>
    <w:p w:rsidR="00B01A58" w:rsidRPr="009931C1" w:rsidRDefault="00B01A58" w:rsidP="00B01A58">
      <w:pPr>
        <w:spacing w:after="0" w:line="240" w:lineRule="auto"/>
        <w:rPr>
          <w:rFonts w:ascii="Times New Roman" w:eastAsia="Calibri" w:hAnsi="Times New Roman" w:cs="Times New Roman"/>
          <w:sz w:val="24"/>
          <w:lang w:val="en-US"/>
        </w:rPr>
      </w:pPr>
      <w:r w:rsidRPr="009931C1">
        <w:rPr>
          <w:rFonts w:ascii="Times New Roman" w:hAnsi="Times New Roman" w:cs="Times New Roman"/>
          <w:b/>
          <w:sz w:val="24"/>
          <w:lang w:val="en-US"/>
        </w:rPr>
        <w:lastRenderedPageBreak/>
        <w:t xml:space="preserve">Supplementary Table </w:t>
      </w:r>
      <w:r w:rsidR="00670982">
        <w:rPr>
          <w:rFonts w:ascii="Times New Roman" w:hAnsi="Times New Roman" w:cs="Times New Roman"/>
          <w:b/>
          <w:sz w:val="24"/>
          <w:lang w:val="en-US"/>
        </w:rPr>
        <w:t>4</w:t>
      </w:r>
      <w:r w:rsidRPr="009931C1">
        <w:rPr>
          <w:rFonts w:ascii="Times New Roman" w:hAnsi="Times New Roman" w:cs="Times New Roman"/>
          <w:b/>
          <w:sz w:val="24"/>
          <w:lang w:val="en-US"/>
        </w:rPr>
        <w:t>.</w:t>
      </w:r>
      <w:r w:rsidRPr="009931C1">
        <w:rPr>
          <w:rFonts w:ascii="Times New Roman" w:hAnsi="Times New Roman" w:cs="Times New Roman"/>
          <w:sz w:val="24"/>
          <w:lang w:val="en-US"/>
        </w:rPr>
        <w:t xml:space="preserve"> </w:t>
      </w:r>
      <w:r w:rsidRPr="009931C1">
        <w:rPr>
          <w:rFonts w:ascii="Times New Roman" w:eastAsia="Calibri" w:hAnsi="Times New Roman" w:cs="Times New Roman"/>
          <w:sz w:val="24"/>
          <w:lang w:val="en-US"/>
        </w:rPr>
        <w:t>Influential parameters identified within studies</w:t>
      </w:r>
      <w:r w:rsidR="009931C1" w:rsidRPr="009931C1">
        <w:rPr>
          <w:rFonts w:ascii="Times New Roman" w:eastAsia="Calibri" w:hAnsi="Times New Roman" w:cs="Times New Roman"/>
          <w:sz w:val="24"/>
          <w:lang w:val="en-US"/>
        </w:rPr>
        <w:t xml:space="preserve"> included</w:t>
      </w:r>
      <w:r w:rsidRPr="009931C1">
        <w:rPr>
          <w:rFonts w:ascii="Times New Roman" w:eastAsia="Calibri" w:hAnsi="Times New Roman" w:cs="Times New Roman"/>
          <w:sz w:val="24"/>
          <w:lang w:val="en-US"/>
        </w:rPr>
        <w:t>.</w:t>
      </w:r>
    </w:p>
    <w:tbl>
      <w:tblPr>
        <w:tblStyle w:val="PlainTable4"/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540"/>
        <w:gridCol w:w="1525"/>
        <w:gridCol w:w="2863"/>
        <w:gridCol w:w="8246"/>
      </w:tblGrid>
      <w:tr w:rsidR="00B01A58" w:rsidRPr="009931C1" w:rsidTr="00B01A58">
        <w:trPr>
          <w:cnfStyle w:val="100000000000"/>
          <w:trHeight w:val="198"/>
        </w:trPr>
        <w:tc>
          <w:tcPr>
            <w:cnfStyle w:val="001000000000"/>
            <w:tcW w:w="5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First author, year, country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cnfStyle w:val="1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Clinical Conditions</w:t>
            </w:r>
          </w:p>
        </w:tc>
        <w:tc>
          <w:tcPr>
            <w:tcW w:w="10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cnfStyle w:val="1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Target population, age</w:t>
            </w:r>
          </w:p>
        </w:tc>
        <w:tc>
          <w:tcPr>
            <w:tcW w:w="29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cnfStyle w:val="1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Influential parameters</w:t>
            </w:r>
          </w:p>
        </w:tc>
      </w:tr>
      <w:tr w:rsidR="00B01A58" w:rsidRPr="007F7053" w:rsidTr="00B01A58">
        <w:trPr>
          <w:cnfStyle w:val="000000100000"/>
        </w:trPr>
        <w:tc>
          <w:tcPr>
            <w:cnfStyle w:val="001000000000"/>
            <w:tcW w:w="543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Brown 1995, USA</w:t>
            </w:r>
          </w:p>
        </w:tc>
        <w:tc>
          <w:tcPr>
            <w:tcW w:w="538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</w:t>
            </w:r>
          </w:p>
        </w:tc>
        <w:tc>
          <w:tcPr>
            <w:tcW w:w="1010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General population (age 25)</w:t>
            </w:r>
          </w:p>
        </w:tc>
        <w:tc>
          <w:tcPr>
            <w:tcW w:w="2909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Prevalence of LS, cost of gene sequencing, risk reduction of CRC with LS surveillance</w:t>
            </w:r>
          </w:p>
        </w:tc>
      </w:tr>
      <w:tr w:rsidR="00B01A58" w:rsidRPr="007F7053" w:rsidTr="00B01A58"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Ramsey 2001, USA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Prevalence of LS, cost of colectomy, discount rate, risk reduction of CRC with LS surveillance</w:t>
            </w:r>
          </w:p>
        </w:tc>
      </w:tr>
      <w:tr w:rsidR="00B01A58" w:rsidRPr="007F7053" w:rsidTr="00B01A58">
        <w:trPr>
          <w:cnfStyle w:val="000000100000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Ramsey 2003, USA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Prevalence of LS, specificity of MSI test and Bethesda criteria, cost of gene sequencing, risk reduction of CRC with LS surveillance</w:t>
            </w:r>
          </w:p>
        </w:tc>
      </w:tr>
      <w:tr w:rsidR="00B01A58" w:rsidRPr="007F7053" w:rsidTr="00B01A58"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Kievit 2005, Netherlands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Probability of complying with selection criteria, positive predictive value of MSI, discount rate</w:t>
            </w:r>
          </w:p>
        </w:tc>
      </w:tr>
      <w:tr w:rsidR="00B01A58" w:rsidRPr="007F7053" w:rsidTr="00B01A58">
        <w:trPr>
          <w:cnfStyle w:val="000000100000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Olsen 2007, Denmark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Families referred to LS registry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Cost of colonoscopy, risk of CRC for moderate risk family, risk reduction of CRC with LS surveillance</w:t>
            </w:r>
          </w:p>
        </w:tc>
      </w:tr>
      <w:tr w:rsidR="00B01A58" w:rsidRPr="007F7053" w:rsidTr="00B01A58"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Mvundura 2010, USA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 (all ages or &lt;50)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Risk of CRC for mutation carriers, number of relatives per proband, uptake of genetic counseling among relatives, uptake of LS surveillance, risk reduction of CRC with LS surveillance</w:t>
            </w:r>
          </w:p>
        </w:tc>
      </w:tr>
      <w:tr w:rsidR="00B01A58" w:rsidRPr="007F7053" w:rsidTr="00B01A58">
        <w:trPr>
          <w:cnfStyle w:val="000000100000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Dinh 2011, USA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CRC, EC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General population (age &gt; 20, &gt;25, &gt;30, &gt;35, &gt;40)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Prevalence of LS, discount rate, uptake of genetic testing among relatives, cost of gene sequencing</w:t>
            </w:r>
          </w:p>
        </w:tc>
      </w:tr>
      <w:tr w:rsidR="00B01A58" w:rsidRPr="009931C1" w:rsidTr="00B01A58"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Kwon 2011 USA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CRC, EC</w:t>
            </w:r>
          </w:p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EC patients (all ages or &lt;50 or &lt;60)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Sensitivity of IHC</w:t>
            </w:r>
          </w:p>
        </w:tc>
      </w:tr>
      <w:tr w:rsidR="00B01A58" w:rsidRPr="007F7053" w:rsidTr="00B01A58">
        <w:trPr>
          <w:cnfStyle w:val="000000100000"/>
          <w:trHeight w:val="299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Ladabaum 2011, USA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CRC, EC, OC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Number of relatives tested per proband, uptake of genetic testing, uptake of LS surveillance, age of tested relatives</w:t>
            </w:r>
          </w:p>
        </w:tc>
      </w:tr>
      <w:tr w:rsidR="00B01A58" w:rsidRPr="007F7053" w:rsidTr="00B01A58">
        <w:trPr>
          <w:trHeight w:val="299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Wang G 2012, USA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CRC, EC, OC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Duration of disutility related to LS genetic testing and management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Wang VW 2012, Singapore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FDRs of LS patients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Uptake of LS surveillance</w:t>
            </w:r>
          </w:p>
        </w:tc>
      </w:tr>
      <w:tr w:rsidR="00B01A58" w:rsidRPr="009931C1" w:rsidTr="00B01A58"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Sie 2014, Netherlands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 (age &lt;50, &lt; 70)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-</w:t>
            </w:r>
          </w:p>
        </w:tc>
      </w:tr>
      <w:tr w:rsidR="00B01A58" w:rsidRPr="007F7053" w:rsidTr="00B01A58">
        <w:trPr>
          <w:cnfStyle w:val="000000100000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Snowsill 2015, UK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CRC, EC</w:t>
            </w:r>
          </w:p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 (age &lt;50)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Prevalence of LS, cost of colonoscopy, risk of CRC for mutation carriers, disutility for prophylactic TAHBSO</w:t>
            </w:r>
          </w:p>
        </w:tc>
      </w:tr>
      <w:tr w:rsidR="00B01A58" w:rsidRPr="007F7053" w:rsidTr="00B01A58">
        <w:trPr>
          <w:trHeight w:val="64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Severin 2015, Germany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Prevalence of LS, stage distribution of CRC in LS carriers who do not adhere to colonoscopic surveillance, uptake of genetic testing, number of relatives tested per proband</w:t>
            </w:r>
          </w:p>
        </w:tc>
      </w:tr>
      <w:tr w:rsidR="00B01A58" w:rsidRPr="007F7053" w:rsidTr="00B01A58">
        <w:trPr>
          <w:cnfStyle w:val="000000100000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Barzi 2015, USA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CRC, EC, OC, other cancer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patients, General population (age &gt;20, &gt;25, &gt;30, &gt;35)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Cost of gene sequencing, number of relatives tested per proband, sensitivity of computational models</w:t>
            </w:r>
          </w:p>
        </w:tc>
      </w:tr>
      <w:tr w:rsidR="00B01A58" w:rsidRPr="007F7053" w:rsidTr="00B01A58"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Gallego 2015, USA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CRC, other CRC syndromes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Patients referred to genetics clinics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Number of relatives per proband, QALYs gained for relatives, disease penetrance, the probability of having a CRCP syndrome genetic variant, cost of the NGS panel, uptake of genetic counseling among relatives</w:t>
            </w:r>
          </w:p>
        </w:tc>
      </w:tr>
      <w:tr w:rsidR="00B01A58" w:rsidRPr="007F7053" w:rsidTr="00B01A58">
        <w:trPr>
          <w:cnfStyle w:val="000000100000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Leenen 2016, Netherlands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CRC, EC, OC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(age &lt;50, &lt;60, &lt; 70)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Risk of CRC for mutation carriers, risk reduction of CRC with LS surveillance, uptake of LS surveillance</w:t>
            </w:r>
          </w:p>
        </w:tc>
      </w:tr>
      <w:tr w:rsidR="00B01A58" w:rsidRPr="007F7053" w:rsidTr="00B01A58"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Chen 2016, Taiwan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Prevalence of LS, number of relatives per proband, uptake of LS surveillance among relatives, risk reduction of CRC with LS surveillance, uptake of genetic counseling among relatives</w:t>
            </w:r>
          </w:p>
        </w:tc>
      </w:tr>
      <w:tr w:rsidR="00B01A58" w:rsidRPr="007F7053" w:rsidTr="00B01A58">
        <w:trPr>
          <w:cnfStyle w:val="000000100000"/>
        </w:trPr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CADTH 2016,</w:t>
            </w:r>
          </w:p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Canada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CRC, EC, OC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CRC patients (age &gt;50 or 51-70)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Prevalence of LS, testing costs, risk of CRC for mutation carriers, number of relatives tested per proband, uptake of LS surveillance</w:t>
            </w:r>
          </w:p>
        </w:tc>
      </w:tr>
      <w:tr w:rsidR="00B01A58" w:rsidRPr="007F7053" w:rsidTr="00B01A58">
        <w:tc>
          <w:tcPr>
            <w:cnfStyle w:val="001000000000"/>
            <w:tcW w:w="543" w:type="pct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5"/>
                <w:szCs w:val="15"/>
                <w:lang w:val="en-US"/>
              </w:rPr>
              <w:t>Goverde 2016, Netherlands</w:t>
            </w:r>
          </w:p>
        </w:tc>
        <w:tc>
          <w:tcPr>
            <w:tcW w:w="538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CRC, EC</w:t>
            </w:r>
          </w:p>
        </w:tc>
        <w:tc>
          <w:tcPr>
            <w:tcW w:w="1010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New EC patients (age ≤70)</w:t>
            </w:r>
          </w:p>
        </w:tc>
        <w:tc>
          <w:tcPr>
            <w:tcW w:w="2909" w:type="pct"/>
            <w:vAlign w:val="center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LYs gained per female relative</w:t>
            </w:r>
          </w:p>
        </w:tc>
      </w:tr>
    </w:tbl>
    <w:p w:rsidR="00B01A58" w:rsidRPr="009931C1" w:rsidRDefault="00B01A58">
      <w:pPr>
        <w:rPr>
          <w:rFonts w:ascii="Times New Roman" w:hAnsi="Times New Roman" w:cs="Times New Roman"/>
          <w:lang w:val="en-US"/>
        </w:rPr>
      </w:pPr>
    </w:p>
    <w:p w:rsidR="00B01A58" w:rsidRPr="009931C1" w:rsidRDefault="00B01A58">
      <w:pPr>
        <w:rPr>
          <w:rFonts w:ascii="Times New Roman" w:hAnsi="Times New Roman" w:cs="Times New Roman"/>
          <w:lang w:val="en-US"/>
        </w:rPr>
      </w:pPr>
      <w:r w:rsidRPr="009931C1">
        <w:rPr>
          <w:rFonts w:ascii="Times New Roman" w:hAnsi="Times New Roman" w:cs="Times New Roman"/>
          <w:lang w:val="en-US"/>
        </w:rPr>
        <w:br w:type="page"/>
      </w:r>
    </w:p>
    <w:p w:rsidR="00B01A58" w:rsidRPr="009931C1" w:rsidRDefault="00B01A58" w:rsidP="00B01A58">
      <w:pPr>
        <w:spacing w:after="0" w:line="240" w:lineRule="auto"/>
        <w:rPr>
          <w:rFonts w:ascii="Times New Roman" w:eastAsia="Calibri" w:hAnsi="Times New Roman" w:cs="Times New Roman"/>
          <w:sz w:val="24"/>
          <w:lang w:val="en-US"/>
        </w:rPr>
      </w:pPr>
      <w:r w:rsidRPr="009931C1">
        <w:rPr>
          <w:rFonts w:ascii="Times New Roman" w:hAnsi="Times New Roman" w:cs="Times New Roman"/>
          <w:b/>
          <w:sz w:val="24"/>
          <w:lang w:val="en-US"/>
        </w:rPr>
        <w:lastRenderedPageBreak/>
        <w:t xml:space="preserve">Supplementary Table </w:t>
      </w:r>
      <w:r w:rsidR="00670982">
        <w:rPr>
          <w:rFonts w:ascii="Times New Roman" w:hAnsi="Times New Roman" w:cs="Times New Roman"/>
          <w:b/>
          <w:sz w:val="24"/>
          <w:lang w:val="en-US"/>
        </w:rPr>
        <w:t>5</w:t>
      </w:r>
      <w:r w:rsidRPr="009931C1">
        <w:rPr>
          <w:rFonts w:ascii="Times New Roman" w:hAnsi="Times New Roman" w:cs="Times New Roman"/>
          <w:b/>
          <w:sz w:val="24"/>
          <w:lang w:val="en-US"/>
        </w:rPr>
        <w:t>.</w:t>
      </w:r>
      <w:r w:rsidRPr="009931C1">
        <w:rPr>
          <w:rFonts w:ascii="Times New Roman" w:hAnsi="Times New Roman" w:cs="Times New Roman"/>
          <w:sz w:val="24"/>
          <w:lang w:val="en-US"/>
        </w:rPr>
        <w:t xml:space="preserve"> Basic assumptions of </w:t>
      </w:r>
      <w:r w:rsidRPr="009931C1">
        <w:rPr>
          <w:rFonts w:ascii="Times New Roman" w:eastAsia="Calibri" w:hAnsi="Times New Roman" w:cs="Times New Roman"/>
          <w:sz w:val="24"/>
          <w:lang w:val="en-US"/>
        </w:rPr>
        <w:t>sensitivity and specificity of diagnostic tests of studies</w:t>
      </w:r>
      <w:r w:rsidR="009931C1" w:rsidRPr="009931C1">
        <w:rPr>
          <w:rFonts w:ascii="Times New Roman" w:eastAsia="Calibri" w:hAnsi="Times New Roman" w:cs="Times New Roman"/>
          <w:sz w:val="24"/>
          <w:lang w:val="en-US"/>
        </w:rPr>
        <w:t xml:space="preserve"> included</w:t>
      </w:r>
      <w:r w:rsidRPr="009931C1">
        <w:rPr>
          <w:rFonts w:ascii="Times New Roman" w:eastAsia="Calibri" w:hAnsi="Times New Roman" w:cs="Times New Roman"/>
          <w:sz w:val="24"/>
          <w:lang w:val="en-US"/>
        </w:rPr>
        <w:t>.</w:t>
      </w:r>
    </w:p>
    <w:tbl>
      <w:tblPr>
        <w:tblStyle w:val="PlainTable4"/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326"/>
        <w:gridCol w:w="1847"/>
        <w:gridCol w:w="998"/>
        <w:gridCol w:w="1335"/>
        <w:gridCol w:w="1222"/>
        <w:gridCol w:w="1222"/>
        <w:gridCol w:w="570"/>
        <w:gridCol w:w="604"/>
        <w:gridCol w:w="604"/>
        <w:gridCol w:w="604"/>
        <w:gridCol w:w="1072"/>
        <w:gridCol w:w="1145"/>
        <w:gridCol w:w="950"/>
        <w:gridCol w:w="675"/>
      </w:tblGrid>
      <w:tr w:rsidR="00B01A58" w:rsidRPr="009931C1" w:rsidTr="00B01A58">
        <w:trPr>
          <w:cnfStyle w:val="100000000000"/>
        </w:trPr>
        <w:tc>
          <w:tcPr>
            <w:cnfStyle w:val="001000000000"/>
            <w:tcW w:w="468" w:type="pct"/>
            <w:vMerge w:val="restar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First author, year, country</w:t>
            </w:r>
          </w:p>
        </w:tc>
        <w:tc>
          <w:tcPr>
            <w:tcW w:w="652" w:type="pct"/>
            <w:vMerge w:val="restar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Target population, age</w:t>
            </w:r>
          </w:p>
        </w:tc>
        <w:tc>
          <w:tcPr>
            <w:tcW w:w="823" w:type="pct"/>
            <w:gridSpan w:val="2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Clinical criteria</w:t>
            </w:r>
          </w:p>
        </w:tc>
        <w:tc>
          <w:tcPr>
            <w:tcW w:w="861" w:type="pct"/>
            <w:gridSpan w:val="2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Risk prediction model</w:t>
            </w:r>
          </w:p>
        </w:tc>
        <w:tc>
          <w:tcPr>
            <w:tcW w:w="414" w:type="pct"/>
            <w:gridSpan w:val="2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MSI</w:t>
            </w:r>
          </w:p>
        </w:tc>
        <w:tc>
          <w:tcPr>
            <w:tcW w:w="426" w:type="pct"/>
            <w:gridSpan w:val="2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IHC</w:t>
            </w:r>
          </w:p>
        </w:tc>
        <w:tc>
          <w:tcPr>
            <w:tcW w:w="782" w:type="pct"/>
            <w:gridSpan w:val="2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BRAF</w:t>
            </w:r>
          </w:p>
        </w:tc>
        <w:tc>
          <w:tcPr>
            <w:tcW w:w="574" w:type="pct"/>
            <w:gridSpan w:val="2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Gene sequencing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468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sen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spe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sen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spe</w:t>
            </w: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sen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spe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sen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spe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sen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spe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sen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/>
                <w:sz w:val="13"/>
                <w:szCs w:val="15"/>
                <w:lang w:val="en-US"/>
              </w:rPr>
              <w:t>spe</w:t>
            </w:r>
          </w:p>
        </w:tc>
      </w:tr>
      <w:tr w:rsidR="00B01A58" w:rsidRPr="009931C1" w:rsidTr="00B01A58">
        <w:tc>
          <w:tcPr>
            <w:cnfStyle w:val="001000000000"/>
            <w:tcW w:w="468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Brown, 1995, USA</w:t>
            </w:r>
          </w:p>
        </w:tc>
        <w:tc>
          <w:tcPr>
            <w:tcW w:w="652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General population (age 25)</w:t>
            </w:r>
          </w:p>
        </w:tc>
        <w:tc>
          <w:tcPr>
            <w:tcW w:w="352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bottom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468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Ramsey 2001, USA</w:t>
            </w:r>
          </w:p>
        </w:tc>
        <w:tc>
          <w:tcPr>
            <w:tcW w:w="652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70% (Bethesda)</w:t>
            </w:r>
          </w:p>
        </w:tc>
        <w:tc>
          <w:tcPr>
            <w:tcW w:w="471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85% (Bethesda)</w:t>
            </w:r>
          </w:p>
        </w:tc>
        <w:tc>
          <w:tcPr>
            <w:tcW w:w="431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91%</w:t>
            </w:r>
          </w:p>
        </w:tc>
        <w:tc>
          <w:tcPr>
            <w:tcW w:w="213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93%</w:t>
            </w:r>
          </w:p>
        </w:tc>
        <w:tc>
          <w:tcPr>
            <w:tcW w:w="213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8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87%</w:t>
            </w:r>
          </w:p>
        </w:tc>
        <w:tc>
          <w:tcPr>
            <w:tcW w:w="240" w:type="pct"/>
            <w:tcBorders>
              <w:top w:val="nil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99.5%</w:t>
            </w:r>
          </w:p>
        </w:tc>
      </w:tr>
      <w:tr w:rsidR="00B01A58" w:rsidRPr="009931C1" w:rsidTr="00B01A58"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Ramsey 2003, USA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70% (Bethesda)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85% (Bethesda)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91%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93%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87%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99.5%</w:t>
            </w:r>
          </w:p>
        </w:tc>
      </w:tr>
      <w:tr w:rsidR="00B01A58" w:rsidRPr="009931C1" w:rsidTr="00B01A58">
        <w:trPr>
          <w:cnfStyle w:val="000000100000"/>
          <w:trHeight w:val="575"/>
        </w:trPr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Kievit 2005, Netherlands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60% (Amst II)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79%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</w:t>
            </w:r>
          </w:p>
        </w:tc>
      </w:tr>
      <w:tr w:rsidR="00B01A58" w:rsidRPr="009931C1" w:rsidTr="00B01A58"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Olsen 2007, Denmark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Families referred to LS registry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Mvundura 2010, USA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 (all ages or &lt;50)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89%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90.2%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83%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88.8%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69%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99%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99.5%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99.96%</w:t>
            </w:r>
          </w:p>
        </w:tc>
      </w:tr>
      <w:tr w:rsidR="00B01A58" w:rsidRPr="009931C1" w:rsidTr="00B01A58"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Dinh 2011, USA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General population (age &gt; 20, &gt;25, &gt;30, &gt;35, &gt;40)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83%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88.8%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90%, 62% (PMS2)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99.97%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Kwon 2011, USA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EC patients (all ages or &lt;50 or &lt;60)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62% (Amst II)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62% (Amst II)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92%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70%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trHeight w:val="715"/>
        </w:trPr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Ladabaum 2011, USA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22% (Amst II)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82% (RBG)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98% (Amst II)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77% (RBG)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69% (MMRpredict)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89% (MMRpro)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 (PREMM)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 (MMRpredict)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85% (MMRpro)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67% (PREMM)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85%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90.2%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83%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89%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Wang G 2012, USA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22% (Amst II)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82% (RBG)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98% (Amst II)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77% (RBG)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69% (MMRpredict)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89% (MMRpro)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 (PREMM)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 (MMRpredict)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85% (MMRpro)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67% (PREMM)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85%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90.2%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83%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89%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Wang VW 2012, Singapore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Sie 2014, Netherlands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 (age 50, &lt;70)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Snowsill 2015, UK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 (age &lt;50)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39% (Amst II)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98% (Amst II)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77-89%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90.2%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77%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88.8%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40-69%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100%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90%, 62% (PMS2)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99.97%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Severin 2015, Germany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27.2% (Amst II)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88.1% (RBG)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97.9% (Amst II) 54.4% (RBG)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76-89%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90.7%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86.8%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91%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70%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99%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99.5%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100%</w:t>
            </w:r>
          </w:p>
        </w:tc>
      </w:tr>
      <w:tr w:rsidR="00B01A58" w:rsidRPr="009931C1" w:rsidTr="00B01A58"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Barzi 2015, USA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patients,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General population (age &gt;20, &gt;25, &gt;30, &gt;35)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22% (Amst II)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82% (RBG)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98% (Amst II)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77% (RBG)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69% (MMRpredict)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89% (MMRpro)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 (PREMM)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 (MMRpredict)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85% (MMRpro)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67% (PREMM)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85%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83%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89%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100%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100%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Gallego 2015, USA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Patients referred to genetics clinics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83%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89%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69%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99%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99.9%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99.9%</w:t>
            </w:r>
          </w:p>
        </w:tc>
      </w:tr>
      <w:tr w:rsidR="00B01A58" w:rsidRPr="009931C1" w:rsidTr="00B01A58"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Leenen 2016, Netherlands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(age &lt;50, &lt;60, &lt; 70)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Chen 2016, Taiwan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76-89%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90.2%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83%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88.8%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69%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99%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99.5%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99.96%</w:t>
            </w:r>
          </w:p>
        </w:tc>
      </w:tr>
      <w:tr w:rsidR="00B01A58" w:rsidRPr="009931C1" w:rsidTr="00B01A58"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Canada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 (age &gt;50 or 51-70)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81%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36% (IHC)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57% (PCR)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82% (MLH1 Hyperm)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90% (IHC)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98%(PCR)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96% (MLH1 Hyperm)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100%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100%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468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Goverde 2016, Netherlands</w:t>
            </w:r>
          </w:p>
        </w:tc>
        <w:tc>
          <w:tcPr>
            <w:tcW w:w="6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EC patients (age ≤70)</w:t>
            </w:r>
          </w:p>
        </w:tc>
        <w:tc>
          <w:tcPr>
            <w:tcW w:w="3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7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3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0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1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40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3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4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</w:tbl>
    <w:p w:rsidR="00B01A58" w:rsidRPr="009931C1" w:rsidRDefault="00B01A58">
      <w:pPr>
        <w:rPr>
          <w:rFonts w:ascii="Times New Roman" w:hAnsi="Times New Roman" w:cs="Times New Roman"/>
          <w:lang w:val="en-US"/>
        </w:rPr>
      </w:pPr>
    </w:p>
    <w:p w:rsidR="00B01A58" w:rsidRPr="009931C1" w:rsidRDefault="00B01A58">
      <w:pPr>
        <w:rPr>
          <w:rFonts w:ascii="Times New Roman" w:hAnsi="Times New Roman" w:cs="Times New Roman"/>
          <w:lang w:val="en-US"/>
        </w:rPr>
      </w:pPr>
      <w:r w:rsidRPr="009931C1">
        <w:rPr>
          <w:rFonts w:ascii="Times New Roman" w:hAnsi="Times New Roman" w:cs="Times New Roman"/>
          <w:lang w:val="en-US"/>
        </w:rPr>
        <w:br w:type="page"/>
      </w:r>
    </w:p>
    <w:p w:rsidR="00B01A58" w:rsidRPr="009931C1" w:rsidRDefault="00B01A58" w:rsidP="00B01A58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9931C1">
        <w:rPr>
          <w:rFonts w:ascii="Times New Roman" w:hAnsi="Times New Roman" w:cs="Times New Roman"/>
          <w:b/>
          <w:sz w:val="24"/>
          <w:lang w:val="en-US"/>
        </w:rPr>
        <w:lastRenderedPageBreak/>
        <w:t xml:space="preserve">Supplementary Table </w:t>
      </w:r>
      <w:r w:rsidR="00670982">
        <w:rPr>
          <w:rFonts w:ascii="Times New Roman" w:hAnsi="Times New Roman" w:cs="Times New Roman"/>
          <w:b/>
          <w:sz w:val="24"/>
          <w:lang w:val="en-US"/>
        </w:rPr>
        <w:t>6</w:t>
      </w:r>
      <w:r w:rsidRPr="009931C1">
        <w:rPr>
          <w:rFonts w:ascii="Times New Roman" w:hAnsi="Times New Roman" w:cs="Times New Roman"/>
          <w:b/>
          <w:sz w:val="24"/>
          <w:lang w:val="en-US"/>
        </w:rPr>
        <w:t>.</w:t>
      </w:r>
      <w:r w:rsidRPr="009931C1">
        <w:rPr>
          <w:rFonts w:ascii="Times New Roman" w:hAnsi="Times New Roman" w:cs="Times New Roman"/>
          <w:sz w:val="24"/>
          <w:lang w:val="en-US"/>
        </w:rPr>
        <w:t xml:space="preserve"> </w:t>
      </w:r>
      <w:r w:rsidRPr="00C543A4">
        <w:rPr>
          <w:rFonts w:ascii="Times New Roman" w:hAnsi="Times New Roman" w:cs="Times New Roman"/>
          <w:sz w:val="24"/>
          <w:lang w:val="en-US"/>
        </w:rPr>
        <w:t xml:space="preserve">Basic assumptions of costs of studies </w:t>
      </w:r>
      <w:r w:rsidR="009931C1" w:rsidRPr="00C543A4">
        <w:rPr>
          <w:rFonts w:ascii="Times New Roman" w:hAnsi="Times New Roman" w:cs="Times New Roman"/>
          <w:sz w:val="24"/>
          <w:lang w:val="en-US"/>
        </w:rPr>
        <w:t xml:space="preserve">included </w:t>
      </w:r>
      <w:r w:rsidRPr="00C543A4">
        <w:rPr>
          <w:rFonts w:ascii="Times New Roman" w:hAnsi="Times New Roman" w:cs="Times New Roman"/>
          <w:sz w:val="24"/>
          <w:lang w:val="en-US"/>
        </w:rPr>
        <w:t>(listed in order of currency)</w:t>
      </w:r>
      <w:r w:rsidR="008148FD" w:rsidRPr="00C543A4">
        <w:rPr>
          <w:rFonts w:ascii="Times New Roman" w:hAnsi="Times New Roman" w:cs="Times New Roman"/>
          <w:sz w:val="24"/>
          <w:lang w:val="en-US"/>
        </w:rPr>
        <w:t>^</w:t>
      </w:r>
      <w:r w:rsidRPr="00C543A4">
        <w:rPr>
          <w:rFonts w:ascii="Times New Roman" w:hAnsi="Times New Roman" w:cs="Times New Roman"/>
          <w:sz w:val="24"/>
          <w:lang w:val="en-US"/>
        </w:rPr>
        <w:t>.</w:t>
      </w:r>
    </w:p>
    <w:tbl>
      <w:tblPr>
        <w:tblStyle w:val="PlainTable4"/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982"/>
        <w:gridCol w:w="1044"/>
        <w:gridCol w:w="911"/>
        <w:gridCol w:w="1213"/>
        <w:gridCol w:w="510"/>
        <w:gridCol w:w="510"/>
        <w:gridCol w:w="794"/>
        <w:gridCol w:w="635"/>
        <w:gridCol w:w="870"/>
        <w:gridCol w:w="831"/>
        <w:gridCol w:w="913"/>
        <w:gridCol w:w="1125"/>
        <w:gridCol w:w="1032"/>
        <w:gridCol w:w="1063"/>
        <w:gridCol w:w="899"/>
        <w:gridCol w:w="842"/>
      </w:tblGrid>
      <w:tr w:rsidR="00B01A58" w:rsidRPr="009931C1" w:rsidTr="00B01A58">
        <w:trPr>
          <w:cnfStyle w:val="100000000000"/>
          <w:tblHeader/>
        </w:trPr>
        <w:tc>
          <w:tcPr>
            <w:cnfStyle w:val="001000000000"/>
            <w:tcW w:w="3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First author, year, country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Target population, age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Currency, year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Clinical criteria/ risk prediction model administering</w:t>
            </w:r>
          </w:p>
        </w:tc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MSI test</w:t>
            </w:r>
          </w:p>
        </w:tc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IHC test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BRAF test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Single gene seq.</w:t>
            </w:r>
          </w:p>
        </w:tc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All genes seq.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Family mutation test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Genetic counseling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Approaching and counseling relatives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Colonoscopy</w:t>
            </w:r>
          </w:p>
        </w:tc>
        <w:tc>
          <w:tcPr>
            <w:tcW w:w="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Other preventive exams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Colectomy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TAHBSO</w:t>
            </w:r>
          </w:p>
        </w:tc>
      </w:tr>
      <w:tr w:rsidR="00B01A58" w:rsidRPr="009931C1" w:rsidTr="00B01A58">
        <w:trPr>
          <w:cnfStyle w:val="000000100000"/>
          <w:trHeight w:val="70"/>
        </w:trPr>
        <w:tc>
          <w:tcPr>
            <w:cnfStyle w:val="001000000000"/>
            <w:tcW w:w="346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Brown, 1995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USA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General population (age 25)</w:t>
            </w:r>
          </w:p>
        </w:tc>
        <w:tc>
          <w:tcPr>
            <w:tcW w:w="321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</w:t>
            </w:r>
          </w:p>
        </w:tc>
        <w:tc>
          <w:tcPr>
            <w:tcW w:w="428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24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1,000 (including couns.)</w:t>
            </w:r>
          </w:p>
        </w:tc>
        <w:tc>
          <w:tcPr>
            <w:tcW w:w="293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500</w:t>
            </w:r>
          </w:p>
        </w:tc>
        <w:tc>
          <w:tcPr>
            <w:tcW w:w="375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7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Ramsey 2001, USA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 1999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33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120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2,030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78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365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50-150 plus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30,673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Ramsey 2003, USA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 2002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33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120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2,030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78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365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50-150 plus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30,673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Mvundura 2010, USA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 (all ages or &lt;50)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 2007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458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261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62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683- 983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55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174 plus 95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696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Dinh 2011, USA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General population (age &gt; 20, &gt;25, &gt;30, &gt;35, &gt;40)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 2009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457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281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771- 933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3,495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298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532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110 (transvaginal US)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201 (endometrial biopsy)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22,800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20,445</w:t>
            </w:r>
          </w:p>
        </w:tc>
      </w:tr>
      <w:tr w:rsidR="00B01A58" w:rsidRPr="009931C1" w:rsidTr="00B01A58"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Kwon 2011, USA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EC patients (all ages or &lt;50 or &lt;60)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 2010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540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1200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83 plus 100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950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330"/>
        </w:trPr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Ladabaum 2011, USA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 2010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50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490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280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110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880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460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185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110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645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14,059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16,348</w:t>
            </w:r>
          </w:p>
        </w:tc>
      </w:tr>
      <w:tr w:rsidR="00B01A58" w:rsidRPr="009931C1" w:rsidTr="00B01A58">
        <w:trPr>
          <w:trHeight w:val="330"/>
        </w:trPr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Wang G 2012, USA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 2010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50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490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280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110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880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460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185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110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645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14,059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16,348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Barzi 2015, USA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patients,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General population (age &gt;20, &gt;25, &gt;30, &gt;35)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50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490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280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110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880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460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185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110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645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Gallego 2015, USA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Patients referred to genetics clinics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 2014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298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71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600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2,700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63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199 plus 109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25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Chen 2016, Taiwan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US Dollars 2012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117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45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1000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50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17 plus 17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17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75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Kievit 2005, Netherlands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Euros 2002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529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1,308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286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95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54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144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6,557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Olsen 2007, Denmark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Families referred to LS registry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Euros 2004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--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1,165 per family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1344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349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9,435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Sie 2014, Netherlands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 (age &lt;50, &lt; 70)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Euros 2013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150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134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295 (MLH1 hyperm.)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814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257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56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150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6,834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Severin 2015, Germany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Euros 2012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117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448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121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198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3,836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4,214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205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117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41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193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Leenen 2016, Netherlands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(age &lt;50, &lt;60, &lt; 70)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Euros 2013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89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135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 (MLH1 hyperm.)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538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304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298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167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393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100 (transvaginal US)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204 (endometrial biopsy)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14,920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 xml:space="preserve">Goverde 2016, </w:t>
            </w: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lastRenderedPageBreak/>
              <w:t>Netherlands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lastRenderedPageBreak/>
              <w:t xml:space="preserve">New EC patients (age </w:t>
            </w: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lastRenderedPageBreak/>
              <w:t>≤70)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lastRenderedPageBreak/>
              <w:t>Euros 2013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89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135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99 (MLH1 hyperm.)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538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304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389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256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393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 xml:space="preserve">100 (transvaginal </w:t>
            </w: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lastRenderedPageBreak/>
              <w:t>US)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204 (endometrial biopsy)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lastRenderedPageBreak/>
              <w:t>-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14,920</w:t>
            </w:r>
          </w:p>
        </w:tc>
      </w:tr>
      <w:tr w:rsidR="00B01A58" w:rsidRPr="009931C1" w:rsidTr="00B01A58"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lastRenderedPageBreak/>
              <w:t>Snowsill 2015, UK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 (age &lt;50)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Pounds Sterling 2013-2014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22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202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238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118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464 -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735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812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169-176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67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67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395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7,331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3,104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Wang VW 2012, Singapore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FDRs of LS patients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Singapore Dollars 2010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1,446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185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1,424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592 (gastroscopy)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40 (urine cytology)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346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3"/>
                <w:szCs w:val="15"/>
                <w:lang w:val="en-US"/>
              </w:rPr>
              <w:t>Canada</w:t>
            </w:r>
          </w:p>
        </w:tc>
        <w:tc>
          <w:tcPr>
            <w:tcW w:w="36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New CRC patients (age &gt;50 or 51-70)</w:t>
            </w:r>
          </w:p>
        </w:tc>
        <w:tc>
          <w:tcPr>
            <w:tcW w:w="321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Canadian Dollars 2015</w:t>
            </w:r>
          </w:p>
        </w:tc>
        <w:tc>
          <w:tcPr>
            <w:tcW w:w="42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1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61</w:t>
            </w:r>
          </w:p>
        </w:tc>
        <w:tc>
          <w:tcPr>
            <w:tcW w:w="280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350 (by PCR)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23 (by IHC)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390 (MLH1 hyperm.)</w:t>
            </w:r>
          </w:p>
        </w:tc>
        <w:tc>
          <w:tcPr>
            <w:tcW w:w="22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1600</w:t>
            </w:r>
          </w:p>
        </w:tc>
        <w:tc>
          <w:tcPr>
            <w:tcW w:w="30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275</w:t>
            </w:r>
          </w:p>
        </w:tc>
        <w:tc>
          <w:tcPr>
            <w:tcW w:w="32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506</w:t>
            </w:r>
          </w:p>
        </w:tc>
        <w:tc>
          <w:tcPr>
            <w:tcW w:w="3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64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395</w:t>
            </w:r>
          </w:p>
        </w:tc>
        <w:tc>
          <w:tcPr>
            <w:tcW w:w="37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31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-</w:t>
            </w:r>
          </w:p>
        </w:tc>
        <w:tc>
          <w:tcPr>
            <w:tcW w:w="29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3"/>
                <w:szCs w:val="15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3"/>
                <w:szCs w:val="15"/>
                <w:lang w:val="en-US"/>
              </w:rPr>
              <w:t>7,414</w:t>
            </w:r>
          </w:p>
        </w:tc>
      </w:tr>
    </w:tbl>
    <w:p w:rsidR="00B01A58" w:rsidRPr="008148FD" w:rsidRDefault="008148FD">
      <w:pPr>
        <w:rPr>
          <w:rFonts w:ascii="Times New Roman" w:hAnsi="Times New Roman" w:cs="Times New Roman"/>
          <w:sz w:val="16"/>
          <w:lang w:val="en-US"/>
        </w:rPr>
      </w:pPr>
      <w:r w:rsidRPr="00C543A4">
        <w:rPr>
          <w:rFonts w:ascii="Times New Roman" w:hAnsi="Times New Roman" w:cs="Times New Roman"/>
          <w:sz w:val="16"/>
          <w:lang w:val="en-US"/>
        </w:rPr>
        <w:t>^Costs are intended per person, unless otherwise specified.</w:t>
      </w:r>
    </w:p>
    <w:p w:rsidR="00B01A58" w:rsidRPr="009931C1" w:rsidRDefault="00B01A58">
      <w:pPr>
        <w:rPr>
          <w:rFonts w:ascii="Times New Roman" w:hAnsi="Times New Roman" w:cs="Times New Roman"/>
          <w:lang w:val="en-US"/>
        </w:rPr>
      </w:pPr>
      <w:r w:rsidRPr="009931C1">
        <w:rPr>
          <w:rFonts w:ascii="Times New Roman" w:hAnsi="Times New Roman" w:cs="Times New Roman"/>
          <w:lang w:val="en-US"/>
        </w:rPr>
        <w:br w:type="page"/>
      </w:r>
    </w:p>
    <w:p w:rsidR="00B01A58" w:rsidRPr="009931C1" w:rsidRDefault="00B01A58" w:rsidP="00B01A58">
      <w:pPr>
        <w:spacing w:after="0"/>
        <w:rPr>
          <w:rFonts w:ascii="Times New Roman" w:hAnsi="Times New Roman" w:cs="Times New Roman"/>
          <w:lang w:val="en-US"/>
        </w:rPr>
      </w:pPr>
      <w:r w:rsidRPr="009931C1">
        <w:rPr>
          <w:rFonts w:ascii="Times New Roman" w:hAnsi="Times New Roman" w:cs="Times New Roman"/>
          <w:b/>
          <w:lang w:val="en-US"/>
        </w:rPr>
        <w:lastRenderedPageBreak/>
        <w:t xml:space="preserve">Supplementary Table </w:t>
      </w:r>
      <w:r w:rsidR="00670982">
        <w:rPr>
          <w:rFonts w:ascii="Times New Roman" w:hAnsi="Times New Roman" w:cs="Times New Roman"/>
          <w:b/>
          <w:lang w:val="en-US"/>
        </w:rPr>
        <w:t>7</w:t>
      </w:r>
      <w:r w:rsidRPr="009931C1">
        <w:rPr>
          <w:rFonts w:ascii="Times New Roman" w:hAnsi="Times New Roman" w:cs="Times New Roman"/>
          <w:b/>
          <w:lang w:val="en-US"/>
        </w:rPr>
        <w:t>.</w:t>
      </w:r>
      <w:r w:rsidRPr="009931C1">
        <w:rPr>
          <w:rFonts w:ascii="Times New Roman" w:hAnsi="Times New Roman" w:cs="Times New Roman"/>
          <w:lang w:val="en-US"/>
        </w:rPr>
        <w:t xml:space="preserve"> </w:t>
      </w:r>
      <w:r w:rsidRPr="00F11724">
        <w:rPr>
          <w:rFonts w:ascii="Times New Roman" w:hAnsi="Times New Roman" w:cs="Times New Roman"/>
          <w:lang w:val="en-US"/>
        </w:rPr>
        <w:t>Basic components of the LS screening programs</w:t>
      </w:r>
      <w:r w:rsidR="00F11724" w:rsidRPr="00F11724">
        <w:rPr>
          <w:rFonts w:ascii="Times New Roman" w:hAnsi="Times New Roman" w:cs="Times New Roman"/>
          <w:lang w:val="en-US"/>
        </w:rPr>
        <w:t>.</w:t>
      </w:r>
    </w:p>
    <w:tbl>
      <w:tblPr>
        <w:tblStyle w:val="PlainTable4"/>
        <w:tblpPr w:leftFromText="180" w:rightFromText="180" w:vertAnchor="text" w:tblpX="142" w:tblpY="1"/>
        <w:tblW w:w="0" w:type="auto"/>
        <w:shd w:val="clear" w:color="auto" w:fill="FFFFFF" w:themeFill="background1"/>
        <w:tblLook w:val="04A0"/>
      </w:tblPr>
      <w:tblGrid>
        <w:gridCol w:w="4670"/>
        <w:gridCol w:w="1618"/>
      </w:tblGrid>
      <w:tr w:rsidR="00B01A58" w:rsidRPr="009931C1" w:rsidTr="00B01A58">
        <w:trPr>
          <w:cnfStyle w:val="100000000000"/>
          <w:trHeight w:val="52"/>
        </w:trPr>
        <w:tc>
          <w:tcPr>
            <w:cnfStyle w:val="00100000000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Basic Component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01A58" w:rsidRPr="009931C1" w:rsidRDefault="00B01A58" w:rsidP="00B01A58">
            <w:pPr>
              <w:cnfStyle w:val="10000000000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Number of Studies</w:t>
            </w:r>
          </w:p>
        </w:tc>
      </w:tr>
      <w:tr w:rsidR="00B01A58" w:rsidRPr="009931C1" w:rsidTr="00B01A58">
        <w:trPr>
          <w:cnfStyle w:val="000000100000"/>
          <w:trHeight w:val="52"/>
        </w:trPr>
        <w:tc>
          <w:tcPr>
            <w:cnfStyle w:val="001000000000"/>
            <w:tcW w:w="0" w:type="auto"/>
            <w:tcBorders>
              <w:top w:val="single" w:sz="4" w:space="0" w:color="auto"/>
            </w:tcBorders>
            <w:shd w:val="clear" w:color="auto" w:fill="FFFFFF" w:themeFill="background1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  <w:t>Clinical condition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Colorectal cancer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25-44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Endometrial cancer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31-34,37,39,41,43,44</w:t>
            </w: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Ovarian cancer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33,34,39,41,43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  <w:shd w:val="clear" w:color="auto" w:fill="FFFFFF" w:themeFill="background1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  <w:t>Target population</w:t>
            </w:r>
          </w:p>
        </w:tc>
        <w:tc>
          <w:tcPr>
            <w:tcW w:w="0" w:type="auto"/>
            <w:shd w:val="clear" w:color="auto" w:fill="FFFFFF" w:themeFill="background1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Newly diagnosed colorectal cancer patients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26-28,30,33,34,36-39,41-43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Newly diagnosed endometrial cancer patients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32,44</w:t>
            </w: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General population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25,31,39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Families referred to LS registry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29</w:t>
            </w: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First degree relatives of LS patients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35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  <w:vAlign w:val="center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Patients with suspected CRCP syndrome referred to genetics clinic 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40</w:t>
            </w: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FFFFF" w:themeFill="background1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  <w:t>Diagnostic strategy</w:t>
            </w:r>
          </w:p>
        </w:tc>
        <w:tc>
          <w:tcPr>
            <w:tcW w:w="0" w:type="auto"/>
            <w:shd w:val="clear" w:color="auto" w:fill="FFFFFF" w:themeFill="background1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Clinical criteria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26-29,31-34,37-39,41,43,44</w:t>
            </w: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Amsterdam criteria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28,29,32-34,37-39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Bethesda guidelines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26,27,33,34,38,39,41,43,44</w:t>
            </w: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Computational models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31,33,34,39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Age cut-off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30,32,36,37,41,43,44</w:t>
            </w: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50 years old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30,32,36,37,41,44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60 years old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32,41</w:t>
            </w: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70 years old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36,41,43,44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Tumor testing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26-28,30,32-34,36-39,41-44</w:t>
            </w: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MSI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26-28,30,33,34,36-39,41,42,44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IHC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30,32-34,36-39,41-44</w:t>
            </w:r>
          </w:p>
        </w:tc>
      </w:tr>
      <w:tr w:rsidR="00B01A58" w:rsidRPr="009931C1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BRAF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9931C1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30,33,34,37-39,42,43</w:t>
            </w:r>
          </w:p>
        </w:tc>
      </w:tr>
      <w:tr w:rsidR="00B01A58" w:rsidRPr="009931C1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9931C1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MLH1 hypermethylation</w:t>
            </w:r>
          </w:p>
        </w:tc>
        <w:tc>
          <w:tcPr>
            <w:tcW w:w="0" w:type="auto"/>
          </w:tcPr>
          <w:p w:rsidR="00B01A58" w:rsidRPr="009931C1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9931C1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36,41,43,44</w:t>
            </w:r>
          </w:p>
        </w:tc>
      </w:tr>
      <w:tr w:rsidR="007F7053" w:rsidRPr="00DC6F04" w:rsidTr="00A851B9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7F7053" w:rsidRPr="00DC6F04" w:rsidRDefault="007F7053" w:rsidP="007F7053">
            <w:pPr>
              <w:ind w:left="17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Genetic counseling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7F7053" w:rsidRPr="00DC6F04" w:rsidRDefault="007F7053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25-30,32-44</w:t>
            </w:r>
          </w:p>
        </w:tc>
      </w:tr>
      <w:tr w:rsidR="00B01A58" w:rsidRPr="00DC6F04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DC6F04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Gene sequencing</w:t>
            </w:r>
          </w:p>
        </w:tc>
        <w:tc>
          <w:tcPr>
            <w:tcW w:w="0" w:type="auto"/>
          </w:tcPr>
          <w:p w:rsidR="00B01A58" w:rsidRPr="00DC6F04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25-44</w:t>
            </w:r>
          </w:p>
        </w:tc>
      </w:tr>
      <w:tr w:rsidR="00B01A58" w:rsidRPr="00DC6F04" w:rsidTr="00A851B9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DC6F04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MLH1, MSH2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DC6F04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25-29</w:t>
            </w:r>
          </w:p>
        </w:tc>
      </w:tr>
      <w:tr w:rsidR="00B01A58" w:rsidRPr="00DC6F04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DC6F04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MLH1, MSH2, MSH6, PMS2</w:t>
            </w:r>
          </w:p>
        </w:tc>
        <w:tc>
          <w:tcPr>
            <w:tcW w:w="0" w:type="auto"/>
          </w:tcPr>
          <w:p w:rsidR="00B01A58" w:rsidRPr="00DC6F04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30-44</w:t>
            </w:r>
          </w:p>
        </w:tc>
      </w:tr>
      <w:tr w:rsidR="00B01A58" w:rsidRPr="00DC6F04" w:rsidTr="00A851B9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DC6F04" w:rsidRDefault="00B01A58" w:rsidP="00B01A58">
            <w:pPr>
              <w:ind w:left="227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EPCAM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DC6F04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40,41,44</w:t>
            </w:r>
          </w:p>
        </w:tc>
      </w:tr>
      <w:tr w:rsidR="00B01A58" w:rsidRPr="00DC6F04" w:rsidTr="00B01A58">
        <w:trPr>
          <w:cnfStyle w:val="000000100000"/>
          <w:trHeight w:val="62"/>
        </w:trPr>
        <w:tc>
          <w:tcPr>
            <w:cnfStyle w:val="001000000000"/>
            <w:tcW w:w="0" w:type="auto"/>
            <w:shd w:val="clear" w:color="auto" w:fill="FFFFFF" w:themeFill="background1"/>
          </w:tcPr>
          <w:p w:rsidR="00B01A58" w:rsidRPr="00DC6F04" w:rsidRDefault="00B01A58" w:rsidP="00B01A58">
            <w:pPr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  <w:t>Relatives Screening</w:t>
            </w:r>
          </w:p>
        </w:tc>
        <w:tc>
          <w:tcPr>
            <w:tcW w:w="0" w:type="auto"/>
            <w:shd w:val="clear" w:color="auto" w:fill="FFFFFF" w:themeFill="background1"/>
          </w:tcPr>
          <w:p w:rsidR="00B01A58" w:rsidRPr="00DC6F04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F7053" w:rsidRPr="00DC6F04" w:rsidTr="00A851B9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7F7053" w:rsidRPr="00DC6F04" w:rsidRDefault="007F7053" w:rsidP="00B01A58">
            <w:pPr>
              <w:ind w:left="17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Genetic counseling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7F7053" w:rsidRPr="00DC6F04" w:rsidRDefault="007F7053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26-28,30,33,34,36-44</w:t>
            </w:r>
          </w:p>
        </w:tc>
      </w:tr>
      <w:tr w:rsidR="00B01A58" w:rsidRPr="00DC6F04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DC6F04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Cascade testing</w:t>
            </w:r>
          </w:p>
        </w:tc>
        <w:tc>
          <w:tcPr>
            <w:tcW w:w="0" w:type="auto"/>
          </w:tcPr>
          <w:p w:rsidR="00B01A58" w:rsidRPr="00DC6F04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26-28,30,31,33,34,36-44</w:t>
            </w:r>
          </w:p>
        </w:tc>
      </w:tr>
      <w:tr w:rsidR="00B01A58" w:rsidRPr="00DC6F04" w:rsidTr="00B01A58">
        <w:trPr>
          <w:trHeight w:val="62"/>
        </w:trPr>
        <w:tc>
          <w:tcPr>
            <w:cnfStyle w:val="001000000000"/>
            <w:tcW w:w="0" w:type="auto"/>
            <w:shd w:val="clear" w:color="auto" w:fill="FFFFFF" w:themeFill="background1"/>
          </w:tcPr>
          <w:p w:rsidR="00B01A58" w:rsidRPr="00DC6F04" w:rsidRDefault="00B01A58" w:rsidP="00B01A58">
            <w:pPr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  <w:t>Preventive strategy</w:t>
            </w:r>
          </w:p>
        </w:tc>
        <w:tc>
          <w:tcPr>
            <w:tcW w:w="0" w:type="auto"/>
            <w:shd w:val="clear" w:color="auto" w:fill="FFFFFF" w:themeFill="background1"/>
          </w:tcPr>
          <w:p w:rsidR="00B01A58" w:rsidRPr="00DC6F04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01A58" w:rsidRPr="00DC6F04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DC6F04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Colonoscopy</w:t>
            </w:r>
          </w:p>
        </w:tc>
        <w:tc>
          <w:tcPr>
            <w:tcW w:w="0" w:type="auto"/>
          </w:tcPr>
          <w:p w:rsidR="00B01A58" w:rsidRPr="00DC6F04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25-44</w:t>
            </w:r>
          </w:p>
        </w:tc>
      </w:tr>
      <w:tr w:rsidR="00B01A58" w:rsidRPr="00DC6F04" w:rsidTr="00B01A58">
        <w:trPr>
          <w:trHeight w:val="62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B01A58" w:rsidRPr="00DC6F04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Gynecological surveillance / TAHBSO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01A58" w:rsidRPr="00DC6F04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31,33,34,37,39,41,43,44</w:t>
            </w:r>
          </w:p>
        </w:tc>
      </w:tr>
      <w:tr w:rsidR="00B01A58" w:rsidRPr="00DC6F04" w:rsidTr="00B01A58">
        <w:trPr>
          <w:cnfStyle w:val="000000100000"/>
          <w:trHeight w:val="62"/>
        </w:trPr>
        <w:tc>
          <w:tcPr>
            <w:cnfStyle w:val="001000000000"/>
            <w:tcW w:w="0" w:type="auto"/>
          </w:tcPr>
          <w:p w:rsidR="00B01A58" w:rsidRPr="00DC6F04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Aspirin prophylaxis</w:t>
            </w:r>
          </w:p>
        </w:tc>
        <w:tc>
          <w:tcPr>
            <w:tcW w:w="0" w:type="auto"/>
          </w:tcPr>
          <w:p w:rsidR="00B01A58" w:rsidRPr="00DC6F04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38</w:t>
            </w:r>
          </w:p>
        </w:tc>
      </w:tr>
      <w:tr w:rsidR="00B01A58" w:rsidRPr="00DC6F04" w:rsidTr="00B01A58">
        <w:trPr>
          <w:trHeight w:val="62"/>
        </w:trPr>
        <w:tc>
          <w:tcPr>
            <w:cnfStyle w:val="001000000000"/>
            <w:tcW w:w="0" w:type="auto"/>
            <w:shd w:val="clear" w:color="auto" w:fill="FFFFFF" w:themeFill="background1"/>
          </w:tcPr>
          <w:p w:rsidR="00B01A58" w:rsidRPr="00DC6F04" w:rsidRDefault="00B01A58" w:rsidP="00B01A58">
            <w:pPr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u w:val="single"/>
                <w:lang w:val="en-US"/>
              </w:rPr>
              <w:t>Predictive purpose</w:t>
            </w:r>
          </w:p>
        </w:tc>
        <w:tc>
          <w:tcPr>
            <w:tcW w:w="0" w:type="auto"/>
            <w:shd w:val="clear" w:color="auto" w:fill="FFFFFF" w:themeFill="background1"/>
          </w:tcPr>
          <w:p w:rsidR="00B01A58" w:rsidRPr="00DC6F04" w:rsidRDefault="00B01A58" w:rsidP="00B01A58">
            <w:pPr>
              <w:cnfStyle w:val="0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01A58" w:rsidRPr="00DC6F04" w:rsidTr="00B01A58">
        <w:trPr>
          <w:cnfStyle w:val="000000100000"/>
          <w:trHeight w:val="62"/>
        </w:trPr>
        <w:tc>
          <w:tcPr>
            <w:cnfStyle w:val="001000000000"/>
            <w:tcW w:w="0" w:type="auto"/>
            <w:tcBorders>
              <w:bottom w:val="single" w:sz="4" w:space="0" w:color="auto"/>
            </w:tcBorders>
          </w:tcPr>
          <w:p w:rsidR="00B01A58" w:rsidRPr="00DC6F04" w:rsidRDefault="00B01A58" w:rsidP="00B01A58">
            <w:pPr>
              <w:ind w:left="170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Tumor MMR status used for chemotherapy decision making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01A58" w:rsidRPr="00DC6F04" w:rsidRDefault="00B01A58" w:rsidP="00B01A58">
            <w:pPr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C6F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DC6F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43</w:t>
            </w:r>
          </w:p>
        </w:tc>
      </w:tr>
    </w:tbl>
    <w:p w:rsidR="00B01A58" w:rsidRPr="009931C1" w:rsidRDefault="00B01A58">
      <w:pPr>
        <w:rPr>
          <w:rFonts w:ascii="Times New Roman" w:hAnsi="Times New Roman" w:cs="Times New Roman"/>
          <w:lang w:val="en-US"/>
        </w:rPr>
      </w:pPr>
      <w:r w:rsidRPr="009931C1">
        <w:rPr>
          <w:lang w:val="en-US"/>
        </w:rPr>
        <w:br w:type="textWrapping" w:clear="all"/>
      </w:r>
    </w:p>
    <w:p w:rsidR="00B01A58" w:rsidRPr="009931C1" w:rsidRDefault="00B01A58">
      <w:pPr>
        <w:rPr>
          <w:rFonts w:ascii="Times New Roman" w:hAnsi="Times New Roman" w:cs="Times New Roman"/>
          <w:lang w:val="en-US"/>
        </w:rPr>
      </w:pPr>
      <w:r w:rsidRPr="009931C1">
        <w:rPr>
          <w:rFonts w:ascii="Times New Roman" w:hAnsi="Times New Roman" w:cs="Times New Roman"/>
          <w:lang w:val="en-US"/>
        </w:rPr>
        <w:br w:type="page"/>
      </w:r>
    </w:p>
    <w:p w:rsidR="00B01A58" w:rsidRPr="009931C1" w:rsidRDefault="00B01A58" w:rsidP="00B01A58">
      <w:pPr>
        <w:spacing w:after="0"/>
        <w:rPr>
          <w:rFonts w:ascii="Times New Roman" w:hAnsi="Times New Roman" w:cs="Times New Roman"/>
          <w:lang w:val="en-US"/>
        </w:rPr>
      </w:pPr>
      <w:r w:rsidRPr="009931C1">
        <w:rPr>
          <w:rFonts w:ascii="Times New Roman" w:hAnsi="Times New Roman" w:cs="Times New Roman"/>
          <w:b/>
          <w:lang w:val="en-US"/>
        </w:rPr>
        <w:lastRenderedPageBreak/>
        <w:t xml:space="preserve">Supplementary Table </w:t>
      </w:r>
      <w:r w:rsidR="00670982">
        <w:rPr>
          <w:rFonts w:ascii="Times New Roman" w:hAnsi="Times New Roman" w:cs="Times New Roman"/>
          <w:b/>
          <w:lang w:val="en-US"/>
        </w:rPr>
        <w:t>8</w:t>
      </w:r>
      <w:r w:rsidRPr="009931C1">
        <w:rPr>
          <w:rFonts w:ascii="Times New Roman" w:hAnsi="Times New Roman" w:cs="Times New Roman"/>
          <w:b/>
          <w:lang w:val="en-US"/>
        </w:rPr>
        <w:t>.</w:t>
      </w:r>
      <w:r w:rsidRPr="009931C1">
        <w:rPr>
          <w:rFonts w:ascii="Times New Roman" w:hAnsi="Times New Roman" w:cs="Times New Roman"/>
          <w:lang w:val="en-US"/>
        </w:rPr>
        <w:t xml:space="preserve"> LS screening program categories.</w:t>
      </w:r>
    </w:p>
    <w:tbl>
      <w:tblPr>
        <w:tblStyle w:val="PlainTable4"/>
        <w:tblW w:w="0" w:type="auto"/>
        <w:tblLook w:val="0420"/>
      </w:tblPr>
      <w:tblGrid>
        <w:gridCol w:w="5932"/>
        <w:gridCol w:w="4323"/>
        <w:gridCol w:w="1746"/>
      </w:tblGrid>
      <w:tr w:rsidR="00B01A58" w:rsidRPr="009931C1" w:rsidTr="00B01A58">
        <w:trPr>
          <w:cnfStyle w:val="100000000000"/>
          <w:trHeight w:val="6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Target Population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LS Screening Program 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N. of studies</w:t>
            </w:r>
          </w:p>
        </w:tc>
      </w:tr>
      <w:tr w:rsidR="00B01A58" w:rsidRPr="009931C1" w:rsidTr="00B01A58">
        <w:trPr>
          <w:cnfStyle w:val="000000100000"/>
          <w:trHeight w:val="90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Newly diagnosed colorectal cancer patients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Colorectal cancer based screening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13</w:t>
            </w:r>
            <w:r w:rsidRPr="009931C1">
              <w:rPr>
                <w:rFonts w:ascii="Times New Roman" w:hAnsi="Times New Roman" w:cs="Times New Roman"/>
                <w:sz w:val="18"/>
                <w:vertAlign w:val="superscript"/>
                <w:lang w:val="en-US"/>
              </w:rPr>
              <w:t>26-28,30,33,34,36-39,41-43</w:t>
            </w:r>
          </w:p>
        </w:tc>
      </w:tr>
      <w:tr w:rsidR="00B01A58" w:rsidRPr="009931C1" w:rsidTr="00B01A58">
        <w:trPr>
          <w:trHeight w:val="90"/>
        </w:trPr>
        <w:tc>
          <w:tcPr>
            <w:tcW w:w="0" w:type="auto"/>
            <w:vAlign w:val="center"/>
          </w:tcPr>
          <w:p w:rsidR="00B01A58" w:rsidRPr="009931C1" w:rsidRDefault="00B01A58" w:rsidP="00B01A58">
            <w:pPr>
              <w:ind w:left="708"/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All newly diagnosed colorectal cancer patients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ind w:left="708"/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Universal colorectal cancer based screening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8</w:t>
            </w:r>
            <w:r w:rsidRPr="009931C1">
              <w:rPr>
                <w:rFonts w:ascii="Times New Roman" w:hAnsi="Times New Roman" w:cs="Times New Roman"/>
                <w:sz w:val="18"/>
                <w:vertAlign w:val="superscript"/>
                <w:lang w:val="en-US"/>
              </w:rPr>
              <w:t>27,30,33,34,38,39,42,43</w:t>
            </w:r>
          </w:p>
        </w:tc>
      </w:tr>
      <w:tr w:rsidR="00B01A58" w:rsidRPr="009931C1" w:rsidTr="00B01A58">
        <w:trPr>
          <w:cnfStyle w:val="000000100000"/>
          <w:trHeight w:val="90"/>
        </w:trPr>
        <w:tc>
          <w:tcPr>
            <w:tcW w:w="0" w:type="auto"/>
            <w:vAlign w:val="center"/>
          </w:tcPr>
          <w:p w:rsidR="00B01A58" w:rsidRPr="009931C1" w:rsidRDefault="00B01A58" w:rsidP="00B01A58">
            <w:pPr>
              <w:ind w:left="708"/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Newly diagnosed colorectal cancer patients under age cut-off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ind w:left="708"/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Age-targeted colorectal cancer based screening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5</w:t>
            </w:r>
            <w:r w:rsidRPr="009931C1">
              <w:rPr>
                <w:rFonts w:ascii="Times New Roman" w:hAnsi="Times New Roman" w:cs="Times New Roman"/>
                <w:sz w:val="18"/>
                <w:vertAlign w:val="superscript"/>
                <w:lang w:val="en-US"/>
              </w:rPr>
              <w:t>30,36,37,41,43</w:t>
            </w:r>
          </w:p>
        </w:tc>
      </w:tr>
      <w:tr w:rsidR="00B01A58" w:rsidRPr="009931C1" w:rsidTr="00B01A58">
        <w:trPr>
          <w:trHeight w:val="90"/>
        </w:trPr>
        <w:tc>
          <w:tcPr>
            <w:tcW w:w="0" w:type="auto"/>
            <w:vAlign w:val="center"/>
          </w:tcPr>
          <w:p w:rsidR="00B01A58" w:rsidRPr="009931C1" w:rsidRDefault="00B01A58" w:rsidP="00B01A58">
            <w:pPr>
              <w:ind w:left="708"/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Newly diagnosed colorectal cancer patients who meet clinical criteria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ind w:left="708"/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Selective colorectal cancer based screening</w:t>
            </w:r>
          </w:p>
        </w:tc>
        <w:tc>
          <w:tcPr>
            <w:tcW w:w="0" w:type="auto"/>
            <w:vAlign w:val="center"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8</w:t>
            </w:r>
            <w:r w:rsidRPr="009931C1">
              <w:rPr>
                <w:rFonts w:ascii="Times New Roman" w:hAnsi="Times New Roman" w:cs="Times New Roman"/>
                <w:sz w:val="18"/>
                <w:vertAlign w:val="superscript"/>
                <w:lang w:val="en-US"/>
              </w:rPr>
              <w:t>26-28,33,34,38,39,43</w:t>
            </w:r>
          </w:p>
        </w:tc>
      </w:tr>
      <w:tr w:rsidR="00B01A58" w:rsidRPr="009931C1" w:rsidTr="00B01A58">
        <w:trPr>
          <w:cnfStyle w:val="000000100000"/>
          <w:trHeight w:val="104"/>
        </w:trPr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Newly diagnosed endometrial cancer patients</w:t>
            </w:r>
          </w:p>
        </w:tc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Endometrial cancer based screening</w:t>
            </w:r>
          </w:p>
        </w:tc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2</w:t>
            </w:r>
            <w:r w:rsidRPr="009931C1">
              <w:rPr>
                <w:rFonts w:ascii="Times New Roman" w:hAnsi="Times New Roman" w:cs="Times New Roman"/>
                <w:sz w:val="18"/>
                <w:vertAlign w:val="superscript"/>
                <w:lang w:val="en-US"/>
              </w:rPr>
              <w:t>32,44</w:t>
            </w:r>
          </w:p>
        </w:tc>
      </w:tr>
      <w:tr w:rsidR="00B01A58" w:rsidRPr="009931C1" w:rsidTr="00B01A58">
        <w:trPr>
          <w:trHeight w:val="25"/>
        </w:trPr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General population</w:t>
            </w:r>
          </w:p>
        </w:tc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General Population based screening</w:t>
            </w:r>
          </w:p>
        </w:tc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3</w:t>
            </w:r>
            <w:r w:rsidRPr="009931C1">
              <w:rPr>
                <w:rFonts w:ascii="Times New Roman" w:hAnsi="Times New Roman" w:cs="Times New Roman"/>
                <w:sz w:val="18"/>
                <w:vertAlign w:val="superscript"/>
                <w:lang w:val="en-US"/>
              </w:rPr>
              <w:t>25,31,39</w:t>
            </w:r>
          </w:p>
        </w:tc>
      </w:tr>
      <w:tr w:rsidR="00B01A58" w:rsidRPr="009931C1" w:rsidTr="00B01A58">
        <w:trPr>
          <w:cnfStyle w:val="000000100000"/>
          <w:trHeight w:val="274"/>
        </w:trPr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Families referred to LS registry</w:t>
            </w:r>
          </w:p>
        </w:tc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LS Families’ Registry based screening</w:t>
            </w:r>
          </w:p>
        </w:tc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1</w:t>
            </w:r>
            <w:r w:rsidRPr="009931C1">
              <w:rPr>
                <w:rFonts w:ascii="Times New Roman" w:hAnsi="Times New Roman" w:cs="Times New Roman"/>
                <w:sz w:val="18"/>
                <w:vertAlign w:val="superscript"/>
                <w:lang w:val="en-US"/>
              </w:rPr>
              <w:t>29</w:t>
            </w:r>
          </w:p>
        </w:tc>
      </w:tr>
      <w:tr w:rsidR="00B01A58" w:rsidRPr="009931C1" w:rsidTr="00B01A58">
        <w:trPr>
          <w:trHeight w:val="25"/>
        </w:trPr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First degree relatives of LS patients</w:t>
            </w:r>
          </w:p>
        </w:tc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Cascade testing based screening</w:t>
            </w:r>
          </w:p>
        </w:tc>
        <w:tc>
          <w:tcPr>
            <w:tcW w:w="0" w:type="auto"/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1</w:t>
            </w:r>
            <w:r w:rsidRPr="009931C1">
              <w:rPr>
                <w:rFonts w:ascii="Times New Roman" w:hAnsi="Times New Roman" w:cs="Times New Roman"/>
                <w:sz w:val="18"/>
                <w:vertAlign w:val="superscript"/>
                <w:lang w:val="en-US"/>
              </w:rPr>
              <w:t>35</w:t>
            </w:r>
          </w:p>
        </w:tc>
      </w:tr>
      <w:tr w:rsidR="00B01A58" w:rsidRPr="009931C1" w:rsidTr="00B01A58">
        <w:trPr>
          <w:cnfStyle w:val="000000100000"/>
          <w:trHeight w:val="25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Patients with suspected CRCP syndrome referred to genetics clinic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Genetics clinic based screening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B01A58" w:rsidRPr="009931C1" w:rsidRDefault="00B01A58" w:rsidP="00B01A58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8"/>
                <w:lang w:val="en-US"/>
              </w:rPr>
              <w:t>1</w:t>
            </w:r>
            <w:r w:rsidRPr="009931C1">
              <w:rPr>
                <w:rFonts w:ascii="Times New Roman" w:hAnsi="Times New Roman" w:cs="Times New Roman"/>
                <w:sz w:val="18"/>
                <w:vertAlign w:val="superscript"/>
                <w:lang w:val="en-US"/>
              </w:rPr>
              <w:t>40</w:t>
            </w:r>
          </w:p>
        </w:tc>
      </w:tr>
    </w:tbl>
    <w:p w:rsidR="00B01A58" w:rsidRPr="009931C1" w:rsidRDefault="00B01A58">
      <w:pPr>
        <w:rPr>
          <w:rFonts w:ascii="Times New Roman" w:hAnsi="Times New Roman" w:cs="Times New Roman"/>
          <w:lang w:val="en-US"/>
        </w:rPr>
      </w:pPr>
    </w:p>
    <w:p w:rsidR="00B01A58" w:rsidRPr="009931C1" w:rsidRDefault="00B01A58">
      <w:pPr>
        <w:rPr>
          <w:rFonts w:ascii="Times New Roman" w:hAnsi="Times New Roman" w:cs="Times New Roman"/>
          <w:lang w:val="en-US"/>
        </w:rPr>
      </w:pPr>
      <w:r w:rsidRPr="009931C1">
        <w:rPr>
          <w:rFonts w:ascii="Times New Roman" w:hAnsi="Times New Roman" w:cs="Times New Roman"/>
          <w:lang w:val="en-US"/>
        </w:rPr>
        <w:br w:type="page"/>
      </w:r>
    </w:p>
    <w:p w:rsidR="00B01A58" w:rsidRPr="009931C1" w:rsidRDefault="00B01A58" w:rsidP="00B01A58">
      <w:pPr>
        <w:spacing w:after="0"/>
        <w:rPr>
          <w:rFonts w:ascii="Times New Roman" w:hAnsi="Times New Roman" w:cs="Times New Roman"/>
          <w:lang w:val="en-US"/>
        </w:rPr>
      </w:pPr>
      <w:r w:rsidRPr="009931C1">
        <w:rPr>
          <w:rFonts w:ascii="Times New Roman" w:hAnsi="Times New Roman" w:cs="Times New Roman"/>
          <w:b/>
          <w:lang w:val="en-US"/>
        </w:rPr>
        <w:lastRenderedPageBreak/>
        <w:t xml:space="preserve">Supplementary Table </w:t>
      </w:r>
      <w:r w:rsidR="00670982">
        <w:rPr>
          <w:rFonts w:ascii="Times New Roman" w:hAnsi="Times New Roman" w:cs="Times New Roman"/>
          <w:b/>
          <w:lang w:val="en-US"/>
        </w:rPr>
        <w:t>9</w:t>
      </w:r>
      <w:r w:rsidRPr="009931C1">
        <w:rPr>
          <w:rFonts w:ascii="Times New Roman" w:hAnsi="Times New Roman" w:cs="Times New Roman"/>
          <w:b/>
          <w:lang w:val="en-US"/>
        </w:rPr>
        <w:t>.</w:t>
      </w:r>
      <w:r w:rsidRPr="009931C1">
        <w:rPr>
          <w:rFonts w:ascii="Times New Roman" w:hAnsi="Times New Roman" w:cs="Times New Roman"/>
          <w:lang w:val="en-US"/>
        </w:rPr>
        <w:t xml:space="preserve"> Cost-effective LS screening programs of studies</w:t>
      </w:r>
      <w:r w:rsidR="009931C1" w:rsidRPr="009931C1">
        <w:rPr>
          <w:rFonts w:ascii="Times New Roman" w:hAnsi="Times New Roman" w:cs="Times New Roman"/>
          <w:lang w:val="en-US"/>
        </w:rPr>
        <w:t xml:space="preserve"> included</w:t>
      </w:r>
      <w:r w:rsidRPr="009931C1">
        <w:rPr>
          <w:rFonts w:ascii="Times New Roman" w:hAnsi="Times New Roman" w:cs="Times New Roman"/>
          <w:lang w:val="en-US"/>
        </w:rPr>
        <w:t>.</w:t>
      </w:r>
    </w:p>
    <w:tbl>
      <w:tblPr>
        <w:tblStyle w:val="PlainTable4"/>
        <w:tblW w:w="5000" w:type="pct"/>
        <w:tblLook w:val="04A0"/>
      </w:tblPr>
      <w:tblGrid>
        <w:gridCol w:w="1075"/>
        <w:gridCol w:w="714"/>
        <w:gridCol w:w="1383"/>
        <w:gridCol w:w="527"/>
        <w:gridCol w:w="1086"/>
        <w:gridCol w:w="1239"/>
        <w:gridCol w:w="1111"/>
        <w:gridCol w:w="933"/>
        <w:gridCol w:w="2061"/>
        <w:gridCol w:w="490"/>
        <w:gridCol w:w="1066"/>
        <w:gridCol w:w="865"/>
        <w:gridCol w:w="816"/>
        <w:gridCol w:w="808"/>
      </w:tblGrid>
      <w:tr w:rsidR="00B01A58" w:rsidRPr="009931C1" w:rsidTr="00B01A58">
        <w:trPr>
          <w:cnfStyle w:val="100000000000"/>
          <w:trHeight w:val="63"/>
          <w:tblHeader/>
        </w:trPr>
        <w:tc>
          <w:tcPr>
            <w:cnfStyle w:val="001000000000"/>
            <w:tcW w:w="379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First author, year, country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N.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Target population, age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Age cut-off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Clinical criteria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Tumor testing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 sequencing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Relatives cascade testing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Preventive strategy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Tier</w:t>
            </w:r>
          </w:p>
        </w:tc>
        <w:tc>
          <w:tcPr>
            <w:tcW w:w="125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ICERs</w:t>
            </w:r>
          </w:p>
        </w:tc>
      </w:tr>
      <w:tr w:rsidR="00B01A58" w:rsidRPr="009931C1" w:rsidTr="00B01A58">
        <w:trPr>
          <w:cnfStyle w:val="100000000000"/>
          <w:trHeight w:val="63"/>
          <w:tblHeader/>
        </w:trPr>
        <w:tc>
          <w:tcPr>
            <w:cnfStyle w:val="001000000000"/>
            <w:tcW w:w="37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727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Comparisons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LYG</w:t>
            </w: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QALY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Accepted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Brown 1995, USA</w:t>
            </w:r>
          </w:p>
        </w:tc>
        <w:tc>
          <w:tcPr>
            <w:tcW w:w="252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1.1</w:t>
            </w:r>
          </w:p>
        </w:tc>
        <w:tc>
          <w:tcPr>
            <w:tcW w:w="488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at age 25 (prev. 0.038%)</w:t>
            </w:r>
          </w:p>
        </w:tc>
        <w:tc>
          <w:tcPr>
            <w:tcW w:w="186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1-2 years</w:t>
            </w:r>
          </w:p>
        </w:tc>
        <w:tc>
          <w:tcPr>
            <w:tcW w:w="173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333,000</w:t>
            </w:r>
          </w:p>
        </w:tc>
        <w:tc>
          <w:tcPr>
            <w:tcW w:w="288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Brown 1995,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at age 25 (prev. 0.076%)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1-2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166,000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Brown 1995,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at age 25 (prev. 0.23%)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1-2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55,000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Brown 1995,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at age 25 (prev. 0.46%)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1-2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27,000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Brown 1995,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at age 25 (prev. 0.77%)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1-2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16,000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Brown 1995,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at age 25 (prev. 1.15%)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1-2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11,000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Bethesda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42,210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Bethesda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7,557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Bethesda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73,711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213,290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Bethesda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296,793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1,625,687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Bethesda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11,865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89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35,617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88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3.5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394,067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119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Bethesda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49,702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117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Bethesda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3.5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411,339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117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Bethesda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3.6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441,172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5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267,548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3.5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1,485,640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3.6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1,989,197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Ramsey 2003,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Subtotal colectomy (only for proband) or colonoscopy every 3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3.7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2,553,345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Kievit 2005,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4.0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Kievit 2005,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criteria or 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4.0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3,801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Kievit 2005,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criteria or 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4.0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2,184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Olsen 2007, Denmark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Families referred to LS registry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I/II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(from age 25 in high risk families)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508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Olsen 2007, Denmark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Families referred to LS registry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I/II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(from age 45 in moderate risk families)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1,600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Olsen 2007, Denmark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Families referred to LS registry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I/II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MLH1, MSH2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(from age 25 in high risk families and from age 45 in moderate risk families)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980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22,552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37,010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110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23,321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6.1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273,915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6.6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38,411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429,973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41,511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6.2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764,917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6.7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70,792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6.6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1,355,910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 xml:space="preserve">Mvundura </w:t>
            </w: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6.4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142,289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6.3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737,025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6.8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237,278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6.7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1,192,575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7,832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7,944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60,569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11,680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6.6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168,905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44,902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Mvundura 2010,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6.7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252,643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7.0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or EC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OR Clinical criteria/FH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Appropriate surgical/medical intervention and ongoing  surveillance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(0.0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401,019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(0.0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7.2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7,008,872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(0.0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343,870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(0.0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7.7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490,315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(0.0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335,900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(0.0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336,253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&gt;40)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(0.0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355,191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(2.5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59,357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(2.5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54,748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 xml:space="preserve">Dinh 2011, </w:t>
            </w: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7.7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General population </w:t>
            </w: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(age &gt;25)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(2.5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Colonoscopy every year + </w:t>
            </w: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7.9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92,555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(2.5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51,774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7.9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(2.5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48,352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7.9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(2.5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7.12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74,023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7.10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&gt;40)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(2.5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53,770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(5.0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31,241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(5.0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27,571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(5.0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7.14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44,537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(5.0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26,229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(5.0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24,585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(5.0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7.17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40,645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&gt;40)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(5.0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26,662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(10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13,300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(10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10,682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&gt;25)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(10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7.18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37,268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(10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8,994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(10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7.19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14,922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7.19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(10 risk </w:t>
            </w: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Colonoscopy every year + transvaginal US and endometrial </w:t>
            </w: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8,253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7.19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&gt;35)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(10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7.20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10,331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Dinh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7.20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(age &gt;40)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PREMM126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(10 risk threshold)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transvaginal US and endometrial biopsy every year or TAHBSO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7.0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7,745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Kwon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Kwon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≥1 FDR with LS cancer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Kwon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Kwon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&lt;60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Kwon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8.5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≥1 FDR with LS cancer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8.2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9,126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Kwon 2011,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8.5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648,494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MMR predict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MMR predict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MMRpro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30,600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50,562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 xml:space="preserve">Wang G 2012, </w:t>
            </w: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lastRenderedPageBreak/>
              <w:t>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9.7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Colonoscopy every year or subtotal colectomy + transvaginal US and endometrial </w:t>
            </w: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lastRenderedPageBreak/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9.5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39,600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65,347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lastRenderedPageBreak/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MMRpro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9.7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41,400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68,384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9.9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9.10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9.8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50,200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82,864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9.11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9.12*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36,200*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59,719*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9.13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9.14*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9.12*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179,576*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9.15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9.10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117,000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193,343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9.15*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9.12*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108,000*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9.16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9.15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293,000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393,303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lastRenderedPageBreak/>
              <w:t>Ladabaum 2011, USA</w:t>
            </w:r>
          </w:p>
          <w:p w:rsidR="00B01A58" w:rsidRPr="00701A89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</w:pPr>
            <w:r w:rsidRPr="00701A89">
              <w:rPr>
                <w:rFonts w:ascii="Times New Roman" w:hAnsi="Times New Roman" w:cs="Times New Roman"/>
                <w:b w:val="0"/>
                <w:sz w:val="14"/>
                <w:szCs w:val="14"/>
                <w:lang w:val="es-ES_tradnl"/>
              </w:rPr>
              <w:t>Wang G 2012,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9.16*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or subtotal colectomy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9.14*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271,219*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Wang VW 2012, Singapore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FDRs of LS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Colonoscopy, gastroscopy and urine cytology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11.2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Dominates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Wang VW 2012, Singapore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FDRs of LS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Colonoscopy, gastroscopy and urine cytology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Sie 2014,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12.1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Sie 2014,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12.2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12.1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2,703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01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≥45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6,021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≥45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6,444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≥45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5,831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≥45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5,610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31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13.5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≥45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5,491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BRAF + 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≥45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5,774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(+ MSI+BRAF)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≥45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7,601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(+ MSI+BRAF)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≥45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13.5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25,106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≥45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9,571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Snowsill 2015, UK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13.8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≥45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13.7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82,962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14.2B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258,253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or 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14.2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4,188,036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14.1A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14.2A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14.3A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14.4A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or 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14.5A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14.6A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14.7A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14.1B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14.2B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77,268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14.3B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14.4B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or 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14.5B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14.6B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Severin 2015, Germany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14.7B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Aspirin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Amst II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MMRpredict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MMRpredict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MMRpro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35,143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MMRpro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15.12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223,988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15.9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15.10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15.5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144,117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15.12*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46,925*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15.14*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15.12*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400,728*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15.15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15.16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15.6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996,878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15.16*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15.14*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940,024*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15.17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&gt;20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15.18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&gt;25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15.19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&gt;30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Barzi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15.20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Population &gt;35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PREMM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year +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Gallego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16.0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Gallego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Patients with suspected CRCP syndrome referred to genetics clinic 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 + EPCAM (Panel 1)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1-2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16.0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122,316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144,235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Gallego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Patients with suspected CRCP syndrome referred to genetics clinic 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Panel 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at recommended intervals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16.0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31,623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37,467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Gallego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Patients with suspected CRCP syndrome referred to genetics clinic 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Panel 2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at recommended intervals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16.1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14,703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17,436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Gallego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Patients with suspected CRCP syndrome referred to genetics clinic 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Panel 3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at recommended intervals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16.0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30,813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36,508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Gallego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Patients with suspected CRCP syndrome referred to genetics clinic 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Panel 3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at recommended intervals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16.2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16,227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19,242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Gallego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Patients with suspected CRCP syndrome referred to genetics clinic 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Panel 4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at recommended intervals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16.0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33,020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39,112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Gallego 2015, USA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16.4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Patients with suspected CRCP syndrome referred to genetics clinic 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Panel 4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at recommended intervals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16.3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65,539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77,319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Leenen 2016,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17.1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 + EPCAM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Leenen 2016,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17.2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&lt;60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 + EPCAM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17.1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4,226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Leenen 2016,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17.3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 + EPCAM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17.2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7,051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Leenen 2016,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17.3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 + EPCAM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17.4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7,341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Leenen 2016,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17.4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 + EPCAM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Chen 2016, Taiwan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18.1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6,025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110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Chen 2016, Taiwan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18.2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7,088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Chen 2016, Taiwan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18.2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18.1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260,824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Chen 2016, Taiwan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18.3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23,872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Chen 2016, Taiwan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18.3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18.2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302,129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Chen 2016, Taiwan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18.4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145,110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Chen 2016, Taiwan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18.4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18.3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988,217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19.2A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19.3A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19.4A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19.5A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19.6A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19.7A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19.8A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19.9A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19.10A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19.11A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19.12A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19.13A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19.14A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19.15A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19.2B°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19.3B°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19.5B°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6,368°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6,794°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19.4B°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19.5B°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NS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4,561°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4,866°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19.6B°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19.7B°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19.8B°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19.3B°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19,455°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20,757°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19.9B°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19.10B°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19.11B°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19.12B°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610,447°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651,283°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19.12B°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BRAF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19.13B°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363,043°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387,330°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19.13B°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19.8B°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27,089°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28,902°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19.14B°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CADTH 2016,</w:t>
            </w:r>
          </w:p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Canada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19.15B°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CRC patients</w:t>
            </w:r>
          </w:p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(age &gt;50)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IHC (including BRAF)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TAHBSO at age 45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Goverde 2016,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20.1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&lt;50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 + EPCAM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Goverde 2016,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20.2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≤70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Hyperm.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 + EPCAM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20.1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5,252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cnfStyle w:val="000000100000"/>
          <w:trHeight w:val="44"/>
        </w:trPr>
        <w:tc>
          <w:tcPr>
            <w:cnfStyle w:val="001000000000"/>
            <w:tcW w:w="379" w:type="pct"/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lastRenderedPageBreak/>
              <w:t>Goverde 2016, Netherlands</w:t>
            </w:r>
          </w:p>
        </w:tc>
        <w:tc>
          <w:tcPr>
            <w:tcW w:w="25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20.2</w:t>
            </w:r>
          </w:p>
        </w:tc>
        <w:tc>
          <w:tcPr>
            <w:tcW w:w="4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</w:t>
            </w:r>
          </w:p>
        </w:tc>
        <w:tc>
          <w:tcPr>
            <w:tcW w:w="18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≤70</w:t>
            </w:r>
          </w:p>
        </w:tc>
        <w:tc>
          <w:tcPr>
            <w:tcW w:w="38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43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</w:t>
            </w:r>
          </w:p>
        </w:tc>
        <w:tc>
          <w:tcPr>
            <w:tcW w:w="392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 + EPCAM</w:t>
            </w:r>
          </w:p>
        </w:tc>
        <w:tc>
          <w:tcPr>
            <w:tcW w:w="329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transvaginal US and endometrial biopsy every year or TAHBSO at age 40</w:t>
            </w:r>
          </w:p>
        </w:tc>
        <w:tc>
          <w:tcPr>
            <w:tcW w:w="173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Vs 20.3</w:t>
            </w:r>
          </w:p>
        </w:tc>
        <w:tc>
          <w:tcPr>
            <w:tcW w:w="30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6,668</w:t>
            </w:r>
          </w:p>
        </w:tc>
        <w:tc>
          <w:tcPr>
            <w:tcW w:w="288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B01A58" w:rsidRPr="009931C1" w:rsidRDefault="00B01A58" w:rsidP="00B01A58">
            <w:pPr>
              <w:jc w:val="center"/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</w:tr>
      <w:tr w:rsidR="00B01A58" w:rsidRPr="009931C1" w:rsidTr="00B01A58">
        <w:trPr>
          <w:trHeight w:val="44"/>
        </w:trPr>
        <w:tc>
          <w:tcPr>
            <w:cnfStyle w:val="001000000000"/>
            <w:tcW w:w="379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b w:val="0"/>
                <w:sz w:val="14"/>
                <w:szCs w:val="14"/>
                <w:lang w:val="en-US"/>
              </w:rPr>
              <w:t>Goverde 2016, Netherlands</w:t>
            </w:r>
          </w:p>
        </w:tc>
        <w:tc>
          <w:tcPr>
            <w:tcW w:w="252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20.3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New EC patients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&lt;70</w:t>
            </w: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RBG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MSI + IHC + MLH1 Hyperm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 MMR genes + EPCAM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Colonoscopy every 2 years + transvaginal US and endometrial biopsy every year or TAHBSO at age 40</w:t>
            </w:r>
          </w:p>
        </w:tc>
        <w:tc>
          <w:tcPr>
            <w:tcW w:w="173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305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B01A58" w:rsidRPr="009931C1" w:rsidRDefault="00B01A58" w:rsidP="00B01A58">
            <w:pPr>
              <w:jc w:val="center"/>
              <w:cnfStyle w:val="0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9931C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</w:tbl>
    <w:p w:rsidR="00B01A58" w:rsidRPr="009931C1" w:rsidRDefault="00B01A58" w:rsidP="00B01A58">
      <w:pPr>
        <w:spacing w:after="0"/>
        <w:rPr>
          <w:rFonts w:ascii="Times New Roman" w:hAnsi="Times New Roman" w:cs="Times New Roman"/>
          <w:sz w:val="15"/>
          <w:szCs w:val="15"/>
          <w:lang w:val="en-US"/>
        </w:rPr>
      </w:pPr>
      <w:r w:rsidRPr="009931C1">
        <w:rPr>
          <w:rFonts w:ascii="Times New Roman" w:hAnsi="Times New Roman" w:cs="Times New Roman"/>
          <w:sz w:val="15"/>
          <w:szCs w:val="15"/>
          <w:lang w:val="en-US"/>
        </w:rPr>
        <w:t>* Excluding clinical criteria strategies</w:t>
      </w:r>
    </w:p>
    <w:p w:rsidR="00B01A58" w:rsidRPr="009931C1" w:rsidRDefault="00B01A58" w:rsidP="00B01A58">
      <w:pPr>
        <w:rPr>
          <w:rFonts w:ascii="Times New Roman" w:hAnsi="Times New Roman" w:cs="Times New Roman"/>
          <w:sz w:val="15"/>
          <w:szCs w:val="15"/>
          <w:lang w:val="en-US"/>
        </w:rPr>
      </w:pPr>
      <w:r w:rsidRPr="009931C1">
        <w:rPr>
          <w:rFonts w:ascii="Times New Roman" w:hAnsi="Times New Roman" w:cs="Times New Roman"/>
          <w:sz w:val="15"/>
          <w:szCs w:val="15"/>
          <w:lang w:val="en-US"/>
        </w:rPr>
        <w:t>° Using MMR tumor status to guide chemotherapy decision-making</w:t>
      </w:r>
    </w:p>
    <w:p w:rsidR="00B01A58" w:rsidRPr="009931C1" w:rsidRDefault="00B01A58" w:rsidP="00B01A58">
      <w:pPr>
        <w:spacing w:after="0"/>
        <w:rPr>
          <w:rFonts w:ascii="Times New Roman" w:hAnsi="Times New Roman" w:cs="Times New Roman"/>
          <w:sz w:val="20"/>
          <w:szCs w:val="15"/>
          <w:lang w:val="en-US"/>
        </w:rPr>
      </w:pPr>
    </w:p>
    <w:p w:rsidR="00B01A58" w:rsidRPr="009931C1" w:rsidRDefault="00B01A58">
      <w:pPr>
        <w:rPr>
          <w:rFonts w:ascii="Times New Roman" w:hAnsi="Times New Roman" w:cs="Times New Roman"/>
          <w:b/>
          <w:sz w:val="20"/>
          <w:szCs w:val="15"/>
          <w:lang w:val="en-US"/>
        </w:rPr>
      </w:pPr>
      <w:r w:rsidRPr="009931C1">
        <w:rPr>
          <w:rFonts w:ascii="Times New Roman" w:hAnsi="Times New Roman" w:cs="Times New Roman"/>
          <w:b/>
          <w:sz w:val="20"/>
          <w:szCs w:val="15"/>
          <w:lang w:val="en-US"/>
        </w:rPr>
        <w:br w:type="page"/>
      </w:r>
    </w:p>
    <w:p w:rsidR="00B01A58" w:rsidRPr="009931C1" w:rsidRDefault="00B01A58" w:rsidP="00B01A58">
      <w:pPr>
        <w:spacing w:after="0"/>
        <w:rPr>
          <w:rFonts w:ascii="Times New Roman" w:hAnsi="Times New Roman" w:cs="Times New Roman"/>
          <w:b/>
          <w:sz w:val="20"/>
          <w:szCs w:val="15"/>
          <w:lang w:val="en-US"/>
        </w:rPr>
      </w:pPr>
      <w:r w:rsidRPr="009931C1">
        <w:rPr>
          <w:rFonts w:ascii="Times New Roman" w:hAnsi="Times New Roman" w:cs="Times New Roman"/>
          <w:b/>
          <w:sz w:val="20"/>
          <w:szCs w:val="15"/>
          <w:lang w:val="en-US"/>
        </w:rPr>
        <w:lastRenderedPageBreak/>
        <w:t xml:space="preserve">Notes: </w:t>
      </w:r>
      <w:r w:rsidRPr="009931C1">
        <w:rPr>
          <w:rFonts w:ascii="Times New Roman" w:hAnsi="Times New Roman" w:cs="Times New Roman"/>
          <w:sz w:val="20"/>
          <w:szCs w:val="15"/>
          <w:lang w:val="en-US"/>
        </w:rPr>
        <w:t>New CRC patients, newly diagnosed colorectal cancer patients; New EC patients, newly diagnosed  endometrial cancer patients; Amst II, Amsterdam II criteria; Bethesda, first edition of Bethesda Guidelines criteria; RBG, Revised Bethesda Guidelines criteria; Bethesda, first edition of Bethesda Guidelines criteria; MMRpro, MMRpro computational model; PREMM126, PREMM</w:t>
      </w:r>
      <w:r w:rsidRPr="009931C1">
        <w:rPr>
          <w:rFonts w:ascii="Times New Roman" w:hAnsi="Times New Roman" w:cs="Times New Roman"/>
          <w:sz w:val="20"/>
          <w:szCs w:val="15"/>
          <w:vertAlign w:val="subscript"/>
          <w:lang w:val="en-US"/>
        </w:rPr>
        <w:t>126</w:t>
      </w:r>
      <w:r w:rsidRPr="009931C1">
        <w:rPr>
          <w:rFonts w:ascii="Times New Roman" w:hAnsi="Times New Roman" w:cs="Times New Roman"/>
          <w:sz w:val="20"/>
          <w:szCs w:val="15"/>
          <w:lang w:val="en-US"/>
        </w:rPr>
        <w:t xml:space="preserve"> computational model; MMRpredict, MMRpredict computational model; IHC, immunohistochemistry testing; BRAF, BRAF testing; MSI, microsatellite instability testing; MLH1 Hyperm., MLH1 hypermethylation testing; 4 MMR genes, all 4 mismatch repair genes (MLH1, MSH2, MSH6, and PMS2); EPCAM, </w:t>
      </w:r>
      <w:r w:rsidRPr="009931C1">
        <w:rPr>
          <w:rFonts w:ascii="Times New Roman" w:hAnsi="Times New Roman" w:cs="Times New Roman"/>
          <w:i/>
          <w:sz w:val="20"/>
          <w:szCs w:val="15"/>
          <w:lang w:val="en-US"/>
        </w:rPr>
        <w:t>EPCAM</w:t>
      </w:r>
      <w:r w:rsidRPr="009931C1">
        <w:rPr>
          <w:rFonts w:ascii="Times New Roman" w:hAnsi="Times New Roman" w:cs="Times New Roman"/>
          <w:sz w:val="20"/>
          <w:szCs w:val="15"/>
          <w:lang w:val="en-US"/>
        </w:rPr>
        <w:t xml:space="preserve"> gene; Panel 1, Lynch-associated genes (</w:t>
      </w:r>
      <w:r w:rsidRPr="009931C1">
        <w:rPr>
          <w:rFonts w:ascii="Times New Roman" w:hAnsi="Times New Roman" w:cs="Times New Roman"/>
          <w:i/>
          <w:sz w:val="20"/>
          <w:szCs w:val="15"/>
          <w:lang w:val="en-US"/>
        </w:rPr>
        <w:t xml:space="preserve">MLH1, MSH2, MSH6, PMS2 </w:t>
      </w:r>
      <w:r w:rsidRPr="009931C1">
        <w:rPr>
          <w:rFonts w:ascii="Times New Roman" w:hAnsi="Times New Roman" w:cs="Times New Roman"/>
          <w:sz w:val="20"/>
          <w:szCs w:val="15"/>
          <w:lang w:val="en-US"/>
        </w:rPr>
        <w:t>and</w:t>
      </w:r>
      <w:r w:rsidRPr="009931C1">
        <w:rPr>
          <w:rFonts w:ascii="Times New Roman" w:hAnsi="Times New Roman" w:cs="Times New Roman"/>
          <w:i/>
          <w:sz w:val="20"/>
          <w:szCs w:val="15"/>
          <w:lang w:val="en-US"/>
        </w:rPr>
        <w:t xml:space="preserve"> EPCAM</w:t>
      </w:r>
      <w:r w:rsidRPr="009931C1">
        <w:rPr>
          <w:rFonts w:ascii="Times New Roman" w:hAnsi="Times New Roman" w:cs="Times New Roman"/>
          <w:sz w:val="20"/>
          <w:szCs w:val="15"/>
          <w:lang w:val="en-US"/>
        </w:rPr>
        <w:t>); Panel 2, Panel 1 + genes associated with autosomal dominant conditions and high colorectal cancer penetrance (</w:t>
      </w:r>
      <w:r w:rsidRPr="009931C1">
        <w:rPr>
          <w:rFonts w:ascii="Times New Roman" w:hAnsi="Times New Roman" w:cs="Times New Roman"/>
          <w:i/>
          <w:sz w:val="20"/>
          <w:szCs w:val="15"/>
          <w:lang w:val="en-US"/>
        </w:rPr>
        <w:t xml:space="preserve">APC, BMPR1A, SMAD4 </w:t>
      </w:r>
      <w:r w:rsidRPr="009931C1">
        <w:rPr>
          <w:rFonts w:ascii="Times New Roman" w:hAnsi="Times New Roman" w:cs="Times New Roman"/>
          <w:sz w:val="20"/>
          <w:szCs w:val="15"/>
          <w:lang w:val="en-US"/>
        </w:rPr>
        <w:t>and</w:t>
      </w:r>
      <w:r w:rsidRPr="009931C1">
        <w:rPr>
          <w:rFonts w:ascii="Times New Roman" w:hAnsi="Times New Roman" w:cs="Times New Roman"/>
          <w:i/>
          <w:sz w:val="20"/>
          <w:szCs w:val="15"/>
          <w:lang w:val="en-US"/>
        </w:rPr>
        <w:t xml:space="preserve"> STK11</w:t>
      </w:r>
      <w:r w:rsidRPr="009931C1">
        <w:rPr>
          <w:rFonts w:ascii="Times New Roman" w:hAnsi="Times New Roman" w:cs="Times New Roman"/>
          <w:sz w:val="20"/>
          <w:szCs w:val="15"/>
          <w:lang w:val="en-US"/>
        </w:rPr>
        <w:t>); Panel 3, Panel 2 + genes associated with autosomal recessive conditions and high colorectal cancer penetrance (</w:t>
      </w:r>
      <w:r w:rsidRPr="009931C1">
        <w:rPr>
          <w:rFonts w:ascii="Times New Roman" w:hAnsi="Times New Roman" w:cs="Times New Roman"/>
          <w:i/>
          <w:sz w:val="20"/>
          <w:szCs w:val="15"/>
          <w:lang w:val="en-US"/>
        </w:rPr>
        <w:t>MUTYH</w:t>
      </w:r>
      <w:r w:rsidRPr="009931C1">
        <w:rPr>
          <w:rFonts w:ascii="Times New Roman" w:hAnsi="Times New Roman" w:cs="Times New Roman"/>
          <w:sz w:val="20"/>
          <w:szCs w:val="15"/>
          <w:lang w:val="en-US"/>
        </w:rPr>
        <w:t>); Panel 4, Panel 3 + genes associated with autosomal dominant conditions with low penetrance of colorectal cancer (</w:t>
      </w:r>
      <w:r w:rsidRPr="009931C1">
        <w:rPr>
          <w:rFonts w:ascii="Times New Roman" w:hAnsi="Times New Roman" w:cs="Times New Roman"/>
          <w:i/>
          <w:sz w:val="20"/>
          <w:szCs w:val="15"/>
          <w:lang w:val="en-US"/>
        </w:rPr>
        <w:t>PTEN, TP53, CDH1</w:t>
      </w:r>
      <w:r w:rsidRPr="009931C1">
        <w:rPr>
          <w:rFonts w:ascii="Times New Roman" w:hAnsi="Times New Roman" w:cs="Times New Roman"/>
          <w:sz w:val="20"/>
          <w:szCs w:val="15"/>
          <w:lang w:val="en-US"/>
        </w:rPr>
        <w:t xml:space="preserve"> and others); Y, yes; TAHBSO, total abdominal hysterectomy and bilateral salpingo-oophorectomy; transvaginal US, transvaginal ultrasonography; Tier, the Centers for Disease Control and Prevention (CDC) classification of genomic applications; ICERs, incremental cost-effectiveness ratios; NS, no screening; LYG, life-years gained; QALY, quality-adjusted life-years.</w:t>
      </w:r>
    </w:p>
    <w:p w:rsidR="006E7E60" w:rsidRPr="009931C1" w:rsidRDefault="006E7E60">
      <w:pPr>
        <w:rPr>
          <w:rFonts w:ascii="Times New Roman" w:hAnsi="Times New Roman" w:cs="Times New Roman"/>
          <w:lang w:val="en-US"/>
        </w:rPr>
      </w:pPr>
    </w:p>
    <w:sectPr w:rsidR="006E7E60" w:rsidRPr="009931C1" w:rsidSect="00B01A58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7AE" w:rsidRDefault="00F207AE" w:rsidP="009931C1">
      <w:pPr>
        <w:spacing w:after="0" w:line="240" w:lineRule="auto"/>
      </w:pPr>
      <w:r>
        <w:separator/>
      </w:r>
    </w:p>
  </w:endnote>
  <w:endnote w:type="continuationSeparator" w:id="0">
    <w:p w:rsidR="00F207AE" w:rsidRDefault="00F207AE" w:rsidP="00993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428712"/>
      <w:docPartObj>
        <w:docPartGallery w:val="Page Numbers (Bottom of Page)"/>
        <w:docPartUnique/>
      </w:docPartObj>
    </w:sdtPr>
    <w:sdtContent>
      <w:p w:rsidR="00670982" w:rsidRDefault="00776EBF">
        <w:pPr>
          <w:pStyle w:val="Footer"/>
          <w:jc w:val="right"/>
        </w:pPr>
        <w:r>
          <w:fldChar w:fldCharType="begin"/>
        </w:r>
        <w:r w:rsidR="00670982">
          <w:instrText>PAGE   \* MERGEFORMAT</w:instrText>
        </w:r>
        <w:r>
          <w:fldChar w:fldCharType="separate"/>
        </w:r>
        <w:r w:rsidR="00453F11">
          <w:rPr>
            <w:noProof/>
          </w:rPr>
          <w:t>22</w:t>
        </w:r>
        <w:r>
          <w:fldChar w:fldCharType="end"/>
        </w:r>
      </w:p>
    </w:sdtContent>
  </w:sdt>
  <w:p w:rsidR="00670982" w:rsidRDefault="006709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7AE" w:rsidRDefault="00F207AE" w:rsidP="009931C1">
      <w:pPr>
        <w:spacing w:after="0" w:line="240" w:lineRule="auto"/>
      </w:pPr>
      <w:r>
        <w:separator/>
      </w:r>
    </w:p>
  </w:footnote>
  <w:footnote w:type="continuationSeparator" w:id="0">
    <w:p w:rsidR="00F207AE" w:rsidRDefault="00F207AE" w:rsidP="00993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06605"/>
    <w:multiLevelType w:val="hybridMultilevel"/>
    <w:tmpl w:val="936E5294"/>
    <w:lvl w:ilvl="0" w:tplc="F8903C52">
      <w:start w:val="15"/>
      <w:numFmt w:val="bullet"/>
      <w:lvlText w:val="*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D807E8"/>
    <w:multiLevelType w:val="hybridMultilevel"/>
    <w:tmpl w:val="35BA9890"/>
    <w:lvl w:ilvl="0" w:tplc="78306904">
      <w:start w:val="15"/>
      <w:numFmt w:val="bullet"/>
      <w:lvlText w:val="*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1A58"/>
    <w:rsid w:val="00262A20"/>
    <w:rsid w:val="00346A3F"/>
    <w:rsid w:val="00453F11"/>
    <w:rsid w:val="005D1AD5"/>
    <w:rsid w:val="005F0BB7"/>
    <w:rsid w:val="00670982"/>
    <w:rsid w:val="0068683A"/>
    <w:rsid w:val="006E7E60"/>
    <w:rsid w:val="00701A89"/>
    <w:rsid w:val="00776EBF"/>
    <w:rsid w:val="007F7053"/>
    <w:rsid w:val="008148FD"/>
    <w:rsid w:val="008C2DFA"/>
    <w:rsid w:val="009931C1"/>
    <w:rsid w:val="00A266E9"/>
    <w:rsid w:val="00A851B9"/>
    <w:rsid w:val="00B01A58"/>
    <w:rsid w:val="00C543A4"/>
    <w:rsid w:val="00DC6F04"/>
    <w:rsid w:val="00E00500"/>
    <w:rsid w:val="00F11724"/>
    <w:rsid w:val="00F207AE"/>
    <w:rsid w:val="00FE6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E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4">
    <w:name w:val="Plain Table 4"/>
    <w:basedOn w:val="TableNormal"/>
    <w:uiPriority w:val="44"/>
    <w:rsid w:val="00B01A5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1">
    <w:name w:val="Plain Table 41"/>
    <w:basedOn w:val="TableNormal"/>
    <w:uiPriority w:val="44"/>
    <w:rsid w:val="00B01A5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59"/>
    <w:rsid w:val="00B01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A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31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1C1"/>
  </w:style>
  <w:style w:type="paragraph" w:styleId="Footer">
    <w:name w:val="footer"/>
    <w:basedOn w:val="Normal"/>
    <w:link w:val="FooterChar"/>
    <w:uiPriority w:val="99"/>
    <w:unhideWhenUsed/>
    <w:rsid w:val="009931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1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4">
    <w:name w:val="Plain Table 4"/>
    <w:basedOn w:val="TableNormal"/>
    <w:uiPriority w:val="44"/>
    <w:rsid w:val="00B01A5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1">
    <w:name w:val="Plain Table 41"/>
    <w:basedOn w:val="TableNormal"/>
    <w:uiPriority w:val="44"/>
    <w:rsid w:val="00B01A5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59"/>
    <w:rsid w:val="00B01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A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31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1C1"/>
  </w:style>
  <w:style w:type="paragraph" w:styleId="Footer">
    <w:name w:val="footer"/>
    <w:basedOn w:val="Normal"/>
    <w:link w:val="FooterChar"/>
    <w:uiPriority w:val="99"/>
    <w:unhideWhenUsed/>
    <w:rsid w:val="009931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1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2F9D0-B559-4807-AB63-BA89471AA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22</Pages>
  <Words>7809</Words>
  <Characters>44516</Characters>
  <Application>Microsoft Office Word</Application>
  <DocSecurity>0</DocSecurity>
  <Lines>370</Lines>
  <Paragraphs>104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Di Marco</dc:creator>
  <cp:lastModifiedBy>shanmugam.s</cp:lastModifiedBy>
  <cp:revision>6</cp:revision>
  <dcterms:created xsi:type="dcterms:W3CDTF">2017-10-24T14:43:00Z</dcterms:created>
  <dcterms:modified xsi:type="dcterms:W3CDTF">2017-12-26T12:51:00Z</dcterms:modified>
</cp:coreProperties>
</file>