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935A7C" w14:textId="77777777" w:rsidR="00934B25" w:rsidRDefault="00934B25">
      <w:pPr>
        <w:rPr>
          <w:rFonts w:ascii="Times New Roman" w:hAnsi="Times New Roman" w:cs="Times New Roman"/>
          <w:b/>
          <w:sz w:val="24"/>
          <w:szCs w:val="24"/>
        </w:rPr>
      </w:pPr>
      <w:r>
        <w:rPr>
          <w:rFonts w:ascii="Times New Roman" w:hAnsi="Times New Roman" w:cs="Times New Roman"/>
          <w:b/>
          <w:sz w:val="24"/>
          <w:szCs w:val="24"/>
        </w:rPr>
        <w:t xml:space="preserve">Supplementary Information </w:t>
      </w:r>
    </w:p>
    <w:p w14:paraId="3CE861CD" w14:textId="77777777" w:rsidR="00934B25" w:rsidRDefault="00934B25">
      <w:pPr>
        <w:rPr>
          <w:rFonts w:ascii="Times New Roman" w:hAnsi="Times New Roman" w:cs="Times New Roman"/>
          <w:b/>
          <w:sz w:val="24"/>
          <w:szCs w:val="24"/>
        </w:rPr>
      </w:pPr>
      <w:r>
        <w:rPr>
          <w:rFonts w:ascii="Times New Roman" w:hAnsi="Times New Roman" w:cs="Times New Roman"/>
          <w:b/>
          <w:sz w:val="24"/>
          <w:szCs w:val="24"/>
        </w:rPr>
        <w:t>Supplementary Methods</w:t>
      </w:r>
    </w:p>
    <w:p w14:paraId="695DFC21" w14:textId="2D5027D3" w:rsidR="00731084" w:rsidRDefault="41EAD2C0" w:rsidP="41EAD2C0">
      <w:pPr>
        <w:jc w:val="both"/>
        <w:rPr>
          <w:rFonts w:ascii="Times New Roman" w:eastAsia="Times New Roman" w:hAnsi="Times New Roman" w:cs="Times New Roman"/>
          <w:b/>
          <w:bCs/>
          <w:sz w:val="24"/>
          <w:szCs w:val="24"/>
        </w:rPr>
      </w:pPr>
      <w:r w:rsidRPr="41EAD2C0">
        <w:rPr>
          <w:rFonts w:ascii="Times New Roman" w:eastAsia="Times New Roman" w:hAnsi="Times New Roman" w:cs="Times New Roman"/>
          <w:b/>
          <w:bCs/>
          <w:sz w:val="24"/>
          <w:szCs w:val="24"/>
        </w:rPr>
        <w:t xml:space="preserve">Polysaccharide degradation tests: </w:t>
      </w:r>
      <w:r w:rsidRPr="41EAD2C0">
        <w:rPr>
          <w:rFonts w:ascii="Times New Roman" w:eastAsia="Times New Roman" w:hAnsi="Times New Roman" w:cs="Times New Roman"/>
          <w:sz w:val="24"/>
          <w:szCs w:val="24"/>
        </w:rPr>
        <w:t xml:space="preserve">Genome annotations of selected PCWDEs (plant cell wall degrading enzymes) encoded within </w:t>
      </w:r>
      <w:r w:rsidR="00C86B1B">
        <w:rPr>
          <w:rFonts w:ascii="Times New Roman" w:eastAsia="Times New Roman" w:hAnsi="Times New Roman" w:cs="Times New Roman"/>
          <w:i/>
          <w:iCs/>
          <w:sz w:val="24"/>
          <w:szCs w:val="24"/>
        </w:rPr>
        <w:t>Brenneria goodwinii</w:t>
      </w:r>
      <w:r w:rsidRPr="41EAD2C0">
        <w:rPr>
          <w:rFonts w:ascii="Times New Roman" w:eastAsia="Times New Roman" w:hAnsi="Times New Roman" w:cs="Times New Roman"/>
          <w:sz w:val="24"/>
          <w:szCs w:val="24"/>
        </w:rPr>
        <w:t xml:space="preserve"> FRB141, </w:t>
      </w:r>
      <w:r w:rsidR="00C86B1B">
        <w:rPr>
          <w:rFonts w:ascii="Times New Roman" w:eastAsia="Times New Roman" w:hAnsi="Times New Roman" w:cs="Times New Roman"/>
          <w:i/>
          <w:iCs/>
          <w:sz w:val="24"/>
          <w:szCs w:val="24"/>
        </w:rPr>
        <w:t>Gibbsiella quercinecans</w:t>
      </w:r>
      <w:r w:rsidRPr="41EAD2C0">
        <w:rPr>
          <w:rFonts w:ascii="Times New Roman" w:eastAsia="Times New Roman" w:hAnsi="Times New Roman" w:cs="Times New Roman"/>
          <w:sz w:val="24"/>
          <w:szCs w:val="24"/>
        </w:rPr>
        <w:t xml:space="preserve"> FRB97, and </w:t>
      </w:r>
      <w:proofErr w:type="spellStart"/>
      <w:r w:rsidR="00C86B1B">
        <w:rPr>
          <w:rFonts w:ascii="Times New Roman" w:eastAsia="Times New Roman" w:hAnsi="Times New Roman" w:cs="Times New Roman"/>
          <w:i/>
          <w:iCs/>
          <w:sz w:val="24"/>
          <w:szCs w:val="24"/>
        </w:rPr>
        <w:t>Rahnella</w:t>
      </w:r>
      <w:proofErr w:type="spellEnd"/>
      <w:r w:rsidR="00C86B1B">
        <w:rPr>
          <w:rFonts w:ascii="Times New Roman" w:eastAsia="Times New Roman" w:hAnsi="Times New Roman" w:cs="Times New Roman"/>
          <w:i/>
          <w:iCs/>
          <w:sz w:val="24"/>
          <w:szCs w:val="24"/>
        </w:rPr>
        <w:t xml:space="preserve"> </w:t>
      </w:r>
      <w:proofErr w:type="spellStart"/>
      <w:r w:rsidR="00C86B1B">
        <w:rPr>
          <w:rFonts w:ascii="Times New Roman" w:eastAsia="Times New Roman" w:hAnsi="Times New Roman" w:cs="Times New Roman"/>
          <w:i/>
          <w:iCs/>
          <w:sz w:val="24"/>
          <w:szCs w:val="24"/>
        </w:rPr>
        <w:t>victoriana</w:t>
      </w:r>
      <w:proofErr w:type="spellEnd"/>
      <w:r w:rsidRPr="41EAD2C0">
        <w:rPr>
          <w:rFonts w:ascii="Times New Roman" w:eastAsia="Times New Roman" w:hAnsi="Times New Roman" w:cs="Times New Roman"/>
          <w:sz w:val="24"/>
          <w:szCs w:val="24"/>
        </w:rPr>
        <w:t xml:space="preserve"> BRK18a were validated phenotypically on polysaccharide substrates to qualitatively test for degradation (Supplementary Figure S7). Three biological replicates of each species were incubated overnight in nutrient broth (</w:t>
      </w:r>
      <w:proofErr w:type="spellStart"/>
      <w:r w:rsidRPr="41EAD2C0">
        <w:rPr>
          <w:rFonts w:ascii="Times New Roman" w:eastAsia="Times New Roman" w:hAnsi="Times New Roman" w:cs="Times New Roman"/>
          <w:sz w:val="24"/>
          <w:szCs w:val="24"/>
        </w:rPr>
        <w:t>Oxoid</w:t>
      </w:r>
      <w:proofErr w:type="spellEnd"/>
      <w:r w:rsidRPr="41EAD2C0">
        <w:rPr>
          <w:rFonts w:ascii="Times New Roman" w:eastAsia="Times New Roman" w:hAnsi="Times New Roman" w:cs="Times New Roman"/>
          <w:sz w:val="24"/>
          <w:szCs w:val="24"/>
        </w:rPr>
        <w:t xml:space="preserve">) at 28˚C at 150 rpm and used as </w:t>
      </w:r>
      <w:proofErr w:type="spellStart"/>
      <w:r w:rsidRPr="41EAD2C0">
        <w:rPr>
          <w:rFonts w:ascii="Times New Roman" w:eastAsia="Times New Roman" w:hAnsi="Times New Roman" w:cs="Times New Roman"/>
          <w:sz w:val="24"/>
          <w:szCs w:val="24"/>
        </w:rPr>
        <w:t>inocula</w:t>
      </w:r>
      <w:proofErr w:type="spellEnd"/>
      <w:r w:rsidRPr="41EAD2C0">
        <w:rPr>
          <w:rFonts w:ascii="Times New Roman" w:eastAsia="Times New Roman" w:hAnsi="Times New Roman" w:cs="Times New Roman"/>
          <w:sz w:val="24"/>
          <w:szCs w:val="24"/>
        </w:rPr>
        <w:t xml:space="preserve"> for replicate polysaccharide degradation tests. For polysaccharide degradation tests, nutrient agar (</w:t>
      </w:r>
      <w:proofErr w:type="spellStart"/>
      <w:r w:rsidRPr="41EAD2C0">
        <w:rPr>
          <w:rFonts w:ascii="Times New Roman" w:eastAsia="Times New Roman" w:hAnsi="Times New Roman" w:cs="Times New Roman"/>
          <w:sz w:val="24"/>
          <w:szCs w:val="24"/>
        </w:rPr>
        <w:t>Oxoid</w:t>
      </w:r>
      <w:proofErr w:type="spellEnd"/>
      <w:r w:rsidRPr="41EAD2C0">
        <w:rPr>
          <w:rFonts w:ascii="Times New Roman" w:eastAsia="Times New Roman" w:hAnsi="Times New Roman" w:cs="Times New Roman"/>
          <w:sz w:val="24"/>
          <w:szCs w:val="24"/>
        </w:rPr>
        <w:t xml:space="preserve">) was supplemented with three different polysaccharide substrates; 0.5% (w/v) </w:t>
      </w:r>
      <w:proofErr w:type="spellStart"/>
      <w:r w:rsidRPr="41EAD2C0">
        <w:rPr>
          <w:rFonts w:ascii="Times New Roman" w:eastAsia="Times New Roman" w:hAnsi="Times New Roman" w:cs="Times New Roman"/>
          <w:sz w:val="24"/>
          <w:szCs w:val="24"/>
        </w:rPr>
        <w:t>carboxymethylcellulose</w:t>
      </w:r>
      <w:proofErr w:type="spellEnd"/>
      <w:r w:rsidRPr="41EAD2C0">
        <w:rPr>
          <w:rFonts w:ascii="Times New Roman" w:eastAsia="Times New Roman" w:hAnsi="Times New Roman" w:cs="Times New Roman"/>
          <w:sz w:val="24"/>
          <w:szCs w:val="24"/>
        </w:rPr>
        <w:t xml:space="preserve"> (CMC) (</w:t>
      </w:r>
      <w:proofErr w:type="spellStart"/>
      <w:r w:rsidRPr="41EAD2C0">
        <w:rPr>
          <w:rFonts w:ascii="Times New Roman" w:eastAsia="Times New Roman" w:hAnsi="Times New Roman" w:cs="Times New Roman"/>
          <w:sz w:val="24"/>
          <w:szCs w:val="24"/>
        </w:rPr>
        <w:t>Oxoid</w:t>
      </w:r>
      <w:proofErr w:type="spellEnd"/>
      <w:r w:rsidRPr="41EAD2C0">
        <w:rPr>
          <w:rFonts w:ascii="Times New Roman" w:eastAsia="Times New Roman" w:hAnsi="Times New Roman" w:cs="Times New Roman"/>
          <w:sz w:val="24"/>
          <w:szCs w:val="24"/>
        </w:rPr>
        <w:t xml:space="preserve">), 0.5% (w/v) tannic acid (TA) (Sigma), or 0.25% (w/v) </w:t>
      </w:r>
      <w:proofErr w:type="spellStart"/>
      <w:r w:rsidRPr="41EAD2C0">
        <w:rPr>
          <w:rFonts w:ascii="Times New Roman" w:eastAsia="Times New Roman" w:hAnsi="Times New Roman" w:cs="Times New Roman"/>
          <w:sz w:val="24"/>
          <w:szCs w:val="24"/>
        </w:rPr>
        <w:t>polygalacturonic</w:t>
      </w:r>
      <w:proofErr w:type="spellEnd"/>
      <w:r w:rsidRPr="41EAD2C0">
        <w:rPr>
          <w:rFonts w:ascii="Times New Roman" w:eastAsia="Times New Roman" w:hAnsi="Times New Roman" w:cs="Times New Roman"/>
          <w:sz w:val="24"/>
          <w:szCs w:val="24"/>
        </w:rPr>
        <w:t xml:space="preserve"> acid (PGA) (Sigma). Replicate broth cultures of each bacterial species were pipetted onto agar plates in 50 µl volumes and incubated at 28˚C. TA plates were visually inspected after two days for signs of degradation, which was visible as a brown/black discolouration surrounding the colony. After 5 days, CMC plates were flooded with 0.1% Congo red dye for 15 mins, followed by </w:t>
      </w:r>
      <w:proofErr w:type="spellStart"/>
      <w:r w:rsidRPr="41EAD2C0">
        <w:rPr>
          <w:rFonts w:ascii="Times New Roman" w:eastAsia="Times New Roman" w:hAnsi="Times New Roman" w:cs="Times New Roman"/>
          <w:sz w:val="24"/>
          <w:szCs w:val="24"/>
        </w:rPr>
        <w:t>destaining</w:t>
      </w:r>
      <w:proofErr w:type="spellEnd"/>
      <w:r w:rsidRPr="41EAD2C0">
        <w:rPr>
          <w:rFonts w:ascii="Times New Roman" w:eastAsia="Times New Roman" w:hAnsi="Times New Roman" w:cs="Times New Roman"/>
          <w:sz w:val="24"/>
          <w:szCs w:val="24"/>
        </w:rPr>
        <w:t xml:space="preserve"> by two washes with 1 M </w:t>
      </w:r>
      <w:proofErr w:type="spellStart"/>
      <w:r w:rsidRPr="41EAD2C0">
        <w:rPr>
          <w:rFonts w:ascii="Times New Roman" w:eastAsia="Times New Roman" w:hAnsi="Times New Roman" w:cs="Times New Roman"/>
          <w:sz w:val="24"/>
          <w:szCs w:val="24"/>
        </w:rPr>
        <w:t>NaCl</w:t>
      </w:r>
      <w:proofErr w:type="spellEnd"/>
      <w:r w:rsidRPr="41EAD2C0">
        <w:rPr>
          <w:rFonts w:ascii="Times New Roman" w:eastAsia="Times New Roman" w:hAnsi="Times New Roman" w:cs="Times New Roman"/>
          <w:sz w:val="24"/>
          <w:szCs w:val="24"/>
        </w:rPr>
        <w:t xml:space="preserve"> (sodium chloride) on a shaking incubator (50 rpm) for 15 mins at room temperature. Agar plates were visualised for cellulolytic activity, visible as a zone of clearing around the bacterial culture (Farrow and Arnold, 2011). After 11 days, PGA plates were stained with 1% </w:t>
      </w:r>
      <w:proofErr w:type="spellStart"/>
      <w:r w:rsidRPr="41EAD2C0">
        <w:rPr>
          <w:rFonts w:ascii="Times New Roman" w:eastAsia="Times New Roman" w:hAnsi="Times New Roman" w:cs="Times New Roman"/>
          <w:sz w:val="24"/>
          <w:szCs w:val="24"/>
        </w:rPr>
        <w:t>cetyl</w:t>
      </w:r>
      <w:proofErr w:type="spellEnd"/>
      <w:r w:rsidRPr="41EAD2C0">
        <w:rPr>
          <w:rFonts w:ascii="Times New Roman" w:eastAsia="Times New Roman" w:hAnsi="Times New Roman" w:cs="Times New Roman"/>
          <w:sz w:val="24"/>
          <w:szCs w:val="24"/>
        </w:rPr>
        <w:t xml:space="preserve"> trimethylammonium bromide (CTAB) and incubated overnight at room temperature, shaking gently at 50 rpm. </w:t>
      </w:r>
      <w:proofErr w:type="spellStart"/>
      <w:r w:rsidRPr="41EAD2C0">
        <w:rPr>
          <w:rFonts w:ascii="Times New Roman" w:eastAsia="Times New Roman" w:hAnsi="Times New Roman" w:cs="Times New Roman"/>
          <w:sz w:val="24"/>
          <w:szCs w:val="24"/>
        </w:rPr>
        <w:t>Polygalacturonase</w:t>
      </w:r>
      <w:proofErr w:type="spellEnd"/>
      <w:r w:rsidRPr="41EAD2C0">
        <w:rPr>
          <w:rFonts w:ascii="Times New Roman" w:eastAsia="Times New Roman" w:hAnsi="Times New Roman" w:cs="Times New Roman"/>
          <w:sz w:val="24"/>
          <w:szCs w:val="24"/>
        </w:rPr>
        <w:t xml:space="preserve"> (PG) activity was visible as a translucent halo around the bacterial colony (</w:t>
      </w:r>
      <w:proofErr w:type="spellStart"/>
      <w:r w:rsidRPr="41EAD2C0">
        <w:rPr>
          <w:rFonts w:ascii="Times New Roman" w:eastAsia="Times New Roman" w:hAnsi="Times New Roman" w:cs="Times New Roman"/>
          <w:sz w:val="24"/>
          <w:szCs w:val="24"/>
        </w:rPr>
        <w:t>Cesbron</w:t>
      </w:r>
      <w:proofErr w:type="spellEnd"/>
      <w:r w:rsidRPr="41EAD2C0">
        <w:rPr>
          <w:rFonts w:ascii="Times New Roman" w:eastAsia="Times New Roman" w:hAnsi="Times New Roman" w:cs="Times New Roman"/>
          <w:sz w:val="24"/>
          <w:szCs w:val="24"/>
        </w:rPr>
        <w:t xml:space="preserve"> </w:t>
      </w:r>
      <w:r w:rsidRPr="41EAD2C0">
        <w:rPr>
          <w:rFonts w:ascii="Times New Roman" w:eastAsia="Times New Roman" w:hAnsi="Times New Roman" w:cs="Times New Roman"/>
          <w:i/>
          <w:iCs/>
          <w:sz w:val="24"/>
          <w:szCs w:val="24"/>
        </w:rPr>
        <w:t>et al.</w:t>
      </w:r>
      <w:r w:rsidRPr="41EAD2C0">
        <w:rPr>
          <w:rFonts w:ascii="Times New Roman" w:eastAsia="Times New Roman" w:hAnsi="Times New Roman" w:cs="Times New Roman"/>
          <w:sz w:val="24"/>
          <w:szCs w:val="24"/>
        </w:rPr>
        <w:t>, 2015).</w:t>
      </w:r>
    </w:p>
    <w:p w14:paraId="62B42E48" w14:textId="1831106F" w:rsidR="00934B25" w:rsidRPr="00A82529" w:rsidRDefault="00934B25" w:rsidP="00934B25">
      <w:pPr>
        <w:jc w:val="both"/>
        <w:rPr>
          <w:rFonts w:ascii="Times New Roman" w:hAnsi="Times New Roman" w:cs="Times New Roman"/>
          <w:b/>
          <w:sz w:val="24"/>
          <w:szCs w:val="24"/>
        </w:rPr>
      </w:pPr>
      <w:r w:rsidRPr="009C7988">
        <w:rPr>
          <w:rFonts w:ascii="Times New Roman" w:hAnsi="Times New Roman" w:cs="Times New Roman"/>
          <w:b/>
          <w:sz w:val="24"/>
          <w:szCs w:val="24"/>
        </w:rPr>
        <w:t xml:space="preserve">Bioinformatic analysis: </w:t>
      </w:r>
      <w:r w:rsidRPr="009C7988">
        <w:rPr>
          <w:rFonts w:ascii="Times New Roman" w:hAnsi="Times New Roman" w:cs="Times New Roman"/>
          <w:sz w:val="24"/>
          <w:szCs w:val="24"/>
        </w:rPr>
        <w:t>General bioinformatic analyses were carried out on a locally installed Bio-Linux 8 workstation</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164CB8">
        <w:rPr>
          <w:rFonts w:ascii="Times New Roman" w:hAnsi="Times New Roman" w:cs="Times New Roman"/>
          <w:sz w:val="24"/>
          <w:szCs w:val="24"/>
        </w:rPr>
        <w:instrText>ADDIN CSL_CITATION { "citationItems" : [ { "id" : "ITEM-1", "itemData" : { "DOI" : "10.1038/nbt0706-801", "ISBN" : "1087-0156", "ISSN" : "1087-0156", "PMID" : "16841067", "abstract" : "Developing and deploying specialized computing systems for specific research communities is achievable, cost effective and has wide-ranging benefits.", "author" : [ { "dropping-particle" : "", "family" : "Field", "given" : "Dawn", "non-dropping-particle" : "", "parse-names" : false, "suffix" : "" }, { "dropping-particle" : "", "family" : "Tiwari", "given" : "Bela", "non-dropping-particle" : "", "parse-names" : false, "suffix" : "" }, { "dropping-particle" : "", "family" : "Booth", "given" : "Tim", "non-dropping-particle" : "", "parse-names" : false, "suffix" : "" }, { "dropping-particle" : "", "family" : "Houten", "given" : "Stewart", "non-dropping-particle" : "", "parse-names" : false, "suffix" : "" }, { "dropping-particle" : "", "family" : "Swan", "given" : "Dan", "non-dropping-particle" : "", "parse-names" : false, "suffix" : "" }, { "dropping-particle" : "", "family" : "Bertrand", "given" : "Nicolas", "non-dropping-particle" : "", "parse-names" : false, "suffix" : "" }, { "dropping-particle" : "", "family" : "Thurston", "given" : "Milo", "non-dropping-particle" : "", "parse-names" : false, "suffix" : "" } ], "container-title" : "Nature biotechnology", "id" : "ITEM-1", "issue" : "7", "issued" : { "date-parts" : [ [ "2006" ] ] }, "page" : "801-803", "title" : "Open software for biologists: from famine to feast.", "type" : "article-journal", "volume" : "24" }, "uris" : [ "http://www.mendeley.com/documents/?uuid=9ca0c2de-a231-47d7-8125-1e3e4dcbe8b0" ] } ], "mendeley" : { "formattedCitation" : "(Field &lt;i&gt;et al.&lt;/i&gt;, 2006)", "plainTextFormattedCitation" : "(Field et al., 2006)", "previouslyFormattedCitation" : "(Field &lt;i&gt;et al.&lt;/i&gt;, 2006)"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(Field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2006)</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and applications requiring high computing power were undertaken on the High Performance Computing (HPC) Wales supercomputing network.</w:t>
      </w:r>
    </w:p>
    <w:p w14:paraId="594A2CC2" w14:textId="771497A6" w:rsidR="00934B25" w:rsidRPr="00A82529" w:rsidRDefault="00934B25" w:rsidP="00934B25">
      <w:pPr>
        <w:jc w:val="both"/>
        <w:rPr>
          <w:rFonts w:ascii="Times New Roman" w:hAnsi="Times New Roman" w:cs="Times New Roman"/>
          <w:b/>
          <w:sz w:val="24"/>
          <w:szCs w:val="24"/>
        </w:rPr>
      </w:pPr>
      <w:r w:rsidRPr="009C7988">
        <w:rPr>
          <w:rFonts w:ascii="Times New Roman" w:hAnsi="Times New Roman" w:cs="Times New Roman"/>
          <w:b/>
          <w:sz w:val="24"/>
          <w:szCs w:val="24"/>
        </w:rPr>
        <w:t>Genome assembly:</w:t>
      </w:r>
      <w:r w:rsidRPr="009C7988">
        <w:rPr>
          <w:rFonts w:ascii="Times New Roman" w:hAnsi="Times New Roman" w:cs="Times New Roman"/>
          <w:i/>
          <w:iCs/>
          <w:sz w:val="24"/>
          <w:szCs w:val="24"/>
        </w:rPr>
        <w:t xml:space="preserve"> de novo </w:t>
      </w:r>
      <w:r w:rsidRPr="009C7988">
        <w:rPr>
          <w:rFonts w:ascii="Times New Roman" w:hAnsi="Times New Roman" w:cs="Times New Roman"/>
          <w:iCs/>
          <w:sz w:val="24"/>
          <w:szCs w:val="24"/>
        </w:rPr>
        <w:t>genome</w:t>
      </w:r>
      <w:r w:rsidRPr="009C7988">
        <w:rPr>
          <w:rFonts w:ascii="Times New Roman" w:hAnsi="Times New Roman" w:cs="Times New Roman"/>
          <w:sz w:val="24"/>
          <w:szCs w:val="24"/>
        </w:rPr>
        <w:t xml:space="preserve"> assembly was performed on an Amazon EC2 image using the hierarchical genome assembly 3 (HGAP3) workflow</w:t>
      </w:r>
      <w:r w:rsidR="006947AF">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"10.1038/nmeth.2474", "ISBN" : "1548-7091", "ISSN" : "1548-7091", "PMID" : "23644548", "abstract" : "We present a hierarchical genome-assembly process (HGAP) for high-quality de novo microbial genome assemblies using only a single, long-insert shotgun DNA library in conjunction with Single Molecule, Real-Time (SMRT) DNA sequencing. Our method uses the longest reads as seeds to recruit all other reads for construction of highly accurate preassembled reads through a directed acyclic graph\u2013based consensus procedure, which we follow with assembly using off-the-shelf long-read assemblers. In contrast to hybrid approaches, HGAP does not require highly accurate raw reads for error correction. We demonstrate efficient genome assembly for several microorganisms using as few as three SMRT Cell zero- mode waveguide arrays of sequencing and for BACs using just one SMRT Cell. Long repeat regions can be successfully resolved with this workflow. We also describe a consensus algorithm that incorporates SMRT sequencing primary quality values to produce de novo genome sequence exceeding 99.999% accuracy.", "author" : [ { "dropping-particle" : "", "family" : "Chin", "given" : "Chen-Shan", "non-dropping-particle" : "", "parse-names" : false, "suffix" : "" }, { "dropping-particle" : "", "family" : "Alexander", "given" : "David H", "non-dropping-particle" : "", "parse-names" : false, "suffix" : "" }, { "dropping-particle" : "", "family" : "Marks", "given" : "Patrick", "non-dropping-particle" : "", "parse-names" : false, "suffix" : "" }, { "dropping-particle" : "", "family" : "Klammer", "given" : "Aaron A", "non-dropping-particle" : "", "parse-names" : false, "suffix" : "" }, { "dropping-particle" : "", "family" : "Drake", "given" : "James", "non-dropping-particle" : "", "parse-names" : false, "suffix" : "" }, { "dropping-particle" : "", "family" : "Heiner", "given" : "Cheryl", "non-dropping-particle" : "", "parse-names" : false, "suffix" : "" }, { "dropping-particle" : "", "family" : "Clum", "given" : "Alicia", "non-dropping-particle" : "", "parse-names" : false, "suffix" : "" }, { "dropping-particle" : "", "family" : "Copeland", "given" : "Alex", "non-dropping-particle" : "", "parse-names" : false, "suffix" : "" }, { "dropping-particle" : "", "family" : "Huddleston", "given" : "John", "non-dropping-particle" : "", "parse-names" : false, "suffix" : "" }, { "dropping-particle" : "", "family" : "Eichler", "given" : "Evan E", "non-dropping-particle" : "", "parse-names" : false, "suffix" : "" }, { "dropping-particle" : "", "family" : "Turner", "given" : "Stephen W", "non-dropping-particle" : "", "parse-names" : false, "suffix" : "" }, { "dropping-particle" : "", "family" : "Korlach", "given" : "Jonas", "non-dropping-particle" : "", "parse-names" : false, "suffix" : "" } ], "container-title" : "Nature Methods", "id" : "ITEM-1", "issue" : "6", "issued" : { "date-parts" : [ [ "2013" ] ] }, "page" : "563-569", "publisher" : "Nature Publishing Group", "title" : "Nonhybrid, finished microbial genome assemblies from long-read SMRT sequencing data", "type" : "article-journal", "volume" : "10" }, "uris" : [ "http://www.mendeley.com/documents/?uuid=f6aebf7b-091a-4e40-822e-cf6508d474a2" ] } ], "mendeley" : { "formattedCitation" : "(Chin &lt;i&gt;et al.&lt;/i&gt;, 2013)", "plainTextFormattedCitation" : "(Chin et al., 2013)", "previouslyFormattedCitation" : "(Chin &lt;i&gt;et al.&lt;/i&gt;, 2013)"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(Chin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2013)</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incorporating the CELERA assembler. Resultant assemblies produced complete circular contigs for the </w:t>
      </w:r>
      <w:r w:rsidRPr="009C7988">
        <w:rPr>
          <w:rFonts w:ascii="Times New Roman" w:hAnsi="Times New Roman" w:cs="Times New Roman"/>
          <w:i/>
          <w:iCs/>
          <w:sz w:val="24"/>
          <w:szCs w:val="24"/>
        </w:rPr>
        <w:t>Gibbsiella quercinecans</w:t>
      </w:r>
      <w:r w:rsidRPr="009C7988">
        <w:rPr>
          <w:rFonts w:ascii="Times New Roman" w:hAnsi="Times New Roman" w:cs="Times New Roman"/>
          <w:sz w:val="24"/>
          <w:szCs w:val="24"/>
        </w:rPr>
        <w:t xml:space="preserve"> FRB97 (T) and </w:t>
      </w:r>
      <w:r w:rsidRPr="009C7988">
        <w:rPr>
          <w:rFonts w:ascii="Times New Roman" w:hAnsi="Times New Roman" w:cs="Times New Roman"/>
          <w:i/>
          <w:sz w:val="24"/>
          <w:szCs w:val="24"/>
        </w:rPr>
        <w:t>Brenneria goodwinii</w:t>
      </w:r>
      <w:r w:rsidRPr="009C7988">
        <w:rPr>
          <w:rFonts w:ascii="Times New Roman" w:hAnsi="Times New Roman" w:cs="Times New Roman"/>
          <w:sz w:val="24"/>
          <w:szCs w:val="24"/>
        </w:rPr>
        <w:t xml:space="preserve"> FRB141 (T) genomes, with average coverages of 400x and 393x, respectively. The assemblies were finished using Quiver consensus polisher, giving mean confidence values (QV) of 49 for both genomes. The </w:t>
      </w:r>
      <w:proofErr w:type="spellStart"/>
      <w:r w:rsidRPr="009C7988">
        <w:rPr>
          <w:rFonts w:ascii="Times New Roman" w:hAnsi="Times New Roman" w:cs="Times New Roman"/>
          <w:i/>
          <w:sz w:val="24"/>
          <w:szCs w:val="24"/>
        </w:rPr>
        <w:t>Rahnella</w:t>
      </w:r>
      <w:proofErr w:type="spellEnd"/>
      <w:r w:rsidRPr="009C7988">
        <w:rPr>
          <w:rFonts w:ascii="Times New Roman" w:hAnsi="Times New Roman" w:cs="Times New Roman"/>
          <w:i/>
          <w:sz w:val="24"/>
          <w:szCs w:val="24"/>
        </w:rPr>
        <w:t xml:space="preserve"> </w:t>
      </w:r>
      <w:proofErr w:type="spellStart"/>
      <w:r w:rsidRPr="009C7988">
        <w:rPr>
          <w:rFonts w:ascii="Times New Roman" w:hAnsi="Times New Roman" w:cs="Times New Roman"/>
          <w:i/>
          <w:sz w:val="24"/>
          <w:szCs w:val="24"/>
        </w:rPr>
        <w:t>victoriana</w:t>
      </w:r>
      <w:proofErr w:type="spellEnd"/>
      <w:r w:rsidRPr="009C7988">
        <w:rPr>
          <w:rFonts w:ascii="Times New Roman" w:hAnsi="Times New Roman" w:cs="Times New Roman"/>
          <w:sz w:val="24"/>
          <w:szCs w:val="24"/>
        </w:rPr>
        <w:t xml:space="preserve"> BRK18a (T) genome was assembled at the Centre for Genomic Research (CGR), University of Liverpool. HGAP3 assembled the genome into two contigs, which had an average sequencing coverage of 145x and 129x. The assembly was finished using Quiver consensus polisher, giving both contigs mean confidence values (QV) of 49.</w:t>
      </w:r>
    </w:p>
    <w:p w14:paraId="153B6EB4" w14:textId="6C0ABEE0" w:rsidR="00934B25" w:rsidRPr="00A82529" w:rsidRDefault="00934B25" w:rsidP="00934B25">
      <w:pPr>
        <w:jc w:val="both"/>
        <w:rPr>
          <w:rFonts w:ascii="Times New Roman" w:hAnsi="Times New Roman" w:cs="Times New Roman"/>
          <w:b/>
          <w:sz w:val="24"/>
          <w:szCs w:val="24"/>
        </w:rPr>
      </w:pPr>
      <w:r w:rsidRPr="009C7988">
        <w:rPr>
          <w:rFonts w:ascii="Times New Roman" w:hAnsi="Times New Roman" w:cs="Times New Roman"/>
          <w:b/>
          <w:sz w:val="24"/>
          <w:szCs w:val="24"/>
        </w:rPr>
        <w:t xml:space="preserve">Genome annotation: </w:t>
      </w:r>
      <w:r w:rsidRPr="009C7988">
        <w:rPr>
          <w:rFonts w:ascii="Times New Roman" w:hAnsi="Times New Roman" w:cs="Times New Roman"/>
          <w:sz w:val="24"/>
          <w:szCs w:val="24"/>
        </w:rPr>
        <w:t xml:space="preserve">Whole genome general annotations were automatically generated using the </w:t>
      </w:r>
      <w:proofErr w:type="spellStart"/>
      <w:r w:rsidRPr="009C7988">
        <w:rPr>
          <w:rFonts w:ascii="Times New Roman" w:hAnsi="Times New Roman" w:cs="Times New Roman"/>
          <w:sz w:val="24"/>
          <w:szCs w:val="24"/>
        </w:rPr>
        <w:t>Prokka</w:t>
      </w:r>
      <w:proofErr w:type="spellEnd"/>
      <w:r w:rsidRPr="009C7988">
        <w:rPr>
          <w:rFonts w:ascii="Times New Roman" w:hAnsi="Times New Roman" w:cs="Times New Roman"/>
          <w:sz w:val="24"/>
          <w:szCs w:val="24"/>
        </w:rPr>
        <w:t xml:space="preserve"> annotation pipeline v1.11</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"10.1093/bioinformatics/btu153", "ISSN" : "1367-4811", "PMID" : "24642063", "abstract" : "SUMMARY: The multiplex capability and high yield of current day DNA sequencing instruments has made bacterial whole genome sequencing a routine affair. The subsequent de novo assembly of reads into contigs has been well addressed. The final step of annotating all relevant genomic features on those contig can be achieved slowly using existing web and email-based systems, but these are not applicable for sensitive data or integrating into computational pipelines. Here we introduce Prokka, a command line software tool to fully annotate a draft bacterial genome in about ten minutes on a typical desktop computer. It produces standards-compliant output files for further analysis or viewing in genome browsers. AVAILABILITY AND IMPLEMENTATION: Prokka is implemented in Perl and is freely available under an open source GPLv2 license from http://vicbioinformatics.com/. CONTACT: torsten.seemann@monash.edu.", "author" : [ { "dropping-particle" : "", "family" : "Seemann", "given" : "Torsten", "non-dropping-particle" : "", "parse-names" : false, "suffix" : "" } ], "container-title" : "Bioinformatics (Oxford, England)", "id" : "ITEM-1", "issue" : "14", "issued" : { "date-parts" : [ [ "2014", "3", "18" ] ] }, "page" : "2068-2069", "title" : "Prokka: rapid prokaryotic genome annotation.", "type" : "article-journal", "volume" : "30" }, "uris" : [ "http://www.mendeley.com/documents/?uuid=73cde18a-e63b-4502-a109-50547fa51c0e" ] } ], "mendeley" : { "formattedCitation" : "(Seemann, 2014)", "plainTextFormattedCitation" : "(Seemann, 2014)", "previouslyFormattedCitation" : "(Seemann, 2014)"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(Seemann, 2014)</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and the RAST online annotation server</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381280">
        <w:rPr>
          <w:rFonts w:ascii="Times New Roman" w:hAnsi="Times New Roman" w:cs="Times New Roman"/>
          <w:sz w:val="24"/>
          <w:szCs w:val="24"/>
        </w:rPr>
        <w:instrText>ADDIN CSL_CITATION { "citationItems" : [ { "id" : "ITEM-1", "itemData" : { "DOI" : "10.1186/1471-2164-9-75", "ISBN" : "1471216497", "ISSN" : "1471-2164", "PMID" : "18261238", "abstract" : "BACKGROUND: The number of prokaryotic genome sequences becoming available is growing steadily and is growing faster than our ability to accurately annotate them. DESCRIPTION: We describe a fully automated service for annotating bacterial and archaeal genomes. The service identifies protein-encoding, rRNA and tRNA genes, assigns functions to the genes, predicts which subsystems are represented in the genome, uses this information to reconstruct the metabolic network and makes the output easily downloadable for the user. In addition, the annotated genome can be browsed in an environment that supports comparative analysis with the annotated genomes maintained in the SEED environment. The service normally makes the annotated genome available within 12-24 hours of submission, but ultimately the quality of such a service will be judged in terms of accuracy, consistency, and completeness of the produced annotations. We summarize our attempts to address these issues and discuss plans for incrementally enhancing the service. CONCLUSION: By providing accurate, rapid annotation freely to the community we have created an important community resource. The service has now been utilized by over 120 external users annotating over 350 distinct genomes.", "author" : [ { "dropping-particle" : "", "family" : "Aziz", "given" : "Ramy K", "non-dropping-particle" : "", "parse-names" : false, "suffix" : "" }, { "dropping-particle" : "", "family" : "Bartels", "given" : "Daniela", "non-dropping-particle" : "", "parse-names" : false, "suffix" : "" }, { "dropping-particle" : "", "family" : "Best", "given" : "Aaron A", "non-dropping-particle" : "", "parse-names" : false, "suffix" : "" }, { "dropping-particle" : "", "family" : "DeJongh", "given" : "Matthew", "non-dropping-particle" : "", "parse-names" : false, "suffix" : "" }, { "dropping-particle" : "", "family" : "Disz", "given" : "Terrence", "non-dropping-particle" : "", "parse-names" : false, "suffix" : "" }, { "dropping-particle" : "", "family" : "Edwards", "given" : "Robert A", "non-dropping-particle" : "", "parse-names" : false, "suffix" : "" }, { "dropping-particle" : "", "family" : "Formsma", "given" : "Kevin", "non-dropping-particle" : "", "parse-names" : false, "suffix" : "" }, { "dropping-particle" : "", "family" : "Gerdes", "given" : "Svetlana", "non-dropping-particle" : "", "parse-names" : false, "suffix" : "" }, { "dropping-particle" : "", "family" : "Glass", "given" : "Elizabeth M", "non-dropping-particle" : "", "parse-names" : false, "suffix" : "" }, { "dropping-particle" : "", "family" : "Kubal", "given" : "Michael", "non-dropping-particle" : "", "parse-names" : false, "suffix" : "" }, { "dropping-particle" : "", "family" : "Meyer", "given" : "Folker", "non-dropping-particle" : "", "parse-names" : false, "suffix" : "" }, { "dropping-particle" : "", "family" : "Olsen", "given" : "Gary J", "non-dropping-particle" : "", "parse-names" : false, "suffix" : "" }, { "dropping-particle" : "", "family" : "Olson", "given" : "Robert", "non-dropping-particle" : "", "parse-names" : false, "suffix" : "" }, { "dropping-particle" : "", "family" : "Osterman", "given" : "Andrei L", "non-dropping-particle" : "", "parse-names" : false, "suffix" : "" }, { "dropping-particle" : "", "family" : "Overbeek", "given" : "Ross A", "non-dropping-particle" : "", "parse-names" : false, "suffix" : "" }, { "dropping-particle" : "", "family" : "McNeil", "given" : "Leslie K", "non-dropping-particle" : "", "parse-names" : false, "suffix" : "" }, { "dropping-particle" : "", "family" : "Paarmann", "given" : "Daniel", "non-dropping-particle" : "", "parse-names" : false, "suffix" : "" }, { "dropping-particle" : "", "family" : "Paczian", "given" : "Tobias", "non-dropping-particle" : "", "parse-names" : false, "suffix" : "" }, { "dropping-particle" : "", "family" : "Parrello", "given" : "Bruce", "non-dropping-particle" : "", "parse-names" : false, "suffix" : "" }, { "dropping-particle" : "", "family" : "Pusch", "given" : "Gordon D", "non-dropping-particle" : "", "parse-names" : false, "suffix" : "" }, { "dropping-particle" : "", "family" : "Reich", "given" : "Claudia", "non-dropping-particle" : "", "parse-names" : false, "suffix" : "" }, { "dropping-particle" : "", "family" : "Stevens", "given" : "Rick", "non-dropping-particle" : "", "parse-names" : false, "suffix" : "" }, { "dropping-particle" : "", "family" : "Vassieva", "given" : "Olga", "non-dropping-particle" : "", "parse-names" : false, "suffix" : "" }, { "dropping-particle" : "", "family" : "Vonstein", "given" : "Veronika", "non-dropping-particle" : "", "parse-names" : false, "suffix" : "" }, { "dropping-particle" : "", "family" : "Wilke", "given" : "Andreas", "non-dropping-particle" : "", "parse-names" : false, "suffix" : "" }, { "dropping-particle" : "", "family" : "Zagnitko", "given" : "Olga", "non-dropping-particle" : "", "parse-names" : false, "suffix" : "" } ], "container-title" : "BMC genomics", "id" : "ITEM-1", "issued" : { "date-parts" : [ [ "2008", "1" ] ] }, "page" : "75", "title" : "The RAST server: rapid annotations using subsystems technology.", "type" : "article-journal", "volume" : "9" }, "uris" : [ "http://www.mendeley.com/documents/?uuid=9a583534-ad39-4737-a8e8-ae6d519dc1c3" ] } ], "mendeley" : { "formattedCitation" : "(Aziz &lt;i&gt;et al.&lt;/i&gt;, 2008)", "plainTextFormattedCitation" : "(Aziz et al., 2008)", "previouslyFormattedCitation" : "(Aziz &lt;i&gt;et al.&lt;/i&gt;, 2008)"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(Aziz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2008)</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w:t>
      </w:r>
      <w:proofErr w:type="spellStart"/>
      <w:r w:rsidRPr="009C7988">
        <w:rPr>
          <w:rFonts w:ascii="Times New Roman" w:hAnsi="Times New Roman" w:cs="Times New Roman"/>
          <w:sz w:val="24"/>
          <w:szCs w:val="24"/>
        </w:rPr>
        <w:t>Prokka</w:t>
      </w:r>
      <w:proofErr w:type="spellEnd"/>
      <w:r w:rsidRPr="009C7988">
        <w:rPr>
          <w:rFonts w:ascii="Times New Roman" w:hAnsi="Times New Roman" w:cs="Times New Roman"/>
          <w:sz w:val="24"/>
          <w:szCs w:val="24"/>
        </w:rPr>
        <w:t xml:space="preserve"> annotations were used as input to search for CAZymes, which were automatically identified using the </w:t>
      </w:r>
      <w:proofErr w:type="spellStart"/>
      <w:r w:rsidRPr="009C7988">
        <w:rPr>
          <w:rFonts w:ascii="Times New Roman" w:hAnsi="Times New Roman" w:cs="Times New Roman"/>
          <w:sz w:val="24"/>
          <w:szCs w:val="24"/>
        </w:rPr>
        <w:t>dbCAN</w:t>
      </w:r>
      <w:proofErr w:type="spellEnd"/>
      <w:r w:rsidRPr="009C7988">
        <w:rPr>
          <w:rFonts w:ascii="Times New Roman" w:hAnsi="Times New Roman" w:cs="Times New Roman"/>
          <w:sz w:val="24"/>
          <w:szCs w:val="24"/>
        </w:rPr>
        <w:t xml:space="preserve"> online server</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"10.1093/nar/gks479", "ISBN" : "0305-1048", "ISSN" : "03051048", "PMID" : "22645317", "abstract" : "Carbohydrate-active enzymes (CAZymes) are very important to the biotech industry, particularly the emerging biofuel industry because CAZymes are responsible for the synthesis, degradation and modification of all the carbohydrates on Earth. We have developed a web resource, dbCAN (http://csbl.bmb.uga.edu/dbCAN/annotate.php), to provide a capability for automated CAZyme signature domain-based annotation for any given protein data set (e.g. proteins from a newly sequenced genome) submitted to our server. To accomplish this, we have explicitly defined a signature domain for every CAZyme family, derived based on the CDD (conserved domain database) search and literature curation. We have also constructed a hidden Markov model to represent the signature domain of each CAZyme family. These CAZyme family-specific HMMs are our key contribution and the foundation for the automated CAZyme annotation.", "author" : [ { "dropping-particle" : "", "family" : "Yin", "given" : "Yanbin", "non-dropping-particle" : "", "parse-names" : false, "suffix" : "" }, { "dropping-particle" : "", "family" : "Mao", "given" : "Xizeng", "non-dropping-particle" : "", "parse-names" : false, "suffix" : "" }, { "dropping-particle" : "", "family" : "Yang", "given" : "Jincai", "non-dropping-particle" : "", "parse-names" : false, "suffix" : "" }, { "dropping-particle" : "", "family" : "Chen", "given" : "Xin", "non-dropping-particle" : "", "parse-names" : false, "suffix" : "" }, { "dropping-particle" : "", "family" : "Mao", "given" : "Fenglou", "non-dropping-particle" : "", "parse-names" : false, "suffix" : "" }, { "dropping-particle" : "", "family" : "Xu", "given" : "Ying", "non-dropping-particle" : "", "parse-names" : false, "suffix" : "" } ], "container-title" : "Nucleic Acids Research", "id" : "ITEM-1", "issue" : "May", "issued" : { "date-parts" : [ [ "2012" ] ] }, "page" : "445-451", "title" : "DbCAN: A web resource for automated carbohydrate-active enzyme annotation", "type" : "article-journal", "volume" : "40" }, "uris" : [ "http://www.mendeley.com/documents/?uuid=a76feeb8-b794-4276-b204-7f007d0d8906" ] } ], "mendeley" : { "formattedCitation" : "(Yin &lt;i&gt;et al.&lt;/i&gt;, 2012)", "plainTextFormattedCitation" : "(Yin et al., 2012)", "previouslyFormattedCitation" : "(Yin &lt;i&gt;et al.&lt;/i&gt;, 2012)"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(Yin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2012)</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Type III, IV and VI secretion systems were annotated using T346 hunter</w:t>
      </w:r>
      <w:r w:rsidR="006947AF">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"10.1371/journal.pone.0119317", "ISBN" : "1932-6203", "ISSN" : "19326203", "PMID" : "25867189", "abstract" : "T346Hunter (Type Three, Four and Six secretion system Hunter) is a web-based tool for the identification and localisation of type III, type IV and type VI secretion systems (T3SS, T4SS and T6SS, respectively) clusters in bacterial genomes. Non-flagellar T3SS (NF-T3SS) and T6SS are complex molecular machines that deliver effector proteins from bacterial cells into the environment or into other eukaryotic or prokaryotic cells, with significant implications for pathogenesis of the strains encoding them. Meanwhile, T4SS is a more functionally diverse system, which is involved in not only effector translocation but also conjugation and DNA uptake/release. Development of control strategies against bacterial-mediated diseases requires genomic identification of the virulence arsenal of pathogenic bacteria, with T3SS, T4SS and T6SS being major determinants in this regard. Therefore, computational methods for systematic identification of these specialised machines are of particular interest. With the aim of facilitating this task, T346Hunter provides a user-friendly web-based tool for the prediction of T3SS, T4SS and T6SS clusters in newly sequenced bacterial genomes. After inspection of the available scientific literature, we constructed a database of hidden Markov model (HMM) protein profiles and sequences representing the various components of T3SS, T4SS and T6SS. T346Hunter performs searches of such a database against user-supplied bacterial sequences and localises enriched regions in any of these three types of secretion systems. Moreover, through the T346Hunter server, users can visualise the predicted clusters obtained for approximately 1700 bacterial chromosomes and plasmids. T346Hunter offers great help to researchers in advancing their understanding of the biological mechanisms in which these sophisticated molecular machines are involved. T346Hunter is freely available at http://bacterial-virulence-factors.cbgp.upm.es/T346Hunter.", "author" : [ { "dropping-particle" : "", "family" : "Mart\u00ednez-Garc\u00eda", "given" : "Pedro Manuel", "non-dropping-particle" : "", "parse-names" : false, "suffix" : "" }, { "dropping-particle" : "", "family" : "Ramos", "given" : "Cayo", "non-dropping-particle" : "", "parse-names" : false, "suffix" : "" }, { "dropping-particle" : "", "family" : "Rodr\u00edguez-Palenzuela", "given" : "Pablo", "non-dropping-particle" : "", "parse-names" : false, "suffix" : "" } ], "container-title" : "PLoS ONE", "id" : "ITEM-1", "issue" : "4", "issued" : { "date-parts" : [ [ "2015" ] ] }, "page" : "e0119317", "title" : "T346Hunter: A novel web-based tool for the prediction of type III, type IV and type VI secretion systems in bacterial genomes", "type" : "article-journal", "volume" : "10" }, "uris" : [ "http://www.mendeley.com/documents/?uuid=61a6b55e-d3a8-4568-9703-ae0f968cbb82" ] } ], "mendeley" : { "formattedCitation" : "(Mart\u00ednez-Garc\u00eda &lt;i&gt;et al.&lt;/i&gt;, 2015)", "plainTextFormattedCitation" : "(Mart\u00ednez-Garc\u00eda et al., 2015)", "previouslyFormattedCitation" : "(Mart\u00ednez-Garc\u00eda &lt;i&gt;et al.&lt;/i&gt;, 2015)"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(Martínez-García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2015)</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Whole genomes were displayed using the genome visualisation aesthetic </w:t>
      </w:r>
      <w:proofErr w:type="spellStart"/>
      <w:r w:rsidRPr="009C7988">
        <w:rPr>
          <w:rFonts w:ascii="Times New Roman" w:hAnsi="Times New Roman" w:cs="Times New Roman"/>
          <w:sz w:val="24"/>
          <w:szCs w:val="24"/>
        </w:rPr>
        <w:t>Circos</w:t>
      </w:r>
      <w:proofErr w:type="spellEnd"/>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"10.1101/gr.092759.109", "ISBN" : "1549-5469 (Electronic)\\r1088-9051 (Linking)", "ISSN" : "1088-9051", "PMID" : "19541911", "author" : [ { "dropping-particle" : "", "family" : "Krzywinski", "given" : "Martin", "non-dropping-particle" : "", "parse-names" : false, "suffix" : "" }, { "dropping-particle" : "", "family" : "Schein", "given" : "Jacqueline", "non-dropping-particle" : "", "parse-names" : false, "suffix" : "" }, { "dropping-particle" : "", "family" : "Birol", "given" : "I", "non-dropping-particle" : "", "parse-names" : false, "suffix" : "" }, { "dropping-particle" : "", "family" : "Connors", "given" : "J", "non-dropping-particle" : "", "parse-names" : false, "suffix" : "" }, { "dropping-particle" : "", "family" : "Gascoyne", "given" : "R", "non-dropping-particle" : "", "parse-names" : false, "suffix" : "" }, { "dropping-particle" : "", "family" : "Horsman", "given" : "D", "non-dropping-particle" : "", "parse-names" : false, "suffix" : "" }, { "dropping-particle" : "", "family" : "Jones", "given" : "S J", "non-dropping-particle" : "", "parse-names" : false, "suffix" : "" }, { "dropping-particle" : "", "family" : "Marra", "given" : "M A", "non-dropping-particle" : "", "parse-names" : false, "suffix" : "" } ], "container-title" : "Genome Res", "id" : "ITEM-1", "issue" : "604", "issued" : { "date-parts" : [ [ "2009" ] ] }, "page" : "1639-1645", "title" : "Circos: an information esthetic for comparative genomics", "type" : "article-journal", "volume" : "19" }, "uris" : [ "http://www.mendeley.com/documents/?uuid=93782349-9009-446f-8148-ecfd7d24bfed" ] } ], "mendeley" : { "formattedCitation" : "(Krzywinski &lt;i&gt;et al.&lt;/i&gt;, 2009)", "plainTextFormattedCitation" : "(Krzywinski et al., 2009)", "previouslyFormattedCitation" : "(Krzywinski &lt;i&gt;et al.&lt;/i&gt;, 2009)"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(Krzywinski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2009)</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w:t>
      </w:r>
      <w:proofErr w:type="spellStart"/>
      <w:r w:rsidRPr="009C7988">
        <w:rPr>
          <w:rFonts w:ascii="Times New Roman" w:hAnsi="Times New Roman" w:cs="Times New Roman"/>
          <w:sz w:val="24"/>
          <w:szCs w:val="24"/>
        </w:rPr>
        <w:t>Circos</w:t>
      </w:r>
      <w:proofErr w:type="spellEnd"/>
      <w:r w:rsidRPr="009C7988">
        <w:rPr>
          <w:rFonts w:ascii="Times New Roman" w:hAnsi="Times New Roman" w:cs="Times New Roman"/>
          <w:sz w:val="24"/>
          <w:szCs w:val="24"/>
        </w:rPr>
        <w:t xml:space="preserve"> input data was generated using Bowtie2 v2.2.4</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"10.1038/nmeth.1923", "ISBN" : "1548-7105 (Electronic)\\r1548-7091 (Linking)", "ISSN" : "1548-7105", "PMID" : "22388286", "abstract" : "As the rate of sequencing increases, greater throughput is demanded from read aligners. The full-text minute index is often used to make alignment very fast and memory-efficient, but the approach is ill-suited to finding longer, gapped alignments. Bowtie 2 combines the strengths of the full-text minute index with the flexibility and speed of hardware-accelerated dynamic programming algorithms to achieve a combination of high speed, sensitivity and accuracy.", "author" : [ { "dropping-particle" : "", "family" : "Langmead", "given" : "Ben", "non-dropping-particle" : "", "parse-names" : false, "suffix" : "" }, { "dropping-particle" : "", "family" : "Salzberg", "given" : "Steven L", "non-dropping-particle" : "", "parse-names" : false, "suffix" : "" } ], "container-title" : "Nature methods", "id" : "ITEM-1", "issue" : "4", "issued" : { "date-parts" : [ [ "2012" ] ] }, "page" : "357-9", "title" : "Fast gapped-read alignment with Bowtie 2.", "type" : "article-journal", "volume" : "9" }, "uris" : [ "http://www.mendeley.com/documents/?uuid=cb2847b8-1a06-44c2-bbc0-83912d769be4" ] } ], "mendeley" : { "formattedCitation" : "(Langmead and Salzberg, 2012)", "plainTextFormattedCitation" : "(Langmead and Salzberg, 2012)", "previouslyFormattedCitation" : "(Langmead and Salzberg, 2012)"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(Langmead </w:t>
      </w:r>
      <w:r w:rsidR="006947AF" w:rsidRPr="006947AF">
        <w:rPr>
          <w:rFonts w:ascii="Times New Roman" w:hAnsi="Times New Roman" w:cs="Times New Roman"/>
          <w:noProof/>
          <w:sz w:val="24"/>
          <w:szCs w:val="24"/>
        </w:rPr>
        <w:lastRenderedPageBreak/>
        <w:t>and Salzberg, 2012)</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w:t>
      </w:r>
      <w:proofErr w:type="spellStart"/>
      <w:r w:rsidRPr="009C7988">
        <w:rPr>
          <w:rFonts w:ascii="Times New Roman" w:hAnsi="Times New Roman" w:cs="Times New Roman"/>
          <w:sz w:val="24"/>
          <w:szCs w:val="24"/>
        </w:rPr>
        <w:t>BEDTools</w:t>
      </w:r>
      <w:proofErr w:type="spellEnd"/>
      <w:r w:rsidRPr="009C7988">
        <w:rPr>
          <w:rFonts w:ascii="Times New Roman" w:hAnsi="Times New Roman" w:cs="Times New Roman"/>
          <w:sz w:val="24"/>
          <w:szCs w:val="24"/>
        </w:rPr>
        <w:t xml:space="preserve"> v2.17.0</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"10.1093/bioinformatics/btq033", "ISBN" : "1367-4811 (Electronic)\\n1367-4803 (Linking)", "ISSN" : "13674803", "PMID" : "20110278", "abstract" : "Testing for correlations between different sets of genomic features is a fundamental task in genomics research. However, searching for overlaps between features with existing web-based methods is complicated by the massive datasets that are routinely produced with current sequencing technologies. Fast and flexible tools are therefore required to ask complex questions of these data in an efficient manner.", "author" : [ { "dropping-particle" : "", "family" : "Quinlan", "given" : "Aaron R.", "non-dropping-particle" : "", "parse-names" : false, "suffix" : "" }, { "dropping-particle" : "", "family" : "Hall", "given" : "Ira M.", "non-dropping-particle" : "", "parse-names" : false, "suffix" : "" } ], "container-title" : "Bioinformatics", "id" : "ITEM-1", "issue" : "6", "issued" : { "date-parts" : [ [ "2010" ] ] }, "page" : "841-842", "title" : "BEDTools: A flexible suite of utilities for comparing genomic features", "type" : "article-journal", "volume" : "26" }, "uris" : [ "http://www.mendeley.com/documents/?uuid=0d898ad0-4c7a-4e5b-99cc-2731cecd5fd0" ] } ], "mendeley" : { "formattedCitation" : "(Quinlan and Hall, 2010)", "plainTextFormattedCitation" : "(Quinlan and Hall, 2010)", "previouslyFormattedCitation" : "(Quinlan and Hall, 2010)"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(Quinlan and Hall, 2010)</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and </w:t>
      </w:r>
      <w:proofErr w:type="spellStart"/>
      <w:r w:rsidRPr="009C7988">
        <w:rPr>
          <w:rFonts w:ascii="Times New Roman" w:hAnsi="Times New Roman" w:cs="Times New Roman"/>
          <w:sz w:val="24"/>
          <w:szCs w:val="24"/>
        </w:rPr>
        <w:t>SAMtools</w:t>
      </w:r>
      <w:proofErr w:type="spellEnd"/>
      <w:r w:rsidRPr="009C7988">
        <w:rPr>
          <w:rFonts w:ascii="Times New Roman" w:hAnsi="Times New Roman" w:cs="Times New Roman"/>
          <w:sz w:val="24"/>
          <w:szCs w:val="24"/>
        </w:rPr>
        <w:t xml:space="preserve"> v1.2</w:t>
      </w:r>
      <w:r w:rsidR="00063425">
        <w:rPr>
          <w:rFonts w:ascii="Times New Roman" w:hAnsi="Times New Roman" w:cs="Times New Roman"/>
          <w:sz w:val="24"/>
          <w:szCs w:val="24"/>
        </w:rPr>
        <w:t xml:space="preserve"> </w:t>
      </w:r>
      <w:r w:rsidRPr="009C7988">
        <w:rPr>
          <w:rFonts w:ascii="Times New Roman" w:hAnsi="Times New Roman" w:cs="Times New Roman"/>
          <w:sz w:val="24"/>
          <w:szCs w:val="24"/>
        </w:rPr>
        <w:fldChar w:fldCharType="begin" w:fldLock="1"/>
      </w:r>
      <w:r w:rsidR="00063425">
        <w:rPr>
          <w:rFonts w:ascii="Times New Roman" w:hAnsi="Times New Roman" w:cs="Times New Roman"/>
          <w:sz w:val="24"/>
          <w:szCs w:val="24"/>
        </w:rPr>
        <w:instrText>ADDIN CSL_CITATION { "citationItems" : [ { "id" : "ITEM-1", "itemData" : { "DOI" : "10.1093/bioinformatics/btp352", "ISBN" : "1367-4811 (Electronic)\\r1367-4803 (Linking)", "ISSN" : "13674803", "PMID" : "19505943", "abstract" :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 AVAILABILITY: http://samtools.sourceforge.net.", "author" : [ { "dropping-particle" : "", "family" : "Li", "given" : "Heng", "non-dropping-particle" : "", "parse-names" : false, "suffix" : "" }, { "dropping-particle" : "", "family" : "Handsaker", "given" : "Bob", "non-dropping-particle" : "", "parse-names" : false, "suffix" : "" }, { "dropping-particle" : "", "family" : "Wysoker", "given" : "Alec", "non-dropping-particle" : "", "parse-names" : false, "suffix" : "" }, { "dropping-particle" : "", "family" : "Fennell", "given" : "Tim", "non-dropping-particle" : "", "parse-names" : false, "suffix" : "" }, { "dropping-particle" : "", "family" : "Ruan", "given" : "Jue", "non-dropping-particle" : "", "parse-names" : false, "suffix" : "" }, { "dropping-particle" : "", "family" : "Homer", "given" : "Nils", "non-dropping-particle" : "", "parse-names" : false, "suffix" : "" }, { "dropping-particle" : "", "family" : "Marth", "given" : "Gabor", "non-dropping-particle" : "", "parse-names" : false, "suffix" : "" }, { "dropping-particle" : "", "family" : "Abecasis", "given" : "Goncalo", "non-dropping-particle" : "", "parse-names" : false, "suffix" : "" }, { "dropping-particle" : "", "family" : "Durbin", "given" : "Richard", "non-dropping-particle" : "", "parse-names" : false, "suffix" : "" } ], "container-title" : "Bioinformatics", "id" : "ITEM-1", "issue" : "16", "issued" : { "date-parts" : [ [ "2009" ] ] }, "page" : "2078-2079", "title" : "The sequence alignment/map format and SAMtools", "type" : "article-journal", "volume" : "25" }, "uris" : [ "http://www.mendeley.com/documents/?uuid=46679da5-1bcc-4844-b4f6-91e9dd80520c" ] } ], "mendeley" : { "formattedCitation" : "(Li &lt;i&gt;et al.&lt;/i&gt;, 2009)", "plainTextFormattedCitation" : "(Li et al., 2009)", "previouslyFormattedCitation" : "(Li &lt;i&gt;et al.&lt;/i&gt;, 2009)" }, "properties" : { "noteIndex" : 0 }, "schema" : "https://github.com/citation-style-language/schema/raw/master/csl-citation.json" }</w:instrText>
      </w:r>
      <w:r w:rsidRPr="009C7988">
        <w:rPr>
          <w:rFonts w:ascii="Times New Roman" w:hAnsi="Times New Roman" w:cs="Times New Roman"/>
          <w:sz w:val="24"/>
          <w:szCs w:val="24"/>
        </w:rPr>
        <w:fldChar w:fldCharType="separate"/>
      </w:r>
      <w:r w:rsidR="006947AF" w:rsidRPr="006947AF">
        <w:rPr>
          <w:rFonts w:ascii="Times New Roman" w:hAnsi="Times New Roman" w:cs="Times New Roman"/>
          <w:noProof/>
          <w:sz w:val="24"/>
          <w:szCs w:val="24"/>
        </w:rPr>
        <w:t xml:space="preserve">(Li </w:t>
      </w:r>
      <w:r w:rsidR="001154D8" w:rsidRPr="001154D8">
        <w:rPr>
          <w:rFonts w:ascii="Times New Roman" w:hAnsi="Times New Roman" w:cs="Times New Roman"/>
          <w:i/>
          <w:noProof/>
          <w:sz w:val="24"/>
          <w:szCs w:val="24"/>
        </w:rPr>
        <w:t>et al</w:t>
      </w:r>
      <w:r w:rsidR="006947AF" w:rsidRPr="006947AF">
        <w:rPr>
          <w:rFonts w:ascii="Times New Roman" w:hAnsi="Times New Roman" w:cs="Times New Roman"/>
          <w:i/>
          <w:noProof/>
          <w:sz w:val="24"/>
          <w:szCs w:val="24"/>
        </w:rPr>
        <w:t>.</w:t>
      </w:r>
      <w:r w:rsidR="006947AF" w:rsidRPr="006947AF">
        <w:rPr>
          <w:rFonts w:ascii="Times New Roman" w:hAnsi="Times New Roman" w:cs="Times New Roman"/>
          <w:noProof/>
          <w:sz w:val="24"/>
          <w:szCs w:val="24"/>
        </w:rPr>
        <w:t>, 2009)</w:t>
      </w:r>
      <w:r w:rsidRPr="009C7988">
        <w:rPr>
          <w:rFonts w:ascii="Times New Roman" w:hAnsi="Times New Roman" w:cs="Times New Roman"/>
          <w:sz w:val="24"/>
          <w:szCs w:val="24"/>
        </w:rPr>
        <w:fldChar w:fldCharType="end"/>
      </w:r>
      <w:r w:rsidRPr="009C7988">
        <w:rPr>
          <w:rFonts w:ascii="Times New Roman" w:hAnsi="Times New Roman" w:cs="Times New Roman"/>
          <w:sz w:val="24"/>
          <w:szCs w:val="24"/>
        </w:rPr>
        <w:t xml:space="preserve">. </w:t>
      </w:r>
    </w:p>
    <w:p w14:paraId="6684BAE4" w14:textId="2CE37895" w:rsidR="00934B25" w:rsidRDefault="00934B25" w:rsidP="00731084">
      <w:pPr>
        <w:jc w:val="both"/>
        <w:rPr>
          <w:rFonts w:ascii="Times New Roman" w:hAnsi="Times New Roman" w:cs="Times New Roman"/>
          <w:sz w:val="24"/>
          <w:szCs w:val="24"/>
        </w:rPr>
      </w:pPr>
      <w:r w:rsidRPr="009C7988">
        <w:rPr>
          <w:rFonts w:ascii="Times New Roman" w:hAnsi="Times New Roman" w:cs="Times New Roman"/>
          <w:b/>
          <w:sz w:val="24"/>
          <w:szCs w:val="24"/>
        </w:rPr>
        <w:t xml:space="preserve">Genome metrics: </w:t>
      </w:r>
      <w:r w:rsidRPr="009C7988">
        <w:rPr>
          <w:rFonts w:ascii="Times New Roman" w:hAnsi="Times New Roman" w:cs="Times New Roman"/>
          <w:sz w:val="24"/>
          <w:szCs w:val="24"/>
        </w:rPr>
        <w:t xml:space="preserve">Whole genome Pacific Biosciences RSII HGAP3 assemblies of </w:t>
      </w:r>
      <w:r w:rsidRPr="009C7988">
        <w:rPr>
          <w:rFonts w:ascii="Times New Roman" w:hAnsi="Times New Roman" w:cs="Times New Roman"/>
          <w:i/>
          <w:sz w:val="24"/>
          <w:szCs w:val="24"/>
        </w:rPr>
        <w:t>Gibbsiella quercinecans</w:t>
      </w:r>
      <w:r w:rsidR="00C86B1B">
        <w:rPr>
          <w:rFonts w:ascii="Times New Roman" w:hAnsi="Times New Roman" w:cs="Times New Roman"/>
          <w:sz w:val="24"/>
          <w:szCs w:val="24"/>
        </w:rPr>
        <w:t xml:space="preserve"> FRB97 (T)</w:t>
      </w:r>
      <w:r w:rsidRPr="009C7988">
        <w:rPr>
          <w:rFonts w:ascii="Times New Roman" w:hAnsi="Times New Roman" w:cs="Times New Roman"/>
          <w:sz w:val="24"/>
          <w:szCs w:val="24"/>
        </w:rPr>
        <w:t xml:space="preserve">, </w:t>
      </w:r>
      <w:r w:rsidRPr="009C7988">
        <w:rPr>
          <w:rFonts w:ascii="Times New Roman" w:hAnsi="Times New Roman" w:cs="Times New Roman"/>
          <w:i/>
          <w:sz w:val="24"/>
          <w:szCs w:val="24"/>
        </w:rPr>
        <w:t>Brenneria goodwinii</w:t>
      </w:r>
      <w:r w:rsidR="00C86B1B">
        <w:rPr>
          <w:rFonts w:ascii="Times New Roman" w:hAnsi="Times New Roman" w:cs="Times New Roman"/>
          <w:sz w:val="24"/>
          <w:szCs w:val="24"/>
        </w:rPr>
        <w:t xml:space="preserve"> </w:t>
      </w:r>
      <w:proofErr w:type="gramStart"/>
      <w:r w:rsidR="00C86B1B">
        <w:rPr>
          <w:rFonts w:ascii="Times New Roman" w:hAnsi="Times New Roman" w:cs="Times New Roman"/>
          <w:sz w:val="24"/>
          <w:szCs w:val="24"/>
        </w:rPr>
        <w:t>FRB141(</w:t>
      </w:r>
      <w:proofErr w:type="gramEnd"/>
      <w:r w:rsidR="00C86B1B">
        <w:rPr>
          <w:rFonts w:ascii="Times New Roman" w:hAnsi="Times New Roman" w:cs="Times New Roman"/>
          <w:sz w:val="24"/>
          <w:szCs w:val="24"/>
        </w:rPr>
        <w:t>T)</w:t>
      </w:r>
      <w:r w:rsidRPr="009C7988">
        <w:rPr>
          <w:rFonts w:ascii="Times New Roman" w:hAnsi="Times New Roman" w:cs="Times New Roman"/>
          <w:sz w:val="24"/>
          <w:szCs w:val="24"/>
        </w:rPr>
        <w:t xml:space="preserve">, and </w:t>
      </w:r>
      <w:proofErr w:type="spellStart"/>
      <w:r w:rsidRPr="009C7988">
        <w:rPr>
          <w:rFonts w:ascii="Times New Roman" w:hAnsi="Times New Roman" w:cs="Times New Roman"/>
          <w:i/>
          <w:sz w:val="24"/>
          <w:szCs w:val="24"/>
        </w:rPr>
        <w:t>Rahnella</w:t>
      </w:r>
      <w:proofErr w:type="spellEnd"/>
      <w:r w:rsidRPr="009C7988">
        <w:rPr>
          <w:rFonts w:ascii="Times New Roman" w:hAnsi="Times New Roman" w:cs="Times New Roman"/>
          <w:i/>
          <w:sz w:val="24"/>
          <w:szCs w:val="24"/>
        </w:rPr>
        <w:t xml:space="preserve"> </w:t>
      </w:r>
      <w:proofErr w:type="spellStart"/>
      <w:r w:rsidRPr="009C7988">
        <w:rPr>
          <w:rFonts w:ascii="Times New Roman" w:hAnsi="Times New Roman" w:cs="Times New Roman"/>
          <w:i/>
          <w:sz w:val="24"/>
          <w:szCs w:val="24"/>
        </w:rPr>
        <w:t>victoriana</w:t>
      </w:r>
      <w:proofErr w:type="spellEnd"/>
      <w:r w:rsidR="00C86B1B">
        <w:rPr>
          <w:rFonts w:ascii="Times New Roman" w:hAnsi="Times New Roman" w:cs="Times New Roman"/>
          <w:sz w:val="24"/>
          <w:szCs w:val="24"/>
        </w:rPr>
        <w:t xml:space="preserve"> BRK18a (T)</w:t>
      </w:r>
      <w:r w:rsidRPr="009C7988">
        <w:rPr>
          <w:rFonts w:ascii="Times New Roman" w:hAnsi="Times New Roman" w:cs="Times New Roman"/>
          <w:sz w:val="24"/>
          <w:szCs w:val="24"/>
        </w:rPr>
        <w:t xml:space="preserve">, produced 1 contig for </w:t>
      </w:r>
      <w:r w:rsidR="00C86B1B">
        <w:rPr>
          <w:rFonts w:ascii="Times New Roman" w:eastAsia="Times New Roman" w:hAnsi="Times New Roman" w:cs="Times New Roman"/>
          <w:i/>
          <w:iCs/>
          <w:sz w:val="24"/>
          <w:szCs w:val="24"/>
        </w:rPr>
        <w:t>G. quercinecans</w:t>
      </w:r>
      <w:r w:rsidR="00C86B1B" w:rsidRPr="009C7988">
        <w:rPr>
          <w:rFonts w:ascii="Times New Roman" w:hAnsi="Times New Roman" w:cs="Times New Roman"/>
          <w:sz w:val="24"/>
          <w:szCs w:val="24"/>
        </w:rPr>
        <w:t xml:space="preserve"> </w:t>
      </w:r>
      <w:r w:rsidR="00C86B1B">
        <w:rPr>
          <w:rFonts w:ascii="Times New Roman" w:hAnsi="Times New Roman" w:cs="Times New Roman"/>
          <w:sz w:val="24"/>
          <w:szCs w:val="24"/>
        </w:rPr>
        <w:t xml:space="preserve">FRB97 </w:t>
      </w:r>
      <w:r w:rsidRPr="009C7988">
        <w:rPr>
          <w:rFonts w:ascii="Times New Roman" w:hAnsi="Times New Roman" w:cs="Times New Roman"/>
          <w:sz w:val="24"/>
          <w:szCs w:val="24"/>
        </w:rPr>
        <w:t xml:space="preserve">and </w:t>
      </w:r>
      <w:r w:rsidR="00C86B1B">
        <w:rPr>
          <w:rFonts w:ascii="Times New Roman" w:eastAsia="Times New Roman" w:hAnsi="Times New Roman" w:cs="Times New Roman"/>
          <w:i/>
          <w:iCs/>
          <w:sz w:val="24"/>
          <w:szCs w:val="24"/>
        </w:rPr>
        <w:t xml:space="preserve">B. goodwinii </w:t>
      </w:r>
      <w:r w:rsidR="00C86B1B">
        <w:rPr>
          <w:rFonts w:ascii="Times New Roman" w:eastAsia="Times New Roman" w:hAnsi="Times New Roman" w:cs="Times New Roman"/>
          <w:iCs/>
          <w:sz w:val="24"/>
          <w:szCs w:val="24"/>
        </w:rPr>
        <w:t>FRB141</w:t>
      </w:r>
      <w:r w:rsidRPr="009C7988">
        <w:rPr>
          <w:rFonts w:ascii="Times New Roman" w:hAnsi="Times New Roman" w:cs="Times New Roman"/>
          <w:sz w:val="24"/>
          <w:szCs w:val="24"/>
        </w:rPr>
        <w:t xml:space="preserve">, and 2 contigs for </w:t>
      </w:r>
      <w:r w:rsidRPr="009C7988">
        <w:rPr>
          <w:rFonts w:ascii="Times New Roman" w:hAnsi="Times New Roman" w:cs="Times New Roman"/>
          <w:i/>
          <w:sz w:val="24"/>
          <w:szCs w:val="24"/>
        </w:rPr>
        <w:t>R</w:t>
      </w:r>
      <w:r w:rsidR="00C86B1B">
        <w:rPr>
          <w:rFonts w:ascii="Times New Roman" w:hAnsi="Times New Roman" w:cs="Times New Roman"/>
          <w:i/>
          <w:sz w:val="24"/>
          <w:szCs w:val="24"/>
        </w:rPr>
        <w:t xml:space="preserve">. </w:t>
      </w:r>
      <w:proofErr w:type="spellStart"/>
      <w:r w:rsidRPr="009C7988">
        <w:rPr>
          <w:rFonts w:ascii="Times New Roman" w:hAnsi="Times New Roman" w:cs="Times New Roman"/>
          <w:i/>
          <w:sz w:val="24"/>
          <w:szCs w:val="24"/>
        </w:rPr>
        <w:t>v</w:t>
      </w:r>
      <w:r w:rsidR="00C86B1B">
        <w:rPr>
          <w:rFonts w:ascii="Times New Roman" w:hAnsi="Times New Roman" w:cs="Times New Roman"/>
          <w:i/>
          <w:sz w:val="24"/>
          <w:szCs w:val="24"/>
        </w:rPr>
        <w:t>ictoriana</w:t>
      </w:r>
      <w:proofErr w:type="spellEnd"/>
      <w:r w:rsidR="00C86B1B">
        <w:rPr>
          <w:rFonts w:ascii="Times New Roman" w:hAnsi="Times New Roman" w:cs="Times New Roman"/>
          <w:i/>
          <w:sz w:val="24"/>
          <w:szCs w:val="24"/>
        </w:rPr>
        <w:t xml:space="preserve"> </w:t>
      </w:r>
      <w:r w:rsidR="00C86B1B" w:rsidRPr="00BB32D6">
        <w:rPr>
          <w:rFonts w:ascii="Times New Roman" w:hAnsi="Times New Roman" w:cs="Times New Roman"/>
          <w:sz w:val="24"/>
          <w:szCs w:val="24"/>
        </w:rPr>
        <w:t>BRK18a</w:t>
      </w:r>
      <w:r w:rsidRPr="009C7988">
        <w:rPr>
          <w:rFonts w:ascii="Times New Roman" w:hAnsi="Times New Roman" w:cs="Times New Roman"/>
          <w:sz w:val="24"/>
          <w:szCs w:val="24"/>
        </w:rPr>
        <w:t xml:space="preserve"> with N</w:t>
      </w:r>
      <w:r w:rsidRPr="009C7988">
        <w:rPr>
          <w:rFonts w:ascii="Times New Roman" w:hAnsi="Times New Roman" w:cs="Times New Roman"/>
          <w:sz w:val="24"/>
          <w:szCs w:val="24"/>
          <w:vertAlign w:val="subscript"/>
        </w:rPr>
        <w:t xml:space="preserve">50 </w:t>
      </w:r>
      <w:r w:rsidRPr="009C7988">
        <w:rPr>
          <w:rFonts w:ascii="Times New Roman" w:hAnsi="Times New Roman" w:cs="Times New Roman"/>
          <w:sz w:val="24"/>
          <w:szCs w:val="24"/>
        </w:rPr>
        <w:t xml:space="preserve">values of 5,548,506, </w:t>
      </w:r>
      <w:r w:rsidRPr="009C7988">
        <w:rPr>
          <w:rFonts w:ascii="Times New Roman" w:hAnsi="Times New Roman" w:cs="Times New Roman"/>
          <w:bCs/>
          <w:sz w:val="24"/>
          <w:szCs w:val="24"/>
        </w:rPr>
        <w:t xml:space="preserve">5,395,301, and </w:t>
      </w:r>
      <w:r w:rsidRPr="009C7988">
        <w:rPr>
          <w:rFonts w:ascii="Times New Roman" w:hAnsi="Times New Roman" w:cs="Times New Roman"/>
          <w:sz w:val="24"/>
          <w:szCs w:val="24"/>
        </w:rPr>
        <w:t>4,856,713, respectively (</w:t>
      </w:r>
      <w:r w:rsidR="00381280">
        <w:rPr>
          <w:rFonts w:ascii="Times New Roman" w:hAnsi="Times New Roman" w:cs="Times New Roman"/>
          <w:sz w:val="24"/>
          <w:szCs w:val="24"/>
        </w:rPr>
        <w:t xml:space="preserve">Supplementary Table </w:t>
      </w:r>
      <w:r w:rsidR="002D6DB9">
        <w:rPr>
          <w:rFonts w:ascii="Times New Roman" w:hAnsi="Times New Roman" w:cs="Times New Roman"/>
          <w:sz w:val="24"/>
          <w:szCs w:val="24"/>
        </w:rPr>
        <w:t>S</w:t>
      </w:r>
      <w:r w:rsidR="00EB52D9">
        <w:rPr>
          <w:rFonts w:ascii="Times New Roman" w:hAnsi="Times New Roman" w:cs="Times New Roman"/>
          <w:sz w:val="24"/>
          <w:szCs w:val="24"/>
        </w:rPr>
        <w:t>8</w:t>
      </w:r>
      <w:r w:rsidRPr="009C7988">
        <w:rPr>
          <w:rFonts w:ascii="Times New Roman" w:hAnsi="Times New Roman" w:cs="Times New Roman"/>
          <w:sz w:val="24"/>
          <w:szCs w:val="24"/>
        </w:rPr>
        <w:t>). Genome assemblies were deposited in NCBI with accession numbers CP014136</w:t>
      </w:r>
      <w:r w:rsidRPr="009C7988" w:rsidDel="006F7218">
        <w:rPr>
          <w:rFonts w:ascii="Times New Roman" w:hAnsi="Times New Roman" w:cs="Times New Roman"/>
          <w:sz w:val="24"/>
          <w:szCs w:val="24"/>
        </w:rPr>
        <w:t xml:space="preserve"> </w:t>
      </w:r>
      <w:r w:rsidRPr="009C7988">
        <w:rPr>
          <w:rFonts w:ascii="Times New Roman" w:hAnsi="Times New Roman" w:cs="Times New Roman"/>
          <w:sz w:val="24"/>
          <w:szCs w:val="24"/>
        </w:rPr>
        <w:t>(</w:t>
      </w:r>
      <w:r w:rsidR="00C86B1B">
        <w:rPr>
          <w:rFonts w:ascii="Times New Roman" w:eastAsia="Times New Roman" w:hAnsi="Times New Roman" w:cs="Times New Roman"/>
          <w:i/>
          <w:iCs/>
          <w:sz w:val="24"/>
          <w:szCs w:val="24"/>
        </w:rPr>
        <w:t xml:space="preserve">G. quercinecans </w:t>
      </w:r>
      <w:r w:rsidR="00C86B1B">
        <w:rPr>
          <w:rFonts w:ascii="Times New Roman" w:eastAsia="Times New Roman" w:hAnsi="Times New Roman" w:cs="Times New Roman"/>
          <w:iCs/>
          <w:sz w:val="24"/>
          <w:szCs w:val="24"/>
        </w:rPr>
        <w:t>FRB97</w:t>
      </w:r>
      <w:r w:rsidRPr="009C7988">
        <w:rPr>
          <w:rFonts w:ascii="Times New Roman" w:hAnsi="Times New Roman" w:cs="Times New Roman"/>
          <w:sz w:val="24"/>
          <w:szCs w:val="24"/>
        </w:rPr>
        <w:t>), CP014137</w:t>
      </w:r>
      <w:r w:rsidRPr="009C7988" w:rsidDel="006F7218">
        <w:rPr>
          <w:rFonts w:ascii="Times New Roman" w:hAnsi="Times New Roman" w:cs="Times New Roman"/>
          <w:sz w:val="24"/>
          <w:szCs w:val="24"/>
        </w:rPr>
        <w:t xml:space="preserve"> </w:t>
      </w:r>
      <w:r w:rsidRPr="009C7988">
        <w:rPr>
          <w:rFonts w:ascii="Times New Roman" w:hAnsi="Times New Roman" w:cs="Times New Roman"/>
          <w:sz w:val="24"/>
          <w:szCs w:val="24"/>
        </w:rPr>
        <w:t>(</w:t>
      </w:r>
      <w:r w:rsidR="00C86B1B">
        <w:rPr>
          <w:rFonts w:ascii="Times New Roman" w:eastAsia="Times New Roman" w:hAnsi="Times New Roman" w:cs="Times New Roman"/>
          <w:i/>
          <w:iCs/>
          <w:sz w:val="24"/>
          <w:szCs w:val="24"/>
        </w:rPr>
        <w:t>B. goodwinii</w:t>
      </w:r>
      <w:r w:rsidR="00C86B1B" w:rsidRPr="00C86B1B">
        <w:rPr>
          <w:rFonts w:ascii="Times New Roman" w:eastAsia="Times New Roman" w:hAnsi="Times New Roman" w:cs="Times New Roman"/>
          <w:iCs/>
          <w:sz w:val="24"/>
          <w:szCs w:val="24"/>
        </w:rPr>
        <w:t xml:space="preserve"> FRB141</w:t>
      </w:r>
      <w:r w:rsidRPr="009C7988">
        <w:rPr>
          <w:rFonts w:ascii="Times New Roman" w:hAnsi="Times New Roman" w:cs="Times New Roman"/>
          <w:sz w:val="24"/>
          <w:szCs w:val="24"/>
        </w:rPr>
        <w:t>) and MAEN00000000 (</w:t>
      </w:r>
      <w:r w:rsidR="00C86B1B" w:rsidRPr="009C7988">
        <w:rPr>
          <w:rFonts w:ascii="Times New Roman" w:hAnsi="Times New Roman" w:cs="Times New Roman"/>
          <w:i/>
          <w:sz w:val="24"/>
          <w:szCs w:val="24"/>
        </w:rPr>
        <w:t>R</w:t>
      </w:r>
      <w:r w:rsidR="00C86B1B">
        <w:rPr>
          <w:rFonts w:ascii="Times New Roman" w:hAnsi="Times New Roman" w:cs="Times New Roman"/>
          <w:i/>
          <w:sz w:val="24"/>
          <w:szCs w:val="24"/>
        </w:rPr>
        <w:t xml:space="preserve">. </w:t>
      </w:r>
      <w:proofErr w:type="spellStart"/>
      <w:r w:rsidR="00C86B1B" w:rsidRPr="009C7988">
        <w:rPr>
          <w:rFonts w:ascii="Times New Roman" w:hAnsi="Times New Roman" w:cs="Times New Roman"/>
          <w:i/>
          <w:sz w:val="24"/>
          <w:szCs w:val="24"/>
        </w:rPr>
        <w:t>v</w:t>
      </w:r>
      <w:r w:rsidR="00C86B1B">
        <w:rPr>
          <w:rFonts w:ascii="Times New Roman" w:hAnsi="Times New Roman" w:cs="Times New Roman"/>
          <w:i/>
          <w:sz w:val="24"/>
          <w:szCs w:val="24"/>
        </w:rPr>
        <w:t>ictoriana</w:t>
      </w:r>
      <w:proofErr w:type="spellEnd"/>
      <w:r w:rsidR="00C86B1B">
        <w:rPr>
          <w:rFonts w:ascii="Times New Roman" w:hAnsi="Times New Roman" w:cs="Times New Roman"/>
          <w:i/>
          <w:sz w:val="24"/>
          <w:szCs w:val="24"/>
        </w:rPr>
        <w:t xml:space="preserve"> </w:t>
      </w:r>
      <w:r w:rsidR="00C86B1B" w:rsidRPr="00BB32D6">
        <w:rPr>
          <w:rFonts w:ascii="Times New Roman" w:hAnsi="Times New Roman" w:cs="Times New Roman"/>
          <w:sz w:val="24"/>
          <w:szCs w:val="24"/>
        </w:rPr>
        <w:t>BRK18a</w:t>
      </w:r>
      <w:r w:rsidRPr="009C7988">
        <w:rPr>
          <w:rFonts w:ascii="Times New Roman" w:hAnsi="Times New Roman" w:cs="Times New Roman"/>
          <w:sz w:val="24"/>
          <w:szCs w:val="24"/>
        </w:rPr>
        <w:t>).</w:t>
      </w:r>
    </w:p>
    <w:p w14:paraId="2D95B868" w14:textId="597A90FD" w:rsidR="00BB32D6" w:rsidRDefault="00BB32D6" w:rsidP="00731084">
      <w:pPr>
        <w:jc w:val="both"/>
        <w:rPr>
          <w:rFonts w:ascii="Times New Roman" w:hAnsi="Times New Roman" w:cs="Times New Roman"/>
          <w:sz w:val="24"/>
          <w:szCs w:val="24"/>
        </w:rPr>
      </w:pPr>
      <w:r w:rsidRPr="00BB32D6">
        <w:rPr>
          <w:rFonts w:ascii="Times New Roman" w:hAnsi="Times New Roman" w:cs="Times New Roman"/>
          <w:b/>
          <w:sz w:val="24"/>
          <w:szCs w:val="24"/>
        </w:rPr>
        <w:t xml:space="preserve">Metagenomic </w:t>
      </w:r>
      <w:r w:rsidRPr="00F428C9">
        <w:rPr>
          <w:rFonts w:ascii="Times New Roman" w:hAnsi="Times New Roman" w:cs="Times New Roman"/>
          <w:b/>
          <w:sz w:val="24"/>
          <w:szCs w:val="24"/>
        </w:rPr>
        <w:t>DNA extraction and metagenome sequencing of 4 healthy and 11 diseased oak trees:</w:t>
      </w:r>
      <w:r w:rsidRPr="00BB32D6">
        <w:rPr>
          <w:rFonts w:ascii="Times New Roman" w:hAnsi="Times New Roman" w:cs="Times New Roman"/>
          <w:sz w:val="24"/>
          <w:szCs w:val="24"/>
        </w:rPr>
        <w:t xml:space="preserve"> Prior to nucleic acid extraction, tissue was frozen in liquid nitrogen and ground with a pestle in a mortar to homogenize the tissue. For samples AT1, AT7, AT8, AT9, RW1, RW2 and RW3, replicate (n=3) 0.6 g samples of homogenized tissue were weighed for extraction and DNA was extracted in triplicate using the Power Soil DNA Isolation kit (</w:t>
      </w:r>
      <w:proofErr w:type="spellStart"/>
      <w:r w:rsidRPr="00BB32D6">
        <w:rPr>
          <w:rFonts w:ascii="Times New Roman" w:hAnsi="Times New Roman" w:cs="Times New Roman"/>
          <w:sz w:val="24"/>
          <w:szCs w:val="24"/>
        </w:rPr>
        <w:t>MoBio</w:t>
      </w:r>
      <w:proofErr w:type="spellEnd"/>
      <w:r w:rsidRPr="00BB32D6">
        <w:rPr>
          <w:rFonts w:ascii="Times New Roman" w:hAnsi="Times New Roman" w:cs="Times New Roman"/>
          <w:sz w:val="24"/>
          <w:szCs w:val="24"/>
        </w:rPr>
        <w:t xml:space="preserve">) and the replicates pooled. For samples AT2, AT3, AT4, AT5, AT6, ROW1, ROW2 and ROW3 DNA was extracted from approximately 50 mg of sample tissue using the </w:t>
      </w:r>
      <w:proofErr w:type="spellStart"/>
      <w:r w:rsidRPr="00BB32D6">
        <w:rPr>
          <w:rFonts w:ascii="Times New Roman" w:hAnsi="Times New Roman" w:cs="Times New Roman"/>
          <w:sz w:val="24"/>
          <w:szCs w:val="24"/>
        </w:rPr>
        <w:t>DNeasy</w:t>
      </w:r>
      <w:proofErr w:type="spellEnd"/>
      <w:r w:rsidRPr="00BB32D6">
        <w:rPr>
          <w:rFonts w:ascii="Times New Roman" w:hAnsi="Times New Roman" w:cs="Times New Roman"/>
          <w:sz w:val="24"/>
          <w:szCs w:val="24"/>
        </w:rPr>
        <w:t xml:space="preserve"> Plant Mini kit (Qiagen). The DNA for each sample was subjected to oak DNA depletion using the </w:t>
      </w:r>
      <w:proofErr w:type="spellStart"/>
      <w:r w:rsidRPr="00BB32D6">
        <w:rPr>
          <w:rFonts w:ascii="Times New Roman" w:hAnsi="Times New Roman" w:cs="Times New Roman"/>
          <w:sz w:val="24"/>
          <w:szCs w:val="24"/>
        </w:rPr>
        <w:t>NEBNext</w:t>
      </w:r>
      <w:proofErr w:type="spellEnd"/>
      <w:r w:rsidRPr="00BB32D6">
        <w:rPr>
          <w:rFonts w:ascii="Times New Roman" w:hAnsi="Times New Roman" w:cs="Times New Roman"/>
          <w:sz w:val="24"/>
          <w:szCs w:val="24"/>
        </w:rPr>
        <w:t xml:space="preserve">® Microbiome DNA Enrichment Kit (New England Biolabs), with the exception of sample AT1, which was not enriched. Samples AT1, AT7, AT8, AT9, RW1, RW2 and RW3 were purified using </w:t>
      </w:r>
      <w:proofErr w:type="spellStart"/>
      <w:r w:rsidRPr="00BB32D6">
        <w:rPr>
          <w:rFonts w:ascii="Times New Roman" w:hAnsi="Times New Roman" w:cs="Times New Roman"/>
          <w:sz w:val="24"/>
          <w:szCs w:val="24"/>
        </w:rPr>
        <w:t>Agencourt</w:t>
      </w:r>
      <w:proofErr w:type="spellEnd"/>
      <w:r w:rsidRPr="00BB32D6">
        <w:rPr>
          <w:rFonts w:ascii="Times New Roman" w:hAnsi="Times New Roman" w:cs="Times New Roman"/>
          <w:sz w:val="24"/>
          <w:szCs w:val="24"/>
        </w:rPr>
        <w:t xml:space="preserve"> </w:t>
      </w:r>
      <w:proofErr w:type="spellStart"/>
      <w:r w:rsidRPr="00BB32D6">
        <w:rPr>
          <w:rFonts w:ascii="Times New Roman" w:hAnsi="Times New Roman" w:cs="Times New Roman"/>
          <w:sz w:val="24"/>
          <w:szCs w:val="24"/>
        </w:rPr>
        <w:t>AMPure</w:t>
      </w:r>
      <w:proofErr w:type="spellEnd"/>
      <w:r w:rsidR="00F428C9">
        <w:rPr>
          <w:rFonts w:ascii="Times New Roman" w:hAnsi="Times New Roman" w:cs="Times New Roman"/>
          <w:sz w:val="24"/>
          <w:szCs w:val="24"/>
        </w:rPr>
        <w:t xml:space="preserve"> XP (Beckman Coulter) according </w:t>
      </w:r>
      <w:r w:rsidRPr="00BB32D6">
        <w:rPr>
          <w:rFonts w:ascii="Times New Roman" w:hAnsi="Times New Roman" w:cs="Times New Roman"/>
          <w:sz w:val="24"/>
          <w:szCs w:val="24"/>
        </w:rPr>
        <w:t>to the manufacturer’s protocol, samples AT2, AT3, AT4, AT5, AT6, ROW1, ROW2 and ROW3 were purified and further concentrated using Genomic DNA Clean and Concentrator kit (</w:t>
      </w:r>
      <w:proofErr w:type="spellStart"/>
      <w:r w:rsidRPr="00BB32D6">
        <w:rPr>
          <w:rFonts w:ascii="Times New Roman" w:hAnsi="Times New Roman" w:cs="Times New Roman"/>
          <w:sz w:val="24"/>
          <w:szCs w:val="24"/>
        </w:rPr>
        <w:t>Zymo</w:t>
      </w:r>
      <w:proofErr w:type="spellEnd"/>
      <w:r w:rsidRPr="00BB32D6">
        <w:rPr>
          <w:rFonts w:ascii="Times New Roman" w:hAnsi="Times New Roman" w:cs="Times New Roman"/>
          <w:sz w:val="24"/>
          <w:szCs w:val="24"/>
        </w:rPr>
        <w:t xml:space="preserve"> research), according to the manufacturer’s instructions. DNA from all samples </w:t>
      </w:r>
      <w:r w:rsidR="00F428C9">
        <w:rPr>
          <w:rFonts w:ascii="Times New Roman" w:hAnsi="Times New Roman" w:cs="Times New Roman"/>
          <w:sz w:val="24"/>
          <w:szCs w:val="24"/>
        </w:rPr>
        <w:t xml:space="preserve">was quantified using a Qubit </w:t>
      </w:r>
      <w:proofErr w:type="spellStart"/>
      <w:r w:rsidR="00F428C9">
        <w:rPr>
          <w:rFonts w:ascii="Times New Roman" w:hAnsi="Times New Roman" w:cs="Times New Roman"/>
          <w:sz w:val="24"/>
          <w:szCs w:val="24"/>
        </w:rPr>
        <w:t>fluo</w:t>
      </w:r>
      <w:r w:rsidRPr="00BB32D6">
        <w:rPr>
          <w:rFonts w:ascii="Times New Roman" w:hAnsi="Times New Roman" w:cs="Times New Roman"/>
          <w:sz w:val="24"/>
          <w:szCs w:val="24"/>
        </w:rPr>
        <w:t>rometer</w:t>
      </w:r>
      <w:proofErr w:type="spellEnd"/>
      <w:r w:rsidRPr="00BB32D6">
        <w:rPr>
          <w:rFonts w:ascii="Times New Roman" w:hAnsi="Times New Roman" w:cs="Times New Roman"/>
          <w:sz w:val="24"/>
          <w:szCs w:val="24"/>
        </w:rPr>
        <w:t xml:space="preserve"> (Thermo Fisher). Libraries for sequencing were prepared from samples using the </w:t>
      </w:r>
      <w:proofErr w:type="spellStart"/>
      <w:r w:rsidRPr="00BB32D6">
        <w:rPr>
          <w:rFonts w:ascii="Times New Roman" w:hAnsi="Times New Roman" w:cs="Times New Roman"/>
          <w:sz w:val="24"/>
          <w:szCs w:val="24"/>
        </w:rPr>
        <w:t>Nextera</w:t>
      </w:r>
      <w:proofErr w:type="spellEnd"/>
      <w:r w:rsidRPr="00BB32D6">
        <w:rPr>
          <w:rFonts w:ascii="Times New Roman" w:hAnsi="Times New Roman" w:cs="Times New Roman"/>
          <w:sz w:val="24"/>
          <w:szCs w:val="24"/>
        </w:rPr>
        <w:t xml:space="preserve"> XT Library preparation kit (Illumina), and sequenced using 2x100bp (samples AT1, AT7, AT8, AT9, RW1, RW2 and RW3) or 2x125 bp (samples AT2, AT3, AT4, AT5, AT6, ROW1, ROW2 and ROW3) paired-end sequencing on the Illumina HiSeq platform. Reads were trimmed </w:t>
      </w:r>
      <w:r w:rsidR="007A2824">
        <w:rPr>
          <w:rFonts w:ascii="Times New Roman" w:hAnsi="Times New Roman" w:cs="Times New Roman"/>
          <w:sz w:val="24"/>
          <w:szCs w:val="24"/>
        </w:rPr>
        <w:t xml:space="preserve">using first </w:t>
      </w:r>
      <w:proofErr w:type="spellStart"/>
      <w:r w:rsidR="007A2824">
        <w:rPr>
          <w:rFonts w:ascii="Times New Roman" w:hAnsi="Times New Roman" w:cs="Times New Roman"/>
          <w:sz w:val="24"/>
          <w:szCs w:val="24"/>
        </w:rPr>
        <w:t>Cutadapt</w:t>
      </w:r>
      <w:proofErr w:type="spellEnd"/>
      <w:r w:rsidR="007A2824">
        <w:rPr>
          <w:rFonts w:ascii="Times New Roman" w:hAnsi="Times New Roman" w:cs="Times New Roman"/>
          <w:sz w:val="24"/>
          <w:szCs w:val="24"/>
        </w:rPr>
        <w:t xml:space="preserve"> v1.2.1 </w:t>
      </w:r>
      <w:r w:rsidR="007A2824">
        <w:rPr>
          <w:rFonts w:ascii="Times New Roman" w:hAnsi="Times New Roman" w:cs="Times New Roman"/>
          <w:sz w:val="24"/>
          <w:szCs w:val="24"/>
        </w:rPr>
        <w:fldChar w:fldCharType="begin" w:fldLock="1"/>
      </w:r>
      <w:r w:rsidR="007A2824">
        <w:rPr>
          <w:rFonts w:ascii="Times New Roman" w:hAnsi="Times New Roman" w:cs="Times New Roman"/>
          <w:sz w:val="24"/>
          <w:szCs w:val="24"/>
        </w:rPr>
        <w:instrText>ADDIN CSL_CITATION { "citationItems" : [ { "id" : "ITEM-1", "itemData" : { "DOI" : "10.14806/ej.17.1.200", "ISBN" : "1023-4144|escape}", "ISSN" : "2226-6089", "PMID" : "1000006697", "abstract" : "When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 "author" : [ { "dropping-particle" : "", "family" : "Martin", "given" : "Marcel", "non-dropping-particle" : "", "parse-names" : false, "suffix" : "" } ], "container-title" : "EMBnet.journal", "id" : "ITEM-1", "issue" : "1", "issued" : { "date-parts" : [ [ "2011" ] ] }, "page" : "10", "title" : "Cutadapt removes adapter sequences from high-throughput sequencing reads", "type" : "article-journal", "volume" : "17" }, "uris" : [ "http://www.mendeley.com/documents/?uuid=63cba939-0ec8-4e89-8948-5f2b14e2064a" ] } ], "mendeley" : { "formattedCitation" : "(Martin, 2011)", "plainTextFormattedCitation" : "(Martin, 2011)", "previouslyFormattedCitation" : "(Martin, 2011)" }, "properties" : { "noteIndex" : 0 }, "schema" : "https://github.com/citation-style-language/schema/raw/master/csl-citation.json" }</w:instrText>
      </w:r>
      <w:r w:rsidR="007A2824">
        <w:rPr>
          <w:rFonts w:ascii="Times New Roman" w:hAnsi="Times New Roman" w:cs="Times New Roman"/>
          <w:sz w:val="24"/>
          <w:szCs w:val="24"/>
        </w:rPr>
        <w:fldChar w:fldCharType="separate"/>
      </w:r>
      <w:r w:rsidR="007A2824" w:rsidRPr="007A2824">
        <w:rPr>
          <w:rFonts w:ascii="Times New Roman" w:hAnsi="Times New Roman" w:cs="Times New Roman"/>
          <w:noProof/>
          <w:sz w:val="24"/>
          <w:szCs w:val="24"/>
        </w:rPr>
        <w:t>(Martin, 2011)</w:t>
      </w:r>
      <w:r w:rsidR="007A2824">
        <w:rPr>
          <w:rFonts w:ascii="Times New Roman" w:hAnsi="Times New Roman" w:cs="Times New Roman"/>
          <w:sz w:val="24"/>
          <w:szCs w:val="24"/>
        </w:rPr>
        <w:fldChar w:fldCharType="end"/>
      </w:r>
      <w:r w:rsidRPr="00BB32D6">
        <w:rPr>
          <w:rFonts w:ascii="Times New Roman" w:hAnsi="Times New Roman" w:cs="Times New Roman"/>
          <w:sz w:val="24"/>
          <w:szCs w:val="24"/>
        </w:rPr>
        <w:t xml:space="preserve"> with the option -O 3 and </w:t>
      </w:r>
      <w:r w:rsidR="007A2824">
        <w:rPr>
          <w:rFonts w:ascii="Times New Roman" w:hAnsi="Times New Roman" w:cs="Times New Roman"/>
          <w:sz w:val="24"/>
          <w:szCs w:val="24"/>
        </w:rPr>
        <w:t xml:space="preserve">additionally Sickle v1.2.00 </w:t>
      </w:r>
      <w:r w:rsidR="007A2824">
        <w:rPr>
          <w:rFonts w:ascii="Times New Roman" w:hAnsi="Times New Roman" w:cs="Times New Roman"/>
          <w:sz w:val="24"/>
          <w:szCs w:val="24"/>
        </w:rPr>
        <w:fldChar w:fldCharType="begin" w:fldLock="1"/>
      </w:r>
      <w:r w:rsidR="007A2824">
        <w:rPr>
          <w:rFonts w:ascii="Times New Roman" w:hAnsi="Times New Roman" w:cs="Times New Roman"/>
          <w:sz w:val="24"/>
          <w:szCs w:val="24"/>
        </w:rPr>
        <w:instrText>ADDIN CSL_CITATION { "citationItems" : [ { "id" : "ITEM-1", "itemData" : { "author" : [ { "dropping-particle" : "", "family" : "Joshi", "given" : "NA", "non-dropping-particle" : "", "parse-names" : false, "suffix" : "" }, { "dropping-particle" : "", "family" : "Fass", "given" : "JN", "non-dropping-particle" : "", "parse-names" : false, "suffix" : "" } ], "id" : "ITEM-1", "issued" : { "date-parts" : [ [ "2011" ] ] }, "title" : "Sickle. A sliding-window, adaptive, quality-based trimming tool for FastQ files", "type" : "article-journal" }, "uris" : [ "http://www.mendeley.com/documents/?uuid=372fa3c7-e92b-4a60-ae0d-3b3eced82d6d" ] } ], "mendeley" : { "formattedCitation" : "(Joshi and Fass, 2011)", "plainTextFormattedCitation" : "(Joshi and Fass, 2011)" }, "properties" : { "noteIndex" : 0 }, "schema" : "https://github.com/citation-style-language/schema/raw/master/csl-citation.json" }</w:instrText>
      </w:r>
      <w:r w:rsidR="007A2824">
        <w:rPr>
          <w:rFonts w:ascii="Times New Roman" w:hAnsi="Times New Roman" w:cs="Times New Roman"/>
          <w:sz w:val="24"/>
          <w:szCs w:val="24"/>
        </w:rPr>
        <w:fldChar w:fldCharType="separate"/>
      </w:r>
      <w:r w:rsidR="007A2824" w:rsidRPr="007A2824">
        <w:rPr>
          <w:rFonts w:ascii="Times New Roman" w:hAnsi="Times New Roman" w:cs="Times New Roman"/>
          <w:noProof/>
          <w:sz w:val="24"/>
          <w:szCs w:val="24"/>
        </w:rPr>
        <w:t>(Joshi and Fass, 2011)</w:t>
      </w:r>
      <w:r w:rsidR="007A2824">
        <w:rPr>
          <w:rFonts w:ascii="Times New Roman" w:hAnsi="Times New Roman" w:cs="Times New Roman"/>
          <w:sz w:val="24"/>
          <w:szCs w:val="24"/>
        </w:rPr>
        <w:fldChar w:fldCharType="end"/>
      </w:r>
      <w:r w:rsidRPr="00BB32D6">
        <w:rPr>
          <w:rFonts w:ascii="Times New Roman" w:hAnsi="Times New Roman" w:cs="Times New Roman"/>
          <w:sz w:val="24"/>
          <w:szCs w:val="24"/>
        </w:rPr>
        <w:t xml:space="preserve"> with a minimum quality score of 20.</w:t>
      </w:r>
    </w:p>
    <w:p w14:paraId="75E982CE" w14:textId="24C79879" w:rsidR="006F6CED" w:rsidRPr="00A82529" w:rsidRDefault="006F6CED" w:rsidP="006F6CED">
      <w:pPr>
        <w:jc w:val="both"/>
        <w:rPr>
          <w:rFonts w:ascii="Times New Roman" w:hAnsi="Times New Roman" w:cs="Times New Roman"/>
          <w:b/>
          <w:sz w:val="24"/>
          <w:szCs w:val="24"/>
        </w:rPr>
      </w:pPr>
      <w:r w:rsidRPr="006F6CED">
        <w:rPr>
          <w:rFonts w:ascii="Times New Roman" w:hAnsi="Times New Roman" w:cs="Times New Roman"/>
          <w:b/>
          <w:sz w:val="24"/>
          <w:szCs w:val="24"/>
        </w:rPr>
        <w:t>Statistical analyses</w:t>
      </w:r>
      <w:r>
        <w:rPr>
          <w:rFonts w:ascii="Times New Roman" w:hAnsi="Times New Roman" w:cs="Times New Roman"/>
          <w:b/>
          <w:sz w:val="24"/>
          <w:szCs w:val="24"/>
        </w:rPr>
        <w:t xml:space="preserve"> of l</w:t>
      </w:r>
      <w:r w:rsidRPr="006F6CED">
        <w:rPr>
          <w:rFonts w:ascii="Times New Roman" w:hAnsi="Times New Roman" w:cs="Times New Roman"/>
          <w:b/>
          <w:sz w:val="24"/>
          <w:szCs w:val="24"/>
        </w:rPr>
        <w:t>og lesion areas</w:t>
      </w:r>
    </w:p>
    <w:p w14:paraId="1A4C21BC" w14:textId="77777777" w:rsidR="006F6CED" w:rsidRPr="006F6CED" w:rsidRDefault="006F6CED" w:rsidP="006F6CED">
      <w:pPr>
        <w:jc w:val="both"/>
        <w:rPr>
          <w:rFonts w:ascii="Times New Roman" w:hAnsi="Times New Roman" w:cs="Times New Roman"/>
          <w:sz w:val="24"/>
          <w:szCs w:val="24"/>
        </w:rPr>
      </w:pPr>
      <w:r w:rsidRPr="006F6CED">
        <w:rPr>
          <w:rFonts w:ascii="Times New Roman" w:hAnsi="Times New Roman" w:cs="Times New Roman"/>
          <w:sz w:val="24"/>
          <w:szCs w:val="24"/>
        </w:rPr>
        <w:t xml:space="preserve">All lesion area analyses were conducted using the statistical package R (R Core Team, 2016); data were analysed using mixed-effects models in the lme4 package (Bates </w:t>
      </w:r>
      <w:r w:rsidRPr="006F6CED">
        <w:rPr>
          <w:rFonts w:ascii="Times New Roman" w:hAnsi="Times New Roman" w:cs="Times New Roman"/>
          <w:i/>
          <w:sz w:val="24"/>
          <w:szCs w:val="24"/>
        </w:rPr>
        <w:t>et al.</w:t>
      </w:r>
      <w:r w:rsidRPr="006F6CED">
        <w:rPr>
          <w:rFonts w:ascii="Times New Roman" w:hAnsi="Times New Roman" w:cs="Times New Roman"/>
          <w:sz w:val="24"/>
          <w:szCs w:val="24"/>
        </w:rPr>
        <w:t xml:space="preserve">, 2015). Random effects were assigned to account for the nesting within the data, with log nested within tree, and tree nested within experimental data set (2014 wound and non-wound, 2015, field data); given that lesion measurements were conducted following the same methodology across all trials, it was deemed reasonable to conduct the analysis in this way, with experimental data sets being treated as blocks, separated in both time and space: residual analysis (normally-distributed, homoscedastic residuals) supported this approach.. Bacteria x </w:t>
      </w:r>
      <w:r w:rsidRPr="006F6CED">
        <w:rPr>
          <w:rFonts w:ascii="Times New Roman" w:hAnsi="Times New Roman" w:cs="Times New Roman"/>
          <w:i/>
          <w:sz w:val="24"/>
          <w:szCs w:val="24"/>
          <w:lang w:val="en-US"/>
        </w:rPr>
        <w:t>A. biguttatus</w:t>
      </w:r>
      <w:r w:rsidRPr="006F6CED">
        <w:rPr>
          <w:rFonts w:ascii="Times New Roman" w:hAnsi="Times New Roman" w:cs="Times New Roman"/>
          <w:i/>
          <w:sz w:val="24"/>
          <w:szCs w:val="24"/>
        </w:rPr>
        <w:t xml:space="preserve"> </w:t>
      </w:r>
      <w:r w:rsidRPr="006F6CED">
        <w:rPr>
          <w:rFonts w:ascii="Times New Roman" w:hAnsi="Times New Roman" w:cs="Times New Roman"/>
          <w:sz w:val="24"/>
          <w:szCs w:val="24"/>
        </w:rPr>
        <w:t>combinations were included as fixed effects within the models. Lesion areas were standardised to normalise the residuals within the mixed-effects model, using an inverse transformation (</w:t>
      </w:r>
      <w:r w:rsidRPr="006F6CED">
        <w:rPr>
          <w:rFonts w:ascii="Times New Roman" w:hAnsi="Times New Roman" w:cs="Times New Roman"/>
          <w:i/>
          <w:sz w:val="24"/>
          <w:szCs w:val="24"/>
        </w:rPr>
        <w:t>c</w:t>
      </w:r>
      <w:r w:rsidRPr="006F6CED">
        <w:rPr>
          <w:rFonts w:ascii="Times New Roman" w:hAnsi="Times New Roman" w:cs="Times New Roman"/>
          <w:sz w:val="24"/>
          <w:szCs w:val="24"/>
        </w:rPr>
        <w:t xml:space="preserve">/(area + </w:t>
      </w:r>
      <w:r w:rsidRPr="006F6CED">
        <w:rPr>
          <w:rFonts w:ascii="Times New Roman" w:hAnsi="Times New Roman" w:cs="Times New Roman"/>
          <w:i/>
          <w:sz w:val="24"/>
          <w:szCs w:val="24"/>
        </w:rPr>
        <w:t>c</w:t>
      </w:r>
      <w:r w:rsidRPr="006F6CED">
        <w:rPr>
          <w:rFonts w:ascii="Times New Roman" w:hAnsi="Times New Roman" w:cs="Times New Roman"/>
          <w:sz w:val="24"/>
          <w:szCs w:val="24"/>
        </w:rPr>
        <w:t xml:space="preserve">), where </w:t>
      </w:r>
      <w:r w:rsidRPr="006F6CED">
        <w:rPr>
          <w:rFonts w:ascii="Times New Roman" w:hAnsi="Times New Roman" w:cs="Times New Roman"/>
          <w:i/>
          <w:sz w:val="24"/>
          <w:szCs w:val="24"/>
        </w:rPr>
        <w:t>c</w:t>
      </w:r>
      <w:r w:rsidRPr="006F6CED">
        <w:rPr>
          <w:rFonts w:ascii="Times New Roman" w:hAnsi="Times New Roman" w:cs="Times New Roman"/>
          <w:sz w:val="24"/>
          <w:szCs w:val="24"/>
        </w:rPr>
        <w:t xml:space="preserve"> represents a fixed constant). Post-hoc tests were performed on the best-fit models to compare each treatment to the control data, using the </w:t>
      </w:r>
      <w:r w:rsidRPr="006F6CED">
        <w:rPr>
          <w:rFonts w:ascii="Times New Roman" w:hAnsi="Times New Roman" w:cs="Times New Roman"/>
          <w:sz w:val="24"/>
          <w:szCs w:val="24"/>
        </w:rPr>
        <w:lastRenderedPageBreak/>
        <w:t>appropriate adjustments for critical values (“</w:t>
      </w:r>
      <w:proofErr w:type="spellStart"/>
      <w:r w:rsidRPr="006F6CED">
        <w:rPr>
          <w:rFonts w:ascii="Times New Roman" w:hAnsi="Times New Roman" w:cs="Times New Roman"/>
          <w:sz w:val="24"/>
          <w:szCs w:val="24"/>
        </w:rPr>
        <w:t>dunnettx</w:t>
      </w:r>
      <w:proofErr w:type="spellEnd"/>
      <w:r w:rsidRPr="006F6CED">
        <w:rPr>
          <w:rFonts w:ascii="Times New Roman" w:hAnsi="Times New Roman" w:cs="Times New Roman"/>
          <w:sz w:val="24"/>
          <w:szCs w:val="24"/>
        </w:rPr>
        <w:t xml:space="preserve">”, an approximation of the </w:t>
      </w:r>
      <w:proofErr w:type="spellStart"/>
      <w:r w:rsidRPr="006F6CED">
        <w:rPr>
          <w:rFonts w:ascii="Times New Roman" w:hAnsi="Times New Roman" w:cs="Times New Roman"/>
          <w:sz w:val="24"/>
          <w:szCs w:val="24"/>
        </w:rPr>
        <w:t>Dunnett</w:t>
      </w:r>
      <w:proofErr w:type="spellEnd"/>
      <w:r w:rsidRPr="006F6CED">
        <w:rPr>
          <w:rFonts w:ascii="Times New Roman" w:hAnsi="Times New Roman" w:cs="Times New Roman"/>
          <w:sz w:val="24"/>
          <w:szCs w:val="24"/>
        </w:rPr>
        <w:t xml:space="preserve"> adjustment) (</w:t>
      </w:r>
      <w:proofErr w:type="spellStart"/>
      <w:r w:rsidRPr="006F6CED">
        <w:rPr>
          <w:rFonts w:ascii="Times New Roman" w:hAnsi="Times New Roman" w:cs="Times New Roman"/>
          <w:sz w:val="24"/>
          <w:szCs w:val="24"/>
        </w:rPr>
        <w:t>Lenth</w:t>
      </w:r>
      <w:proofErr w:type="spellEnd"/>
      <w:r w:rsidRPr="006F6CED">
        <w:rPr>
          <w:rFonts w:ascii="Times New Roman" w:hAnsi="Times New Roman" w:cs="Times New Roman"/>
          <w:sz w:val="24"/>
          <w:szCs w:val="24"/>
        </w:rPr>
        <w:t xml:space="preserve">, 2015; Graves </w:t>
      </w:r>
      <w:r w:rsidRPr="006F6CED">
        <w:rPr>
          <w:rFonts w:ascii="Times New Roman" w:hAnsi="Times New Roman" w:cs="Times New Roman"/>
          <w:i/>
          <w:sz w:val="24"/>
          <w:szCs w:val="24"/>
        </w:rPr>
        <w:t>et al.</w:t>
      </w:r>
      <w:r w:rsidRPr="006F6CED">
        <w:rPr>
          <w:rFonts w:ascii="Times New Roman" w:hAnsi="Times New Roman" w:cs="Times New Roman"/>
          <w:sz w:val="24"/>
          <w:szCs w:val="24"/>
        </w:rPr>
        <w:t>, 2015).</w:t>
      </w:r>
    </w:p>
    <w:p w14:paraId="75B6D760" w14:textId="77777777" w:rsidR="006F6CED" w:rsidRPr="006F6CED" w:rsidRDefault="006F6CED" w:rsidP="006F6CED">
      <w:pPr>
        <w:jc w:val="both"/>
        <w:rPr>
          <w:rFonts w:ascii="Times New Roman" w:hAnsi="Times New Roman" w:cs="Times New Roman"/>
          <w:sz w:val="24"/>
          <w:szCs w:val="24"/>
        </w:rPr>
      </w:pPr>
      <w:r w:rsidRPr="006F6CED">
        <w:rPr>
          <w:rFonts w:ascii="Times New Roman" w:hAnsi="Times New Roman" w:cs="Times New Roman"/>
          <w:sz w:val="24"/>
          <w:szCs w:val="24"/>
        </w:rPr>
        <w:t>Back-isolations either yielded (a) no bacterial isolates (failed); (b) the organism(s) initially inoculated into the log (fulfilment of Koch’s postulates); (c) species of bacteria which the treatment inoculum did not contain (contamination). Koch’s postulates and contamination data were used to conduct two separate statistical analyses:</w:t>
      </w:r>
    </w:p>
    <w:p w14:paraId="027172EB" w14:textId="77777777" w:rsidR="006F6CED" w:rsidRPr="006F6CED" w:rsidRDefault="006F6CED" w:rsidP="006F6CED">
      <w:pPr>
        <w:numPr>
          <w:ilvl w:val="0"/>
          <w:numId w:val="1"/>
        </w:numPr>
        <w:jc w:val="both"/>
        <w:rPr>
          <w:rFonts w:ascii="Times New Roman" w:hAnsi="Times New Roman" w:cs="Times New Roman"/>
          <w:sz w:val="24"/>
          <w:szCs w:val="24"/>
        </w:rPr>
      </w:pPr>
      <w:r w:rsidRPr="006F6CED">
        <w:rPr>
          <w:rFonts w:ascii="Times New Roman" w:hAnsi="Times New Roman" w:cs="Times New Roman"/>
          <w:b/>
          <w:sz w:val="24"/>
          <w:szCs w:val="24"/>
        </w:rPr>
        <w:t>Bacterial positive back-isolation</w:t>
      </w:r>
      <w:r w:rsidRPr="006F6CED">
        <w:rPr>
          <w:rFonts w:ascii="Times New Roman" w:hAnsi="Times New Roman" w:cs="Times New Roman"/>
          <w:sz w:val="24"/>
          <w:szCs w:val="24"/>
        </w:rPr>
        <w:t>. For each bacterial species, the proportion of positive back isolations was calculated, both for where the species was included within the treatment and when it was not (i.e. contamination), and tested to see whether these were significantly different.</w:t>
      </w:r>
    </w:p>
    <w:p w14:paraId="55524A5B" w14:textId="77777777" w:rsidR="006F6CED" w:rsidRPr="006F6CED" w:rsidRDefault="006F6CED" w:rsidP="006F6CED">
      <w:pPr>
        <w:numPr>
          <w:ilvl w:val="0"/>
          <w:numId w:val="1"/>
        </w:numPr>
        <w:jc w:val="both"/>
        <w:rPr>
          <w:rFonts w:ascii="Times New Roman" w:hAnsi="Times New Roman" w:cs="Times New Roman"/>
          <w:sz w:val="24"/>
          <w:szCs w:val="24"/>
        </w:rPr>
      </w:pPr>
      <w:r w:rsidRPr="006F6CED">
        <w:rPr>
          <w:rFonts w:ascii="Times New Roman" w:hAnsi="Times New Roman" w:cs="Times New Roman"/>
          <w:b/>
          <w:i/>
          <w:sz w:val="24"/>
          <w:szCs w:val="24"/>
          <w:lang w:val="en-US"/>
        </w:rPr>
        <w:t>A. biguttatus</w:t>
      </w:r>
      <w:r w:rsidRPr="006F6CED">
        <w:rPr>
          <w:rFonts w:ascii="Times New Roman" w:hAnsi="Times New Roman" w:cs="Times New Roman"/>
          <w:b/>
          <w:sz w:val="24"/>
          <w:szCs w:val="24"/>
        </w:rPr>
        <w:t xml:space="preserve"> contamination.</w:t>
      </w:r>
      <w:r w:rsidRPr="006F6CED">
        <w:rPr>
          <w:rFonts w:ascii="Times New Roman" w:hAnsi="Times New Roman" w:cs="Times New Roman"/>
          <w:sz w:val="24"/>
          <w:szCs w:val="24"/>
        </w:rPr>
        <w:t xml:space="preserve"> For all treatments where </w:t>
      </w:r>
      <w:r w:rsidRPr="006F6CED">
        <w:rPr>
          <w:rFonts w:ascii="Times New Roman" w:hAnsi="Times New Roman" w:cs="Times New Roman"/>
          <w:i/>
          <w:sz w:val="24"/>
          <w:szCs w:val="24"/>
          <w:lang w:val="en-US"/>
        </w:rPr>
        <w:t>A. biguttatus</w:t>
      </w:r>
      <w:r w:rsidRPr="006F6CED">
        <w:rPr>
          <w:rFonts w:ascii="Times New Roman" w:hAnsi="Times New Roman" w:cs="Times New Roman"/>
          <w:sz w:val="24"/>
          <w:szCs w:val="24"/>
        </w:rPr>
        <w:t xml:space="preserve"> eggs or larvae were present, the proportion of contaminated samples was calculated, to test whether contamination of specific bacteria species was more likely in the presence of </w:t>
      </w:r>
      <w:r w:rsidRPr="006F6CED">
        <w:rPr>
          <w:rFonts w:ascii="Times New Roman" w:hAnsi="Times New Roman" w:cs="Times New Roman"/>
          <w:i/>
          <w:sz w:val="24"/>
          <w:szCs w:val="24"/>
          <w:lang w:val="en-US"/>
        </w:rPr>
        <w:t>A. biguttatus</w:t>
      </w:r>
      <w:r w:rsidRPr="006F6CED">
        <w:rPr>
          <w:rFonts w:ascii="Times New Roman" w:hAnsi="Times New Roman" w:cs="Times New Roman"/>
          <w:sz w:val="24"/>
          <w:szCs w:val="24"/>
        </w:rPr>
        <w:t>.</w:t>
      </w:r>
    </w:p>
    <w:p w14:paraId="4E19232F" w14:textId="55E161F0" w:rsidR="006F6CED" w:rsidRDefault="006F6CED" w:rsidP="006F6CED">
      <w:pPr>
        <w:jc w:val="both"/>
        <w:rPr>
          <w:rFonts w:ascii="Times New Roman" w:hAnsi="Times New Roman" w:cs="Times New Roman"/>
          <w:sz w:val="24"/>
          <w:szCs w:val="24"/>
        </w:rPr>
      </w:pPr>
      <w:r w:rsidRPr="006F6CED">
        <w:rPr>
          <w:rFonts w:ascii="Times New Roman" w:hAnsi="Times New Roman" w:cs="Times New Roman"/>
          <w:sz w:val="24"/>
          <w:szCs w:val="24"/>
        </w:rPr>
        <w:t xml:space="preserve">All analyses were conducted in R (R Core Team, 2016); data were analysed using generalised mixed-effects models (Bates </w:t>
      </w:r>
      <w:r w:rsidRPr="006F6CED">
        <w:rPr>
          <w:rFonts w:ascii="Times New Roman" w:hAnsi="Times New Roman" w:cs="Times New Roman"/>
          <w:i/>
          <w:sz w:val="24"/>
          <w:szCs w:val="24"/>
        </w:rPr>
        <w:t>et al.</w:t>
      </w:r>
      <w:r w:rsidRPr="006F6CED">
        <w:rPr>
          <w:rFonts w:ascii="Times New Roman" w:hAnsi="Times New Roman" w:cs="Times New Roman"/>
          <w:sz w:val="24"/>
          <w:szCs w:val="24"/>
        </w:rPr>
        <w:t>, 2015), with the same random effects structure as for the lesion area analyses. Responses were binomial, with negative or positive back-isolation coded as 0 or 1. A binomial distribution with logit link function was applied in each case. The significance of factors was determined based on the Wald chi-square test statistics from the analysis of deviance, using the car package in R (Fox and Weisberg, 2011), with proportions calculated from post hoc tests in R (</w:t>
      </w:r>
      <w:proofErr w:type="spellStart"/>
      <w:r w:rsidRPr="006F6CED">
        <w:rPr>
          <w:rFonts w:ascii="Times New Roman" w:hAnsi="Times New Roman" w:cs="Times New Roman"/>
          <w:sz w:val="24"/>
          <w:szCs w:val="24"/>
        </w:rPr>
        <w:t>Lenth</w:t>
      </w:r>
      <w:proofErr w:type="spellEnd"/>
      <w:r w:rsidRPr="006F6CED">
        <w:rPr>
          <w:rFonts w:ascii="Times New Roman" w:hAnsi="Times New Roman" w:cs="Times New Roman"/>
          <w:sz w:val="24"/>
          <w:szCs w:val="24"/>
        </w:rPr>
        <w:t xml:space="preserve">, 2015; Graves </w:t>
      </w:r>
      <w:r w:rsidRPr="006F6CED">
        <w:rPr>
          <w:rFonts w:ascii="Times New Roman" w:hAnsi="Times New Roman" w:cs="Times New Roman"/>
          <w:i/>
          <w:sz w:val="24"/>
          <w:szCs w:val="24"/>
        </w:rPr>
        <w:t>et al.</w:t>
      </w:r>
      <w:r w:rsidRPr="006F6CED">
        <w:rPr>
          <w:rFonts w:ascii="Times New Roman" w:hAnsi="Times New Roman" w:cs="Times New Roman"/>
          <w:sz w:val="24"/>
          <w:szCs w:val="24"/>
        </w:rPr>
        <w:t>, 2015) on the best-fit models.</w:t>
      </w:r>
      <w:r w:rsidRPr="006F6CED">
        <w:rPr>
          <w:rFonts w:ascii="Times New Roman" w:hAnsi="Times New Roman" w:cs="Times New Roman"/>
          <w:sz w:val="24"/>
          <w:szCs w:val="24"/>
        </w:rPr>
        <w:tab/>
      </w:r>
    </w:p>
    <w:p w14:paraId="42771FA3" w14:textId="6F0575D2" w:rsidR="006F6CED" w:rsidRDefault="006F6CED" w:rsidP="006F6CED">
      <w:pPr>
        <w:jc w:val="both"/>
        <w:rPr>
          <w:rFonts w:ascii="Times New Roman" w:hAnsi="Times New Roman" w:cs="Times New Roman"/>
          <w:sz w:val="24"/>
          <w:szCs w:val="24"/>
        </w:rPr>
      </w:pPr>
    </w:p>
    <w:p w14:paraId="3F85EFAD" w14:textId="77777777" w:rsidR="006F6CED" w:rsidRPr="00731084" w:rsidRDefault="006F6CED" w:rsidP="006F6CED">
      <w:pPr>
        <w:jc w:val="both"/>
        <w:rPr>
          <w:rFonts w:ascii="Times New Roman" w:hAnsi="Times New Roman" w:cs="Times New Roman"/>
          <w:sz w:val="24"/>
          <w:szCs w:val="24"/>
        </w:rPr>
      </w:pPr>
    </w:p>
    <w:p w14:paraId="22B8EFE3" w14:textId="77777777" w:rsidR="00934B25" w:rsidRDefault="00934B25">
      <w:pPr>
        <w:rPr>
          <w:rFonts w:ascii="Times New Roman" w:hAnsi="Times New Roman" w:cs="Times New Roman"/>
          <w:b/>
          <w:sz w:val="24"/>
          <w:szCs w:val="24"/>
        </w:rPr>
      </w:pPr>
    </w:p>
    <w:p w14:paraId="690F5D19" w14:textId="77777777" w:rsidR="00A82529" w:rsidRDefault="00A82529" w:rsidP="00381280">
      <w:pPr>
        <w:jc w:val="both"/>
        <w:rPr>
          <w:rFonts w:ascii="Times New Roman" w:eastAsia="Times New Roman" w:hAnsi="Times New Roman" w:cs="Times New Roman"/>
          <w:b/>
          <w:bCs/>
          <w:sz w:val="24"/>
          <w:szCs w:val="24"/>
        </w:rPr>
        <w:sectPr w:rsidR="00A82529">
          <w:pgSz w:w="11906" w:h="16838"/>
          <w:pgMar w:top="1440" w:right="1440" w:bottom="1440" w:left="1440" w:header="708" w:footer="708" w:gutter="0"/>
          <w:cols w:space="708"/>
          <w:docGrid w:linePitch="360"/>
        </w:sectPr>
      </w:pPr>
    </w:p>
    <w:p w14:paraId="041887B3" w14:textId="73499613" w:rsidR="00934B25" w:rsidRDefault="41EAD2C0" w:rsidP="00381280">
      <w:pPr>
        <w:jc w:val="both"/>
        <w:rPr>
          <w:rFonts w:ascii="Times New Roman" w:hAnsi="Times New Roman" w:cs="Times New Roman"/>
          <w:b/>
          <w:sz w:val="24"/>
          <w:szCs w:val="24"/>
        </w:rPr>
      </w:pPr>
      <w:r w:rsidRPr="41EAD2C0">
        <w:rPr>
          <w:rFonts w:ascii="Times New Roman" w:eastAsia="Times New Roman" w:hAnsi="Times New Roman" w:cs="Times New Roman"/>
          <w:b/>
          <w:bCs/>
          <w:sz w:val="24"/>
          <w:szCs w:val="24"/>
        </w:rPr>
        <w:lastRenderedPageBreak/>
        <w:t>Figure legends</w:t>
      </w:r>
    </w:p>
    <w:p w14:paraId="2D8042D6" w14:textId="00B5986A" w:rsidR="41EAD2C0" w:rsidRDefault="41EAD2C0" w:rsidP="41EAD2C0">
      <w:pPr>
        <w:pStyle w:val="SMcaption"/>
        <w:jc w:val="both"/>
        <w:rPr>
          <w:b/>
          <w:bCs/>
          <w:lang w:val="en-GB"/>
        </w:rPr>
      </w:pPr>
      <w:r w:rsidRPr="41EAD2C0">
        <w:rPr>
          <w:b/>
          <w:bCs/>
        </w:rPr>
        <w:t>S 1</w:t>
      </w:r>
      <w:r w:rsidRPr="41EAD2C0">
        <w:rPr>
          <w:b/>
          <w:bCs/>
          <w:lang w:val="en-GB"/>
        </w:rPr>
        <w:t xml:space="preserve"> Location of oak sampling sites. </w:t>
      </w:r>
      <w:r w:rsidRPr="41EAD2C0">
        <w:rPr>
          <w:color w:val="000000" w:themeColor="text1"/>
        </w:rPr>
        <w:t>The number of healthy and diseased oaks sampled are shown for each location, the proportion of healthy oaks sampled are shown in light green and diseased oaks are red. The size of the pie charts is relative to the number oaks sampled. The locations shown have been adjusted to ensure pie charts do not overlap. Individual sites are numbered with full information is provided in Supplementary Table S2.</w:t>
      </w:r>
    </w:p>
    <w:p w14:paraId="35C37DE4" w14:textId="77777777" w:rsidR="41EAD2C0" w:rsidRDefault="41EAD2C0" w:rsidP="41EAD2C0">
      <w:pPr>
        <w:rPr>
          <w:rFonts w:ascii="Times New Roman" w:eastAsia="Times New Roman" w:hAnsi="Times New Roman" w:cs="Times New Roman"/>
          <w:sz w:val="24"/>
          <w:szCs w:val="24"/>
        </w:rPr>
      </w:pPr>
    </w:p>
    <w:p w14:paraId="4FD80DFF" w14:textId="211A3857" w:rsidR="41EAD2C0" w:rsidRDefault="3722851C" w:rsidP="3722851C">
      <w:pPr>
        <w:pStyle w:val="SMcaption"/>
        <w:jc w:val="both"/>
        <w:rPr>
          <w:lang w:val="en-GB"/>
        </w:rPr>
      </w:pPr>
      <w:r w:rsidRPr="3722851C">
        <w:rPr>
          <w:b/>
          <w:bCs/>
        </w:rPr>
        <w:t>S</w:t>
      </w:r>
      <w:r w:rsidRPr="3722851C">
        <w:rPr>
          <w:b/>
          <w:bCs/>
          <w:lang w:val="en-GB"/>
        </w:rPr>
        <w:t xml:space="preserve"> 2 Circular representation of </w:t>
      </w:r>
      <w:proofErr w:type="spellStart"/>
      <w:r w:rsidRPr="3722851C">
        <w:rPr>
          <w:b/>
          <w:bCs/>
          <w:i/>
          <w:iCs/>
          <w:lang w:val="en-GB"/>
        </w:rPr>
        <w:t>Pectobacterium</w:t>
      </w:r>
      <w:proofErr w:type="spellEnd"/>
      <w:r w:rsidRPr="3722851C">
        <w:rPr>
          <w:b/>
          <w:bCs/>
          <w:i/>
          <w:iCs/>
          <w:lang w:val="en-GB"/>
        </w:rPr>
        <w:t xml:space="preserve"> </w:t>
      </w:r>
      <w:proofErr w:type="spellStart"/>
      <w:r w:rsidRPr="3722851C">
        <w:rPr>
          <w:b/>
          <w:bCs/>
          <w:i/>
          <w:iCs/>
          <w:lang w:val="en-GB"/>
        </w:rPr>
        <w:t>carotovorum</w:t>
      </w:r>
      <w:proofErr w:type="spellEnd"/>
      <w:r w:rsidRPr="3722851C">
        <w:rPr>
          <w:b/>
          <w:bCs/>
          <w:i/>
          <w:iCs/>
          <w:lang w:val="en-GB"/>
        </w:rPr>
        <w:t xml:space="preserve"> </w:t>
      </w:r>
      <w:r w:rsidRPr="3722851C">
        <w:rPr>
          <w:b/>
          <w:bCs/>
          <w:lang w:val="en-GB"/>
        </w:rPr>
        <w:t>subsp</w:t>
      </w:r>
      <w:r w:rsidRPr="3722851C">
        <w:rPr>
          <w:b/>
          <w:bCs/>
          <w:i/>
          <w:iCs/>
          <w:lang w:val="en-GB"/>
        </w:rPr>
        <w:t xml:space="preserve">. </w:t>
      </w:r>
      <w:proofErr w:type="spellStart"/>
      <w:r w:rsidRPr="3722851C">
        <w:rPr>
          <w:b/>
          <w:bCs/>
          <w:i/>
          <w:iCs/>
          <w:lang w:val="en-GB"/>
        </w:rPr>
        <w:t>carotovorum</w:t>
      </w:r>
      <w:proofErr w:type="spellEnd"/>
      <w:r w:rsidRPr="3722851C">
        <w:rPr>
          <w:b/>
          <w:bCs/>
          <w:i/>
          <w:iCs/>
          <w:lang w:val="en-GB"/>
        </w:rPr>
        <w:t xml:space="preserve"> </w:t>
      </w:r>
      <w:r w:rsidRPr="3722851C">
        <w:rPr>
          <w:b/>
          <w:bCs/>
          <w:lang w:val="en-GB"/>
        </w:rPr>
        <w:t xml:space="preserve">PC1 genome, and aligned homologous </w:t>
      </w:r>
      <w:proofErr w:type="spellStart"/>
      <w:r w:rsidRPr="3722851C">
        <w:rPr>
          <w:b/>
          <w:bCs/>
          <w:lang w:val="en-GB"/>
        </w:rPr>
        <w:t>metatranscripts</w:t>
      </w:r>
      <w:proofErr w:type="spellEnd"/>
      <w:r w:rsidRPr="3722851C">
        <w:rPr>
          <w:b/>
          <w:bCs/>
          <w:lang w:val="en-GB"/>
        </w:rPr>
        <w:t xml:space="preserve"> and metagenomic coding domains.</w:t>
      </w:r>
      <w:r w:rsidRPr="3722851C">
        <w:rPr>
          <w:lang w:val="en-GB"/>
        </w:rPr>
        <w:t xml:space="preserve"> </w:t>
      </w:r>
      <w:proofErr w:type="spellStart"/>
      <w:r w:rsidRPr="3722851C">
        <w:rPr>
          <w:i/>
          <w:iCs/>
          <w:lang w:val="en-GB"/>
        </w:rPr>
        <w:t>Pectobacterium</w:t>
      </w:r>
      <w:proofErr w:type="spellEnd"/>
      <w:r w:rsidRPr="3722851C">
        <w:rPr>
          <w:i/>
          <w:iCs/>
          <w:lang w:val="en-GB"/>
        </w:rPr>
        <w:t xml:space="preserve"> </w:t>
      </w:r>
      <w:proofErr w:type="spellStart"/>
      <w:r w:rsidRPr="3722851C">
        <w:rPr>
          <w:i/>
          <w:iCs/>
          <w:lang w:val="en-GB"/>
        </w:rPr>
        <w:t>carotovorum</w:t>
      </w:r>
      <w:proofErr w:type="spellEnd"/>
      <w:r w:rsidRPr="3722851C">
        <w:rPr>
          <w:i/>
          <w:iCs/>
          <w:lang w:val="en-GB"/>
        </w:rPr>
        <w:t xml:space="preserve"> </w:t>
      </w:r>
      <w:r w:rsidRPr="3722851C">
        <w:rPr>
          <w:lang w:val="en-GB"/>
        </w:rPr>
        <w:t>subsp</w:t>
      </w:r>
      <w:r w:rsidRPr="3722851C">
        <w:rPr>
          <w:i/>
          <w:iCs/>
          <w:lang w:val="en-GB"/>
        </w:rPr>
        <w:t xml:space="preserve">. </w:t>
      </w:r>
      <w:proofErr w:type="spellStart"/>
      <w:r w:rsidRPr="3722851C">
        <w:rPr>
          <w:i/>
          <w:iCs/>
          <w:lang w:val="en-GB"/>
        </w:rPr>
        <w:t>carotovorum</w:t>
      </w:r>
      <w:proofErr w:type="spellEnd"/>
      <w:r w:rsidRPr="3722851C">
        <w:rPr>
          <w:i/>
          <w:iCs/>
          <w:lang w:val="en-GB"/>
        </w:rPr>
        <w:t xml:space="preserve"> </w:t>
      </w:r>
      <w:r w:rsidRPr="3722851C">
        <w:rPr>
          <w:lang w:val="en-GB"/>
        </w:rPr>
        <w:t xml:space="preserve">PC1 is a canonical plant pathogen which is a member of the </w:t>
      </w:r>
      <w:r w:rsidR="002007F4">
        <w:rPr>
          <w:i/>
          <w:iCs/>
          <w:lang w:val="en-GB"/>
        </w:rPr>
        <w:t>Pecto</w:t>
      </w:r>
      <w:r w:rsidRPr="3722851C">
        <w:rPr>
          <w:i/>
          <w:iCs/>
          <w:lang w:val="en-GB"/>
        </w:rPr>
        <w:t>bacteriaceae</w:t>
      </w:r>
      <w:r w:rsidRPr="3722851C">
        <w:rPr>
          <w:lang w:val="en-GB"/>
        </w:rPr>
        <w:t xml:space="preserve"> and was identified sporadically at low relative abundance from metagenomic libraries extracted from diseased tissue (Supplementary Table S4). However, </w:t>
      </w:r>
      <w:r w:rsidR="00C86B1B">
        <w:rPr>
          <w:lang w:val="en-GB"/>
        </w:rPr>
        <w:t>P.</w:t>
      </w:r>
      <w:r w:rsidR="00C86B1B"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PC1</w:t>
      </w:r>
      <w:r w:rsidRPr="3722851C">
        <w:rPr>
          <w:lang w:val="en-GB"/>
        </w:rPr>
        <w:t>was not isolated from lesion tissue and despite being present at low relative abundance in metagenome samples we expect this was due to homologous alignment to conserved genes and an artefact of the alignment process. Therefore, it was selected as a control to measure the stringency of metagenome and metatranscriptome alignment. From outside to inside, circles represent: (1) Assembled</w:t>
      </w:r>
      <w:r w:rsidR="00C86B1B">
        <w:rPr>
          <w:lang w:val="en-GB"/>
        </w:rPr>
        <w:t xml:space="preserve"> P.</w:t>
      </w:r>
      <w:r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 xml:space="preserve">PC1 </w:t>
      </w:r>
      <w:r w:rsidRPr="3722851C">
        <w:rPr>
          <w:lang w:val="en-GB"/>
        </w:rPr>
        <w:t xml:space="preserve">genome, outermost (orange) circle, with encoded secretion systems annotated at their genomic loci. (2) Metatranscriptome heatmap. Alignment of two combined metatranscriptomes recovered from a necrotic lesion of an Acute Oak Decline (AOD) affected tree, against </w:t>
      </w:r>
      <w:r w:rsidR="00C86B1B">
        <w:rPr>
          <w:lang w:val="en-GB"/>
        </w:rPr>
        <w:t>P.</w:t>
      </w:r>
      <w:r w:rsidR="00C86B1B"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PC1</w:t>
      </w:r>
      <w:r w:rsidRPr="3722851C">
        <w:rPr>
          <w:lang w:val="en-GB"/>
        </w:rPr>
        <w:t xml:space="preserve">. Blue saturation represents increasing transcript alignments. (3-9) Seven metagenomes from necrotic lesions on AOD affected trees and one healthy tree (metagenomes were extracted from two sites, </w:t>
      </w:r>
      <w:proofErr w:type="spellStart"/>
      <w:r w:rsidRPr="3722851C">
        <w:rPr>
          <w:lang w:val="en-GB"/>
        </w:rPr>
        <w:t>Attingham</w:t>
      </w:r>
      <w:proofErr w:type="spellEnd"/>
      <w:r w:rsidRPr="3722851C">
        <w:rPr>
          <w:lang w:val="en-GB"/>
        </w:rPr>
        <w:t xml:space="preserve"> and Runs Wood), were aligned through their coding domains to homologous regions in the </w:t>
      </w:r>
      <w:r w:rsidR="00C86B1B">
        <w:rPr>
          <w:lang w:val="en-GB"/>
        </w:rPr>
        <w:t>P.</w:t>
      </w:r>
      <w:r w:rsidR="00C86B1B"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PC1</w:t>
      </w:r>
      <w:r w:rsidR="00C86B1B">
        <w:rPr>
          <w:lang w:val="en-GB"/>
        </w:rPr>
        <w:t xml:space="preserve"> </w:t>
      </w:r>
      <w:r w:rsidRPr="3722851C">
        <w:rPr>
          <w:lang w:val="en-GB"/>
        </w:rPr>
        <w:t xml:space="preserve">genome. (3) </w:t>
      </w:r>
      <w:proofErr w:type="spellStart"/>
      <w:r w:rsidRPr="3722851C">
        <w:rPr>
          <w:lang w:val="en-GB"/>
        </w:rPr>
        <w:t>Attingham</w:t>
      </w:r>
      <w:proofErr w:type="spellEnd"/>
      <w:r w:rsidRPr="3722851C">
        <w:rPr>
          <w:lang w:val="en-GB"/>
        </w:rPr>
        <w:t xml:space="preserve"> healthy (AT1) aligned metagenome coding domains (light purple). (4) </w:t>
      </w:r>
      <w:proofErr w:type="spellStart"/>
      <w:r w:rsidRPr="3722851C">
        <w:rPr>
          <w:lang w:val="en-GB"/>
        </w:rPr>
        <w:t>Attingham</w:t>
      </w:r>
      <w:proofErr w:type="spellEnd"/>
      <w:r w:rsidRPr="3722851C">
        <w:rPr>
          <w:lang w:val="en-GB"/>
        </w:rPr>
        <w:t xml:space="preserve"> diseased (AT7) aligned metagenome coding domains (aqua). (5) </w:t>
      </w:r>
      <w:proofErr w:type="spellStart"/>
      <w:r w:rsidRPr="3722851C">
        <w:rPr>
          <w:lang w:val="en-GB"/>
        </w:rPr>
        <w:t>Attingham</w:t>
      </w:r>
      <w:proofErr w:type="spellEnd"/>
      <w:r w:rsidRPr="3722851C">
        <w:rPr>
          <w:lang w:val="en-GB"/>
        </w:rPr>
        <w:t xml:space="preserve"> diseased (AT8) aligned metagenome coding domains (blue). (6) </w:t>
      </w:r>
      <w:proofErr w:type="spellStart"/>
      <w:r w:rsidRPr="3722851C">
        <w:rPr>
          <w:lang w:val="en-GB"/>
        </w:rPr>
        <w:t>Attingham</w:t>
      </w:r>
      <w:proofErr w:type="spellEnd"/>
      <w:r w:rsidRPr="3722851C">
        <w:rPr>
          <w:lang w:val="en-GB"/>
        </w:rPr>
        <w:t xml:space="preserve"> diseased (AT9) aligned metagenome coding domains (orange). (7) Runs Wood diseased (RW1) aligned metagenome coding domains (green). (8) Runs Wood diseased (RW2) aligned metagenome coding domains (pink). (9) Runs Wood diseased (RW3) aligned metagenome coding domains (grey). (10) G+C content across the </w:t>
      </w:r>
      <w:r w:rsidR="00C86B1B">
        <w:rPr>
          <w:lang w:val="en-GB"/>
        </w:rPr>
        <w:t>P.</w:t>
      </w:r>
      <w:r w:rsidR="00C86B1B"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PC1</w:t>
      </w:r>
      <w:r w:rsidR="00C86B1B">
        <w:rPr>
          <w:lang w:val="en-GB"/>
        </w:rPr>
        <w:t xml:space="preserve"> </w:t>
      </w:r>
      <w:r w:rsidRPr="3722851C">
        <w:rPr>
          <w:lang w:val="en-GB"/>
        </w:rPr>
        <w:t xml:space="preserve">genome. (11) G+C skew across the </w:t>
      </w:r>
      <w:r w:rsidR="00C86B1B">
        <w:rPr>
          <w:lang w:val="en-GB"/>
        </w:rPr>
        <w:t>P.</w:t>
      </w:r>
      <w:r w:rsidR="00C86B1B" w:rsidRPr="3722851C">
        <w:rPr>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subsp</w:t>
      </w:r>
      <w:r w:rsidR="00C86B1B" w:rsidRPr="3722851C">
        <w:rPr>
          <w:i/>
          <w:iCs/>
          <w:lang w:val="en-GB"/>
        </w:rPr>
        <w:t xml:space="preserve">. </w:t>
      </w:r>
      <w:proofErr w:type="spellStart"/>
      <w:r w:rsidR="00C86B1B" w:rsidRPr="3722851C">
        <w:rPr>
          <w:i/>
          <w:iCs/>
          <w:lang w:val="en-GB"/>
        </w:rPr>
        <w:t>carotovorum</w:t>
      </w:r>
      <w:proofErr w:type="spellEnd"/>
      <w:r w:rsidR="00C86B1B" w:rsidRPr="3722851C">
        <w:rPr>
          <w:i/>
          <w:iCs/>
          <w:lang w:val="en-GB"/>
        </w:rPr>
        <w:t xml:space="preserve"> </w:t>
      </w:r>
      <w:r w:rsidR="00C86B1B" w:rsidRPr="3722851C">
        <w:rPr>
          <w:lang w:val="en-GB"/>
        </w:rPr>
        <w:t>PC1</w:t>
      </w:r>
      <w:r w:rsidR="00C86B1B">
        <w:rPr>
          <w:lang w:val="en-GB"/>
        </w:rPr>
        <w:t xml:space="preserve"> </w:t>
      </w:r>
      <w:r w:rsidRPr="3722851C">
        <w:rPr>
          <w:lang w:val="en-GB"/>
        </w:rPr>
        <w:t>genome.</w:t>
      </w:r>
    </w:p>
    <w:p w14:paraId="7D386CEA" w14:textId="77777777" w:rsidR="41EAD2C0" w:rsidRDefault="41EAD2C0" w:rsidP="41EAD2C0">
      <w:pPr>
        <w:pStyle w:val="SMHeading"/>
        <w:spacing w:before="0" w:after="0"/>
        <w:jc w:val="both"/>
      </w:pPr>
    </w:p>
    <w:p w14:paraId="6C5A7255" w14:textId="778C5FC9" w:rsidR="41EAD2C0" w:rsidRDefault="3722851C" w:rsidP="3722851C">
      <w:pPr>
        <w:pStyle w:val="SMHeading"/>
        <w:spacing w:before="0" w:after="0"/>
        <w:jc w:val="both"/>
        <w:rPr>
          <w:b w:val="0"/>
          <w:bCs w:val="0"/>
          <w:lang w:val="en-GB"/>
        </w:rPr>
      </w:pPr>
      <w:r>
        <w:t>S 3</w:t>
      </w:r>
      <w:r w:rsidRPr="3722851C">
        <w:rPr>
          <w:lang w:val="en-GB"/>
        </w:rPr>
        <w:t xml:space="preserve"> Circular representation of </w:t>
      </w:r>
      <w:proofErr w:type="spellStart"/>
      <w:r w:rsidRPr="3722851C">
        <w:rPr>
          <w:i/>
          <w:iCs/>
          <w:lang w:val="en-GB"/>
        </w:rPr>
        <w:t>Paenibacillus</w:t>
      </w:r>
      <w:proofErr w:type="spellEnd"/>
      <w:r w:rsidRPr="3722851C">
        <w:rPr>
          <w:i/>
          <w:iCs/>
          <w:lang w:val="en-GB"/>
        </w:rPr>
        <w:t xml:space="preserve"> </w:t>
      </w:r>
      <w:proofErr w:type="spellStart"/>
      <w:r w:rsidRPr="3722851C">
        <w:rPr>
          <w:i/>
          <w:iCs/>
          <w:lang w:val="en-GB"/>
        </w:rPr>
        <w:t>polymyxa</w:t>
      </w:r>
      <w:proofErr w:type="spellEnd"/>
      <w:r w:rsidRPr="3722851C">
        <w:rPr>
          <w:i/>
          <w:iCs/>
          <w:lang w:val="en-GB"/>
        </w:rPr>
        <w:t xml:space="preserve"> </w:t>
      </w:r>
      <w:r w:rsidRPr="3722851C">
        <w:rPr>
          <w:lang w:val="en-GB"/>
        </w:rPr>
        <w:t>SC2</w:t>
      </w:r>
      <w:r w:rsidRPr="3722851C">
        <w:rPr>
          <w:i/>
          <w:iCs/>
          <w:lang w:val="en-GB"/>
        </w:rPr>
        <w:t xml:space="preserve"> </w:t>
      </w:r>
      <w:r w:rsidRPr="3722851C">
        <w:rPr>
          <w:lang w:val="en-GB"/>
        </w:rPr>
        <w:t xml:space="preserve">genome, and aligned homologous </w:t>
      </w:r>
      <w:proofErr w:type="spellStart"/>
      <w:r w:rsidRPr="3722851C">
        <w:rPr>
          <w:lang w:val="en-GB"/>
        </w:rPr>
        <w:t>metatranscripts</w:t>
      </w:r>
      <w:proofErr w:type="spellEnd"/>
      <w:r w:rsidRPr="3722851C">
        <w:rPr>
          <w:lang w:val="en-GB"/>
        </w:rPr>
        <w:t xml:space="preserve"> and metagenomic coding domains. </w:t>
      </w:r>
      <w:proofErr w:type="spellStart"/>
      <w:r w:rsidRPr="3722851C">
        <w:rPr>
          <w:b w:val="0"/>
          <w:bCs w:val="0"/>
          <w:i/>
          <w:iCs/>
          <w:lang w:val="en-GB"/>
        </w:rPr>
        <w:t>Paenibacillus</w:t>
      </w:r>
      <w:proofErr w:type="spellEnd"/>
      <w:r w:rsidRPr="3722851C">
        <w:rPr>
          <w:b w:val="0"/>
          <w:bCs w:val="0"/>
          <w:i/>
          <w:iCs/>
          <w:lang w:val="en-GB"/>
        </w:rPr>
        <w:t xml:space="preserve"> </w:t>
      </w:r>
      <w:proofErr w:type="spellStart"/>
      <w:r w:rsidRPr="3722851C">
        <w:rPr>
          <w:b w:val="0"/>
          <w:bCs w:val="0"/>
          <w:i/>
          <w:iCs/>
          <w:lang w:val="en-GB"/>
        </w:rPr>
        <w:t>polymyxa</w:t>
      </w:r>
      <w:proofErr w:type="spellEnd"/>
      <w:r w:rsidRPr="3722851C">
        <w:rPr>
          <w:b w:val="0"/>
          <w:bCs w:val="0"/>
          <w:i/>
          <w:iCs/>
          <w:lang w:val="en-GB"/>
        </w:rPr>
        <w:t xml:space="preserve"> </w:t>
      </w:r>
      <w:r w:rsidRPr="3722851C">
        <w:rPr>
          <w:b w:val="0"/>
          <w:bCs w:val="0"/>
          <w:lang w:val="en-GB"/>
        </w:rPr>
        <w:t>SC2 was identified within metagenomic samples at low relative abundance within healthy oak trees and diseased Acute Oak Decline (AOD) lesions (Supplementary Table S4). Therefore, a finished genome was downloaded from NCBI, and selected as a control to test the stringency of metagenome and metatranscriptome alignment.</w:t>
      </w:r>
      <w:r w:rsidRPr="3722851C">
        <w:rPr>
          <w:lang w:val="en-GB"/>
        </w:rPr>
        <w:t xml:space="preserve"> </w:t>
      </w:r>
      <w:r w:rsidRPr="3722851C">
        <w:rPr>
          <w:b w:val="0"/>
          <w:bCs w:val="0"/>
          <w:lang w:val="en-GB"/>
        </w:rPr>
        <w:t xml:space="preserve">From outside to inside, circles represent: (1) Assembled </w:t>
      </w:r>
      <w:r w:rsidR="00C86B1B">
        <w:rPr>
          <w:b w:val="0"/>
          <w:i/>
          <w:iCs/>
          <w:lang w:val="en-GB"/>
        </w:rPr>
        <w:t>P.</w:t>
      </w:r>
      <w:r w:rsidR="00C86B1B" w:rsidRPr="00C86B1B">
        <w:rPr>
          <w:b w:val="0"/>
          <w:i/>
          <w:iCs/>
          <w:lang w:val="en-GB"/>
        </w:rPr>
        <w:t xml:space="preserve"> </w:t>
      </w:r>
      <w:proofErr w:type="spellStart"/>
      <w:r w:rsidR="00C86B1B" w:rsidRPr="00C86B1B">
        <w:rPr>
          <w:b w:val="0"/>
          <w:i/>
          <w:iCs/>
          <w:lang w:val="en-GB"/>
        </w:rPr>
        <w:t>polymyxa</w:t>
      </w:r>
      <w:proofErr w:type="spellEnd"/>
      <w:r w:rsidR="00C86B1B" w:rsidRPr="00C86B1B">
        <w:rPr>
          <w:b w:val="0"/>
          <w:i/>
          <w:iCs/>
          <w:lang w:val="en-GB"/>
        </w:rPr>
        <w:t xml:space="preserve"> </w:t>
      </w:r>
      <w:r w:rsidR="00C86B1B" w:rsidRPr="00C86B1B">
        <w:rPr>
          <w:b w:val="0"/>
          <w:lang w:val="en-GB"/>
        </w:rPr>
        <w:t>SC2</w:t>
      </w:r>
      <w:r w:rsidR="00C86B1B">
        <w:rPr>
          <w:b w:val="0"/>
          <w:lang w:val="en-GB"/>
        </w:rPr>
        <w:t xml:space="preserve"> </w:t>
      </w:r>
      <w:r w:rsidRPr="3722851C">
        <w:rPr>
          <w:b w:val="0"/>
          <w:bCs w:val="0"/>
          <w:lang w:val="en-GB"/>
        </w:rPr>
        <w:t>genome, outermost (orange) circle, with encoded secretion systems annotated at their genomic loci. (2) Metatranscriptome heatmap. Alignment of two combined metatranscriptomes recovered from a necrotic lesion of an AOD affected tree, agains</w:t>
      </w:r>
      <w:r w:rsidRPr="00C86B1B">
        <w:rPr>
          <w:b w:val="0"/>
          <w:bCs w:val="0"/>
          <w:lang w:val="en-GB"/>
        </w:rPr>
        <w:t xml:space="preserve">t </w:t>
      </w:r>
      <w:r w:rsidR="00C86B1B">
        <w:rPr>
          <w:b w:val="0"/>
          <w:i/>
          <w:iCs/>
          <w:lang w:val="en-GB"/>
        </w:rPr>
        <w:t>P.</w:t>
      </w:r>
      <w:r w:rsidR="00C86B1B" w:rsidRPr="00C86B1B">
        <w:rPr>
          <w:b w:val="0"/>
          <w:i/>
          <w:iCs/>
          <w:lang w:val="en-GB"/>
        </w:rPr>
        <w:t xml:space="preserve"> </w:t>
      </w:r>
      <w:proofErr w:type="spellStart"/>
      <w:r w:rsidR="00C86B1B" w:rsidRPr="00C86B1B">
        <w:rPr>
          <w:b w:val="0"/>
          <w:i/>
          <w:iCs/>
          <w:lang w:val="en-GB"/>
        </w:rPr>
        <w:t>polymyxa</w:t>
      </w:r>
      <w:proofErr w:type="spellEnd"/>
      <w:r w:rsidR="00C86B1B" w:rsidRPr="00C86B1B">
        <w:rPr>
          <w:b w:val="0"/>
          <w:i/>
          <w:iCs/>
          <w:lang w:val="en-GB"/>
        </w:rPr>
        <w:t xml:space="preserve"> </w:t>
      </w:r>
      <w:r w:rsidR="00C86B1B" w:rsidRPr="00C86B1B">
        <w:rPr>
          <w:b w:val="0"/>
          <w:lang w:val="en-GB"/>
        </w:rPr>
        <w:t>SC2</w:t>
      </w:r>
      <w:r w:rsidRPr="3722851C">
        <w:rPr>
          <w:b w:val="0"/>
          <w:bCs w:val="0"/>
          <w:lang w:val="en-GB"/>
        </w:rPr>
        <w:t xml:space="preserve">. Blue saturation represents increasing transcript alignments. (3-9) Seven metagenomes from necrotic lesions on AOD affected trees and one healthy tree (metagenomes were extracted from two sites, </w:t>
      </w:r>
      <w:proofErr w:type="spellStart"/>
      <w:r w:rsidRPr="3722851C">
        <w:rPr>
          <w:b w:val="0"/>
          <w:bCs w:val="0"/>
          <w:lang w:val="en-GB"/>
        </w:rPr>
        <w:t>Attingham</w:t>
      </w:r>
      <w:proofErr w:type="spellEnd"/>
      <w:r w:rsidRPr="3722851C">
        <w:rPr>
          <w:b w:val="0"/>
          <w:bCs w:val="0"/>
          <w:lang w:val="en-GB"/>
        </w:rPr>
        <w:t xml:space="preserve"> and Runs Wood), were aligned through their coding domains to homologous regions in the </w:t>
      </w:r>
      <w:r w:rsidR="00C86B1B">
        <w:rPr>
          <w:b w:val="0"/>
          <w:i/>
          <w:iCs/>
          <w:lang w:val="en-GB"/>
        </w:rPr>
        <w:t>P.</w:t>
      </w:r>
      <w:r w:rsidR="00C86B1B" w:rsidRPr="00C86B1B">
        <w:rPr>
          <w:b w:val="0"/>
          <w:i/>
          <w:iCs/>
          <w:lang w:val="en-GB"/>
        </w:rPr>
        <w:t xml:space="preserve"> </w:t>
      </w:r>
      <w:proofErr w:type="spellStart"/>
      <w:r w:rsidR="00C86B1B" w:rsidRPr="00C86B1B">
        <w:rPr>
          <w:b w:val="0"/>
          <w:i/>
          <w:iCs/>
          <w:lang w:val="en-GB"/>
        </w:rPr>
        <w:t>polymyxa</w:t>
      </w:r>
      <w:proofErr w:type="spellEnd"/>
      <w:r w:rsidR="00C86B1B" w:rsidRPr="00C86B1B">
        <w:rPr>
          <w:b w:val="0"/>
          <w:i/>
          <w:iCs/>
          <w:lang w:val="en-GB"/>
        </w:rPr>
        <w:t xml:space="preserve"> </w:t>
      </w:r>
      <w:r w:rsidR="00C86B1B" w:rsidRPr="00C86B1B">
        <w:rPr>
          <w:b w:val="0"/>
          <w:lang w:val="en-GB"/>
        </w:rPr>
        <w:t>SC2</w:t>
      </w:r>
      <w:r w:rsidR="00C86B1B">
        <w:rPr>
          <w:b w:val="0"/>
          <w:lang w:val="en-GB"/>
        </w:rPr>
        <w:t xml:space="preserve"> </w:t>
      </w:r>
      <w:r w:rsidRPr="3722851C">
        <w:rPr>
          <w:b w:val="0"/>
          <w:bCs w:val="0"/>
          <w:lang w:val="en-GB"/>
        </w:rPr>
        <w:t xml:space="preserve">genome. (3) </w:t>
      </w:r>
      <w:proofErr w:type="spellStart"/>
      <w:r w:rsidRPr="3722851C">
        <w:rPr>
          <w:b w:val="0"/>
          <w:bCs w:val="0"/>
          <w:lang w:val="en-GB"/>
        </w:rPr>
        <w:t>Attingham</w:t>
      </w:r>
      <w:proofErr w:type="spellEnd"/>
      <w:r w:rsidRPr="3722851C">
        <w:rPr>
          <w:b w:val="0"/>
          <w:bCs w:val="0"/>
          <w:lang w:val="en-GB"/>
        </w:rPr>
        <w:t xml:space="preserve"> healthy (AT1) aligned metagenome coding domains (light purple). (4) </w:t>
      </w:r>
      <w:proofErr w:type="spellStart"/>
      <w:r w:rsidRPr="3722851C">
        <w:rPr>
          <w:b w:val="0"/>
          <w:bCs w:val="0"/>
          <w:lang w:val="en-GB"/>
        </w:rPr>
        <w:t>Attingham</w:t>
      </w:r>
      <w:proofErr w:type="spellEnd"/>
      <w:r w:rsidRPr="3722851C">
        <w:rPr>
          <w:b w:val="0"/>
          <w:bCs w:val="0"/>
          <w:lang w:val="en-GB"/>
        </w:rPr>
        <w:t xml:space="preserve"> diseased (AT7) aligned metagenome coding domains (aqua). (5) </w:t>
      </w:r>
      <w:proofErr w:type="spellStart"/>
      <w:r w:rsidRPr="3722851C">
        <w:rPr>
          <w:b w:val="0"/>
          <w:bCs w:val="0"/>
          <w:lang w:val="en-GB"/>
        </w:rPr>
        <w:t>Attingham</w:t>
      </w:r>
      <w:proofErr w:type="spellEnd"/>
      <w:r w:rsidRPr="3722851C">
        <w:rPr>
          <w:b w:val="0"/>
          <w:bCs w:val="0"/>
          <w:lang w:val="en-GB"/>
        </w:rPr>
        <w:t xml:space="preserve"> </w:t>
      </w:r>
      <w:r w:rsidRPr="3722851C">
        <w:rPr>
          <w:b w:val="0"/>
          <w:bCs w:val="0"/>
          <w:lang w:val="en-GB"/>
        </w:rPr>
        <w:lastRenderedPageBreak/>
        <w:t xml:space="preserve">diseased (AT8) aligned metagenome coding domains (blue). (6) </w:t>
      </w:r>
      <w:proofErr w:type="spellStart"/>
      <w:r w:rsidRPr="3722851C">
        <w:rPr>
          <w:b w:val="0"/>
          <w:bCs w:val="0"/>
          <w:lang w:val="en-GB"/>
        </w:rPr>
        <w:t>Attingham</w:t>
      </w:r>
      <w:proofErr w:type="spellEnd"/>
      <w:r w:rsidRPr="3722851C">
        <w:rPr>
          <w:b w:val="0"/>
          <w:bCs w:val="0"/>
          <w:lang w:val="en-GB"/>
        </w:rPr>
        <w:t xml:space="preserve"> diseased (AT9) aligned metagenome coding domains (orange). (7) Runs Wood diseased (RW1) aligned metagenome coding domains (green). (8) Runs Wood diseased (RW2) aligned metagenome coding domains (pink). (9) Runs Wood diseased (RW3) aligned metagenome coding domains (grey). (10) G+C content across the </w:t>
      </w:r>
      <w:r w:rsidR="00C86B1B">
        <w:rPr>
          <w:b w:val="0"/>
          <w:i/>
          <w:iCs/>
          <w:lang w:val="en-GB"/>
        </w:rPr>
        <w:t>P.</w:t>
      </w:r>
      <w:r w:rsidR="00C86B1B" w:rsidRPr="00C86B1B">
        <w:rPr>
          <w:b w:val="0"/>
          <w:i/>
          <w:iCs/>
          <w:lang w:val="en-GB"/>
        </w:rPr>
        <w:t xml:space="preserve"> </w:t>
      </w:r>
      <w:proofErr w:type="spellStart"/>
      <w:r w:rsidR="00C86B1B" w:rsidRPr="00C86B1B">
        <w:rPr>
          <w:b w:val="0"/>
          <w:i/>
          <w:iCs/>
          <w:lang w:val="en-GB"/>
        </w:rPr>
        <w:t>polymyxa</w:t>
      </w:r>
      <w:proofErr w:type="spellEnd"/>
      <w:r w:rsidR="00C86B1B" w:rsidRPr="00C86B1B">
        <w:rPr>
          <w:b w:val="0"/>
          <w:i/>
          <w:iCs/>
          <w:lang w:val="en-GB"/>
        </w:rPr>
        <w:t xml:space="preserve"> </w:t>
      </w:r>
      <w:r w:rsidR="00C86B1B" w:rsidRPr="00C86B1B">
        <w:rPr>
          <w:b w:val="0"/>
          <w:lang w:val="en-GB"/>
        </w:rPr>
        <w:t>SC2</w:t>
      </w:r>
      <w:r w:rsidR="00C86B1B">
        <w:rPr>
          <w:b w:val="0"/>
          <w:lang w:val="en-GB"/>
        </w:rPr>
        <w:t xml:space="preserve"> </w:t>
      </w:r>
      <w:r w:rsidRPr="3722851C">
        <w:rPr>
          <w:b w:val="0"/>
          <w:bCs w:val="0"/>
          <w:lang w:val="en-GB"/>
        </w:rPr>
        <w:t xml:space="preserve">genome. (11) G+C skew across the </w:t>
      </w:r>
      <w:r w:rsidR="00C86B1B">
        <w:rPr>
          <w:b w:val="0"/>
          <w:i/>
          <w:iCs/>
          <w:lang w:val="en-GB"/>
        </w:rPr>
        <w:t>P.</w:t>
      </w:r>
      <w:r w:rsidR="00C86B1B" w:rsidRPr="00C86B1B">
        <w:rPr>
          <w:b w:val="0"/>
          <w:i/>
          <w:iCs/>
          <w:lang w:val="en-GB"/>
        </w:rPr>
        <w:t xml:space="preserve"> </w:t>
      </w:r>
      <w:proofErr w:type="spellStart"/>
      <w:r w:rsidR="00C86B1B" w:rsidRPr="00C86B1B">
        <w:rPr>
          <w:b w:val="0"/>
          <w:i/>
          <w:iCs/>
          <w:lang w:val="en-GB"/>
        </w:rPr>
        <w:t>polymyxa</w:t>
      </w:r>
      <w:proofErr w:type="spellEnd"/>
      <w:r w:rsidR="00C86B1B" w:rsidRPr="00C86B1B">
        <w:rPr>
          <w:b w:val="0"/>
          <w:i/>
          <w:iCs/>
          <w:lang w:val="en-GB"/>
        </w:rPr>
        <w:t xml:space="preserve"> </w:t>
      </w:r>
      <w:r w:rsidR="00C86B1B" w:rsidRPr="00C86B1B">
        <w:rPr>
          <w:b w:val="0"/>
          <w:lang w:val="en-GB"/>
        </w:rPr>
        <w:t>SC2</w:t>
      </w:r>
      <w:r w:rsidR="00C86B1B">
        <w:rPr>
          <w:b w:val="0"/>
          <w:lang w:val="en-GB"/>
        </w:rPr>
        <w:t xml:space="preserve"> </w:t>
      </w:r>
      <w:r w:rsidRPr="3722851C">
        <w:rPr>
          <w:b w:val="0"/>
          <w:bCs w:val="0"/>
          <w:lang w:val="en-GB"/>
        </w:rPr>
        <w:t>genome.</w:t>
      </w:r>
    </w:p>
    <w:p w14:paraId="3BFD03F5" w14:textId="6E3C2161" w:rsidR="41EAD2C0" w:rsidRDefault="41EAD2C0" w:rsidP="41EAD2C0">
      <w:pPr>
        <w:pStyle w:val="SMcaption"/>
        <w:jc w:val="both"/>
        <w:rPr>
          <w:b/>
          <w:bCs/>
          <w:lang w:val="en-GB"/>
        </w:rPr>
      </w:pPr>
    </w:p>
    <w:p w14:paraId="26EE8A98" w14:textId="74B2B651" w:rsidR="41EAD2C0" w:rsidRDefault="41EAD2C0" w:rsidP="41EAD2C0">
      <w:pPr>
        <w:pStyle w:val="SMcaption"/>
        <w:jc w:val="both"/>
        <w:rPr>
          <w:b/>
          <w:bCs/>
          <w:lang w:val="en-GB"/>
        </w:rPr>
      </w:pPr>
      <w:r w:rsidRPr="41EAD2C0">
        <w:rPr>
          <w:b/>
          <w:bCs/>
          <w:lang w:val="en-GB"/>
        </w:rPr>
        <w:t xml:space="preserve">S </w:t>
      </w:r>
      <w:r w:rsidRPr="41EAD2C0">
        <w:rPr>
          <w:b/>
          <w:bCs/>
        </w:rPr>
        <w:t>4</w:t>
      </w:r>
      <w:r>
        <w:t xml:space="preserve"> </w:t>
      </w:r>
      <w:r w:rsidRPr="41EAD2C0">
        <w:rPr>
          <w:b/>
          <w:bCs/>
        </w:rPr>
        <w:t xml:space="preserve">Gene coverage of transcripts recovered from two necrotic lesions on Acute Oak Decline affected trees, against virulence genes encoded within </w:t>
      </w:r>
      <w:r w:rsidRPr="41EAD2C0">
        <w:rPr>
          <w:b/>
          <w:bCs/>
          <w:i/>
          <w:iCs/>
          <w:color w:val="000000" w:themeColor="text1"/>
          <w:lang w:eastAsia="en-GB"/>
        </w:rPr>
        <w:t>Brenneria goodwinii</w:t>
      </w:r>
      <w:r w:rsidRPr="41EAD2C0">
        <w:rPr>
          <w:b/>
          <w:bCs/>
          <w:color w:val="000000" w:themeColor="text1"/>
          <w:lang w:eastAsia="en-GB"/>
        </w:rPr>
        <w:t xml:space="preserve"> FRB141, </w:t>
      </w:r>
      <w:r w:rsidRPr="41EAD2C0">
        <w:rPr>
          <w:b/>
          <w:bCs/>
          <w:i/>
          <w:iCs/>
          <w:color w:val="000000" w:themeColor="text1"/>
          <w:lang w:eastAsia="en-GB"/>
        </w:rPr>
        <w:t>Gibbsiella quercinecans</w:t>
      </w:r>
      <w:r w:rsidRPr="41EAD2C0">
        <w:rPr>
          <w:b/>
          <w:bCs/>
          <w:color w:val="000000" w:themeColor="text1"/>
          <w:lang w:eastAsia="en-GB"/>
        </w:rPr>
        <w:t xml:space="preserve"> FRB97 and </w:t>
      </w:r>
      <w:proofErr w:type="spellStart"/>
      <w:r w:rsidRPr="41EAD2C0">
        <w:rPr>
          <w:b/>
          <w:bCs/>
          <w:i/>
          <w:iCs/>
          <w:color w:val="000000" w:themeColor="text1"/>
          <w:lang w:eastAsia="en-GB"/>
        </w:rPr>
        <w:t>Rahnella</w:t>
      </w:r>
      <w:proofErr w:type="spellEnd"/>
      <w:r w:rsidRPr="41EAD2C0">
        <w:rPr>
          <w:b/>
          <w:bCs/>
          <w:i/>
          <w:iCs/>
          <w:color w:val="000000" w:themeColor="text1"/>
          <w:lang w:eastAsia="en-GB"/>
        </w:rPr>
        <w:t xml:space="preserve"> </w:t>
      </w:r>
      <w:proofErr w:type="spellStart"/>
      <w:r w:rsidRPr="41EAD2C0">
        <w:rPr>
          <w:b/>
          <w:bCs/>
          <w:i/>
          <w:iCs/>
          <w:color w:val="000000" w:themeColor="text1"/>
          <w:lang w:eastAsia="en-GB"/>
        </w:rPr>
        <w:t>victoriana</w:t>
      </w:r>
      <w:proofErr w:type="spellEnd"/>
      <w:r w:rsidRPr="41EAD2C0">
        <w:rPr>
          <w:b/>
          <w:bCs/>
          <w:color w:val="000000" w:themeColor="text1"/>
          <w:lang w:eastAsia="en-GB"/>
        </w:rPr>
        <w:t xml:space="preserve"> BRK18a</w:t>
      </w:r>
      <w:r w:rsidRPr="41EAD2C0">
        <w:rPr>
          <w:b/>
          <w:bCs/>
        </w:rPr>
        <w:t xml:space="preserve"> genomes.</w:t>
      </w:r>
      <w:r>
        <w:t xml:space="preserve"> Gene categories are represented by the following colors, red - plant cell wall degrading enzymes (PCWDEs), purple - general secretory pathway (GSP), yellow - type II secretion system (T2SS), blue - type III secretion system (T3SS), pink - type III secretion system effectors (T3SS effectors), and green - global regulators (GR).</w:t>
      </w:r>
    </w:p>
    <w:p w14:paraId="635BC5BE" w14:textId="7F784630" w:rsidR="41EAD2C0" w:rsidRDefault="41EAD2C0" w:rsidP="41EAD2C0">
      <w:pPr>
        <w:pStyle w:val="SMHeading"/>
        <w:spacing w:before="0" w:after="0"/>
        <w:jc w:val="both"/>
        <w:rPr>
          <w:b w:val="0"/>
          <w:bCs w:val="0"/>
          <w:lang w:val="en-GB"/>
        </w:rPr>
      </w:pPr>
    </w:p>
    <w:p w14:paraId="718018EB" w14:textId="274EB7F8" w:rsidR="41EAD2C0" w:rsidRDefault="41EAD2C0" w:rsidP="41EAD2C0">
      <w:pPr>
        <w:pStyle w:val="SMHeading"/>
        <w:spacing w:before="0" w:after="0"/>
        <w:jc w:val="both"/>
        <w:rPr>
          <w:b w:val="0"/>
          <w:bCs w:val="0"/>
          <w:lang w:val="en-GB"/>
        </w:rPr>
      </w:pPr>
    </w:p>
    <w:p w14:paraId="22270EAC" w14:textId="1F1343BC" w:rsidR="004D457D" w:rsidRPr="001E4E9F" w:rsidRDefault="41EAD2C0" w:rsidP="41EAD2C0">
      <w:pPr>
        <w:jc w:val="both"/>
        <w:rPr>
          <w:rFonts w:ascii="Times New Roman" w:eastAsia="Times New Roman" w:hAnsi="Times New Roman" w:cs="Times New Roman"/>
          <w:sz w:val="24"/>
          <w:szCs w:val="24"/>
        </w:rPr>
      </w:pPr>
      <w:r w:rsidRPr="41EAD2C0">
        <w:rPr>
          <w:rFonts w:ascii="Times New Roman" w:eastAsia="Times New Roman" w:hAnsi="Times New Roman" w:cs="Times New Roman"/>
          <w:b/>
          <w:bCs/>
          <w:sz w:val="24"/>
          <w:szCs w:val="24"/>
        </w:rPr>
        <w:t xml:space="preserve">S 5 Detrended correspondence analysis of bacteria isolated from Acute Oak Decline diseased and healthy oak tissue. </w:t>
      </w:r>
      <w:r w:rsidRPr="41EAD2C0">
        <w:rPr>
          <w:rFonts w:ascii="Times New Roman" w:eastAsia="Times New Roman" w:hAnsi="Times New Roman" w:cs="Times New Roman"/>
          <w:sz w:val="24"/>
          <w:szCs w:val="24"/>
        </w:rPr>
        <w:t xml:space="preserve">Bacteria were grouped according to the tissue type from which they were isolated. The red and green shapes represent distinct ecological communities. Bacteria isolated from healthy tissue are in the green shape and diseased tissue within the red shape. N.B. Some bacteria were commonly isolated from healthy and diseased tissue, represented here in the overlap between healthy and diseased. B = </w:t>
      </w:r>
      <w:r w:rsidRPr="41EAD2C0">
        <w:rPr>
          <w:rFonts w:ascii="Times New Roman" w:eastAsia="Times New Roman" w:hAnsi="Times New Roman" w:cs="Times New Roman"/>
          <w:i/>
          <w:iCs/>
          <w:sz w:val="24"/>
          <w:szCs w:val="24"/>
        </w:rPr>
        <w:t>Bacillus</w:t>
      </w:r>
      <w:r w:rsidRPr="41EAD2C0">
        <w:rPr>
          <w:rFonts w:ascii="Times New Roman" w:eastAsia="Times New Roman" w:hAnsi="Times New Roman" w:cs="Times New Roman"/>
          <w:sz w:val="24"/>
          <w:szCs w:val="24"/>
        </w:rPr>
        <w:t xml:space="preserve"> sp.; Bg = </w:t>
      </w:r>
      <w:r w:rsidRPr="41EAD2C0">
        <w:rPr>
          <w:rFonts w:ascii="Times New Roman" w:eastAsia="Times New Roman" w:hAnsi="Times New Roman" w:cs="Times New Roman"/>
          <w:i/>
          <w:iCs/>
          <w:sz w:val="24"/>
          <w:szCs w:val="24"/>
        </w:rPr>
        <w:t>Brenneria goodwinii</w:t>
      </w:r>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sz w:val="24"/>
          <w:szCs w:val="24"/>
        </w:rPr>
        <w:t>Bsi</w:t>
      </w:r>
      <w:proofErr w:type="spellEnd"/>
      <w:r w:rsidRPr="41EAD2C0">
        <w:rPr>
          <w:rFonts w:ascii="Times New Roman" w:eastAsia="Times New Roman" w:hAnsi="Times New Roman" w:cs="Times New Roman"/>
          <w:sz w:val="24"/>
          <w:szCs w:val="24"/>
        </w:rPr>
        <w:t xml:space="preserve"> = </w:t>
      </w:r>
      <w:r w:rsidRPr="41EAD2C0">
        <w:rPr>
          <w:rFonts w:ascii="Times New Roman" w:eastAsia="Times New Roman" w:hAnsi="Times New Roman" w:cs="Times New Roman"/>
          <w:i/>
          <w:iCs/>
          <w:sz w:val="24"/>
          <w:szCs w:val="24"/>
        </w:rPr>
        <w:t>Bacillus simplex</w:t>
      </w:r>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sz w:val="24"/>
          <w:szCs w:val="24"/>
        </w:rPr>
        <w:t>Eb</w:t>
      </w:r>
      <w:proofErr w:type="spellEnd"/>
      <w:r w:rsidRPr="41EAD2C0">
        <w:rPr>
          <w:rFonts w:ascii="Times New Roman" w:eastAsia="Times New Roman" w:hAnsi="Times New Roman" w:cs="Times New Roman"/>
          <w:sz w:val="24"/>
          <w:szCs w:val="24"/>
        </w:rPr>
        <w:t xml:space="preserve"> = </w:t>
      </w:r>
      <w:proofErr w:type="spellStart"/>
      <w:r w:rsidRPr="41EAD2C0">
        <w:rPr>
          <w:rFonts w:ascii="Times New Roman" w:eastAsia="Times New Roman" w:hAnsi="Times New Roman" w:cs="Times New Roman"/>
          <w:i/>
          <w:iCs/>
          <w:sz w:val="24"/>
          <w:szCs w:val="24"/>
        </w:rPr>
        <w:t>Erwinia</w:t>
      </w:r>
      <w:proofErr w:type="spellEnd"/>
      <w:r w:rsidRPr="41EAD2C0">
        <w:rPr>
          <w:rFonts w:ascii="Times New Roman" w:eastAsia="Times New Roman" w:hAnsi="Times New Roman" w:cs="Times New Roman"/>
          <w:i/>
          <w:iCs/>
          <w:sz w:val="24"/>
          <w:szCs w:val="24"/>
        </w:rPr>
        <w:t xml:space="preserve"> </w:t>
      </w:r>
      <w:proofErr w:type="spellStart"/>
      <w:r w:rsidRPr="41EAD2C0">
        <w:rPr>
          <w:rFonts w:ascii="Times New Roman" w:eastAsia="Times New Roman" w:hAnsi="Times New Roman" w:cs="Times New Roman"/>
          <w:i/>
          <w:iCs/>
          <w:sz w:val="24"/>
          <w:szCs w:val="24"/>
        </w:rPr>
        <w:t>billingiae</w:t>
      </w:r>
      <w:proofErr w:type="spellEnd"/>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sz w:val="24"/>
          <w:szCs w:val="24"/>
        </w:rPr>
        <w:t>Gp</w:t>
      </w:r>
      <w:proofErr w:type="spellEnd"/>
      <w:r w:rsidRPr="41EAD2C0">
        <w:rPr>
          <w:rFonts w:ascii="Times New Roman" w:eastAsia="Times New Roman" w:hAnsi="Times New Roman" w:cs="Times New Roman"/>
          <w:sz w:val="24"/>
          <w:szCs w:val="24"/>
        </w:rPr>
        <w:t xml:space="preserve"> = Gram positive bacteria; Gq = </w:t>
      </w:r>
      <w:r w:rsidRPr="41EAD2C0">
        <w:rPr>
          <w:rFonts w:ascii="Times New Roman" w:eastAsia="Times New Roman" w:hAnsi="Times New Roman" w:cs="Times New Roman"/>
          <w:i/>
          <w:iCs/>
          <w:sz w:val="24"/>
          <w:szCs w:val="24"/>
        </w:rPr>
        <w:t>Gibbsiella quercinecans</w:t>
      </w:r>
      <w:r w:rsidRPr="41EAD2C0">
        <w:rPr>
          <w:rFonts w:ascii="Times New Roman" w:eastAsia="Times New Roman" w:hAnsi="Times New Roman" w:cs="Times New Roman"/>
          <w:sz w:val="24"/>
          <w:szCs w:val="24"/>
        </w:rPr>
        <w:t xml:space="preserve">; P = </w:t>
      </w:r>
      <w:r w:rsidRPr="41EAD2C0">
        <w:rPr>
          <w:rFonts w:ascii="Times New Roman" w:eastAsia="Times New Roman" w:hAnsi="Times New Roman" w:cs="Times New Roman"/>
          <w:i/>
          <w:iCs/>
          <w:sz w:val="24"/>
          <w:szCs w:val="24"/>
        </w:rPr>
        <w:t>Pseudomonas</w:t>
      </w:r>
      <w:r w:rsidRPr="41EAD2C0">
        <w:rPr>
          <w:rFonts w:ascii="Times New Roman" w:eastAsia="Times New Roman" w:hAnsi="Times New Roman" w:cs="Times New Roman"/>
          <w:sz w:val="24"/>
          <w:szCs w:val="24"/>
        </w:rPr>
        <w:t xml:space="preserve"> sp.; </w:t>
      </w:r>
      <w:proofErr w:type="spellStart"/>
      <w:r w:rsidRPr="41EAD2C0">
        <w:rPr>
          <w:rFonts w:ascii="Times New Roman" w:eastAsia="Times New Roman" w:hAnsi="Times New Roman" w:cs="Times New Roman"/>
          <w:sz w:val="24"/>
          <w:szCs w:val="24"/>
        </w:rPr>
        <w:t>Pfl</w:t>
      </w:r>
      <w:proofErr w:type="spellEnd"/>
      <w:r w:rsidRPr="41EAD2C0">
        <w:rPr>
          <w:rFonts w:ascii="Times New Roman" w:eastAsia="Times New Roman" w:hAnsi="Times New Roman" w:cs="Times New Roman"/>
          <w:sz w:val="24"/>
          <w:szCs w:val="24"/>
        </w:rPr>
        <w:t xml:space="preserve"> – </w:t>
      </w:r>
      <w:r w:rsidRPr="41EAD2C0">
        <w:rPr>
          <w:rFonts w:ascii="Times New Roman" w:eastAsia="Times New Roman" w:hAnsi="Times New Roman" w:cs="Times New Roman"/>
          <w:i/>
          <w:iCs/>
          <w:sz w:val="24"/>
          <w:szCs w:val="24"/>
        </w:rPr>
        <w:t xml:space="preserve">Pseudomonas </w:t>
      </w:r>
      <w:proofErr w:type="spellStart"/>
      <w:r w:rsidRPr="41EAD2C0">
        <w:rPr>
          <w:rFonts w:ascii="Times New Roman" w:eastAsia="Times New Roman" w:hAnsi="Times New Roman" w:cs="Times New Roman"/>
          <w:i/>
          <w:iCs/>
          <w:sz w:val="24"/>
          <w:szCs w:val="24"/>
        </w:rPr>
        <w:t>fluorescens</w:t>
      </w:r>
      <w:proofErr w:type="spellEnd"/>
      <w:r w:rsidRPr="41EAD2C0">
        <w:rPr>
          <w:rFonts w:ascii="Times New Roman" w:eastAsia="Times New Roman" w:hAnsi="Times New Roman" w:cs="Times New Roman"/>
          <w:sz w:val="24"/>
          <w:szCs w:val="24"/>
        </w:rPr>
        <w:t xml:space="preserve">; Pfu = </w:t>
      </w:r>
      <w:r w:rsidRPr="41EAD2C0">
        <w:rPr>
          <w:rFonts w:ascii="Times New Roman" w:eastAsia="Times New Roman" w:hAnsi="Times New Roman" w:cs="Times New Roman"/>
          <w:i/>
          <w:iCs/>
          <w:sz w:val="24"/>
          <w:szCs w:val="24"/>
        </w:rPr>
        <w:t xml:space="preserve">Pseudomonas </w:t>
      </w:r>
      <w:proofErr w:type="spellStart"/>
      <w:r w:rsidRPr="41EAD2C0">
        <w:rPr>
          <w:rFonts w:ascii="Times New Roman" w:eastAsia="Times New Roman" w:hAnsi="Times New Roman" w:cs="Times New Roman"/>
          <w:i/>
          <w:iCs/>
          <w:sz w:val="24"/>
          <w:szCs w:val="24"/>
        </w:rPr>
        <w:t>fulva</w:t>
      </w:r>
      <w:proofErr w:type="spellEnd"/>
      <w:r w:rsidRPr="41EAD2C0">
        <w:rPr>
          <w:rFonts w:ascii="Times New Roman" w:eastAsia="Times New Roman" w:hAnsi="Times New Roman" w:cs="Times New Roman"/>
          <w:sz w:val="24"/>
          <w:szCs w:val="24"/>
        </w:rPr>
        <w:t xml:space="preserve">; Pm = </w:t>
      </w:r>
      <w:r w:rsidRPr="41EAD2C0">
        <w:rPr>
          <w:rFonts w:ascii="Times New Roman" w:eastAsia="Times New Roman" w:hAnsi="Times New Roman" w:cs="Times New Roman"/>
          <w:i/>
          <w:iCs/>
          <w:sz w:val="24"/>
          <w:szCs w:val="24"/>
        </w:rPr>
        <w:t xml:space="preserve">Pseudomonas </w:t>
      </w:r>
      <w:proofErr w:type="spellStart"/>
      <w:r w:rsidRPr="41EAD2C0">
        <w:rPr>
          <w:rFonts w:ascii="Times New Roman" w:eastAsia="Times New Roman" w:hAnsi="Times New Roman" w:cs="Times New Roman"/>
          <w:i/>
          <w:iCs/>
          <w:sz w:val="24"/>
          <w:szCs w:val="24"/>
        </w:rPr>
        <w:t>marginalis</w:t>
      </w:r>
      <w:proofErr w:type="spellEnd"/>
      <w:r w:rsidRPr="41EAD2C0">
        <w:rPr>
          <w:rFonts w:ascii="Times New Roman" w:eastAsia="Times New Roman" w:hAnsi="Times New Roman" w:cs="Times New Roman"/>
          <w:i/>
          <w:iCs/>
          <w:sz w:val="24"/>
          <w:szCs w:val="24"/>
        </w:rPr>
        <w:t xml:space="preserve">; </w:t>
      </w:r>
      <w:proofErr w:type="spellStart"/>
      <w:r w:rsidRPr="41EAD2C0">
        <w:rPr>
          <w:rFonts w:ascii="Times New Roman" w:eastAsia="Times New Roman" w:hAnsi="Times New Roman" w:cs="Times New Roman"/>
          <w:sz w:val="24"/>
          <w:szCs w:val="24"/>
        </w:rPr>
        <w:t>Rva</w:t>
      </w:r>
      <w:proofErr w:type="spellEnd"/>
      <w:r w:rsidRPr="41EAD2C0">
        <w:rPr>
          <w:rFonts w:ascii="Times New Roman" w:eastAsia="Times New Roman" w:hAnsi="Times New Roman" w:cs="Times New Roman"/>
          <w:sz w:val="24"/>
          <w:szCs w:val="24"/>
        </w:rPr>
        <w:t xml:space="preserve"> = </w:t>
      </w:r>
      <w:proofErr w:type="spellStart"/>
      <w:r w:rsidRPr="41EAD2C0">
        <w:rPr>
          <w:rFonts w:ascii="Times New Roman" w:eastAsia="Times New Roman" w:hAnsi="Times New Roman" w:cs="Times New Roman"/>
          <w:i/>
          <w:iCs/>
          <w:sz w:val="24"/>
          <w:szCs w:val="24"/>
        </w:rPr>
        <w:t>Rahnella</w:t>
      </w:r>
      <w:proofErr w:type="spellEnd"/>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i/>
          <w:iCs/>
          <w:sz w:val="24"/>
          <w:szCs w:val="24"/>
        </w:rPr>
        <w:t>variigena</w:t>
      </w:r>
      <w:proofErr w:type="spellEnd"/>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sz w:val="24"/>
          <w:szCs w:val="24"/>
        </w:rPr>
        <w:t>Rvi</w:t>
      </w:r>
      <w:proofErr w:type="spellEnd"/>
      <w:r w:rsidRPr="41EAD2C0">
        <w:rPr>
          <w:rFonts w:ascii="Times New Roman" w:eastAsia="Times New Roman" w:hAnsi="Times New Roman" w:cs="Times New Roman"/>
          <w:sz w:val="24"/>
          <w:szCs w:val="24"/>
        </w:rPr>
        <w:t xml:space="preserve"> = </w:t>
      </w:r>
      <w:proofErr w:type="spellStart"/>
      <w:r w:rsidRPr="41EAD2C0">
        <w:rPr>
          <w:rFonts w:ascii="Times New Roman" w:eastAsia="Times New Roman" w:hAnsi="Times New Roman" w:cs="Times New Roman"/>
          <w:i/>
          <w:iCs/>
          <w:sz w:val="24"/>
          <w:szCs w:val="24"/>
        </w:rPr>
        <w:t>Rahnella</w:t>
      </w:r>
      <w:proofErr w:type="spellEnd"/>
      <w:r w:rsidRPr="41EAD2C0">
        <w:rPr>
          <w:rFonts w:ascii="Times New Roman" w:eastAsia="Times New Roman" w:hAnsi="Times New Roman" w:cs="Times New Roman"/>
          <w:sz w:val="24"/>
          <w:szCs w:val="24"/>
        </w:rPr>
        <w:t xml:space="preserve"> </w:t>
      </w:r>
      <w:proofErr w:type="spellStart"/>
      <w:r w:rsidRPr="41EAD2C0">
        <w:rPr>
          <w:rFonts w:ascii="Times New Roman" w:eastAsia="Times New Roman" w:hAnsi="Times New Roman" w:cs="Times New Roman"/>
          <w:i/>
          <w:iCs/>
          <w:sz w:val="24"/>
          <w:szCs w:val="24"/>
        </w:rPr>
        <w:t>victoriana</w:t>
      </w:r>
      <w:proofErr w:type="spellEnd"/>
      <w:r w:rsidRPr="41EAD2C0">
        <w:rPr>
          <w:rFonts w:ascii="Times New Roman" w:eastAsia="Times New Roman" w:hAnsi="Times New Roman" w:cs="Times New Roman"/>
          <w:sz w:val="24"/>
          <w:szCs w:val="24"/>
        </w:rPr>
        <w:t xml:space="preserve">; S = </w:t>
      </w:r>
      <w:proofErr w:type="spellStart"/>
      <w:r w:rsidRPr="41EAD2C0">
        <w:rPr>
          <w:rFonts w:ascii="Times New Roman" w:eastAsia="Times New Roman" w:hAnsi="Times New Roman" w:cs="Times New Roman"/>
          <w:i/>
          <w:iCs/>
          <w:sz w:val="24"/>
          <w:szCs w:val="24"/>
        </w:rPr>
        <w:t>Stenotrophomonas</w:t>
      </w:r>
      <w:proofErr w:type="spellEnd"/>
      <w:r w:rsidRPr="41EAD2C0">
        <w:rPr>
          <w:rFonts w:ascii="Times New Roman" w:eastAsia="Times New Roman" w:hAnsi="Times New Roman" w:cs="Times New Roman"/>
          <w:sz w:val="24"/>
          <w:szCs w:val="24"/>
        </w:rPr>
        <w:t xml:space="preserve"> sp.</w:t>
      </w:r>
    </w:p>
    <w:p w14:paraId="07D2136A" w14:textId="41C01C03" w:rsidR="00C42325" w:rsidRPr="001E4E9F" w:rsidRDefault="41EAD2C0" w:rsidP="41EAD2C0">
      <w:pPr>
        <w:pStyle w:val="SMHeading"/>
        <w:spacing w:before="0" w:after="0"/>
        <w:jc w:val="both"/>
        <w:rPr>
          <w:lang w:val="en-GB"/>
        </w:rPr>
      </w:pPr>
      <w:r w:rsidRPr="41EAD2C0">
        <w:rPr>
          <w:lang w:val="en-GB"/>
        </w:rPr>
        <w:t>S 6 Functional metagenomic profile of Acute Oak Decline diseased and healthy oak tissue</w:t>
      </w:r>
      <w:r w:rsidRPr="41EAD2C0">
        <w:rPr>
          <w:b w:val="0"/>
          <w:bCs w:val="0"/>
          <w:lang w:val="en-GB"/>
        </w:rPr>
        <w:t>.</w:t>
      </w:r>
      <w:r w:rsidRPr="41EAD2C0">
        <w:rPr>
          <w:lang w:val="en-GB"/>
        </w:rPr>
        <w:t xml:space="preserve"> </w:t>
      </w:r>
      <w:r w:rsidRPr="41EAD2C0">
        <w:rPr>
          <w:b w:val="0"/>
          <w:bCs w:val="0"/>
          <w:lang w:val="en-GB"/>
        </w:rPr>
        <w:t>Functional annotations were generated from MG-RAST level 2 data, and compared in STAMP, using a G-test with Yates’ correction to compare diseased and healthy profiles, and the Newcombe-Wilson method to calculate confidence intervals.</w:t>
      </w:r>
    </w:p>
    <w:p w14:paraId="0A21E0B0" w14:textId="77777777" w:rsidR="00C42325" w:rsidRPr="001E4E9F" w:rsidRDefault="00C42325" w:rsidP="00381280">
      <w:pPr>
        <w:jc w:val="both"/>
        <w:rPr>
          <w:rFonts w:ascii="Times New Roman" w:hAnsi="Times New Roman" w:cs="Times New Roman"/>
          <w:sz w:val="24"/>
          <w:szCs w:val="24"/>
        </w:rPr>
      </w:pPr>
    </w:p>
    <w:p w14:paraId="0FB4C1AB" w14:textId="517D372C" w:rsidR="00C42325" w:rsidRPr="001E4E9F" w:rsidRDefault="41EAD2C0" w:rsidP="41EAD2C0">
      <w:pPr>
        <w:pStyle w:val="SMcaption"/>
        <w:tabs>
          <w:tab w:val="left" w:pos="5213"/>
        </w:tabs>
        <w:jc w:val="both"/>
        <w:rPr>
          <w:lang w:val="en-GB"/>
        </w:rPr>
      </w:pPr>
      <w:r w:rsidRPr="41EAD2C0">
        <w:rPr>
          <w:b/>
          <w:bCs/>
        </w:rPr>
        <w:t>S 7</w:t>
      </w:r>
      <w:r w:rsidRPr="41EAD2C0">
        <w:rPr>
          <w:b/>
          <w:bCs/>
          <w:lang w:val="en-GB"/>
        </w:rPr>
        <w:t xml:space="preserve"> Enzyme activity of </w:t>
      </w:r>
      <w:r w:rsidRPr="41EAD2C0">
        <w:rPr>
          <w:b/>
          <w:bCs/>
          <w:i/>
          <w:iCs/>
          <w:lang w:val="en-GB"/>
        </w:rPr>
        <w:t>Brenneria goodwinii</w:t>
      </w:r>
      <w:r w:rsidRPr="41EAD2C0">
        <w:rPr>
          <w:b/>
          <w:bCs/>
          <w:lang w:val="en-GB"/>
        </w:rPr>
        <w:t xml:space="preserve"> FRB141, </w:t>
      </w:r>
      <w:r w:rsidRPr="41EAD2C0">
        <w:rPr>
          <w:b/>
          <w:bCs/>
          <w:i/>
          <w:iCs/>
          <w:lang w:val="en-GB"/>
        </w:rPr>
        <w:t>Gibbsiella quercinecans</w:t>
      </w:r>
      <w:r w:rsidRPr="41EAD2C0">
        <w:rPr>
          <w:b/>
          <w:bCs/>
          <w:lang w:val="en-GB"/>
        </w:rPr>
        <w:t xml:space="preserve"> FRB97 and </w:t>
      </w:r>
      <w:proofErr w:type="spellStart"/>
      <w:r w:rsidRPr="41EAD2C0">
        <w:rPr>
          <w:b/>
          <w:bCs/>
          <w:i/>
          <w:iCs/>
          <w:lang w:val="en-GB"/>
        </w:rPr>
        <w:t>Rahnella</w:t>
      </w:r>
      <w:proofErr w:type="spellEnd"/>
      <w:r w:rsidRPr="41EAD2C0">
        <w:rPr>
          <w:b/>
          <w:bCs/>
          <w:i/>
          <w:iCs/>
          <w:lang w:val="en-GB"/>
        </w:rPr>
        <w:t xml:space="preserve"> </w:t>
      </w:r>
      <w:proofErr w:type="spellStart"/>
      <w:r w:rsidRPr="41EAD2C0">
        <w:rPr>
          <w:b/>
          <w:bCs/>
          <w:i/>
          <w:iCs/>
          <w:lang w:val="en-GB"/>
        </w:rPr>
        <w:t>victoriana</w:t>
      </w:r>
      <w:proofErr w:type="spellEnd"/>
      <w:r w:rsidRPr="41EAD2C0">
        <w:rPr>
          <w:b/>
          <w:bCs/>
          <w:lang w:val="en-GB"/>
        </w:rPr>
        <w:t xml:space="preserve"> BRK18a on polysaccharides analogous to those found in oak tissue. </w:t>
      </w:r>
      <w:r w:rsidRPr="41EAD2C0">
        <w:rPr>
          <w:lang w:val="en-GB"/>
        </w:rPr>
        <w:t xml:space="preserve">Each Petri dish contains; </w:t>
      </w:r>
      <w:r w:rsidRPr="41EAD2C0">
        <w:rPr>
          <w:b/>
          <w:bCs/>
          <w:i/>
          <w:iCs/>
          <w:lang w:val="en-GB"/>
        </w:rPr>
        <w:t>Brenneria goodwinii</w:t>
      </w:r>
      <w:r w:rsidR="00C86B1B">
        <w:rPr>
          <w:b/>
          <w:bCs/>
          <w:lang w:val="en-GB"/>
        </w:rPr>
        <w:t xml:space="preserve"> FRB141</w:t>
      </w:r>
      <w:r w:rsidRPr="41EAD2C0">
        <w:rPr>
          <w:lang w:val="en-GB"/>
        </w:rPr>
        <w:t xml:space="preserve"> (top), </w:t>
      </w:r>
      <w:r w:rsidRPr="41EAD2C0">
        <w:rPr>
          <w:b/>
          <w:bCs/>
          <w:i/>
          <w:iCs/>
          <w:lang w:val="en-GB"/>
        </w:rPr>
        <w:t>Gibbsiella quercinecans</w:t>
      </w:r>
      <w:r w:rsidR="00C86B1B">
        <w:rPr>
          <w:b/>
          <w:bCs/>
          <w:lang w:val="en-GB"/>
        </w:rPr>
        <w:t xml:space="preserve"> FRB97 </w:t>
      </w:r>
      <w:r w:rsidRPr="41EAD2C0">
        <w:rPr>
          <w:lang w:val="en-GB"/>
        </w:rPr>
        <w:t xml:space="preserve">(bottom left) and </w:t>
      </w:r>
      <w:proofErr w:type="spellStart"/>
      <w:r w:rsidRPr="41EAD2C0">
        <w:rPr>
          <w:b/>
          <w:bCs/>
          <w:i/>
          <w:iCs/>
          <w:lang w:val="en-GB"/>
        </w:rPr>
        <w:t>Rahnella</w:t>
      </w:r>
      <w:proofErr w:type="spellEnd"/>
      <w:r w:rsidRPr="41EAD2C0">
        <w:rPr>
          <w:b/>
          <w:bCs/>
          <w:i/>
          <w:iCs/>
          <w:lang w:val="en-GB"/>
        </w:rPr>
        <w:t xml:space="preserve"> </w:t>
      </w:r>
      <w:proofErr w:type="spellStart"/>
      <w:r w:rsidRPr="41EAD2C0">
        <w:rPr>
          <w:b/>
          <w:bCs/>
          <w:i/>
          <w:iCs/>
          <w:lang w:val="en-GB"/>
        </w:rPr>
        <w:t>victoriana</w:t>
      </w:r>
      <w:proofErr w:type="spellEnd"/>
      <w:r w:rsidRPr="41EAD2C0">
        <w:rPr>
          <w:lang w:val="en-GB"/>
        </w:rPr>
        <w:t xml:space="preserve"> (bottom right). Bacteria were grown on polysaccharide substrates; (a) </w:t>
      </w:r>
      <w:proofErr w:type="spellStart"/>
      <w:r w:rsidRPr="41EAD2C0">
        <w:rPr>
          <w:lang w:val="en-GB"/>
        </w:rPr>
        <w:t>carboxymethylcellulose</w:t>
      </w:r>
      <w:proofErr w:type="spellEnd"/>
      <w:r w:rsidRPr="41EAD2C0">
        <w:rPr>
          <w:lang w:val="en-GB"/>
        </w:rPr>
        <w:t xml:space="preserve"> (5 day incubation); (b) tannic acid (2 day incubation)</w:t>
      </w:r>
      <w:proofErr w:type="gramStart"/>
      <w:r w:rsidRPr="41EAD2C0">
        <w:rPr>
          <w:lang w:val="en-GB"/>
        </w:rPr>
        <w:t>;</w:t>
      </w:r>
      <w:proofErr w:type="gramEnd"/>
      <w:r w:rsidRPr="41EAD2C0">
        <w:rPr>
          <w:lang w:val="en-GB"/>
        </w:rPr>
        <w:t xml:space="preserve"> (c) </w:t>
      </w:r>
      <w:proofErr w:type="spellStart"/>
      <w:r w:rsidRPr="41EAD2C0">
        <w:rPr>
          <w:lang w:val="en-GB"/>
        </w:rPr>
        <w:t>polygalacturonic</w:t>
      </w:r>
      <w:proofErr w:type="spellEnd"/>
      <w:r w:rsidRPr="41EAD2C0">
        <w:rPr>
          <w:lang w:val="en-GB"/>
        </w:rPr>
        <w:t xml:space="preserve"> acid (11 day incubation). Degradation was visible for </w:t>
      </w:r>
      <w:r w:rsidR="00C86B1B">
        <w:rPr>
          <w:i/>
          <w:iCs/>
          <w:szCs w:val="24"/>
        </w:rPr>
        <w:t>G. quercinecans</w:t>
      </w:r>
      <w:r w:rsidR="00C86B1B" w:rsidRPr="41EAD2C0">
        <w:rPr>
          <w:lang w:val="en-GB"/>
        </w:rPr>
        <w:t xml:space="preserve"> </w:t>
      </w:r>
      <w:r w:rsidRPr="41EAD2C0">
        <w:rPr>
          <w:lang w:val="en-GB"/>
        </w:rPr>
        <w:t xml:space="preserve">and </w:t>
      </w:r>
      <w:r w:rsidR="00C86B1B" w:rsidRPr="009C7988">
        <w:rPr>
          <w:i/>
          <w:szCs w:val="24"/>
        </w:rPr>
        <w:t>R</w:t>
      </w:r>
      <w:r w:rsidR="00C86B1B">
        <w:rPr>
          <w:i/>
          <w:szCs w:val="24"/>
        </w:rPr>
        <w:t xml:space="preserve">. </w:t>
      </w:r>
      <w:proofErr w:type="spellStart"/>
      <w:r w:rsidR="00C86B1B" w:rsidRPr="009C7988">
        <w:rPr>
          <w:i/>
          <w:szCs w:val="24"/>
        </w:rPr>
        <w:t>v</w:t>
      </w:r>
      <w:r w:rsidR="00C86B1B">
        <w:rPr>
          <w:i/>
          <w:szCs w:val="24"/>
        </w:rPr>
        <w:t>ictoriana</w:t>
      </w:r>
      <w:proofErr w:type="spellEnd"/>
      <w:r w:rsidR="00C86B1B" w:rsidRPr="41EAD2C0">
        <w:rPr>
          <w:lang w:val="en-GB"/>
        </w:rPr>
        <w:t xml:space="preserve"> </w:t>
      </w:r>
      <w:r w:rsidRPr="41EAD2C0">
        <w:rPr>
          <w:lang w:val="en-GB"/>
        </w:rPr>
        <w:t xml:space="preserve">on all substrates, i.e. (a) white halo extending from bacterial colony, (b) brown/black plaque extending from bacterial colony, and (c) translucent halo extending from bacterial colony. At the specified incubation period </w:t>
      </w:r>
      <w:r w:rsidR="00C86B1B">
        <w:rPr>
          <w:i/>
          <w:iCs/>
          <w:szCs w:val="24"/>
        </w:rPr>
        <w:t>B. goodwinii</w:t>
      </w:r>
      <w:r w:rsidR="00C86B1B" w:rsidRPr="41EAD2C0">
        <w:rPr>
          <w:lang w:val="en-GB"/>
        </w:rPr>
        <w:t xml:space="preserve"> </w:t>
      </w:r>
      <w:r w:rsidRPr="41EAD2C0">
        <w:rPr>
          <w:lang w:val="en-GB"/>
        </w:rPr>
        <w:t>had no visible degradative activity on any of the substrates.</w:t>
      </w:r>
    </w:p>
    <w:p w14:paraId="5AA5649E" w14:textId="47D3EDA9" w:rsidR="00C42325" w:rsidRPr="001E4E9F" w:rsidRDefault="00C42325" w:rsidP="41EAD2C0">
      <w:pPr>
        <w:pStyle w:val="SMcaption"/>
        <w:tabs>
          <w:tab w:val="left" w:pos="5213"/>
        </w:tabs>
        <w:jc w:val="both"/>
        <w:rPr>
          <w:b/>
          <w:bCs/>
        </w:rPr>
      </w:pPr>
    </w:p>
    <w:p w14:paraId="10A3E961" w14:textId="77777777" w:rsidR="00C42325" w:rsidRDefault="00C42325">
      <w:pPr>
        <w:rPr>
          <w:rFonts w:ascii="Times New Roman" w:hAnsi="Times New Roman" w:cs="Times New Roman"/>
          <w:sz w:val="24"/>
          <w:szCs w:val="24"/>
        </w:rPr>
      </w:pPr>
    </w:p>
    <w:p w14:paraId="7687200D" w14:textId="77777777" w:rsidR="00063425" w:rsidRDefault="00063425">
      <w:pPr>
        <w:rPr>
          <w:rFonts w:ascii="Times New Roman" w:hAnsi="Times New Roman" w:cs="Times New Roman"/>
          <w:sz w:val="24"/>
          <w:szCs w:val="24"/>
        </w:rPr>
      </w:pPr>
    </w:p>
    <w:p w14:paraId="2057D733" w14:textId="77777777" w:rsidR="00A82529" w:rsidRDefault="00A82529" w:rsidP="006451FD">
      <w:pPr>
        <w:widowControl w:val="0"/>
        <w:autoSpaceDE w:val="0"/>
        <w:autoSpaceDN w:val="0"/>
        <w:adjustRightInd w:val="0"/>
        <w:spacing w:line="240" w:lineRule="auto"/>
        <w:rPr>
          <w:rFonts w:ascii="Times New Roman" w:hAnsi="Times New Roman" w:cs="Times New Roman"/>
          <w:b/>
          <w:sz w:val="24"/>
          <w:szCs w:val="24"/>
        </w:rPr>
        <w:sectPr w:rsidR="00A82529">
          <w:pgSz w:w="11906" w:h="16838"/>
          <w:pgMar w:top="1440" w:right="1440" w:bottom="1440" w:left="1440" w:header="708" w:footer="708" w:gutter="0"/>
          <w:cols w:space="708"/>
          <w:docGrid w:linePitch="360"/>
        </w:sectPr>
      </w:pPr>
    </w:p>
    <w:p w14:paraId="68EEB250" w14:textId="0D736E36" w:rsidR="006451FD" w:rsidRPr="00934B25" w:rsidRDefault="006451FD" w:rsidP="006451FD">
      <w:pPr>
        <w:widowControl w:val="0"/>
        <w:autoSpaceDE w:val="0"/>
        <w:autoSpaceDN w:val="0"/>
        <w:adjustRightInd w:val="0"/>
        <w:spacing w:line="240" w:lineRule="auto"/>
        <w:rPr>
          <w:rFonts w:ascii="Times New Roman" w:hAnsi="Times New Roman" w:cs="Times New Roman"/>
          <w:b/>
          <w:sz w:val="24"/>
          <w:szCs w:val="24"/>
        </w:rPr>
      </w:pPr>
      <w:bookmarkStart w:id="0" w:name="_GoBack"/>
      <w:bookmarkEnd w:id="0"/>
      <w:r w:rsidRPr="00934B25">
        <w:rPr>
          <w:rFonts w:ascii="Times New Roman" w:hAnsi="Times New Roman" w:cs="Times New Roman"/>
          <w:b/>
          <w:sz w:val="24"/>
          <w:szCs w:val="24"/>
        </w:rPr>
        <w:lastRenderedPageBreak/>
        <w:t>References for Supplemental Data</w:t>
      </w:r>
    </w:p>
    <w:p w14:paraId="37691391" w14:textId="77777777" w:rsidR="00063425" w:rsidRDefault="00063425">
      <w:pPr>
        <w:rPr>
          <w:rFonts w:ascii="Times New Roman" w:hAnsi="Times New Roman" w:cs="Times New Roman"/>
          <w:sz w:val="24"/>
          <w:szCs w:val="24"/>
        </w:rPr>
      </w:pPr>
    </w:p>
    <w:p w14:paraId="166715CB" w14:textId="20FD2A9B" w:rsidR="007A2824" w:rsidRDefault="00063425" w:rsidP="007A2824">
      <w:pPr>
        <w:widowControl w:val="0"/>
        <w:autoSpaceDE w:val="0"/>
        <w:autoSpaceDN w:val="0"/>
        <w:adjustRightInd w:val="0"/>
        <w:spacing w:line="240" w:lineRule="auto"/>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7A2824" w:rsidRPr="007A2824">
        <w:rPr>
          <w:rFonts w:ascii="Times New Roman" w:hAnsi="Times New Roman" w:cs="Times New Roman"/>
          <w:noProof/>
          <w:sz w:val="24"/>
          <w:szCs w:val="24"/>
        </w:rPr>
        <w:t xml:space="preserve">Aziz RK, Bartels D, Best AA, DeJongh M, Disz T, Edwards RA, </w:t>
      </w:r>
      <w:r w:rsidR="007A2824" w:rsidRPr="007A2824">
        <w:rPr>
          <w:rFonts w:ascii="Times New Roman" w:hAnsi="Times New Roman" w:cs="Times New Roman"/>
          <w:i/>
          <w:iCs/>
          <w:noProof/>
          <w:sz w:val="24"/>
          <w:szCs w:val="24"/>
        </w:rPr>
        <w:t>et al.</w:t>
      </w:r>
      <w:r w:rsidR="007A2824" w:rsidRPr="007A2824">
        <w:rPr>
          <w:rFonts w:ascii="Times New Roman" w:hAnsi="Times New Roman" w:cs="Times New Roman"/>
          <w:noProof/>
          <w:sz w:val="24"/>
          <w:szCs w:val="24"/>
        </w:rPr>
        <w:t xml:space="preserve"> (2008). The RAST server: rapid annotations using subsystems technology. </w:t>
      </w:r>
      <w:r w:rsidR="007A2824" w:rsidRPr="007A2824">
        <w:rPr>
          <w:rFonts w:ascii="Times New Roman" w:hAnsi="Times New Roman" w:cs="Times New Roman"/>
          <w:i/>
          <w:iCs/>
          <w:noProof/>
          <w:sz w:val="24"/>
          <w:szCs w:val="24"/>
        </w:rPr>
        <w:t>BMC Genomics</w:t>
      </w:r>
      <w:r w:rsidR="007A2824" w:rsidRPr="007A2824">
        <w:rPr>
          <w:rFonts w:ascii="Times New Roman" w:hAnsi="Times New Roman" w:cs="Times New Roman"/>
          <w:noProof/>
          <w:sz w:val="24"/>
          <w:szCs w:val="24"/>
        </w:rPr>
        <w:t xml:space="preserve"> </w:t>
      </w:r>
      <w:r w:rsidR="007A2824" w:rsidRPr="007A2824">
        <w:rPr>
          <w:rFonts w:ascii="Times New Roman" w:hAnsi="Times New Roman" w:cs="Times New Roman"/>
          <w:b/>
          <w:bCs/>
          <w:noProof/>
          <w:sz w:val="24"/>
          <w:szCs w:val="24"/>
        </w:rPr>
        <w:t>9</w:t>
      </w:r>
      <w:r w:rsidR="007A2824" w:rsidRPr="007A2824">
        <w:rPr>
          <w:rFonts w:ascii="Times New Roman" w:hAnsi="Times New Roman" w:cs="Times New Roman"/>
          <w:noProof/>
          <w:sz w:val="24"/>
          <w:szCs w:val="24"/>
        </w:rPr>
        <w:t>: 75.</w:t>
      </w:r>
    </w:p>
    <w:p w14:paraId="2B583661" w14:textId="3BA98252" w:rsidR="006F6CED" w:rsidRPr="007A2824" w:rsidRDefault="006F6CED" w:rsidP="007A2824">
      <w:pPr>
        <w:widowControl w:val="0"/>
        <w:autoSpaceDE w:val="0"/>
        <w:autoSpaceDN w:val="0"/>
        <w:adjustRightInd w:val="0"/>
        <w:spacing w:line="240" w:lineRule="auto"/>
        <w:rPr>
          <w:rFonts w:ascii="Times New Roman" w:hAnsi="Times New Roman" w:cs="Times New Roman"/>
          <w:noProof/>
          <w:sz w:val="24"/>
          <w:szCs w:val="24"/>
        </w:rPr>
      </w:pPr>
      <w:r w:rsidRPr="006F6CED">
        <w:rPr>
          <w:rFonts w:ascii="Times New Roman" w:hAnsi="Times New Roman" w:cs="Times New Roman"/>
          <w:noProof/>
          <w:sz w:val="24"/>
          <w:szCs w:val="24"/>
        </w:rPr>
        <w:t xml:space="preserve">Bates D, Mächler M, Bolker B, Walker S. (2015). Fitting linear mixed-effects models using lme4. </w:t>
      </w:r>
      <w:r w:rsidRPr="006F6CED">
        <w:rPr>
          <w:rFonts w:ascii="Times New Roman" w:hAnsi="Times New Roman" w:cs="Times New Roman"/>
          <w:i/>
          <w:iCs/>
          <w:noProof/>
          <w:sz w:val="24"/>
          <w:szCs w:val="24"/>
        </w:rPr>
        <w:t>J Stat Softw</w:t>
      </w:r>
      <w:r w:rsidRPr="006F6CED">
        <w:rPr>
          <w:rFonts w:ascii="Times New Roman" w:hAnsi="Times New Roman" w:cs="Times New Roman"/>
          <w:noProof/>
          <w:sz w:val="24"/>
          <w:szCs w:val="24"/>
        </w:rPr>
        <w:t xml:space="preserve"> </w:t>
      </w:r>
      <w:r w:rsidRPr="006F6CED">
        <w:rPr>
          <w:rFonts w:ascii="Times New Roman" w:hAnsi="Times New Roman" w:cs="Times New Roman"/>
          <w:b/>
          <w:bCs/>
          <w:noProof/>
          <w:sz w:val="24"/>
          <w:szCs w:val="24"/>
        </w:rPr>
        <w:t>67</w:t>
      </w:r>
      <w:r w:rsidRPr="006F6CED">
        <w:rPr>
          <w:rFonts w:ascii="Times New Roman" w:hAnsi="Times New Roman" w:cs="Times New Roman"/>
          <w:noProof/>
          <w:sz w:val="24"/>
          <w:szCs w:val="24"/>
        </w:rPr>
        <w:t>: 1–48.</w:t>
      </w:r>
    </w:p>
    <w:p w14:paraId="0BBBC7DE" w14:textId="77777777"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Chin C-S, Alexander DH, Marks P, Klammer AA, Drake J, Heiner C, </w:t>
      </w:r>
      <w:r w:rsidRPr="007A2824">
        <w:rPr>
          <w:rFonts w:ascii="Times New Roman" w:hAnsi="Times New Roman" w:cs="Times New Roman"/>
          <w:i/>
          <w:iCs/>
          <w:noProof/>
          <w:sz w:val="24"/>
          <w:szCs w:val="24"/>
        </w:rPr>
        <w:t>et al.</w:t>
      </w:r>
      <w:r w:rsidRPr="007A2824">
        <w:rPr>
          <w:rFonts w:ascii="Times New Roman" w:hAnsi="Times New Roman" w:cs="Times New Roman"/>
          <w:noProof/>
          <w:sz w:val="24"/>
          <w:szCs w:val="24"/>
        </w:rPr>
        <w:t xml:space="preserve"> (2013). Nonhybrid, finished microbial genome assemblies from long-read SMRT sequencing data. </w:t>
      </w:r>
      <w:r w:rsidRPr="007A2824">
        <w:rPr>
          <w:rFonts w:ascii="Times New Roman" w:hAnsi="Times New Roman" w:cs="Times New Roman"/>
          <w:i/>
          <w:iCs/>
          <w:noProof/>
          <w:sz w:val="24"/>
          <w:szCs w:val="24"/>
        </w:rPr>
        <w:t>Nat Methods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10</w:t>
      </w:r>
      <w:r w:rsidRPr="007A2824">
        <w:rPr>
          <w:rFonts w:ascii="Times New Roman" w:hAnsi="Times New Roman" w:cs="Times New Roman"/>
          <w:noProof/>
          <w:sz w:val="24"/>
          <w:szCs w:val="24"/>
        </w:rPr>
        <w:t>: 563–569.</w:t>
      </w:r>
    </w:p>
    <w:p w14:paraId="3DEF4F30" w14:textId="35A5C267" w:rsid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Field D, Tiwari B, Booth T, Houten S, Swan D, Bertrand N, </w:t>
      </w:r>
      <w:r w:rsidRPr="007A2824">
        <w:rPr>
          <w:rFonts w:ascii="Times New Roman" w:hAnsi="Times New Roman" w:cs="Times New Roman"/>
          <w:i/>
          <w:iCs/>
          <w:noProof/>
          <w:sz w:val="24"/>
          <w:szCs w:val="24"/>
        </w:rPr>
        <w:t>et al.</w:t>
      </w:r>
      <w:r w:rsidRPr="007A2824">
        <w:rPr>
          <w:rFonts w:ascii="Times New Roman" w:hAnsi="Times New Roman" w:cs="Times New Roman"/>
          <w:noProof/>
          <w:sz w:val="24"/>
          <w:szCs w:val="24"/>
        </w:rPr>
        <w:t xml:space="preserve"> (2006). Open software for biologists: from famine to feast. </w:t>
      </w:r>
      <w:r w:rsidRPr="007A2824">
        <w:rPr>
          <w:rFonts w:ascii="Times New Roman" w:hAnsi="Times New Roman" w:cs="Times New Roman"/>
          <w:i/>
          <w:iCs/>
          <w:noProof/>
          <w:sz w:val="24"/>
          <w:szCs w:val="24"/>
        </w:rPr>
        <w:t>Nat Biotechnol</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24</w:t>
      </w:r>
      <w:r w:rsidRPr="007A2824">
        <w:rPr>
          <w:rFonts w:ascii="Times New Roman" w:hAnsi="Times New Roman" w:cs="Times New Roman"/>
          <w:noProof/>
          <w:sz w:val="24"/>
          <w:szCs w:val="24"/>
        </w:rPr>
        <w:t>: 801–803.</w:t>
      </w:r>
    </w:p>
    <w:p w14:paraId="0D5100FB" w14:textId="77777777" w:rsidR="001D77EB" w:rsidRDefault="001D77EB" w:rsidP="007A2824">
      <w:pPr>
        <w:widowControl w:val="0"/>
        <w:autoSpaceDE w:val="0"/>
        <w:autoSpaceDN w:val="0"/>
        <w:adjustRightInd w:val="0"/>
        <w:spacing w:line="240" w:lineRule="auto"/>
        <w:rPr>
          <w:rFonts w:ascii="Times New Roman" w:hAnsi="Times New Roman" w:cs="Times New Roman"/>
          <w:noProof/>
          <w:sz w:val="24"/>
          <w:szCs w:val="24"/>
        </w:rPr>
      </w:pPr>
      <w:r w:rsidRPr="001D77EB">
        <w:rPr>
          <w:rFonts w:ascii="Times New Roman" w:hAnsi="Times New Roman" w:cs="Times New Roman"/>
          <w:noProof/>
          <w:sz w:val="24"/>
          <w:szCs w:val="24"/>
        </w:rPr>
        <w:t>Graves S, Piepho H-P, Selzar L, Dorai-Raj S. (2015). multcompView: Visualizations of Paired Comparisons. https://cran.r-project.org/package=multcompView.</w:t>
      </w:r>
    </w:p>
    <w:p w14:paraId="20BDBF7A" w14:textId="01C2129F"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Joshi N, Fass J. (2011). Sickle. A sliding-window, adaptive, quality-based trimming tool for FastQ files.</w:t>
      </w:r>
      <w:r w:rsidR="00F428C9" w:rsidRPr="00F428C9">
        <w:rPr>
          <w:rFonts w:ascii="Times New Roman" w:hAnsi="Times New Roman" w:cs="Times New Roman"/>
          <w:noProof/>
          <w:sz w:val="24"/>
          <w:szCs w:val="24"/>
        </w:rPr>
        <w:t xml:space="preserve"> https:// github.com/najoshi/sickle</w:t>
      </w:r>
    </w:p>
    <w:p w14:paraId="2A677966" w14:textId="77777777"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Krzywinski M, Schein J, Birol I, Connors J, Gascoyne R, Horsman D, </w:t>
      </w:r>
      <w:r w:rsidRPr="007A2824">
        <w:rPr>
          <w:rFonts w:ascii="Times New Roman" w:hAnsi="Times New Roman" w:cs="Times New Roman"/>
          <w:i/>
          <w:iCs/>
          <w:noProof/>
          <w:sz w:val="24"/>
          <w:szCs w:val="24"/>
        </w:rPr>
        <w:t>et al.</w:t>
      </w:r>
      <w:r w:rsidRPr="007A2824">
        <w:rPr>
          <w:rFonts w:ascii="Times New Roman" w:hAnsi="Times New Roman" w:cs="Times New Roman"/>
          <w:noProof/>
          <w:sz w:val="24"/>
          <w:szCs w:val="24"/>
        </w:rPr>
        <w:t xml:space="preserve"> (2009). Circos: an information esthetic for comparative genomics. </w:t>
      </w:r>
      <w:r w:rsidRPr="007A2824">
        <w:rPr>
          <w:rFonts w:ascii="Times New Roman" w:hAnsi="Times New Roman" w:cs="Times New Roman"/>
          <w:i/>
          <w:iCs/>
          <w:noProof/>
          <w:sz w:val="24"/>
          <w:szCs w:val="24"/>
        </w:rPr>
        <w:t>Genome Res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19</w:t>
      </w:r>
      <w:r w:rsidRPr="007A2824">
        <w:rPr>
          <w:rFonts w:ascii="Times New Roman" w:hAnsi="Times New Roman" w:cs="Times New Roman"/>
          <w:noProof/>
          <w:sz w:val="24"/>
          <w:szCs w:val="24"/>
        </w:rPr>
        <w:t>: 1639–1645.</w:t>
      </w:r>
    </w:p>
    <w:p w14:paraId="5EA8FBDE" w14:textId="299BDE80" w:rsid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Langmead B, Salzberg SL. (2012). Fast gapped-read alignment with Bowtie 2. </w:t>
      </w:r>
      <w:r w:rsidRPr="007A2824">
        <w:rPr>
          <w:rFonts w:ascii="Times New Roman" w:hAnsi="Times New Roman" w:cs="Times New Roman"/>
          <w:i/>
          <w:iCs/>
          <w:noProof/>
          <w:sz w:val="24"/>
          <w:szCs w:val="24"/>
        </w:rPr>
        <w:t>Nat Methods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9</w:t>
      </w:r>
      <w:r w:rsidRPr="007A2824">
        <w:rPr>
          <w:rFonts w:ascii="Times New Roman" w:hAnsi="Times New Roman" w:cs="Times New Roman"/>
          <w:noProof/>
          <w:sz w:val="24"/>
          <w:szCs w:val="24"/>
        </w:rPr>
        <w:t>: 357–9.</w:t>
      </w:r>
    </w:p>
    <w:p w14:paraId="5BB3AD24" w14:textId="7D7D2ED1" w:rsidR="001D77EB" w:rsidRPr="007A2824" w:rsidRDefault="001D77EB" w:rsidP="007A2824">
      <w:pPr>
        <w:widowControl w:val="0"/>
        <w:autoSpaceDE w:val="0"/>
        <w:autoSpaceDN w:val="0"/>
        <w:adjustRightInd w:val="0"/>
        <w:spacing w:line="240" w:lineRule="auto"/>
        <w:rPr>
          <w:rFonts w:ascii="Times New Roman" w:hAnsi="Times New Roman" w:cs="Times New Roman"/>
          <w:noProof/>
          <w:sz w:val="24"/>
          <w:szCs w:val="24"/>
        </w:rPr>
      </w:pPr>
      <w:r w:rsidRPr="001D77EB">
        <w:rPr>
          <w:rFonts w:ascii="Times New Roman" w:hAnsi="Times New Roman" w:cs="Times New Roman"/>
          <w:noProof/>
          <w:sz w:val="24"/>
          <w:szCs w:val="24"/>
        </w:rPr>
        <w:t>Lenth R. (2015). lsmeans: Least-Squares Means. https://cran.r-project.org/package=lsmeans.</w:t>
      </w:r>
    </w:p>
    <w:p w14:paraId="13D36E3C" w14:textId="77777777"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Li H, Handsaker B, Wysoker A, Fennell T, Ruan J, Homer N, </w:t>
      </w:r>
      <w:r w:rsidRPr="007A2824">
        <w:rPr>
          <w:rFonts w:ascii="Times New Roman" w:hAnsi="Times New Roman" w:cs="Times New Roman"/>
          <w:i/>
          <w:iCs/>
          <w:noProof/>
          <w:sz w:val="24"/>
          <w:szCs w:val="24"/>
        </w:rPr>
        <w:t>et al.</w:t>
      </w:r>
      <w:r w:rsidRPr="007A2824">
        <w:rPr>
          <w:rFonts w:ascii="Times New Roman" w:hAnsi="Times New Roman" w:cs="Times New Roman"/>
          <w:noProof/>
          <w:sz w:val="24"/>
          <w:szCs w:val="24"/>
        </w:rPr>
        <w:t xml:space="preserve"> (2009). The sequence alignment/map format and SAMtools. </w:t>
      </w:r>
      <w:r w:rsidRPr="007A2824">
        <w:rPr>
          <w:rFonts w:ascii="Times New Roman" w:hAnsi="Times New Roman" w:cs="Times New Roman"/>
          <w:i/>
          <w:iCs/>
          <w:noProof/>
          <w:sz w:val="24"/>
          <w:szCs w:val="24"/>
        </w:rPr>
        <w:t>Bioinformatics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25</w:t>
      </w:r>
      <w:r w:rsidRPr="007A2824">
        <w:rPr>
          <w:rFonts w:ascii="Times New Roman" w:hAnsi="Times New Roman" w:cs="Times New Roman"/>
          <w:noProof/>
          <w:sz w:val="24"/>
          <w:szCs w:val="24"/>
        </w:rPr>
        <w:t>: 2078–2079.</w:t>
      </w:r>
    </w:p>
    <w:p w14:paraId="3138AD91" w14:textId="5EC1D57D"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Martin M. (2011). Cutadapt removes adapter sequences from high-throughput sequencing reads. </w:t>
      </w:r>
      <w:r w:rsidRPr="007A2824">
        <w:rPr>
          <w:rFonts w:ascii="Times New Roman" w:hAnsi="Times New Roman" w:cs="Times New Roman"/>
          <w:i/>
          <w:iCs/>
          <w:noProof/>
          <w:sz w:val="24"/>
          <w:szCs w:val="24"/>
        </w:rPr>
        <w:t>EMBnet.journal</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17</w:t>
      </w:r>
      <w:r w:rsidRPr="007A2824">
        <w:rPr>
          <w:rFonts w:ascii="Times New Roman" w:hAnsi="Times New Roman" w:cs="Times New Roman"/>
          <w:noProof/>
          <w:sz w:val="24"/>
          <w:szCs w:val="24"/>
        </w:rPr>
        <w:t>: 10</w:t>
      </w:r>
      <w:r w:rsidR="00F428C9">
        <w:rPr>
          <w:rFonts w:ascii="Times New Roman" w:hAnsi="Times New Roman" w:cs="Times New Roman"/>
          <w:noProof/>
          <w:sz w:val="24"/>
          <w:szCs w:val="24"/>
        </w:rPr>
        <w:t>-12</w:t>
      </w:r>
      <w:r w:rsidRPr="007A2824">
        <w:rPr>
          <w:rFonts w:ascii="Times New Roman" w:hAnsi="Times New Roman" w:cs="Times New Roman"/>
          <w:noProof/>
          <w:sz w:val="24"/>
          <w:szCs w:val="24"/>
        </w:rPr>
        <w:t>.</w:t>
      </w:r>
    </w:p>
    <w:p w14:paraId="66676F3C" w14:textId="77777777"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Martínez-García PM, Ramos C, Rodríguez-Palenzuela P. (2015). T346Hunter: A novel web-based tool for the prediction of type III, type IV and type VI secretion systems in bacterial genomes. </w:t>
      </w:r>
      <w:r w:rsidRPr="007A2824">
        <w:rPr>
          <w:rFonts w:ascii="Times New Roman" w:hAnsi="Times New Roman" w:cs="Times New Roman"/>
          <w:i/>
          <w:iCs/>
          <w:noProof/>
          <w:sz w:val="24"/>
          <w:szCs w:val="24"/>
        </w:rPr>
        <w:t>PLoS One</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10</w:t>
      </w:r>
      <w:r w:rsidRPr="007A2824">
        <w:rPr>
          <w:rFonts w:ascii="Times New Roman" w:hAnsi="Times New Roman" w:cs="Times New Roman"/>
          <w:noProof/>
          <w:sz w:val="24"/>
          <w:szCs w:val="24"/>
        </w:rPr>
        <w:t>: e0119317.</w:t>
      </w:r>
    </w:p>
    <w:p w14:paraId="29234FA7" w14:textId="6D4E812E" w:rsid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Quinlan AR, Hall IM. (2010). BEDTools: A flexible suite of utilities for comparing genomic features. </w:t>
      </w:r>
      <w:r w:rsidRPr="007A2824">
        <w:rPr>
          <w:rFonts w:ascii="Times New Roman" w:hAnsi="Times New Roman" w:cs="Times New Roman"/>
          <w:i/>
          <w:iCs/>
          <w:noProof/>
          <w:sz w:val="24"/>
          <w:szCs w:val="24"/>
        </w:rPr>
        <w:t>Bioinformatics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26</w:t>
      </w:r>
      <w:r w:rsidRPr="007A2824">
        <w:rPr>
          <w:rFonts w:ascii="Times New Roman" w:hAnsi="Times New Roman" w:cs="Times New Roman"/>
          <w:noProof/>
          <w:sz w:val="24"/>
          <w:szCs w:val="24"/>
        </w:rPr>
        <w:t>: 841–842.</w:t>
      </w:r>
    </w:p>
    <w:p w14:paraId="77BEB1E0" w14:textId="5EF08F3C" w:rsidR="006F6CED" w:rsidRPr="007A2824" w:rsidRDefault="006F6CED" w:rsidP="007A2824">
      <w:pPr>
        <w:widowControl w:val="0"/>
        <w:autoSpaceDE w:val="0"/>
        <w:autoSpaceDN w:val="0"/>
        <w:adjustRightInd w:val="0"/>
        <w:spacing w:line="240" w:lineRule="auto"/>
        <w:rPr>
          <w:rFonts w:ascii="Times New Roman" w:hAnsi="Times New Roman" w:cs="Times New Roman"/>
          <w:noProof/>
          <w:sz w:val="24"/>
          <w:szCs w:val="24"/>
        </w:rPr>
      </w:pPr>
      <w:r w:rsidRPr="006F6CED">
        <w:rPr>
          <w:rFonts w:ascii="Times New Roman" w:hAnsi="Times New Roman" w:cs="Times New Roman"/>
          <w:noProof/>
          <w:sz w:val="24"/>
          <w:szCs w:val="24"/>
        </w:rPr>
        <w:t>R Core Team. (2016). R: A language and environment for statistical computing. R foundation for statistical computing. https://www.r-project.org/.</w:t>
      </w:r>
    </w:p>
    <w:p w14:paraId="4AB38100" w14:textId="59B90908" w:rsidR="007A2824" w:rsidRDefault="007A2824" w:rsidP="007A2824">
      <w:pPr>
        <w:widowControl w:val="0"/>
        <w:autoSpaceDE w:val="0"/>
        <w:autoSpaceDN w:val="0"/>
        <w:adjustRightInd w:val="0"/>
        <w:spacing w:line="240" w:lineRule="auto"/>
        <w:rPr>
          <w:rFonts w:ascii="Times New Roman" w:hAnsi="Times New Roman" w:cs="Times New Roman"/>
          <w:noProof/>
          <w:sz w:val="24"/>
          <w:szCs w:val="24"/>
        </w:rPr>
      </w:pPr>
      <w:r w:rsidRPr="007A2824">
        <w:rPr>
          <w:rFonts w:ascii="Times New Roman" w:hAnsi="Times New Roman" w:cs="Times New Roman"/>
          <w:noProof/>
          <w:sz w:val="24"/>
          <w:szCs w:val="24"/>
        </w:rPr>
        <w:t xml:space="preserve">Seemann T. (2014). Prokka: rapid prokaryotic genome annotation. </w:t>
      </w:r>
      <w:r w:rsidRPr="007A2824">
        <w:rPr>
          <w:rFonts w:ascii="Times New Roman" w:hAnsi="Times New Roman" w:cs="Times New Roman"/>
          <w:i/>
          <w:iCs/>
          <w:noProof/>
          <w:sz w:val="24"/>
          <w:szCs w:val="24"/>
        </w:rPr>
        <w:t>Bioinformatics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30</w:t>
      </w:r>
      <w:r w:rsidRPr="007A2824">
        <w:rPr>
          <w:rFonts w:ascii="Times New Roman" w:hAnsi="Times New Roman" w:cs="Times New Roman"/>
          <w:noProof/>
          <w:sz w:val="24"/>
          <w:szCs w:val="24"/>
        </w:rPr>
        <w:t>: 2068–2069.</w:t>
      </w:r>
    </w:p>
    <w:p w14:paraId="2A9C6348" w14:textId="5D3BC0FA" w:rsidR="001D77EB" w:rsidRPr="007A2824" w:rsidRDefault="001D77EB" w:rsidP="007A2824">
      <w:pPr>
        <w:widowControl w:val="0"/>
        <w:autoSpaceDE w:val="0"/>
        <w:autoSpaceDN w:val="0"/>
        <w:adjustRightInd w:val="0"/>
        <w:spacing w:line="240" w:lineRule="auto"/>
        <w:rPr>
          <w:rFonts w:ascii="Times New Roman" w:hAnsi="Times New Roman" w:cs="Times New Roman"/>
          <w:noProof/>
          <w:sz w:val="24"/>
          <w:szCs w:val="24"/>
        </w:rPr>
      </w:pPr>
      <w:r w:rsidRPr="001D77EB">
        <w:rPr>
          <w:rFonts w:ascii="Times New Roman" w:hAnsi="Times New Roman" w:cs="Times New Roman"/>
          <w:noProof/>
          <w:sz w:val="24"/>
          <w:szCs w:val="24"/>
        </w:rPr>
        <w:t>Fox J, Weisberg S. (2011). An R Companion to Applied Regression. 2nd ed. SAGE: California.</w:t>
      </w:r>
    </w:p>
    <w:p w14:paraId="6368B3D7" w14:textId="77777777" w:rsidR="007A2824" w:rsidRPr="007A2824" w:rsidRDefault="007A2824" w:rsidP="007A2824">
      <w:pPr>
        <w:widowControl w:val="0"/>
        <w:autoSpaceDE w:val="0"/>
        <w:autoSpaceDN w:val="0"/>
        <w:adjustRightInd w:val="0"/>
        <w:spacing w:line="240" w:lineRule="auto"/>
        <w:rPr>
          <w:rFonts w:ascii="Times New Roman" w:hAnsi="Times New Roman" w:cs="Times New Roman"/>
          <w:noProof/>
          <w:sz w:val="24"/>
        </w:rPr>
      </w:pPr>
      <w:r w:rsidRPr="007A2824">
        <w:rPr>
          <w:rFonts w:ascii="Times New Roman" w:hAnsi="Times New Roman" w:cs="Times New Roman"/>
          <w:noProof/>
          <w:sz w:val="24"/>
          <w:szCs w:val="24"/>
        </w:rPr>
        <w:t xml:space="preserve">Yin Y, Mao X, Yang J, Chen X, Mao F, Xu Y. (2012). DbCAN: A web resource for automated carbohydrate-active enzyme annotation. </w:t>
      </w:r>
      <w:r w:rsidRPr="007A2824">
        <w:rPr>
          <w:rFonts w:ascii="Times New Roman" w:hAnsi="Times New Roman" w:cs="Times New Roman"/>
          <w:i/>
          <w:iCs/>
          <w:noProof/>
          <w:sz w:val="24"/>
          <w:szCs w:val="24"/>
        </w:rPr>
        <w:t>Nucleic Acids Res</w:t>
      </w:r>
      <w:r w:rsidRPr="007A2824">
        <w:rPr>
          <w:rFonts w:ascii="Times New Roman" w:hAnsi="Times New Roman" w:cs="Times New Roman"/>
          <w:noProof/>
          <w:sz w:val="24"/>
          <w:szCs w:val="24"/>
        </w:rPr>
        <w:t xml:space="preserve"> </w:t>
      </w:r>
      <w:r w:rsidRPr="007A2824">
        <w:rPr>
          <w:rFonts w:ascii="Times New Roman" w:hAnsi="Times New Roman" w:cs="Times New Roman"/>
          <w:b/>
          <w:bCs/>
          <w:noProof/>
          <w:sz w:val="24"/>
          <w:szCs w:val="24"/>
        </w:rPr>
        <w:t>40</w:t>
      </w:r>
      <w:r w:rsidRPr="007A2824">
        <w:rPr>
          <w:rFonts w:ascii="Times New Roman" w:hAnsi="Times New Roman" w:cs="Times New Roman"/>
          <w:noProof/>
          <w:sz w:val="24"/>
          <w:szCs w:val="24"/>
        </w:rPr>
        <w:t>: 445–451.</w:t>
      </w:r>
    </w:p>
    <w:p w14:paraId="07E8CF59" w14:textId="5F2BCA43" w:rsidR="007A2824" w:rsidRPr="001E4E9F" w:rsidRDefault="00063425">
      <w:pPr>
        <w:rPr>
          <w:rFonts w:ascii="Times New Roman" w:hAnsi="Times New Roman" w:cs="Times New Roman"/>
          <w:sz w:val="24"/>
          <w:szCs w:val="24"/>
        </w:rPr>
      </w:pPr>
      <w:r>
        <w:rPr>
          <w:rFonts w:ascii="Times New Roman" w:hAnsi="Times New Roman" w:cs="Times New Roman"/>
          <w:sz w:val="24"/>
          <w:szCs w:val="24"/>
        </w:rPr>
        <w:fldChar w:fldCharType="end"/>
      </w:r>
    </w:p>
    <w:sectPr w:rsidR="007A2824" w:rsidRPr="001E4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85C76"/>
    <w:multiLevelType w:val="hybridMultilevel"/>
    <w:tmpl w:val="C5A007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B2B01BE"/>
    <w:multiLevelType w:val="hybridMultilevel"/>
    <w:tmpl w:val="28AEFD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325"/>
    <w:rsid w:val="00063425"/>
    <w:rsid w:val="000B10AB"/>
    <w:rsid w:val="00107DDC"/>
    <w:rsid w:val="001154D8"/>
    <w:rsid w:val="00164CB8"/>
    <w:rsid w:val="001B016C"/>
    <w:rsid w:val="001D77EB"/>
    <w:rsid w:val="001E4E9F"/>
    <w:rsid w:val="002007F4"/>
    <w:rsid w:val="00222885"/>
    <w:rsid w:val="00280131"/>
    <w:rsid w:val="002D6DB9"/>
    <w:rsid w:val="00381280"/>
    <w:rsid w:val="00441D28"/>
    <w:rsid w:val="004D457D"/>
    <w:rsid w:val="005022E2"/>
    <w:rsid w:val="006451FD"/>
    <w:rsid w:val="006947AF"/>
    <w:rsid w:val="006F6CED"/>
    <w:rsid w:val="00731084"/>
    <w:rsid w:val="00794F87"/>
    <w:rsid w:val="007A2824"/>
    <w:rsid w:val="007D5DD0"/>
    <w:rsid w:val="00934B25"/>
    <w:rsid w:val="00A82529"/>
    <w:rsid w:val="00B47DEB"/>
    <w:rsid w:val="00BB32D6"/>
    <w:rsid w:val="00C02D02"/>
    <w:rsid w:val="00C42325"/>
    <w:rsid w:val="00C86B1B"/>
    <w:rsid w:val="00E26E46"/>
    <w:rsid w:val="00EB52D9"/>
    <w:rsid w:val="00EB5F9D"/>
    <w:rsid w:val="00F428C9"/>
    <w:rsid w:val="00FA1C1D"/>
    <w:rsid w:val="3722851C"/>
    <w:rsid w:val="41EAD2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4C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23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Heading">
    <w:name w:val="SM Heading"/>
    <w:basedOn w:val="Heading1"/>
    <w:qFormat/>
    <w:rsid w:val="00C42325"/>
    <w:pPr>
      <w:keepLines w:val="0"/>
      <w:spacing w:after="60" w:line="240" w:lineRule="auto"/>
    </w:pPr>
    <w:rPr>
      <w:rFonts w:ascii="Times New Roman" w:eastAsia="Times New Roman" w:hAnsi="Times New Roman" w:cs="Times New Roman"/>
      <w:b/>
      <w:bCs/>
      <w:color w:val="auto"/>
      <w:kern w:val="32"/>
      <w:sz w:val="24"/>
      <w:szCs w:val="24"/>
      <w:lang w:val="en-US"/>
    </w:rPr>
  </w:style>
  <w:style w:type="character" w:customStyle="1" w:styleId="Heading1Char">
    <w:name w:val="Heading 1 Char"/>
    <w:basedOn w:val="DefaultParagraphFont"/>
    <w:link w:val="Heading1"/>
    <w:uiPriority w:val="9"/>
    <w:rsid w:val="00C42325"/>
    <w:rPr>
      <w:rFonts w:asciiTheme="majorHAnsi" w:eastAsiaTheme="majorEastAsia" w:hAnsiTheme="majorHAnsi" w:cstheme="majorBidi"/>
      <w:color w:val="2E74B5" w:themeColor="accent1" w:themeShade="BF"/>
      <w:sz w:val="32"/>
      <w:szCs w:val="32"/>
    </w:rPr>
  </w:style>
  <w:style w:type="paragraph" w:customStyle="1" w:styleId="SMcaption">
    <w:name w:val="SM caption"/>
    <w:basedOn w:val="Normal"/>
    <w:qFormat/>
    <w:rsid w:val="00C42325"/>
    <w:pPr>
      <w:spacing w:after="0" w:line="240" w:lineRule="auto"/>
    </w:pPr>
    <w:rPr>
      <w:rFonts w:ascii="Times New Roman" w:eastAsia="Times New Roman" w:hAnsi="Times New Roman" w:cs="Times New Roman"/>
      <w:sz w:val="24"/>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23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Heading">
    <w:name w:val="SM Heading"/>
    <w:basedOn w:val="Heading1"/>
    <w:qFormat/>
    <w:rsid w:val="00C42325"/>
    <w:pPr>
      <w:keepLines w:val="0"/>
      <w:spacing w:after="60" w:line="240" w:lineRule="auto"/>
    </w:pPr>
    <w:rPr>
      <w:rFonts w:ascii="Times New Roman" w:eastAsia="Times New Roman" w:hAnsi="Times New Roman" w:cs="Times New Roman"/>
      <w:b/>
      <w:bCs/>
      <w:color w:val="auto"/>
      <w:kern w:val="32"/>
      <w:sz w:val="24"/>
      <w:szCs w:val="24"/>
      <w:lang w:val="en-US"/>
    </w:rPr>
  </w:style>
  <w:style w:type="character" w:customStyle="1" w:styleId="Heading1Char">
    <w:name w:val="Heading 1 Char"/>
    <w:basedOn w:val="DefaultParagraphFont"/>
    <w:link w:val="Heading1"/>
    <w:uiPriority w:val="9"/>
    <w:rsid w:val="00C42325"/>
    <w:rPr>
      <w:rFonts w:asciiTheme="majorHAnsi" w:eastAsiaTheme="majorEastAsia" w:hAnsiTheme="majorHAnsi" w:cstheme="majorBidi"/>
      <w:color w:val="2E74B5" w:themeColor="accent1" w:themeShade="BF"/>
      <w:sz w:val="32"/>
      <w:szCs w:val="32"/>
    </w:rPr>
  </w:style>
  <w:style w:type="paragraph" w:customStyle="1" w:styleId="SMcaption">
    <w:name w:val="SM caption"/>
    <w:basedOn w:val="Normal"/>
    <w:qFormat/>
    <w:rsid w:val="00C42325"/>
    <w:pPr>
      <w:spacing w:after="0" w:line="240" w:lineRule="auto"/>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FBEFE-7132-0644-B235-BADEA0E8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Pages>
  <Words>7160</Words>
  <Characters>40813</Characters>
  <Application>Microsoft Macintosh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Doonan</dc:creator>
  <cp:keywords/>
  <dc:description/>
  <cp:lastModifiedBy>James McDonald</cp:lastModifiedBy>
  <cp:revision>28</cp:revision>
  <dcterms:created xsi:type="dcterms:W3CDTF">2017-02-19T21:27:00Z</dcterms:created>
  <dcterms:modified xsi:type="dcterms:W3CDTF">2017-06-19T19:54:00Z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6b6576f3-5898-3fb1-a9a6-46a3d91caabf</vt:lpwstr>
  </property>
  <property fmtid="{D5CDD505-2E9C-101B-9397-08002B2CF9AE}" pid="4" name="Mendeley Citation Style_1">
    <vt:lpwstr>http://www.zotero.org/styles/the-isme-journal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http://www.zotero.org/styles/science</vt:lpwstr>
  </property>
  <property fmtid="{D5CDD505-2E9C-101B-9397-08002B2CF9AE}" pid="20" name="Mendeley Recent Style Name 7_1">
    <vt:lpwstr>Science</vt:lpwstr>
  </property>
  <property fmtid="{D5CDD505-2E9C-101B-9397-08002B2CF9AE}" pid="21" name="Mendeley Recent Style Id 8_1">
    <vt:lpwstr>http://www.zotero.org/styles/the-isme-journal</vt:lpwstr>
  </property>
  <property fmtid="{D5CDD505-2E9C-101B-9397-08002B2CF9AE}" pid="22" name="Mendeley Recent Style Name 8_1">
    <vt:lpwstr>The ISME Journal</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