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A5D" w:rsidRPr="000F78EF" w:rsidRDefault="00836A5D" w:rsidP="00836A5D">
      <w:pPr>
        <w:jc w:val="both"/>
        <w:rPr>
          <w:szCs w:val="24"/>
          <w:lang w:val="en-GB"/>
        </w:rPr>
      </w:pPr>
      <w:r>
        <w:rPr>
          <w:b/>
          <w:color w:val="000000"/>
          <w:lang w:val="en-GB" w:eastAsia="en-GB"/>
        </w:rPr>
        <w:t xml:space="preserve">Supplementary </w:t>
      </w:r>
      <w:r w:rsidRPr="00834C1B">
        <w:rPr>
          <w:b/>
          <w:color w:val="000000"/>
          <w:lang w:val="en-GB" w:eastAsia="en-GB"/>
        </w:rPr>
        <w:t xml:space="preserve">Table </w:t>
      </w:r>
      <w:r w:rsidR="00362224">
        <w:rPr>
          <w:b/>
          <w:color w:val="000000"/>
          <w:lang w:val="en-GB" w:eastAsia="en-GB"/>
        </w:rPr>
        <w:t>4</w:t>
      </w:r>
      <w:r w:rsidRPr="00834C1B">
        <w:rPr>
          <w:b/>
          <w:color w:val="000000"/>
          <w:lang w:val="en-GB" w:eastAsia="en-GB"/>
        </w:rPr>
        <w:t xml:space="preserve">. </w:t>
      </w:r>
      <w:r>
        <w:rPr>
          <w:b/>
          <w:color w:val="000000"/>
          <w:lang w:val="en-GB" w:eastAsia="en-GB"/>
        </w:rPr>
        <w:t>Alignment</w:t>
      </w:r>
      <w:r w:rsidRPr="003120DB">
        <w:rPr>
          <w:b/>
          <w:color w:val="000000"/>
          <w:lang w:val="en-GB" w:eastAsia="en-GB"/>
        </w:rPr>
        <w:t xml:space="preserve"> of metagenome coding domains to </w:t>
      </w:r>
      <w:r w:rsidRPr="006E2282">
        <w:rPr>
          <w:b/>
          <w:color w:val="000000"/>
          <w:lang w:val="en-GB" w:eastAsia="en-GB"/>
        </w:rPr>
        <w:t xml:space="preserve">the genomes of </w:t>
      </w:r>
      <w:r w:rsidRPr="006E2282">
        <w:rPr>
          <w:b/>
          <w:i/>
          <w:color w:val="000000"/>
          <w:lang w:val="en-GB" w:eastAsia="en-GB"/>
        </w:rPr>
        <w:t>B</w:t>
      </w:r>
      <w:r>
        <w:rPr>
          <w:b/>
          <w:i/>
          <w:color w:val="000000"/>
          <w:lang w:val="en-GB" w:eastAsia="en-GB"/>
        </w:rPr>
        <w:t>renneria</w:t>
      </w:r>
      <w:r w:rsidRPr="006E2282">
        <w:rPr>
          <w:b/>
          <w:i/>
          <w:color w:val="000000"/>
          <w:lang w:val="en-GB" w:eastAsia="en-GB"/>
        </w:rPr>
        <w:t xml:space="preserve"> goodwinii</w:t>
      </w:r>
      <w:r w:rsidRPr="00C33FAA">
        <w:rPr>
          <w:b/>
          <w:color w:val="000000"/>
          <w:lang w:val="en-GB" w:eastAsia="en-GB"/>
        </w:rPr>
        <w:t xml:space="preserve"> FRB141 (T), </w:t>
      </w:r>
      <w:r w:rsidRPr="00CF76B4">
        <w:rPr>
          <w:b/>
          <w:i/>
          <w:color w:val="000000"/>
          <w:lang w:val="en-GB" w:eastAsia="en-GB"/>
        </w:rPr>
        <w:t>G</w:t>
      </w:r>
      <w:r>
        <w:rPr>
          <w:b/>
          <w:i/>
          <w:color w:val="000000"/>
          <w:lang w:val="en-GB" w:eastAsia="en-GB"/>
        </w:rPr>
        <w:t>ibbsiella</w:t>
      </w:r>
      <w:r w:rsidRPr="00CF76B4">
        <w:rPr>
          <w:b/>
          <w:i/>
          <w:color w:val="000000"/>
          <w:lang w:val="en-GB" w:eastAsia="en-GB"/>
        </w:rPr>
        <w:t xml:space="preserve"> quercinecans</w:t>
      </w:r>
      <w:r w:rsidRPr="00CF76B4">
        <w:rPr>
          <w:b/>
          <w:color w:val="000000"/>
          <w:lang w:val="en-GB" w:eastAsia="en-GB"/>
        </w:rPr>
        <w:t xml:space="preserve"> FRB97 (T), and </w:t>
      </w:r>
      <w:proofErr w:type="spellStart"/>
      <w:r w:rsidRPr="00CF76B4">
        <w:rPr>
          <w:b/>
          <w:i/>
          <w:color w:val="000000"/>
          <w:lang w:val="en-GB" w:eastAsia="en-GB"/>
        </w:rPr>
        <w:t>R</w:t>
      </w:r>
      <w:r>
        <w:rPr>
          <w:b/>
          <w:i/>
          <w:color w:val="000000"/>
          <w:lang w:val="en-GB" w:eastAsia="en-GB"/>
        </w:rPr>
        <w:t>ahnella</w:t>
      </w:r>
      <w:proofErr w:type="spellEnd"/>
      <w:r w:rsidRPr="00CF76B4">
        <w:rPr>
          <w:b/>
          <w:i/>
          <w:color w:val="000000"/>
          <w:lang w:val="en-GB" w:eastAsia="en-GB"/>
        </w:rPr>
        <w:t xml:space="preserve"> </w:t>
      </w:r>
      <w:proofErr w:type="spellStart"/>
      <w:r w:rsidRPr="00CF76B4">
        <w:rPr>
          <w:b/>
          <w:i/>
          <w:color w:val="000000"/>
          <w:lang w:val="en-GB" w:eastAsia="en-GB"/>
        </w:rPr>
        <w:t>victoriana</w:t>
      </w:r>
      <w:proofErr w:type="spellEnd"/>
      <w:r w:rsidRPr="00CF76B4">
        <w:rPr>
          <w:b/>
          <w:color w:val="000000"/>
          <w:lang w:val="en-GB" w:eastAsia="en-GB"/>
        </w:rPr>
        <w:t xml:space="preserve"> BRK18a (T)</w:t>
      </w:r>
      <w:r w:rsidRPr="00DC2C28">
        <w:rPr>
          <w:b/>
          <w:color w:val="000000"/>
          <w:lang w:val="en-GB" w:eastAsia="en-GB"/>
        </w:rPr>
        <w:t xml:space="preserve"> and two control genomes, </w:t>
      </w:r>
      <w:proofErr w:type="spellStart"/>
      <w:r w:rsidRPr="000F78EF">
        <w:rPr>
          <w:b/>
          <w:i/>
          <w:szCs w:val="24"/>
          <w:lang w:val="en-GB"/>
        </w:rPr>
        <w:t>Pectobacterium</w:t>
      </w:r>
      <w:proofErr w:type="spellEnd"/>
      <w:r w:rsidRPr="00DC2C28">
        <w:rPr>
          <w:b/>
          <w:i/>
          <w:szCs w:val="24"/>
          <w:lang w:val="en-GB"/>
        </w:rPr>
        <w:t xml:space="preserve"> </w:t>
      </w:r>
      <w:proofErr w:type="spellStart"/>
      <w:r w:rsidRPr="00DC2C28">
        <w:rPr>
          <w:b/>
          <w:i/>
          <w:szCs w:val="24"/>
          <w:lang w:val="en-GB"/>
        </w:rPr>
        <w:t>carotovorum</w:t>
      </w:r>
      <w:proofErr w:type="spellEnd"/>
      <w:r w:rsidRPr="00DC2C28">
        <w:rPr>
          <w:b/>
          <w:i/>
          <w:szCs w:val="24"/>
          <w:lang w:val="en-GB"/>
        </w:rPr>
        <w:t xml:space="preserve"> </w:t>
      </w:r>
      <w:r w:rsidRPr="00DC2C28">
        <w:rPr>
          <w:b/>
          <w:szCs w:val="24"/>
          <w:lang w:val="en-GB"/>
        </w:rPr>
        <w:t xml:space="preserve">subsp. </w:t>
      </w:r>
      <w:proofErr w:type="spellStart"/>
      <w:r w:rsidRPr="00DC2C28">
        <w:rPr>
          <w:b/>
          <w:i/>
          <w:szCs w:val="24"/>
          <w:lang w:val="en-GB"/>
        </w:rPr>
        <w:t>carotovorum</w:t>
      </w:r>
      <w:proofErr w:type="spellEnd"/>
      <w:r w:rsidRPr="00DC2C28">
        <w:rPr>
          <w:b/>
          <w:i/>
          <w:szCs w:val="24"/>
          <w:lang w:val="en-GB"/>
        </w:rPr>
        <w:t xml:space="preserve"> </w:t>
      </w:r>
      <w:r w:rsidRPr="00DC2C28">
        <w:rPr>
          <w:b/>
          <w:szCs w:val="24"/>
          <w:lang w:val="en-GB"/>
        </w:rPr>
        <w:t>PC1, a known plant pathogen</w:t>
      </w:r>
      <w:r>
        <w:rPr>
          <w:b/>
          <w:szCs w:val="24"/>
          <w:lang w:val="en-GB"/>
        </w:rPr>
        <w:t>,</w:t>
      </w:r>
      <w:r w:rsidRPr="00DC2C28">
        <w:rPr>
          <w:b/>
          <w:szCs w:val="24"/>
          <w:lang w:val="en-GB"/>
        </w:rPr>
        <w:t xml:space="preserve"> and the endophyte, </w:t>
      </w:r>
      <w:proofErr w:type="spellStart"/>
      <w:r w:rsidRPr="000F78EF">
        <w:rPr>
          <w:b/>
          <w:i/>
          <w:szCs w:val="24"/>
          <w:lang w:val="en-GB"/>
        </w:rPr>
        <w:t>P</w:t>
      </w:r>
      <w:r>
        <w:rPr>
          <w:b/>
          <w:i/>
          <w:szCs w:val="24"/>
          <w:lang w:val="en-GB"/>
        </w:rPr>
        <w:t>aenibacillus</w:t>
      </w:r>
      <w:proofErr w:type="spellEnd"/>
      <w:r w:rsidRPr="00DC2C28">
        <w:rPr>
          <w:b/>
          <w:i/>
          <w:szCs w:val="24"/>
          <w:lang w:val="en-GB"/>
        </w:rPr>
        <w:t xml:space="preserve"> </w:t>
      </w:r>
      <w:proofErr w:type="spellStart"/>
      <w:r w:rsidRPr="00DC2C28">
        <w:rPr>
          <w:b/>
          <w:i/>
          <w:szCs w:val="24"/>
          <w:lang w:val="en-GB"/>
        </w:rPr>
        <w:t>polymyxa</w:t>
      </w:r>
      <w:proofErr w:type="spellEnd"/>
      <w:r w:rsidRPr="00DC2C28">
        <w:rPr>
          <w:b/>
          <w:szCs w:val="24"/>
          <w:lang w:val="en-GB"/>
        </w:rPr>
        <w:t xml:space="preserve"> SC2. </w:t>
      </w:r>
      <w:r w:rsidRPr="00E7157E">
        <w:rPr>
          <w:color w:val="000000"/>
          <w:lang w:val="en-GB" w:eastAsia="en-GB"/>
        </w:rPr>
        <w:t xml:space="preserve">To assess the abundance of </w:t>
      </w:r>
      <w:r w:rsidRPr="00DC2C28">
        <w:rPr>
          <w:i/>
          <w:color w:val="000000"/>
          <w:lang w:val="en-GB" w:eastAsia="en-GB"/>
        </w:rPr>
        <w:t>B</w:t>
      </w:r>
      <w:r>
        <w:rPr>
          <w:i/>
          <w:color w:val="000000"/>
          <w:lang w:val="en-GB" w:eastAsia="en-GB"/>
        </w:rPr>
        <w:t>renneria</w:t>
      </w:r>
      <w:r w:rsidRPr="00DC2C28">
        <w:rPr>
          <w:i/>
          <w:color w:val="000000"/>
          <w:lang w:val="en-GB" w:eastAsia="en-GB"/>
        </w:rPr>
        <w:t xml:space="preserve"> goodwinii</w:t>
      </w:r>
      <w:r>
        <w:rPr>
          <w:i/>
          <w:color w:val="000000"/>
          <w:lang w:val="en-GB" w:eastAsia="en-GB"/>
        </w:rPr>
        <w:t xml:space="preserve"> </w:t>
      </w:r>
      <w:r w:rsidRPr="00DC2C28">
        <w:rPr>
          <w:color w:val="000000"/>
          <w:lang w:val="en-GB" w:eastAsia="en-GB"/>
        </w:rPr>
        <w:t>(</w:t>
      </w:r>
      <w:proofErr w:type="spellStart"/>
      <w:r>
        <w:rPr>
          <w:i/>
          <w:color w:val="000000"/>
          <w:lang w:val="en-GB" w:eastAsia="en-GB"/>
        </w:rPr>
        <w:t>Bg</w:t>
      </w:r>
      <w:proofErr w:type="spellEnd"/>
      <w:r w:rsidRPr="00DC2C28">
        <w:rPr>
          <w:color w:val="000000"/>
          <w:lang w:val="en-GB" w:eastAsia="en-GB"/>
        </w:rPr>
        <w:t>)</w:t>
      </w:r>
      <w:r w:rsidRPr="00914275">
        <w:rPr>
          <w:b/>
          <w:color w:val="000000"/>
          <w:lang w:val="en-GB" w:eastAsia="en-GB"/>
        </w:rPr>
        <w:t xml:space="preserve">, </w:t>
      </w:r>
      <w:r w:rsidRPr="00DC2C28">
        <w:rPr>
          <w:i/>
          <w:color w:val="000000"/>
          <w:lang w:val="en-GB" w:eastAsia="en-GB"/>
        </w:rPr>
        <w:t>G</w:t>
      </w:r>
      <w:r>
        <w:rPr>
          <w:i/>
          <w:color w:val="000000"/>
          <w:lang w:val="en-GB" w:eastAsia="en-GB"/>
        </w:rPr>
        <w:t>ibbsiella</w:t>
      </w:r>
      <w:r w:rsidRPr="00DC2C28">
        <w:rPr>
          <w:i/>
          <w:color w:val="000000"/>
          <w:lang w:val="en-GB" w:eastAsia="en-GB"/>
        </w:rPr>
        <w:t xml:space="preserve"> quercinecans</w:t>
      </w:r>
      <w:r>
        <w:rPr>
          <w:i/>
          <w:color w:val="000000"/>
          <w:lang w:val="en-GB" w:eastAsia="en-GB"/>
        </w:rPr>
        <w:t xml:space="preserve"> </w:t>
      </w:r>
      <w:r w:rsidRPr="00DC2C28">
        <w:rPr>
          <w:color w:val="000000"/>
          <w:lang w:val="en-GB" w:eastAsia="en-GB"/>
        </w:rPr>
        <w:t>(</w:t>
      </w:r>
      <w:proofErr w:type="spellStart"/>
      <w:r>
        <w:rPr>
          <w:i/>
          <w:color w:val="000000"/>
          <w:lang w:val="en-GB" w:eastAsia="en-GB"/>
        </w:rPr>
        <w:t>Gq</w:t>
      </w:r>
      <w:proofErr w:type="spellEnd"/>
      <w:r w:rsidRPr="00DC2C28">
        <w:rPr>
          <w:color w:val="000000"/>
          <w:lang w:val="en-GB" w:eastAsia="en-GB"/>
        </w:rPr>
        <w:t xml:space="preserve">), and </w:t>
      </w:r>
      <w:proofErr w:type="spellStart"/>
      <w:r w:rsidRPr="00DC2C28">
        <w:rPr>
          <w:i/>
          <w:color w:val="000000"/>
          <w:lang w:val="en-GB" w:eastAsia="en-GB"/>
        </w:rPr>
        <w:t>R</w:t>
      </w:r>
      <w:r>
        <w:rPr>
          <w:i/>
          <w:color w:val="000000"/>
          <w:lang w:val="en-GB" w:eastAsia="en-GB"/>
        </w:rPr>
        <w:t>ahnella</w:t>
      </w:r>
      <w:proofErr w:type="spellEnd"/>
      <w:r w:rsidRPr="00DC2C28">
        <w:rPr>
          <w:i/>
          <w:color w:val="000000"/>
          <w:lang w:val="en-GB" w:eastAsia="en-GB"/>
        </w:rPr>
        <w:t xml:space="preserve"> </w:t>
      </w:r>
      <w:proofErr w:type="spellStart"/>
      <w:r>
        <w:rPr>
          <w:i/>
          <w:color w:val="000000"/>
          <w:lang w:val="en-GB" w:eastAsia="en-GB"/>
        </w:rPr>
        <w:t>victoriana</w:t>
      </w:r>
      <w:proofErr w:type="spellEnd"/>
      <w:r>
        <w:rPr>
          <w:i/>
          <w:color w:val="000000"/>
          <w:lang w:val="en-GB" w:eastAsia="en-GB"/>
        </w:rPr>
        <w:t xml:space="preserve"> </w:t>
      </w:r>
      <w:r w:rsidRPr="00DC2C28">
        <w:rPr>
          <w:color w:val="000000"/>
          <w:lang w:val="en-GB" w:eastAsia="en-GB"/>
        </w:rPr>
        <w:t>(</w:t>
      </w:r>
      <w:proofErr w:type="spellStart"/>
      <w:r>
        <w:rPr>
          <w:i/>
          <w:color w:val="000000"/>
          <w:lang w:val="en-GB" w:eastAsia="en-GB"/>
        </w:rPr>
        <w:t>Rv</w:t>
      </w:r>
      <w:proofErr w:type="spellEnd"/>
      <w:r w:rsidRPr="00DC2C28">
        <w:rPr>
          <w:color w:val="000000"/>
          <w:lang w:val="en-GB" w:eastAsia="en-GB"/>
        </w:rPr>
        <w:t>)</w:t>
      </w:r>
      <w:r w:rsidRPr="00914275">
        <w:rPr>
          <w:color w:val="000000"/>
          <w:lang w:val="en-GB" w:eastAsia="en-GB"/>
        </w:rPr>
        <w:t xml:space="preserve"> </w:t>
      </w:r>
      <w:r w:rsidRPr="00E7157E">
        <w:rPr>
          <w:color w:val="000000"/>
          <w:lang w:val="en-GB" w:eastAsia="en-GB"/>
        </w:rPr>
        <w:t>in the A</w:t>
      </w:r>
      <w:r>
        <w:rPr>
          <w:color w:val="000000"/>
          <w:lang w:val="en-GB" w:eastAsia="en-GB"/>
        </w:rPr>
        <w:t xml:space="preserve">cute </w:t>
      </w:r>
      <w:r w:rsidRPr="00E7157E">
        <w:rPr>
          <w:color w:val="000000"/>
          <w:lang w:val="en-GB" w:eastAsia="en-GB"/>
        </w:rPr>
        <w:t>O</w:t>
      </w:r>
      <w:r>
        <w:rPr>
          <w:color w:val="000000"/>
          <w:lang w:val="en-GB" w:eastAsia="en-GB"/>
        </w:rPr>
        <w:t xml:space="preserve">ak </w:t>
      </w:r>
      <w:r w:rsidRPr="00E7157E">
        <w:rPr>
          <w:color w:val="000000"/>
          <w:lang w:val="en-GB" w:eastAsia="en-GB"/>
        </w:rPr>
        <w:t>D</w:t>
      </w:r>
      <w:r>
        <w:rPr>
          <w:color w:val="000000"/>
          <w:lang w:val="en-GB" w:eastAsia="en-GB"/>
        </w:rPr>
        <w:t>ecline (AOD)</w:t>
      </w:r>
      <w:r w:rsidRPr="00E7157E">
        <w:rPr>
          <w:color w:val="000000"/>
          <w:lang w:val="en-GB" w:eastAsia="en-GB"/>
        </w:rPr>
        <w:t xml:space="preserve"> lesion metagenome</w:t>
      </w:r>
      <w:r>
        <w:rPr>
          <w:color w:val="000000"/>
          <w:lang w:val="en-GB" w:eastAsia="en-GB"/>
        </w:rPr>
        <w:t>,</w:t>
      </w:r>
      <w:r w:rsidRPr="00E7157E">
        <w:rPr>
          <w:color w:val="000000"/>
          <w:lang w:val="en-GB" w:eastAsia="en-GB"/>
        </w:rPr>
        <w:t xml:space="preserve"> </w:t>
      </w:r>
      <w:r w:rsidRPr="00D83C54">
        <w:rPr>
          <w:color w:val="000000"/>
          <w:lang w:val="en-GB" w:eastAsia="en-GB"/>
        </w:rPr>
        <w:t>alignments were made</w:t>
      </w:r>
      <w:r>
        <w:rPr>
          <w:color w:val="000000"/>
          <w:lang w:val="en-GB" w:eastAsia="en-GB"/>
        </w:rPr>
        <w:t xml:space="preserve"> </w:t>
      </w:r>
      <w:r w:rsidRPr="00834C1B">
        <w:rPr>
          <w:color w:val="000000"/>
          <w:lang w:val="en-GB" w:eastAsia="en-GB"/>
        </w:rPr>
        <w:t xml:space="preserve">between assembled metagenomic libraries from AOD diseased and a healthy tree (AT1), and assembled bacterial coding domains of </w:t>
      </w:r>
      <w:proofErr w:type="spellStart"/>
      <w:r>
        <w:rPr>
          <w:i/>
          <w:color w:val="000000"/>
          <w:lang w:val="en-GB" w:eastAsia="en-GB"/>
        </w:rPr>
        <w:t>Bg</w:t>
      </w:r>
      <w:proofErr w:type="spellEnd"/>
      <w:r w:rsidRPr="00834C1B">
        <w:rPr>
          <w:color w:val="000000"/>
          <w:lang w:val="en-GB" w:eastAsia="en-GB"/>
        </w:rPr>
        <w:t xml:space="preserve">, </w:t>
      </w:r>
      <w:proofErr w:type="spellStart"/>
      <w:r>
        <w:rPr>
          <w:i/>
          <w:color w:val="000000"/>
          <w:lang w:val="en-GB" w:eastAsia="en-GB"/>
        </w:rPr>
        <w:t>Gq</w:t>
      </w:r>
      <w:proofErr w:type="spellEnd"/>
      <w:r w:rsidRPr="00834C1B">
        <w:rPr>
          <w:color w:val="000000"/>
          <w:lang w:val="en-GB" w:eastAsia="en-GB"/>
        </w:rPr>
        <w:t xml:space="preserve"> and </w:t>
      </w:r>
      <w:proofErr w:type="spellStart"/>
      <w:r>
        <w:rPr>
          <w:i/>
          <w:color w:val="000000"/>
          <w:lang w:val="en-GB" w:eastAsia="en-GB"/>
        </w:rPr>
        <w:t>Rv</w:t>
      </w:r>
      <w:proofErr w:type="spellEnd"/>
      <w:r w:rsidRPr="00834C1B">
        <w:rPr>
          <w:color w:val="000000"/>
          <w:lang w:val="en-GB" w:eastAsia="en-GB"/>
        </w:rPr>
        <w:t xml:space="preserve"> BRK18a (T)</w:t>
      </w:r>
      <w:r>
        <w:rPr>
          <w:color w:val="000000"/>
          <w:lang w:val="en-GB" w:eastAsia="en-GB"/>
        </w:rPr>
        <w:t>. In addition, to assess the veracity of our alignment approach, we tested two additional</w:t>
      </w:r>
      <w:r w:rsidRPr="00834C1B">
        <w:rPr>
          <w:color w:val="000000"/>
          <w:lang w:val="en-GB" w:eastAsia="en-GB"/>
        </w:rPr>
        <w:t xml:space="preserve"> </w:t>
      </w:r>
      <w:r w:rsidRPr="00834C1B">
        <w:rPr>
          <w:szCs w:val="24"/>
          <w:lang w:val="en-GB"/>
        </w:rPr>
        <w:t>control</w:t>
      </w:r>
      <w:r>
        <w:rPr>
          <w:szCs w:val="24"/>
          <w:lang w:val="en-GB"/>
        </w:rPr>
        <w:t xml:space="preserve"> genomes; </w:t>
      </w:r>
      <w:proofErr w:type="spellStart"/>
      <w:r w:rsidRPr="00D70A1A">
        <w:rPr>
          <w:i/>
          <w:szCs w:val="24"/>
          <w:lang w:val="en-GB"/>
        </w:rPr>
        <w:t>Pectobacterium</w:t>
      </w:r>
      <w:proofErr w:type="spellEnd"/>
      <w:r w:rsidRPr="00D70A1A">
        <w:rPr>
          <w:i/>
          <w:szCs w:val="24"/>
          <w:lang w:val="en-GB"/>
        </w:rPr>
        <w:t xml:space="preserve"> </w:t>
      </w:r>
      <w:proofErr w:type="spellStart"/>
      <w:r w:rsidRPr="00D70A1A">
        <w:rPr>
          <w:i/>
          <w:szCs w:val="24"/>
          <w:lang w:val="en-GB"/>
        </w:rPr>
        <w:t>carotovorum</w:t>
      </w:r>
      <w:proofErr w:type="spellEnd"/>
      <w:r w:rsidRPr="00D70A1A">
        <w:rPr>
          <w:i/>
          <w:szCs w:val="24"/>
          <w:lang w:val="en-GB"/>
        </w:rPr>
        <w:t xml:space="preserve"> </w:t>
      </w:r>
      <w:r w:rsidRPr="00D70A1A">
        <w:rPr>
          <w:szCs w:val="24"/>
          <w:lang w:val="en-GB"/>
        </w:rPr>
        <w:t xml:space="preserve">subsp. </w:t>
      </w:r>
      <w:proofErr w:type="spellStart"/>
      <w:r w:rsidRPr="00D70A1A">
        <w:rPr>
          <w:i/>
          <w:szCs w:val="24"/>
          <w:lang w:val="en-GB"/>
        </w:rPr>
        <w:t>carotovorum</w:t>
      </w:r>
      <w:proofErr w:type="spellEnd"/>
      <w:r w:rsidRPr="00D70A1A">
        <w:rPr>
          <w:i/>
          <w:szCs w:val="24"/>
          <w:lang w:val="en-GB"/>
        </w:rPr>
        <w:t xml:space="preserve"> </w:t>
      </w:r>
      <w:r w:rsidRPr="00D70A1A">
        <w:rPr>
          <w:szCs w:val="24"/>
          <w:lang w:val="en-GB"/>
        </w:rPr>
        <w:t>PC1</w:t>
      </w:r>
      <w:r w:rsidRPr="00116388">
        <w:rPr>
          <w:szCs w:val="24"/>
          <w:lang w:val="en-GB"/>
        </w:rPr>
        <w:t xml:space="preserve"> </w:t>
      </w:r>
      <w:r>
        <w:rPr>
          <w:szCs w:val="24"/>
          <w:lang w:val="en-GB"/>
        </w:rPr>
        <w:t>(</w:t>
      </w:r>
      <w:r w:rsidRPr="00834C1B">
        <w:rPr>
          <w:szCs w:val="24"/>
          <w:lang w:val="en-GB"/>
        </w:rPr>
        <w:t>PC1</w:t>
      </w:r>
      <w:r>
        <w:rPr>
          <w:szCs w:val="24"/>
          <w:lang w:val="en-GB"/>
        </w:rPr>
        <w:t>)</w:t>
      </w:r>
      <w:r w:rsidRPr="00834C1B">
        <w:rPr>
          <w:szCs w:val="24"/>
          <w:lang w:val="en-GB"/>
        </w:rPr>
        <w:t xml:space="preserve"> is a </w:t>
      </w:r>
      <w:r>
        <w:rPr>
          <w:szCs w:val="24"/>
          <w:lang w:val="en-GB"/>
        </w:rPr>
        <w:t>well-</w:t>
      </w:r>
      <w:r w:rsidRPr="00834C1B">
        <w:rPr>
          <w:szCs w:val="24"/>
          <w:lang w:val="en-GB"/>
        </w:rPr>
        <w:t>characterised bacterial phytopathogen</w:t>
      </w:r>
      <w:r>
        <w:rPr>
          <w:szCs w:val="24"/>
          <w:lang w:val="en-GB"/>
        </w:rPr>
        <w:t xml:space="preserve"> that has not previously been associated with oak. This genome would therefore not be expected to be present within AOD lesion metagenomes, and therefore provides an indication of the potential level of alignment matches from homologous genes found within other members of the </w:t>
      </w:r>
      <w:r w:rsidR="00D57DE3" w:rsidRPr="00D57DE3">
        <w:rPr>
          <w:i/>
          <w:szCs w:val="24"/>
          <w:lang w:val="en-GB"/>
        </w:rPr>
        <w:t>Pectobacteriaceae</w:t>
      </w:r>
      <w:r w:rsidR="00D57DE3">
        <w:rPr>
          <w:szCs w:val="24"/>
          <w:lang w:val="en-GB"/>
        </w:rPr>
        <w:t xml:space="preserve"> and </w:t>
      </w:r>
      <w:r w:rsidRPr="00CB3CDA">
        <w:rPr>
          <w:i/>
          <w:szCs w:val="24"/>
          <w:lang w:val="en-GB"/>
        </w:rPr>
        <w:t>Enterobacteriac</w:t>
      </w:r>
      <w:r>
        <w:rPr>
          <w:i/>
          <w:szCs w:val="24"/>
          <w:lang w:val="en-GB"/>
        </w:rPr>
        <w:t>e</w:t>
      </w:r>
      <w:r w:rsidRPr="00CB3CDA">
        <w:rPr>
          <w:i/>
          <w:szCs w:val="24"/>
          <w:lang w:val="en-GB"/>
        </w:rPr>
        <w:t>ae</w:t>
      </w:r>
      <w:r>
        <w:rPr>
          <w:szCs w:val="24"/>
          <w:lang w:val="en-GB"/>
        </w:rPr>
        <w:t xml:space="preserve">. As table S5 demonstrates, only a small proportion of metagenome coding domains (44-183) mapped with </w:t>
      </w:r>
      <w:r w:rsidRPr="00834C1B">
        <w:rPr>
          <w:szCs w:val="24"/>
          <w:lang w:val="en-GB"/>
        </w:rPr>
        <w:t>PC1</w:t>
      </w:r>
      <w:r>
        <w:rPr>
          <w:szCs w:val="24"/>
          <w:lang w:val="en-GB"/>
        </w:rPr>
        <w:t xml:space="preserve">, suggesting that the greater proportion of matches that occur between </w:t>
      </w:r>
      <w:proofErr w:type="spellStart"/>
      <w:r>
        <w:rPr>
          <w:i/>
          <w:szCs w:val="24"/>
          <w:lang w:val="en-GB"/>
        </w:rPr>
        <w:t>Gq</w:t>
      </w:r>
      <w:proofErr w:type="spellEnd"/>
      <w:r w:rsidRPr="00834C1B">
        <w:rPr>
          <w:szCs w:val="24"/>
          <w:lang w:val="en-GB"/>
        </w:rPr>
        <w:t xml:space="preserve">, </w:t>
      </w:r>
      <w:proofErr w:type="spellStart"/>
      <w:r>
        <w:rPr>
          <w:i/>
          <w:szCs w:val="24"/>
          <w:lang w:val="en-GB"/>
        </w:rPr>
        <w:t>Bg</w:t>
      </w:r>
      <w:proofErr w:type="spellEnd"/>
      <w:r>
        <w:rPr>
          <w:i/>
          <w:szCs w:val="24"/>
          <w:lang w:val="en-GB"/>
        </w:rPr>
        <w:t xml:space="preserve"> </w:t>
      </w:r>
      <w:r>
        <w:rPr>
          <w:szCs w:val="24"/>
          <w:lang w:val="en-GB"/>
        </w:rPr>
        <w:t>and</w:t>
      </w:r>
      <w:r w:rsidRPr="00834C1B">
        <w:rPr>
          <w:szCs w:val="24"/>
          <w:lang w:val="en-GB"/>
        </w:rPr>
        <w:t xml:space="preserve"> </w:t>
      </w:r>
      <w:proofErr w:type="spellStart"/>
      <w:r>
        <w:rPr>
          <w:i/>
          <w:szCs w:val="24"/>
          <w:lang w:val="en-GB"/>
        </w:rPr>
        <w:t>Rv</w:t>
      </w:r>
      <w:proofErr w:type="spellEnd"/>
      <w:r>
        <w:rPr>
          <w:i/>
          <w:szCs w:val="24"/>
          <w:lang w:val="en-GB"/>
        </w:rPr>
        <w:t xml:space="preserve"> </w:t>
      </w:r>
      <w:r>
        <w:rPr>
          <w:szCs w:val="24"/>
          <w:lang w:val="en-GB"/>
        </w:rPr>
        <w:t xml:space="preserve">reflect the actual presence and abundance of those species in AOD lesion metagenomes, rather than them representing metagenome coding domains from other </w:t>
      </w:r>
      <w:r w:rsidRPr="001B654E">
        <w:rPr>
          <w:i/>
          <w:szCs w:val="24"/>
          <w:lang w:val="en-GB"/>
        </w:rPr>
        <w:t>Enterobacteriac</w:t>
      </w:r>
      <w:r w:rsidRPr="00DC2C28">
        <w:rPr>
          <w:i/>
          <w:szCs w:val="24"/>
          <w:lang w:val="en-GB"/>
        </w:rPr>
        <w:t>ea</w:t>
      </w:r>
      <w:r>
        <w:rPr>
          <w:i/>
          <w:szCs w:val="24"/>
          <w:lang w:val="en-GB"/>
        </w:rPr>
        <w:t>e</w:t>
      </w:r>
      <w:r>
        <w:rPr>
          <w:szCs w:val="24"/>
          <w:lang w:val="en-GB"/>
        </w:rPr>
        <w:t xml:space="preserve"> that have been falsely attributed to our focal species (</w:t>
      </w:r>
      <w:proofErr w:type="spellStart"/>
      <w:r w:rsidRPr="00851A3A">
        <w:rPr>
          <w:i/>
          <w:szCs w:val="24"/>
          <w:lang w:val="en-GB"/>
        </w:rPr>
        <w:t>Bg</w:t>
      </w:r>
      <w:proofErr w:type="spellEnd"/>
      <w:r w:rsidRPr="00851A3A">
        <w:rPr>
          <w:i/>
          <w:szCs w:val="24"/>
          <w:lang w:val="en-GB"/>
        </w:rPr>
        <w:t xml:space="preserve">, </w:t>
      </w:r>
      <w:proofErr w:type="spellStart"/>
      <w:r w:rsidRPr="00851A3A">
        <w:rPr>
          <w:i/>
          <w:szCs w:val="24"/>
          <w:lang w:val="en-GB"/>
        </w:rPr>
        <w:t>Gq</w:t>
      </w:r>
      <w:proofErr w:type="spellEnd"/>
      <w:r w:rsidRPr="00851A3A">
        <w:rPr>
          <w:i/>
          <w:szCs w:val="24"/>
          <w:lang w:val="en-GB"/>
        </w:rPr>
        <w:t xml:space="preserve"> </w:t>
      </w:r>
      <w:r w:rsidRPr="00000E90">
        <w:rPr>
          <w:szCs w:val="24"/>
          <w:lang w:val="en-GB"/>
        </w:rPr>
        <w:t>and</w:t>
      </w:r>
      <w:r w:rsidRPr="00851A3A">
        <w:rPr>
          <w:i/>
          <w:szCs w:val="24"/>
          <w:lang w:val="en-GB"/>
        </w:rPr>
        <w:t xml:space="preserve"> </w:t>
      </w:r>
      <w:proofErr w:type="spellStart"/>
      <w:r w:rsidRPr="00851A3A">
        <w:rPr>
          <w:i/>
          <w:szCs w:val="24"/>
          <w:lang w:val="en-GB"/>
        </w:rPr>
        <w:t>Rv</w:t>
      </w:r>
      <w:proofErr w:type="spellEnd"/>
      <w:r>
        <w:rPr>
          <w:szCs w:val="24"/>
          <w:lang w:val="en-GB"/>
        </w:rPr>
        <w:t>).</w:t>
      </w:r>
      <w:r w:rsidRPr="00834C1B">
        <w:rPr>
          <w:szCs w:val="24"/>
          <w:lang w:val="en-GB"/>
        </w:rPr>
        <w:t xml:space="preserve"> </w:t>
      </w:r>
      <w:proofErr w:type="spellStart"/>
      <w:r w:rsidRPr="00D70A1A">
        <w:rPr>
          <w:i/>
          <w:szCs w:val="24"/>
          <w:lang w:val="en-GB"/>
        </w:rPr>
        <w:t>Paenibacillus</w:t>
      </w:r>
      <w:proofErr w:type="spellEnd"/>
      <w:r w:rsidRPr="00D70A1A">
        <w:rPr>
          <w:i/>
          <w:szCs w:val="24"/>
          <w:lang w:val="en-GB"/>
        </w:rPr>
        <w:t xml:space="preserve"> </w:t>
      </w:r>
      <w:proofErr w:type="spellStart"/>
      <w:r w:rsidRPr="00D70A1A">
        <w:rPr>
          <w:i/>
          <w:szCs w:val="24"/>
          <w:lang w:val="en-GB"/>
        </w:rPr>
        <w:t>polymyxa</w:t>
      </w:r>
      <w:proofErr w:type="spellEnd"/>
      <w:r w:rsidRPr="00D70A1A">
        <w:rPr>
          <w:szCs w:val="24"/>
          <w:lang w:val="en-GB"/>
        </w:rPr>
        <w:t xml:space="preserve"> SC2 </w:t>
      </w:r>
      <w:r w:rsidRPr="00834C1B">
        <w:rPr>
          <w:szCs w:val="24"/>
          <w:lang w:val="en-GB"/>
        </w:rPr>
        <w:t>is a putative endophyte found at low relative abundance within symptomatic and healthy oak tissue</w:t>
      </w:r>
      <w:r>
        <w:rPr>
          <w:szCs w:val="24"/>
          <w:lang w:val="en-GB"/>
        </w:rPr>
        <w:t xml:space="preserve"> and was included as a control to ensure that the high numbers of metagenome coding domains mapped to </w:t>
      </w:r>
      <w:proofErr w:type="spellStart"/>
      <w:r>
        <w:rPr>
          <w:i/>
          <w:szCs w:val="24"/>
          <w:lang w:val="en-GB"/>
        </w:rPr>
        <w:t>Gq</w:t>
      </w:r>
      <w:proofErr w:type="spellEnd"/>
      <w:r>
        <w:rPr>
          <w:i/>
          <w:szCs w:val="24"/>
          <w:lang w:val="en-GB"/>
        </w:rPr>
        <w:t xml:space="preserve"> </w:t>
      </w:r>
      <w:r w:rsidRPr="009950FE">
        <w:rPr>
          <w:szCs w:val="24"/>
          <w:lang w:val="en-GB"/>
        </w:rPr>
        <w:t>FRB97</w:t>
      </w:r>
      <w:r w:rsidRPr="00834C1B">
        <w:rPr>
          <w:szCs w:val="24"/>
          <w:lang w:val="en-GB"/>
        </w:rPr>
        <w:t xml:space="preserve">, </w:t>
      </w:r>
      <w:proofErr w:type="spellStart"/>
      <w:r>
        <w:rPr>
          <w:i/>
          <w:szCs w:val="24"/>
          <w:lang w:val="en-GB"/>
        </w:rPr>
        <w:t>Bg</w:t>
      </w:r>
      <w:proofErr w:type="spellEnd"/>
      <w:r>
        <w:rPr>
          <w:i/>
          <w:szCs w:val="24"/>
          <w:lang w:val="en-GB"/>
        </w:rPr>
        <w:t xml:space="preserve"> </w:t>
      </w:r>
      <w:r w:rsidRPr="009950FE">
        <w:rPr>
          <w:szCs w:val="24"/>
          <w:lang w:val="en-GB"/>
        </w:rPr>
        <w:t>FRB141</w:t>
      </w:r>
      <w:r>
        <w:rPr>
          <w:szCs w:val="24"/>
          <w:lang w:val="en-GB"/>
        </w:rPr>
        <w:t xml:space="preserve"> and</w:t>
      </w:r>
      <w:r w:rsidRPr="00834C1B">
        <w:rPr>
          <w:szCs w:val="24"/>
          <w:lang w:val="en-GB"/>
        </w:rPr>
        <w:t xml:space="preserve"> </w:t>
      </w:r>
      <w:proofErr w:type="spellStart"/>
      <w:r>
        <w:rPr>
          <w:i/>
          <w:szCs w:val="24"/>
          <w:lang w:val="en-GB"/>
        </w:rPr>
        <w:t>Rv</w:t>
      </w:r>
      <w:proofErr w:type="spellEnd"/>
      <w:r>
        <w:rPr>
          <w:i/>
          <w:szCs w:val="24"/>
          <w:lang w:val="en-GB"/>
        </w:rPr>
        <w:t xml:space="preserve"> </w:t>
      </w:r>
      <w:r w:rsidRPr="009950FE">
        <w:rPr>
          <w:szCs w:val="24"/>
          <w:lang w:val="en-GB"/>
        </w:rPr>
        <w:t>BRK18a</w:t>
      </w:r>
      <w:r w:rsidRPr="00851A3A" w:rsidDel="00FE4999">
        <w:rPr>
          <w:i/>
          <w:szCs w:val="24"/>
          <w:lang w:val="en-GB"/>
        </w:rPr>
        <w:t xml:space="preserve"> </w:t>
      </w:r>
      <w:r>
        <w:rPr>
          <w:szCs w:val="24"/>
          <w:lang w:val="en-GB"/>
        </w:rPr>
        <w:t xml:space="preserve">are accurate and would not occur in the same way for other </w:t>
      </w:r>
      <w:r w:rsidR="00D57DE3" w:rsidRPr="00D57DE3">
        <w:rPr>
          <w:i/>
          <w:szCs w:val="24"/>
          <w:lang w:val="en-GB"/>
        </w:rPr>
        <w:t>Pectobacteriaceae</w:t>
      </w:r>
      <w:r w:rsidR="00D57DE3">
        <w:rPr>
          <w:szCs w:val="24"/>
          <w:lang w:val="en-GB"/>
        </w:rPr>
        <w:t xml:space="preserve"> </w:t>
      </w:r>
      <w:r w:rsidR="00D57DE3">
        <w:rPr>
          <w:szCs w:val="24"/>
          <w:lang w:val="en-GB"/>
        </w:rPr>
        <w:t xml:space="preserve">and </w:t>
      </w:r>
      <w:bookmarkStart w:id="0" w:name="_GoBack"/>
      <w:bookmarkEnd w:id="0"/>
      <w:r w:rsidRPr="00B87358">
        <w:rPr>
          <w:i/>
          <w:szCs w:val="24"/>
          <w:lang w:val="en-GB"/>
        </w:rPr>
        <w:t>Enterobacteriac</w:t>
      </w:r>
      <w:r>
        <w:rPr>
          <w:i/>
          <w:szCs w:val="24"/>
          <w:lang w:val="en-GB"/>
        </w:rPr>
        <w:t>e</w:t>
      </w:r>
      <w:r w:rsidRPr="00B87358">
        <w:rPr>
          <w:i/>
          <w:szCs w:val="24"/>
          <w:lang w:val="en-GB"/>
        </w:rPr>
        <w:t>ae</w:t>
      </w:r>
      <w:r>
        <w:rPr>
          <w:szCs w:val="24"/>
          <w:lang w:val="en-GB"/>
        </w:rPr>
        <w:t xml:space="preserve"> that are known to also be present in AOD lesions</w:t>
      </w:r>
      <w:r w:rsidRPr="00834C1B">
        <w:rPr>
          <w:szCs w:val="24"/>
          <w:lang w:val="en-GB"/>
        </w:rPr>
        <w:t>.</w:t>
      </w:r>
      <w:r>
        <w:rPr>
          <w:szCs w:val="24"/>
          <w:lang w:val="en-GB"/>
        </w:rPr>
        <w:t xml:space="preserve"> The low numbers of coding domains that map against </w:t>
      </w:r>
      <w:r w:rsidR="00D57DE3" w:rsidRPr="00D57DE3">
        <w:rPr>
          <w:i/>
          <w:szCs w:val="24"/>
          <w:lang w:val="en-GB"/>
        </w:rPr>
        <w:t xml:space="preserve">P. </w:t>
      </w:r>
      <w:proofErr w:type="spellStart"/>
      <w:r w:rsidR="00D57DE3" w:rsidRPr="00D57DE3">
        <w:rPr>
          <w:i/>
          <w:szCs w:val="24"/>
          <w:lang w:val="en-GB"/>
        </w:rPr>
        <w:t>polymyxa</w:t>
      </w:r>
      <w:proofErr w:type="spellEnd"/>
      <w:r w:rsidR="00D57DE3">
        <w:rPr>
          <w:szCs w:val="24"/>
          <w:lang w:val="en-GB"/>
        </w:rPr>
        <w:t xml:space="preserve"> </w:t>
      </w:r>
      <w:r>
        <w:rPr>
          <w:szCs w:val="24"/>
          <w:lang w:val="en-GB"/>
        </w:rPr>
        <w:t xml:space="preserve">SC2 (0-8) again supports the veracity of our alignment approach, and the abundance of </w:t>
      </w:r>
      <w:proofErr w:type="spellStart"/>
      <w:r w:rsidRPr="00851A3A">
        <w:rPr>
          <w:i/>
          <w:szCs w:val="24"/>
          <w:lang w:val="en-GB"/>
        </w:rPr>
        <w:t>Bg</w:t>
      </w:r>
      <w:proofErr w:type="spellEnd"/>
      <w:r w:rsidRPr="00851A3A">
        <w:rPr>
          <w:i/>
          <w:szCs w:val="24"/>
          <w:lang w:val="en-GB"/>
        </w:rPr>
        <w:t xml:space="preserve">, </w:t>
      </w:r>
      <w:proofErr w:type="spellStart"/>
      <w:r w:rsidRPr="00851A3A">
        <w:rPr>
          <w:i/>
          <w:szCs w:val="24"/>
          <w:lang w:val="en-GB"/>
        </w:rPr>
        <w:t>Gq</w:t>
      </w:r>
      <w:proofErr w:type="spellEnd"/>
      <w:r w:rsidRPr="00851A3A">
        <w:rPr>
          <w:i/>
          <w:szCs w:val="24"/>
          <w:lang w:val="en-GB"/>
        </w:rPr>
        <w:t xml:space="preserve"> </w:t>
      </w:r>
      <w:r w:rsidRPr="00000E90">
        <w:rPr>
          <w:szCs w:val="24"/>
          <w:lang w:val="en-GB"/>
        </w:rPr>
        <w:t>and</w:t>
      </w:r>
      <w:r w:rsidRPr="00851A3A">
        <w:rPr>
          <w:i/>
          <w:szCs w:val="24"/>
          <w:lang w:val="en-GB"/>
        </w:rPr>
        <w:t xml:space="preserve"> </w:t>
      </w:r>
      <w:proofErr w:type="spellStart"/>
      <w:r w:rsidRPr="00851A3A">
        <w:rPr>
          <w:i/>
          <w:szCs w:val="24"/>
          <w:lang w:val="en-GB"/>
        </w:rPr>
        <w:t>Rv</w:t>
      </w:r>
      <w:proofErr w:type="spellEnd"/>
      <w:r>
        <w:rPr>
          <w:i/>
          <w:szCs w:val="24"/>
          <w:lang w:val="en-GB"/>
        </w:rPr>
        <w:t xml:space="preserve"> </w:t>
      </w:r>
      <w:r w:rsidRPr="00DC2C28">
        <w:rPr>
          <w:szCs w:val="24"/>
          <w:lang w:val="en-GB"/>
        </w:rPr>
        <w:t>in AOD lesion tissue.</w:t>
      </w:r>
      <w:r>
        <w:rPr>
          <w:i/>
          <w:szCs w:val="24"/>
          <w:lang w:val="en-GB"/>
        </w:rPr>
        <w:t xml:space="preserve"> </w:t>
      </w:r>
    </w:p>
    <w:p w:rsidR="00836A5D" w:rsidRDefault="00836A5D" w:rsidP="00836A5D">
      <w:pPr>
        <w:jc w:val="both"/>
        <w:rPr>
          <w:szCs w:val="24"/>
          <w:lang w:val="en-GB"/>
        </w:rPr>
      </w:pPr>
      <w:r w:rsidRPr="000F78EF" w:rsidDel="000F78EF">
        <w:rPr>
          <w:szCs w:val="24"/>
        </w:rPr>
        <w:t xml:space="preserve"> </w:t>
      </w:r>
    </w:p>
    <w:p w:rsidR="00836A5D" w:rsidRPr="009E661D" w:rsidRDefault="00836A5D" w:rsidP="00836A5D">
      <w:pPr>
        <w:jc w:val="both"/>
        <w:rPr>
          <w:szCs w:val="24"/>
          <w:lang w:val="en-GB"/>
        </w:rPr>
      </w:pPr>
    </w:p>
    <w:tbl>
      <w:tblPr>
        <w:tblW w:w="0" w:type="auto"/>
        <w:tblBorders>
          <w:top w:val="single" w:sz="4" w:space="0" w:color="auto"/>
          <w:bottom w:val="single" w:sz="4" w:space="0" w:color="auto"/>
        </w:tblBorders>
        <w:tblLayout w:type="fixed"/>
        <w:tblLook w:val="04A0" w:firstRow="1" w:lastRow="0" w:firstColumn="1" w:lastColumn="0" w:noHBand="0" w:noVBand="1"/>
      </w:tblPr>
      <w:tblGrid>
        <w:gridCol w:w="1433"/>
        <w:gridCol w:w="1433"/>
        <w:gridCol w:w="1433"/>
        <w:gridCol w:w="1433"/>
        <w:gridCol w:w="1433"/>
        <w:gridCol w:w="1433"/>
        <w:gridCol w:w="1433"/>
      </w:tblGrid>
      <w:tr w:rsidR="00836A5D" w:rsidRPr="002F43D9" w:rsidTr="000A163E">
        <w:trPr>
          <w:trHeight w:val="288"/>
        </w:trPr>
        <w:tc>
          <w:tcPr>
            <w:tcW w:w="1433" w:type="dxa"/>
            <w:tcBorders>
              <w:top w:val="single" w:sz="4" w:space="0" w:color="auto"/>
              <w:bottom w:val="single" w:sz="4" w:space="0" w:color="auto"/>
            </w:tcBorders>
            <w:shd w:val="clear" w:color="auto" w:fill="auto"/>
            <w:noWrap/>
            <w:vAlign w:val="center"/>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Metagenome</w:t>
            </w:r>
          </w:p>
        </w:tc>
        <w:tc>
          <w:tcPr>
            <w:tcW w:w="1433" w:type="dxa"/>
            <w:tcBorders>
              <w:top w:val="single" w:sz="4" w:space="0" w:color="auto"/>
              <w:bottom w:val="single" w:sz="4" w:space="0" w:color="auto"/>
            </w:tcBorders>
            <w:shd w:val="clear" w:color="auto" w:fill="auto"/>
            <w:noWrap/>
            <w:vAlign w:val="center"/>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Total genes</w:t>
            </w:r>
          </w:p>
        </w:tc>
        <w:tc>
          <w:tcPr>
            <w:tcW w:w="1433" w:type="dxa"/>
            <w:tcBorders>
              <w:top w:val="single" w:sz="4" w:space="0" w:color="auto"/>
              <w:bottom w:val="single" w:sz="4" w:space="0" w:color="auto"/>
            </w:tcBorders>
            <w:shd w:val="clear" w:color="auto" w:fill="auto"/>
            <w:noWrap/>
            <w:vAlign w:val="center"/>
            <w:hideMark/>
          </w:tcPr>
          <w:p w:rsidR="00836A5D" w:rsidRPr="002F43D9" w:rsidRDefault="00836A5D" w:rsidP="000A163E">
            <w:pPr>
              <w:spacing w:line="360" w:lineRule="auto"/>
              <w:jc w:val="center"/>
              <w:rPr>
                <w:rFonts w:eastAsia="Calibri"/>
                <w:sz w:val="20"/>
                <w:lang w:val="en-GB"/>
              </w:rPr>
            </w:pPr>
            <w:r w:rsidRPr="002F43D9">
              <w:rPr>
                <w:rFonts w:eastAsia="Calibri"/>
                <w:i/>
                <w:sz w:val="20"/>
                <w:lang w:val="en-GB"/>
              </w:rPr>
              <w:t>G. quercinecans</w:t>
            </w:r>
            <w:r w:rsidRPr="002F43D9">
              <w:rPr>
                <w:rFonts w:eastAsia="Calibri"/>
                <w:sz w:val="20"/>
                <w:lang w:val="en-GB"/>
              </w:rPr>
              <w:t xml:space="preserve"> FRB97</w:t>
            </w:r>
          </w:p>
        </w:tc>
        <w:tc>
          <w:tcPr>
            <w:tcW w:w="1433" w:type="dxa"/>
            <w:tcBorders>
              <w:top w:val="single" w:sz="4" w:space="0" w:color="auto"/>
              <w:bottom w:val="single" w:sz="4" w:space="0" w:color="auto"/>
            </w:tcBorders>
            <w:shd w:val="clear" w:color="auto" w:fill="auto"/>
            <w:noWrap/>
            <w:vAlign w:val="center"/>
            <w:hideMark/>
          </w:tcPr>
          <w:p w:rsidR="00836A5D" w:rsidRPr="002F43D9" w:rsidRDefault="00836A5D" w:rsidP="000A163E">
            <w:pPr>
              <w:spacing w:line="360" w:lineRule="auto"/>
              <w:jc w:val="center"/>
              <w:rPr>
                <w:rFonts w:eastAsia="Calibri"/>
                <w:sz w:val="20"/>
                <w:lang w:val="en-GB"/>
              </w:rPr>
            </w:pPr>
            <w:r w:rsidRPr="002F43D9">
              <w:rPr>
                <w:rFonts w:eastAsia="Calibri"/>
                <w:i/>
                <w:sz w:val="20"/>
                <w:lang w:val="en-GB"/>
              </w:rPr>
              <w:t>B. goodwinii</w:t>
            </w:r>
            <w:r w:rsidRPr="002F43D9">
              <w:rPr>
                <w:rFonts w:eastAsia="Calibri"/>
                <w:sz w:val="20"/>
                <w:lang w:val="en-GB"/>
              </w:rPr>
              <w:t xml:space="preserve"> FRB141</w:t>
            </w:r>
          </w:p>
        </w:tc>
        <w:tc>
          <w:tcPr>
            <w:tcW w:w="1433" w:type="dxa"/>
            <w:tcBorders>
              <w:top w:val="single" w:sz="4" w:space="0" w:color="auto"/>
              <w:bottom w:val="single" w:sz="4" w:space="0" w:color="auto"/>
            </w:tcBorders>
            <w:shd w:val="clear" w:color="auto" w:fill="auto"/>
            <w:vAlign w:val="center"/>
          </w:tcPr>
          <w:p w:rsidR="00836A5D" w:rsidRPr="002F43D9" w:rsidRDefault="00836A5D" w:rsidP="000A163E">
            <w:pPr>
              <w:spacing w:line="360" w:lineRule="auto"/>
              <w:jc w:val="center"/>
              <w:rPr>
                <w:rFonts w:eastAsia="Calibri"/>
                <w:i/>
                <w:sz w:val="20"/>
                <w:lang w:val="en-GB"/>
              </w:rPr>
            </w:pPr>
            <w:r w:rsidRPr="002F43D9">
              <w:rPr>
                <w:rFonts w:eastAsia="Calibri"/>
                <w:i/>
                <w:sz w:val="20"/>
                <w:lang w:val="en-GB"/>
              </w:rPr>
              <w:t xml:space="preserve">R. </w:t>
            </w:r>
            <w:proofErr w:type="spellStart"/>
            <w:r w:rsidRPr="002F43D9">
              <w:rPr>
                <w:rFonts w:eastAsia="Calibri"/>
                <w:i/>
                <w:sz w:val="20"/>
                <w:lang w:val="en-GB"/>
              </w:rPr>
              <w:t>victoriana</w:t>
            </w:r>
            <w:proofErr w:type="spellEnd"/>
            <w:r w:rsidRPr="002F43D9">
              <w:rPr>
                <w:rFonts w:eastAsia="Calibri"/>
                <w:i/>
                <w:sz w:val="20"/>
                <w:lang w:val="en-GB"/>
              </w:rPr>
              <w:t xml:space="preserve"> </w:t>
            </w:r>
            <w:r w:rsidRPr="002F43D9">
              <w:rPr>
                <w:rFonts w:eastAsia="Calibri"/>
                <w:sz w:val="20"/>
                <w:lang w:val="en-GB"/>
              </w:rPr>
              <w:t>BRK18a</w:t>
            </w:r>
          </w:p>
        </w:tc>
        <w:tc>
          <w:tcPr>
            <w:tcW w:w="1433" w:type="dxa"/>
            <w:tcBorders>
              <w:top w:val="single" w:sz="4" w:space="0" w:color="auto"/>
              <w:bottom w:val="single" w:sz="4" w:space="0" w:color="auto"/>
            </w:tcBorders>
            <w:shd w:val="clear" w:color="auto" w:fill="auto"/>
            <w:vAlign w:val="center"/>
          </w:tcPr>
          <w:p w:rsidR="00836A5D" w:rsidRPr="002F43D9" w:rsidRDefault="00836A5D" w:rsidP="000A163E">
            <w:pPr>
              <w:spacing w:line="360" w:lineRule="auto"/>
              <w:jc w:val="center"/>
              <w:rPr>
                <w:rFonts w:eastAsia="Calibri"/>
                <w:i/>
                <w:sz w:val="20"/>
                <w:lang w:val="en-GB"/>
              </w:rPr>
            </w:pPr>
            <w:r>
              <w:rPr>
                <w:rFonts w:eastAsia="Calibri"/>
                <w:i/>
                <w:sz w:val="20"/>
                <w:lang w:val="en-GB"/>
              </w:rPr>
              <w:t>P.</w:t>
            </w:r>
            <w:r w:rsidRPr="002F43D9">
              <w:rPr>
                <w:rFonts w:eastAsia="Calibri"/>
                <w:i/>
                <w:sz w:val="20"/>
                <w:lang w:val="en-GB"/>
              </w:rPr>
              <w:t xml:space="preserve"> </w:t>
            </w:r>
            <w:proofErr w:type="spellStart"/>
            <w:r w:rsidRPr="002F43D9">
              <w:rPr>
                <w:rFonts w:eastAsia="Calibri"/>
                <w:i/>
                <w:sz w:val="20"/>
                <w:lang w:val="en-GB"/>
              </w:rPr>
              <w:t>polymyxa</w:t>
            </w:r>
            <w:proofErr w:type="spellEnd"/>
            <w:r w:rsidRPr="002F43D9">
              <w:rPr>
                <w:rFonts w:eastAsia="Calibri"/>
                <w:i/>
                <w:sz w:val="20"/>
                <w:lang w:val="en-GB"/>
              </w:rPr>
              <w:t xml:space="preserve"> </w:t>
            </w:r>
            <w:r w:rsidRPr="002F43D9">
              <w:rPr>
                <w:rFonts w:eastAsia="Calibri"/>
                <w:sz w:val="20"/>
                <w:lang w:val="en-GB"/>
              </w:rPr>
              <w:t>SC2</w:t>
            </w:r>
          </w:p>
        </w:tc>
        <w:tc>
          <w:tcPr>
            <w:tcW w:w="1433" w:type="dxa"/>
            <w:tcBorders>
              <w:top w:val="single" w:sz="4" w:space="0" w:color="auto"/>
              <w:bottom w:val="single" w:sz="4" w:space="0" w:color="auto"/>
            </w:tcBorders>
            <w:shd w:val="clear" w:color="auto" w:fill="auto"/>
            <w:vAlign w:val="center"/>
          </w:tcPr>
          <w:p w:rsidR="00836A5D" w:rsidRPr="002F43D9" w:rsidRDefault="00836A5D" w:rsidP="000A163E">
            <w:pPr>
              <w:spacing w:line="360" w:lineRule="auto"/>
              <w:jc w:val="center"/>
              <w:rPr>
                <w:rFonts w:eastAsia="Calibri"/>
                <w:i/>
                <w:sz w:val="20"/>
                <w:lang w:val="en-GB"/>
              </w:rPr>
            </w:pPr>
            <w:r w:rsidRPr="002F43D9">
              <w:rPr>
                <w:i/>
                <w:sz w:val="20"/>
                <w:lang w:val="en-GB"/>
              </w:rPr>
              <w:t xml:space="preserve">P. </w:t>
            </w:r>
            <w:proofErr w:type="spellStart"/>
            <w:r w:rsidRPr="002F43D9">
              <w:rPr>
                <w:i/>
                <w:sz w:val="20"/>
                <w:lang w:val="en-GB"/>
              </w:rPr>
              <w:t>carotovorum</w:t>
            </w:r>
            <w:proofErr w:type="spellEnd"/>
            <w:r w:rsidRPr="002F43D9">
              <w:rPr>
                <w:i/>
                <w:sz w:val="20"/>
                <w:lang w:val="en-GB"/>
              </w:rPr>
              <w:t xml:space="preserve"> </w:t>
            </w:r>
            <w:r w:rsidRPr="002F43D9">
              <w:rPr>
                <w:sz w:val="20"/>
                <w:lang w:val="en-GB"/>
              </w:rPr>
              <w:t xml:space="preserve">subsp. </w:t>
            </w:r>
            <w:proofErr w:type="spellStart"/>
            <w:r w:rsidRPr="002F43D9">
              <w:rPr>
                <w:i/>
                <w:sz w:val="20"/>
                <w:lang w:val="en-GB"/>
              </w:rPr>
              <w:t>carotovorum</w:t>
            </w:r>
            <w:proofErr w:type="spellEnd"/>
            <w:r w:rsidRPr="002F43D9">
              <w:rPr>
                <w:i/>
                <w:sz w:val="20"/>
                <w:lang w:val="en-GB"/>
              </w:rPr>
              <w:t xml:space="preserve"> </w:t>
            </w:r>
            <w:r w:rsidRPr="002F43D9">
              <w:rPr>
                <w:sz w:val="20"/>
                <w:lang w:val="en-GB"/>
              </w:rPr>
              <w:t>PC1</w:t>
            </w:r>
          </w:p>
        </w:tc>
      </w:tr>
      <w:tr w:rsidR="00836A5D" w:rsidRPr="002F43D9" w:rsidTr="000A163E">
        <w:trPr>
          <w:trHeight w:val="288"/>
        </w:trPr>
        <w:tc>
          <w:tcPr>
            <w:tcW w:w="1433" w:type="dxa"/>
            <w:tcBorders>
              <w:top w:val="single" w:sz="4" w:space="0" w:color="auto"/>
            </w:tcBorders>
            <w:shd w:val="clear" w:color="auto" w:fill="auto"/>
            <w:noWrap/>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AT1</w:t>
            </w:r>
          </w:p>
        </w:tc>
        <w:tc>
          <w:tcPr>
            <w:tcW w:w="1433" w:type="dxa"/>
            <w:tcBorders>
              <w:top w:val="single" w:sz="4" w:space="0" w:color="auto"/>
            </w:tcBorders>
            <w:shd w:val="clear" w:color="auto" w:fill="auto"/>
            <w:noWrap/>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58146</w:t>
            </w:r>
          </w:p>
        </w:tc>
        <w:tc>
          <w:tcPr>
            <w:tcW w:w="1433" w:type="dxa"/>
            <w:tcBorders>
              <w:top w:val="single" w:sz="4" w:space="0" w:color="auto"/>
            </w:tcBorders>
            <w:shd w:val="clear" w:color="auto" w:fill="auto"/>
            <w:noWrap/>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1</w:t>
            </w:r>
          </w:p>
        </w:tc>
        <w:tc>
          <w:tcPr>
            <w:tcW w:w="1433" w:type="dxa"/>
            <w:tcBorders>
              <w:top w:val="single" w:sz="4" w:space="0" w:color="auto"/>
            </w:tcBorders>
            <w:shd w:val="clear" w:color="auto" w:fill="auto"/>
            <w:noWrap/>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2</w:t>
            </w:r>
          </w:p>
        </w:tc>
        <w:tc>
          <w:tcPr>
            <w:tcW w:w="1433" w:type="dxa"/>
            <w:tcBorders>
              <w:top w:val="single" w:sz="4" w:space="0" w:color="auto"/>
            </w:tcBorders>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2</w:t>
            </w:r>
          </w:p>
        </w:tc>
        <w:tc>
          <w:tcPr>
            <w:tcW w:w="1433" w:type="dxa"/>
            <w:tcBorders>
              <w:top w:val="single" w:sz="4" w:space="0" w:color="auto"/>
            </w:tcBorders>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0</w:t>
            </w:r>
          </w:p>
        </w:tc>
        <w:tc>
          <w:tcPr>
            <w:tcW w:w="1433" w:type="dxa"/>
            <w:tcBorders>
              <w:top w:val="single" w:sz="4" w:space="0" w:color="auto"/>
            </w:tcBorders>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0</w:t>
            </w:r>
          </w:p>
        </w:tc>
      </w:tr>
      <w:tr w:rsidR="00836A5D" w:rsidRPr="002F43D9" w:rsidTr="000A163E">
        <w:trPr>
          <w:trHeight w:val="288"/>
        </w:trPr>
        <w:tc>
          <w:tcPr>
            <w:tcW w:w="1433" w:type="dxa"/>
            <w:tcBorders>
              <w:top w:val="single" w:sz="4" w:space="0" w:color="auto"/>
            </w:tcBorders>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AT7</w:t>
            </w:r>
          </w:p>
        </w:tc>
        <w:tc>
          <w:tcPr>
            <w:tcW w:w="1433" w:type="dxa"/>
            <w:tcBorders>
              <w:top w:val="single" w:sz="4" w:space="0" w:color="auto"/>
            </w:tcBorders>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216140</w:t>
            </w:r>
          </w:p>
        </w:tc>
        <w:tc>
          <w:tcPr>
            <w:tcW w:w="1433" w:type="dxa"/>
            <w:tcBorders>
              <w:top w:val="single" w:sz="4" w:space="0" w:color="auto"/>
            </w:tcBorders>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2507</w:t>
            </w:r>
          </w:p>
        </w:tc>
        <w:tc>
          <w:tcPr>
            <w:tcW w:w="1433" w:type="dxa"/>
            <w:tcBorders>
              <w:top w:val="single" w:sz="4" w:space="0" w:color="auto"/>
            </w:tcBorders>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56</w:t>
            </w:r>
          </w:p>
        </w:tc>
        <w:tc>
          <w:tcPr>
            <w:tcW w:w="1433" w:type="dxa"/>
            <w:tcBorders>
              <w:top w:val="single" w:sz="4" w:space="0" w:color="auto"/>
            </w:tcBorders>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47</w:t>
            </w:r>
          </w:p>
        </w:tc>
        <w:tc>
          <w:tcPr>
            <w:tcW w:w="1433" w:type="dxa"/>
            <w:tcBorders>
              <w:top w:val="single" w:sz="4" w:space="0" w:color="auto"/>
            </w:tcBorders>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1</w:t>
            </w:r>
          </w:p>
        </w:tc>
        <w:tc>
          <w:tcPr>
            <w:tcW w:w="1433" w:type="dxa"/>
            <w:tcBorders>
              <w:top w:val="single" w:sz="4" w:space="0" w:color="auto"/>
            </w:tcBorders>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44</w:t>
            </w:r>
          </w:p>
        </w:tc>
      </w:tr>
      <w:tr w:rsidR="00836A5D" w:rsidRPr="002F43D9" w:rsidTr="000A163E">
        <w:trPr>
          <w:trHeight w:val="288"/>
        </w:trPr>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AT8</w:t>
            </w:r>
          </w:p>
        </w:tc>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192147</w:t>
            </w:r>
          </w:p>
        </w:tc>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1493</w:t>
            </w:r>
          </w:p>
        </w:tc>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3838</w:t>
            </w:r>
          </w:p>
        </w:tc>
        <w:tc>
          <w:tcPr>
            <w:tcW w:w="1433" w:type="dxa"/>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1914</w:t>
            </w:r>
          </w:p>
        </w:tc>
        <w:tc>
          <w:tcPr>
            <w:tcW w:w="1433" w:type="dxa"/>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6</w:t>
            </w:r>
          </w:p>
        </w:tc>
        <w:tc>
          <w:tcPr>
            <w:tcW w:w="1433" w:type="dxa"/>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110</w:t>
            </w:r>
          </w:p>
        </w:tc>
      </w:tr>
      <w:tr w:rsidR="00836A5D" w:rsidRPr="002F43D9" w:rsidTr="000A163E">
        <w:trPr>
          <w:trHeight w:val="288"/>
        </w:trPr>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AT9</w:t>
            </w:r>
          </w:p>
        </w:tc>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227496</w:t>
            </w:r>
          </w:p>
        </w:tc>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72</w:t>
            </w:r>
          </w:p>
        </w:tc>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1001</w:t>
            </w:r>
          </w:p>
        </w:tc>
        <w:tc>
          <w:tcPr>
            <w:tcW w:w="1433" w:type="dxa"/>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38</w:t>
            </w:r>
          </w:p>
        </w:tc>
        <w:tc>
          <w:tcPr>
            <w:tcW w:w="1433" w:type="dxa"/>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0</w:t>
            </w:r>
          </w:p>
        </w:tc>
        <w:tc>
          <w:tcPr>
            <w:tcW w:w="1433" w:type="dxa"/>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178</w:t>
            </w:r>
          </w:p>
        </w:tc>
      </w:tr>
      <w:tr w:rsidR="00836A5D" w:rsidRPr="002F43D9" w:rsidTr="000A163E">
        <w:trPr>
          <w:trHeight w:val="288"/>
        </w:trPr>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RW1</w:t>
            </w:r>
          </w:p>
        </w:tc>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211149</w:t>
            </w:r>
          </w:p>
        </w:tc>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61</w:t>
            </w:r>
          </w:p>
        </w:tc>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4181</w:t>
            </w:r>
          </w:p>
        </w:tc>
        <w:tc>
          <w:tcPr>
            <w:tcW w:w="1433" w:type="dxa"/>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49</w:t>
            </w:r>
          </w:p>
        </w:tc>
        <w:tc>
          <w:tcPr>
            <w:tcW w:w="1433" w:type="dxa"/>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1</w:t>
            </w:r>
          </w:p>
        </w:tc>
        <w:tc>
          <w:tcPr>
            <w:tcW w:w="1433" w:type="dxa"/>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183</w:t>
            </w:r>
          </w:p>
        </w:tc>
      </w:tr>
      <w:tr w:rsidR="00836A5D" w:rsidRPr="002F43D9" w:rsidTr="000A163E">
        <w:trPr>
          <w:trHeight w:val="288"/>
        </w:trPr>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RW2</w:t>
            </w:r>
          </w:p>
        </w:tc>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195109</w:t>
            </w:r>
          </w:p>
        </w:tc>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23</w:t>
            </w:r>
          </w:p>
        </w:tc>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428</w:t>
            </w:r>
          </w:p>
        </w:tc>
        <w:tc>
          <w:tcPr>
            <w:tcW w:w="1433" w:type="dxa"/>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256</w:t>
            </w:r>
          </w:p>
        </w:tc>
        <w:tc>
          <w:tcPr>
            <w:tcW w:w="1433" w:type="dxa"/>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5</w:t>
            </w:r>
          </w:p>
        </w:tc>
        <w:tc>
          <w:tcPr>
            <w:tcW w:w="1433" w:type="dxa"/>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51</w:t>
            </w:r>
          </w:p>
        </w:tc>
      </w:tr>
      <w:tr w:rsidR="00836A5D" w:rsidRPr="002F43D9" w:rsidTr="000A163E">
        <w:trPr>
          <w:trHeight w:val="288"/>
        </w:trPr>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RW3</w:t>
            </w:r>
          </w:p>
        </w:tc>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196863</w:t>
            </w:r>
          </w:p>
        </w:tc>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993</w:t>
            </w:r>
          </w:p>
        </w:tc>
        <w:tc>
          <w:tcPr>
            <w:tcW w:w="1433" w:type="dxa"/>
            <w:shd w:val="clear" w:color="auto" w:fill="auto"/>
            <w:noWrap/>
            <w:hideMark/>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3846</w:t>
            </w:r>
          </w:p>
        </w:tc>
        <w:tc>
          <w:tcPr>
            <w:tcW w:w="1433" w:type="dxa"/>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72</w:t>
            </w:r>
          </w:p>
        </w:tc>
        <w:tc>
          <w:tcPr>
            <w:tcW w:w="1433" w:type="dxa"/>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8</w:t>
            </w:r>
          </w:p>
        </w:tc>
        <w:tc>
          <w:tcPr>
            <w:tcW w:w="1433" w:type="dxa"/>
            <w:shd w:val="clear" w:color="auto" w:fill="auto"/>
          </w:tcPr>
          <w:p w:rsidR="00836A5D" w:rsidRPr="002F43D9" w:rsidRDefault="00836A5D" w:rsidP="000A163E">
            <w:pPr>
              <w:spacing w:line="360" w:lineRule="auto"/>
              <w:jc w:val="center"/>
              <w:rPr>
                <w:rFonts w:eastAsia="Calibri"/>
                <w:sz w:val="20"/>
                <w:lang w:val="en-GB"/>
              </w:rPr>
            </w:pPr>
            <w:r w:rsidRPr="002F43D9">
              <w:rPr>
                <w:rFonts w:eastAsia="Calibri"/>
                <w:sz w:val="20"/>
                <w:lang w:val="en-GB"/>
              </w:rPr>
              <w:t>165</w:t>
            </w:r>
          </w:p>
        </w:tc>
      </w:tr>
    </w:tbl>
    <w:p w:rsidR="00836A5D" w:rsidRDefault="00836A5D" w:rsidP="00836A5D">
      <w:pPr>
        <w:spacing w:line="360" w:lineRule="auto"/>
        <w:jc w:val="both"/>
        <w:rPr>
          <w:rFonts w:ascii="Arial" w:hAnsi="Arial" w:cs="Arial"/>
          <w:sz w:val="16"/>
          <w:szCs w:val="16"/>
          <w:lang w:val="en-GB"/>
        </w:rPr>
      </w:pPr>
    </w:p>
    <w:sectPr w:rsidR="00836A5D" w:rsidSect="00D12096">
      <w:pgSz w:w="12240" w:h="15840"/>
      <w:pgMar w:top="1134" w:right="1134" w:bottom="1134" w:left="1134" w:header="720" w:footer="720" w:gutter="0"/>
      <w:lnNumType w:countBy="1" w:restart="continuous"/>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A5D"/>
    <w:rsid w:val="00303211"/>
    <w:rsid w:val="00362224"/>
    <w:rsid w:val="005D3F2A"/>
    <w:rsid w:val="00626E7D"/>
    <w:rsid w:val="00836A5D"/>
    <w:rsid w:val="009033BE"/>
    <w:rsid w:val="0096041A"/>
    <w:rsid w:val="00A55BFB"/>
    <w:rsid w:val="00D10EDA"/>
    <w:rsid w:val="00D12096"/>
    <w:rsid w:val="00D57D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54323"/>
  <w15:chartTrackingRefBased/>
  <w15:docId w15:val="{0BFC0B4D-1E5A-4AA8-BF46-C8AEEDBDC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36A5D"/>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836A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Pryfysgol Bangor University</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Doonan</dc:creator>
  <cp:keywords/>
  <dc:description/>
  <cp:lastModifiedBy>James Doonan</cp:lastModifiedBy>
  <cp:revision>5</cp:revision>
  <dcterms:created xsi:type="dcterms:W3CDTF">2017-01-18T15:41:00Z</dcterms:created>
  <dcterms:modified xsi:type="dcterms:W3CDTF">2017-06-15T21:23:00Z</dcterms:modified>
</cp:coreProperties>
</file>