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573" w:rsidRPr="00536CC5" w:rsidRDefault="008B2573" w:rsidP="008B2573">
      <w:pPr>
        <w:spacing w:line="480" w:lineRule="auto"/>
        <w:rPr>
          <w:rFonts w:ascii="Times New Roman" w:hAnsi="Times New Roman" w:cs="Times New Roman"/>
          <w:b/>
          <w:sz w:val="24"/>
          <w:szCs w:val="24"/>
        </w:rPr>
      </w:pPr>
      <w:r w:rsidRPr="00B405BE">
        <w:rPr>
          <w:rFonts w:ascii="Times New Roman" w:hAnsi="Times New Roman" w:cs="Times New Roman"/>
          <w:b/>
          <w:sz w:val="24"/>
          <w:szCs w:val="24"/>
        </w:rPr>
        <w:t>Diet assessment</w:t>
      </w:r>
    </w:p>
    <w:p w:rsidR="008B2573" w:rsidRPr="00B405BE" w:rsidRDefault="008B2573" w:rsidP="008B2573">
      <w:pPr>
        <w:spacing w:line="480" w:lineRule="auto"/>
        <w:jc w:val="both"/>
        <w:rPr>
          <w:rFonts w:ascii="Times New Roman" w:hAnsi="Times New Roman" w:cs="Times New Roman"/>
          <w:i/>
          <w:sz w:val="24"/>
          <w:szCs w:val="24"/>
        </w:rPr>
      </w:pPr>
      <w:r w:rsidRPr="00B405BE">
        <w:rPr>
          <w:rFonts w:ascii="Times New Roman" w:hAnsi="Times New Roman" w:cs="Times New Roman"/>
          <w:i/>
          <w:sz w:val="24"/>
          <w:szCs w:val="24"/>
        </w:rPr>
        <w:t>24-Hour Dietary Recalls</w:t>
      </w:r>
    </w:p>
    <w:p w:rsidR="008B2573" w:rsidRPr="00B405BE" w:rsidRDefault="008B2573" w:rsidP="008B2573">
      <w:pPr>
        <w:spacing w:line="480" w:lineRule="auto"/>
        <w:jc w:val="both"/>
        <w:rPr>
          <w:rFonts w:ascii="Times New Roman" w:hAnsi="Times New Roman" w:cs="Times New Roman"/>
          <w:color w:val="000000"/>
          <w:sz w:val="24"/>
          <w:szCs w:val="24"/>
        </w:rPr>
      </w:pPr>
      <w:r w:rsidRPr="00B405BE">
        <w:rPr>
          <w:rFonts w:ascii="Times New Roman" w:hAnsi="Times New Roman" w:cs="Times New Roman"/>
          <w:sz w:val="24"/>
        </w:rPr>
        <w:t xml:space="preserve">     Two 24-hour dietary recalls were collected at HCHS/SOL baseline period; the first recall was collected in-person at the clinic, and the second recall was collected by telephone within the following 3 months. In SOLNAS, an in-person 24-hour dietary recall was collected at the first visit which occurred about seven months from the baseline parent study visit (see Figure 1), except for the San Diego site that was given a larger window of up to twelve months from HCHS/SOL baseline visit to complete recruitment due to logistical problems. Overall the average time from HCHS clinic baseline visit 1 and SOLNAS visit 1 study-wide, was 7.6 months </w:t>
      </w:r>
      <w:r w:rsidRPr="008B2573">
        <w:rPr>
          <w:rFonts w:ascii="Times New Roman" w:hAnsi="Times New Roman" w:cs="Times New Roman"/>
          <w:sz w:val="24"/>
        </w:rPr>
        <w:t>(Standard Deviation,</w:t>
      </w:r>
      <w:r w:rsidRPr="00B405BE">
        <w:rPr>
          <w:rFonts w:ascii="Times New Roman" w:hAnsi="Times New Roman" w:cs="Times New Roman"/>
          <w:sz w:val="24"/>
        </w:rPr>
        <w:t xml:space="preserve"> </w:t>
      </w:r>
      <w:r w:rsidRPr="00536CC5">
        <w:rPr>
          <w:rFonts w:ascii="Times New Roman" w:hAnsi="Times New Roman" w:cs="Times New Roman"/>
          <w:sz w:val="24"/>
        </w:rPr>
        <w:t>SD, 1.9 months).</w:t>
      </w:r>
      <w:r w:rsidRPr="00B405BE">
        <w:rPr>
          <w:rFonts w:ascii="Times New Roman" w:hAnsi="Times New Roman" w:cs="Times New Roman"/>
          <w:sz w:val="24"/>
        </w:rPr>
        <w:t xml:space="preserve"> Details on the administration of these procedures have been described </w:t>
      </w:r>
      <w:r w:rsidR="00125CFB">
        <w:rPr>
          <w:rFonts w:ascii="Times New Roman" w:hAnsi="Times New Roman" w:cs="Times New Roman"/>
          <w:noProof/>
          <w:sz w:val="24"/>
        </w:rPr>
        <w:t>(26</w:t>
      </w:r>
      <w:r w:rsidRPr="00B405BE">
        <w:rPr>
          <w:rFonts w:ascii="Times New Roman" w:hAnsi="Times New Roman" w:cs="Times New Roman"/>
          <w:noProof/>
          <w:sz w:val="24"/>
        </w:rPr>
        <w:t>)</w:t>
      </w:r>
      <w:r w:rsidRPr="00B405BE">
        <w:rPr>
          <w:rFonts w:ascii="Times New Roman" w:hAnsi="Times New Roman" w:cs="Times New Roman"/>
          <w:sz w:val="24"/>
        </w:rPr>
        <w:t>.  Diet recalls were conducted using the Nutrition Data System for Research software (version 11) developed by the Nutrition Coordinating Center, University of Minnesota, (Minneapolis, Minnesota), conducted by bilingual interviewers using the language preferred by the respondent. In this analysis, self-reported dietary data are based on the telephone recall from HCHS/SOL baseline period and the SOLNAS in-person 24-hour dietary recall, recalls which are the closest in time to the biomarkers (see Figure 1). In the analyses, w</w:t>
      </w:r>
      <w:r w:rsidRPr="00B405BE">
        <w:rPr>
          <w:rFonts w:ascii="Times New Roman" w:hAnsi="Times New Roman" w:cs="Times New Roman"/>
          <w:color w:val="000000"/>
          <w:sz w:val="24"/>
          <w:szCs w:val="24"/>
        </w:rPr>
        <w:t>e excluded seventeen 24-hour dietary recalls that were rated unreliable by the interviewer or had energy intake &lt; 500 kcal/day. No participant had both dietary recalls excluded.</w:t>
      </w:r>
    </w:p>
    <w:p w:rsidR="008B2573" w:rsidRPr="00B405BE" w:rsidRDefault="008B2573" w:rsidP="008B2573">
      <w:pPr>
        <w:spacing w:line="480" w:lineRule="auto"/>
        <w:jc w:val="both"/>
        <w:rPr>
          <w:rFonts w:ascii="Times New Roman" w:hAnsi="Times New Roman" w:cs="Times New Roman"/>
          <w:b/>
          <w:i/>
          <w:color w:val="FF0000"/>
          <w:sz w:val="24"/>
          <w:szCs w:val="24"/>
        </w:rPr>
      </w:pPr>
      <w:r w:rsidRPr="00B405BE">
        <w:rPr>
          <w:rFonts w:ascii="Times New Roman" w:hAnsi="Times New Roman" w:cs="Times New Roman"/>
          <w:i/>
          <w:color w:val="000000"/>
          <w:sz w:val="24"/>
          <w:szCs w:val="24"/>
        </w:rPr>
        <w:t>Dietary Behavior</w:t>
      </w:r>
    </w:p>
    <w:p w:rsidR="008B2573" w:rsidRPr="00B405BE" w:rsidRDefault="008B2573" w:rsidP="008B2573">
      <w:pPr>
        <w:spacing w:line="480" w:lineRule="auto"/>
        <w:rPr>
          <w:rFonts w:ascii="Times New Roman" w:hAnsi="Times New Roman" w:cs="Times New Roman"/>
          <w:sz w:val="24"/>
        </w:rPr>
      </w:pPr>
      <w:r w:rsidRPr="00B405BE">
        <w:rPr>
          <w:rFonts w:ascii="Times New Roman" w:hAnsi="Times New Roman" w:cs="Times New Roman"/>
          <w:sz w:val="24"/>
        </w:rPr>
        <w:t xml:space="preserve">     At the HCHS/SOL baseline visit, participants answered a dietary behavior questionnaire </w:t>
      </w:r>
      <w:r w:rsidR="00125CFB">
        <w:rPr>
          <w:rFonts w:ascii="Times New Roman" w:hAnsi="Times New Roman" w:cs="Times New Roman"/>
          <w:noProof/>
          <w:sz w:val="24"/>
        </w:rPr>
        <w:t>(</w:t>
      </w:r>
      <w:r w:rsidR="00125CFB" w:rsidRPr="009E14A0">
        <w:rPr>
          <w:rFonts w:ascii="Times New Roman" w:hAnsi="Times New Roman" w:cs="Times New Roman"/>
        </w:rPr>
        <w:t xml:space="preserve">[Available from: </w:t>
      </w:r>
      <w:hyperlink r:id="rId5" w:history="1">
        <w:r w:rsidR="00125CFB" w:rsidRPr="00CA53DA">
          <w:rPr>
            <w:rStyle w:val="Hyperlink"/>
            <w:rFonts w:ascii="Times New Roman" w:hAnsi="Times New Roman" w:cs="Times New Roman"/>
          </w:rPr>
          <w:t>https://www2.cscc.unc.edu/hchs/system/files/forms/UNLICOMMDietaryBehaviorDBE02182008.pdf</w:t>
        </w:r>
      </w:hyperlink>
      <w:r w:rsidR="00125CFB" w:rsidRPr="003E51C9">
        <w:rPr>
          <w:rStyle w:val="Hyperlink"/>
          <w:rFonts w:ascii="Times New Roman" w:hAnsi="Times New Roman" w:cs="Times New Roman"/>
          <w:color w:val="auto"/>
        </w:rPr>
        <w:t>]</w:t>
      </w:r>
      <w:r w:rsidRPr="00B405BE">
        <w:rPr>
          <w:rFonts w:ascii="Times New Roman" w:hAnsi="Times New Roman" w:cs="Times New Roman"/>
          <w:noProof/>
          <w:sz w:val="24"/>
        </w:rPr>
        <w:t>)</w:t>
      </w:r>
      <w:r w:rsidRPr="00B405BE">
        <w:rPr>
          <w:rFonts w:ascii="Times New Roman" w:hAnsi="Times New Roman" w:cs="Times New Roman"/>
          <w:sz w:val="24"/>
        </w:rPr>
        <w:t xml:space="preserve"> </w:t>
      </w:r>
      <w:r w:rsidRPr="00B405BE">
        <w:rPr>
          <w:rFonts w:ascii="Times New Roman" w:hAnsi="Times New Roman" w:cs="Times New Roman"/>
          <w:sz w:val="24"/>
        </w:rPr>
        <w:lastRenderedPageBreak/>
        <w:t xml:space="preserve">with two items: origin of foods usually eaten (Hispanic or American), and frequency of going out to eat at or bringing home ready-to-eat foods. Specifically, the first item asked whether </w:t>
      </w:r>
      <w:r w:rsidRPr="00B405BE">
        <w:rPr>
          <w:rFonts w:ascii="Times New Roman" w:hAnsi="Times New Roman" w:cs="Times New Roman"/>
          <w:i/>
          <w:sz w:val="24"/>
        </w:rPr>
        <w:t>foods usually eaten were of Hispanic or American origin</w:t>
      </w:r>
      <w:r w:rsidRPr="00B405BE">
        <w:rPr>
          <w:rFonts w:ascii="Times New Roman" w:hAnsi="Times New Roman" w:cs="Times New Roman"/>
          <w:sz w:val="24"/>
        </w:rPr>
        <w:t xml:space="preserve"> </w:t>
      </w:r>
      <w:r w:rsidRPr="00B405BE">
        <w:rPr>
          <w:rFonts w:ascii="Times New Roman" w:hAnsi="Times New Roman" w:cs="Times New Roman"/>
          <w:b/>
          <w:i/>
          <w:sz w:val="24"/>
        </w:rPr>
        <w:t>(dietary acculturation)</w:t>
      </w:r>
      <w:r w:rsidRPr="00B405BE">
        <w:rPr>
          <w:rFonts w:ascii="Times New Roman" w:hAnsi="Times New Roman" w:cs="Times New Roman"/>
          <w:sz w:val="24"/>
        </w:rPr>
        <w:t xml:space="preserve"> using a 5-level Likert scale (“Mainly Hispanic”, “Mostly Hispanic”, “Equal amounts”, “Mostly American foods”, and “Mainly American foods”). For this analyses, the “mostly and mainly” levels for American foods were collapsed due to sparse sample size. The survey then asked “How often do you or your family usually go out to eat at or bring home ready-to-eat foods from…?” for each of 10 different places (e.g. fast food restaurants, buffet restaurants, grocery stores, on-street vendors, etc.) using a 5-level Likert scale ranging from never to 5 or more times per week. A composite </w:t>
      </w:r>
      <w:r w:rsidRPr="00B405BE">
        <w:rPr>
          <w:rFonts w:ascii="Times New Roman" w:hAnsi="Times New Roman" w:cs="Times New Roman"/>
          <w:b/>
          <w:i/>
          <w:sz w:val="24"/>
        </w:rPr>
        <w:t>restaurant score</w:t>
      </w:r>
      <w:r w:rsidRPr="00B405BE">
        <w:rPr>
          <w:rFonts w:ascii="Times New Roman" w:hAnsi="Times New Roman" w:cs="Times New Roman"/>
          <w:sz w:val="24"/>
        </w:rPr>
        <w:t xml:space="preserve"> was created by summing all ten places except “foods from relative’s or friend’s home.” The restaurant score ranged between 0 and 36.  Higher values indicate more frequently going out to eat or bringing home ready-to-eat foods.  In addition, we created a separate variable with the frequency for </w:t>
      </w:r>
      <w:r w:rsidRPr="00B405BE">
        <w:rPr>
          <w:rFonts w:ascii="Times New Roman" w:hAnsi="Times New Roman" w:cs="Times New Roman"/>
          <w:b/>
          <w:i/>
          <w:sz w:val="24"/>
        </w:rPr>
        <w:t>fast food restaurants</w:t>
      </w:r>
      <w:r w:rsidRPr="00B405BE">
        <w:rPr>
          <w:rFonts w:ascii="Times New Roman" w:hAnsi="Times New Roman" w:cs="Times New Roman"/>
          <w:sz w:val="24"/>
        </w:rPr>
        <w:t xml:space="preserve"> (never, &lt; 1 time/week, 1-2 times/week, &gt;2 times/week).</w:t>
      </w:r>
    </w:p>
    <w:p w:rsidR="008B2573" w:rsidRPr="00B405BE" w:rsidRDefault="008B2573" w:rsidP="008B2573">
      <w:pPr>
        <w:spacing w:line="480" w:lineRule="auto"/>
        <w:rPr>
          <w:rFonts w:ascii="Times New Roman" w:hAnsi="Times New Roman" w:cs="Times New Roman"/>
          <w:sz w:val="24"/>
        </w:rPr>
      </w:pPr>
      <w:r w:rsidRPr="00B405BE">
        <w:rPr>
          <w:rFonts w:ascii="Times New Roman" w:hAnsi="Times New Roman" w:cs="Times New Roman"/>
          <w:sz w:val="24"/>
        </w:rPr>
        <w:t xml:space="preserve">     A variable indicating </w:t>
      </w:r>
      <w:r w:rsidRPr="00B405BE">
        <w:rPr>
          <w:rFonts w:ascii="Times New Roman" w:hAnsi="Times New Roman" w:cs="Times New Roman"/>
          <w:b/>
          <w:i/>
          <w:sz w:val="24"/>
        </w:rPr>
        <w:t>most meals at home</w:t>
      </w:r>
      <w:r w:rsidRPr="00B405BE">
        <w:rPr>
          <w:rFonts w:ascii="Times New Roman" w:hAnsi="Times New Roman" w:cs="Times New Roman"/>
          <w:sz w:val="24"/>
        </w:rPr>
        <w:t xml:space="preserve"> was derived from the 24-hour dietary recalls if at least 75% of meals were consumed at home (average of percent meals at home averaged across two 24-hour dietary recalls). Only data on location where meals and snacks were eaten were available; it was not possible to ascertain whether meals and snacks purchased outside the home were eaten at home. We defined </w:t>
      </w:r>
      <w:r w:rsidRPr="00B405BE">
        <w:rPr>
          <w:rFonts w:ascii="Times New Roman" w:hAnsi="Times New Roman" w:cs="Times New Roman"/>
          <w:b/>
          <w:i/>
          <w:sz w:val="24"/>
        </w:rPr>
        <w:t>supplement user (yes/no)</w:t>
      </w:r>
      <w:r w:rsidRPr="00B405BE">
        <w:rPr>
          <w:rFonts w:ascii="Times New Roman" w:hAnsi="Times New Roman" w:cs="Times New Roman"/>
          <w:sz w:val="24"/>
        </w:rPr>
        <w:t xml:space="preserve"> if at least one supplement was reported in the past 30 days from the 30-day NDSR Dietary Supplement Assessment Module conducted at HCHS/SOL baseline clinic visit. Data on demographic, health, lifestyle, and acculturation characteristics were collected at the HCHS/SOL baseline visit. Participants were requested to bring all their medications (with and without prescription), and all medications were </w:t>
      </w:r>
      <w:r w:rsidRPr="00B405BE">
        <w:rPr>
          <w:rFonts w:ascii="Times New Roman" w:hAnsi="Times New Roman" w:cs="Times New Roman"/>
          <w:sz w:val="24"/>
        </w:rPr>
        <w:lastRenderedPageBreak/>
        <w:t xml:space="preserve">scanned. We included indicator variables for types </w:t>
      </w:r>
      <w:r w:rsidRPr="00B405BE">
        <w:rPr>
          <w:rFonts w:ascii="Times New Roman" w:hAnsi="Times New Roman" w:cs="Times New Roman"/>
          <w:sz w:val="24"/>
          <w:szCs w:val="24"/>
        </w:rPr>
        <w:t>of medications that may impact sodium or potassium excretion:</w:t>
      </w:r>
      <w:r w:rsidRPr="00B405BE">
        <w:rPr>
          <w:rFonts w:ascii="Times New Roman" w:hAnsi="Times New Roman" w:cs="Times New Roman"/>
          <w:sz w:val="24"/>
        </w:rPr>
        <w:t xml:space="preserve"> anti-hypertensive medications, beta blocker medications, calcium channel blockers, and diuretics. Data on demographic, health, lifestyle, including self-reported physical activity from the Global Physical Activity Questionnaire (GPAQ), and acculturation characteristics were collected at the HCHS/SOL parent study baseline visit. Self-reported moderate physical activity was calculated by summing the minutes in moderate activity from the 3 domains (work, leisure, and transport), whereas self-reported vigorous activity only included minutes from work and leisure domains.  High activity was defined with more than the equivalent of 300 minutes of moderate-intensity physical activity a week, or more than 150 minutes of vigorous activity, or an equivalent combination of both. Medium activity was defined as 150 minutes to 300 (5 hours) minutes of moderate-intensity activity a week (or 75 to 150 minutes of vigorous-intensity physical activity a week) or the equivalent combination of moderate and vigorous activity. Low activity was defined as activity beyond baseline but fewer than 150 minutes (2 hours and 30 minutes) of moderate-intensity physical activity a week or the equivalent amount (75 minutes, or 1 hour and 15 minutes) of vigorous-intensity activity” or the equivalent combination of moderate and vigorous activity. Inactive was defined as no activity beyond baseline activities of daily living.</w:t>
      </w:r>
    </w:p>
    <w:p w:rsidR="008E5983" w:rsidRPr="004E18E2" w:rsidRDefault="008E5983" w:rsidP="008E5983">
      <w:pPr>
        <w:spacing w:line="480" w:lineRule="auto"/>
        <w:rPr>
          <w:rFonts w:ascii="Times New Roman" w:hAnsi="Times New Roman" w:cs="Times New Roman"/>
          <w:b/>
          <w:sz w:val="24"/>
          <w:szCs w:val="24"/>
        </w:rPr>
      </w:pPr>
      <w:r w:rsidRPr="004E18E2">
        <w:rPr>
          <w:rFonts w:ascii="Times New Roman" w:hAnsi="Times New Roman" w:cs="Times New Roman"/>
          <w:b/>
          <w:sz w:val="24"/>
          <w:szCs w:val="24"/>
        </w:rPr>
        <w:t>Additional Notes on Table 3 in Main Text</w:t>
      </w:r>
    </w:p>
    <w:p w:rsidR="008E5983" w:rsidRPr="004E18E2" w:rsidRDefault="008E5983" w:rsidP="008E5983">
      <w:pPr>
        <w:spacing w:line="480" w:lineRule="auto"/>
        <w:rPr>
          <w:rFonts w:ascii="Times New Roman" w:hAnsi="Times New Roman" w:cs="Times New Roman"/>
          <w:sz w:val="24"/>
          <w:szCs w:val="24"/>
        </w:rPr>
      </w:pPr>
      <w:r w:rsidRPr="004E18E2">
        <w:rPr>
          <w:rFonts w:ascii="Times New Roman" w:hAnsi="Times New Roman" w:cs="Times New Roman"/>
          <w:sz w:val="24"/>
          <w:szCs w:val="24"/>
        </w:rPr>
        <w:t>Table 3 in the main text shows that being on anti-hypertensives, diuretics, beta blockers, and calcium channel blockers were not significantly associated with underestimation of sodium or potassium. In addition, we re-ran Table 3 focus</w:t>
      </w:r>
      <w:r w:rsidRPr="004E18E2">
        <w:rPr>
          <w:rFonts w:ascii="Times New Roman" w:hAnsi="Times New Roman" w:cs="Times New Roman"/>
          <w:sz w:val="24"/>
          <w:szCs w:val="24"/>
        </w:rPr>
        <w:t>i</w:t>
      </w:r>
      <w:r w:rsidRPr="004E18E2">
        <w:rPr>
          <w:rFonts w:ascii="Times New Roman" w:hAnsi="Times New Roman" w:cs="Times New Roman"/>
          <w:sz w:val="24"/>
          <w:szCs w:val="24"/>
        </w:rPr>
        <w:t xml:space="preserve">ng on participants on hypertension treatment, independent of the drug used. To do so, we ran the same linear regression excluding four medication variables and including “hypertension treatment” as defined in NHANES (systolic or </w:t>
      </w:r>
      <w:r w:rsidRPr="004E18E2">
        <w:rPr>
          <w:rFonts w:ascii="Times New Roman" w:hAnsi="Times New Roman" w:cs="Times New Roman"/>
          <w:sz w:val="24"/>
          <w:szCs w:val="24"/>
        </w:rPr>
        <w:lastRenderedPageBreak/>
        <w:t xml:space="preserve">diastolic blood pressure ≥ 140/90 mm Hg or self-reported being hypertensive and taking medications). Other than a slight strengthening of the restaurant score to significant level </w:t>
      </w:r>
      <w:r w:rsidRPr="004E18E2">
        <w:rPr>
          <w:rFonts w:ascii="Times New Roman" w:hAnsi="Times New Roman" w:cs="Times New Roman"/>
          <w:sz w:val="24"/>
          <w:szCs w:val="24"/>
        </w:rPr>
        <w:t>(</w:t>
      </w:r>
      <w:r w:rsidRPr="004E18E2">
        <w:rPr>
          <w:rFonts w:ascii="Times New Roman" w:hAnsi="Times New Roman" w:cs="Times New Roman"/>
          <w:i/>
          <w:sz w:val="24"/>
          <w:szCs w:val="24"/>
        </w:rPr>
        <w:t>P</w:t>
      </w:r>
      <w:r w:rsidRPr="004E18E2">
        <w:rPr>
          <w:rFonts w:ascii="Times New Roman" w:hAnsi="Times New Roman" w:cs="Times New Roman"/>
          <w:sz w:val="24"/>
          <w:szCs w:val="24"/>
        </w:rPr>
        <w:t xml:space="preserve"> value went from 0.051 to 0.039), results did not change</w:t>
      </w:r>
      <w:r w:rsidR="000A49DE" w:rsidRPr="004E18E2">
        <w:rPr>
          <w:rFonts w:ascii="Times New Roman" w:hAnsi="Times New Roman" w:cs="Times New Roman"/>
          <w:sz w:val="24"/>
          <w:szCs w:val="24"/>
        </w:rPr>
        <w:t xml:space="preserve"> (data not shown</w:t>
      </w:r>
      <w:r w:rsidRPr="004E18E2">
        <w:rPr>
          <w:rFonts w:ascii="Times New Roman" w:hAnsi="Times New Roman" w:cs="Times New Roman"/>
          <w:sz w:val="24"/>
          <w:szCs w:val="24"/>
        </w:rPr>
        <w:t>.</w:t>
      </w:r>
      <w:r w:rsidR="000A49DE" w:rsidRPr="004E18E2">
        <w:rPr>
          <w:rFonts w:ascii="Times New Roman" w:hAnsi="Times New Roman" w:cs="Times New Roman"/>
          <w:sz w:val="24"/>
          <w:szCs w:val="24"/>
        </w:rPr>
        <w:t>)</w:t>
      </w:r>
    </w:p>
    <w:p w:rsidR="008E5983" w:rsidRPr="004E18E2" w:rsidRDefault="008E5983" w:rsidP="008E5983">
      <w:pPr>
        <w:rPr>
          <w:rFonts w:ascii="Times New Roman" w:hAnsi="Times New Roman" w:cs="Times New Roman"/>
          <w:b/>
        </w:rPr>
      </w:pPr>
      <w:r w:rsidRPr="004E18E2">
        <w:rPr>
          <w:rFonts w:ascii="Times New Roman" w:hAnsi="Times New Roman" w:cs="Times New Roman"/>
          <w:b/>
        </w:rPr>
        <w:t>Applying the calibration equatio</w:t>
      </w:r>
      <w:r w:rsidR="00CD65CC" w:rsidRPr="004E18E2">
        <w:rPr>
          <w:rFonts w:ascii="Times New Roman" w:hAnsi="Times New Roman" w:cs="Times New Roman"/>
          <w:b/>
        </w:rPr>
        <w:t>n</w:t>
      </w:r>
      <w:r w:rsidRPr="004E18E2">
        <w:rPr>
          <w:rFonts w:ascii="Times New Roman" w:hAnsi="Times New Roman" w:cs="Times New Roman"/>
          <w:b/>
        </w:rPr>
        <w:t xml:space="preserve"> for sodium</w:t>
      </w:r>
    </w:p>
    <w:p w:rsidR="00CD65CC" w:rsidRPr="004E18E2" w:rsidRDefault="00CD65CC" w:rsidP="00CD65CC">
      <w:pPr>
        <w:spacing w:line="480" w:lineRule="auto"/>
      </w:pPr>
      <w:r w:rsidRPr="004E18E2">
        <w:rPr>
          <w:rFonts w:ascii="Times New Roman" w:hAnsi="Times New Roman" w:cs="Times New Roman"/>
        </w:rPr>
        <w:t xml:space="preserve">Table 4 in the main text shows the three regression equations (sodium, potassium and sodium/potassium ratio). The </w:t>
      </w:r>
      <w:r w:rsidR="00371273" w:rsidRPr="004E18E2">
        <w:rPr>
          <w:rFonts w:ascii="Times New Roman" w:hAnsi="Times New Roman" w:cs="Times New Roman"/>
        </w:rPr>
        <w:t xml:space="preserve">footnote provides the </w:t>
      </w:r>
      <w:r w:rsidRPr="004E18E2">
        <w:rPr>
          <w:rFonts w:ascii="Times New Roman" w:hAnsi="Times New Roman" w:cs="Times New Roman"/>
        </w:rPr>
        <w:t>constants to center the variables (</w:t>
      </w:r>
      <w:r w:rsidR="00371273" w:rsidRPr="004E18E2">
        <w:rPr>
          <w:rFonts w:ascii="Times New Roman" w:hAnsi="Times New Roman" w:cs="Times New Roman"/>
        </w:rPr>
        <w:t>i.e.</w:t>
      </w:r>
      <w:r w:rsidRPr="004E18E2">
        <w:rPr>
          <w:rFonts w:ascii="Times New Roman" w:hAnsi="Times New Roman" w:cs="Times New Roman"/>
        </w:rPr>
        <w:t xml:space="preserve"> 7.946905 for sodium). We illustrate below what would be the calibrated sodium for an individual who self-reported 3,000 mg/day and has the profile of the reference cell (No highlight, age-group=18-24 </w:t>
      </w:r>
      <w:proofErr w:type="spellStart"/>
      <w:r w:rsidRPr="004E18E2">
        <w:rPr>
          <w:rFonts w:ascii="Times New Roman" w:hAnsi="Times New Roman" w:cs="Times New Roman"/>
        </w:rPr>
        <w:t>yr</w:t>
      </w:r>
      <w:proofErr w:type="spellEnd"/>
      <w:r w:rsidRPr="004E18E2">
        <w:rPr>
          <w:rFonts w:ascii="Times New Roman" w:hAnsi="Times New Roman" w:cs="Times New Roman"/>
        </w:rPr>
        <w:t>, normal weight, male, Spanish preference, non-supplement user, GPAQ=108.9 min/day), restaurant-score=average=5.3, and never fast-food). The brown highlight is the same profile except that the individual is overweight</w:t>
      </w:r>
      <w:r w:rsidRPr="004E18E2">
        <w:t xml:space="preserve">. </w:t>
      </w:r>
    </w:p>
    <w:p w:rsidR="00CD65CC" w:rsidRPr="008E5983" w:rsidRDefault="00CD65CC" w:rsidP="008E5983">
      <w:pPr>
        <w:rPr>
          <w:rFonts w:ascii="Times New Roman" w:hAnsi="Times New Roman" w:cs="Times New Roman"/>
          <w:b/>
        </w:rPr>
      </w:pPr>
      <w:r w:rsidRPr="004E18E2">
        <w:rPr>
          <w:rFonts w:ascii="Times New Roman" w:hAnsi="Times New Roman" w:cs="Times New Roman"/>
          <w:b/>
          <w:noProof/>
        </w:rPr>
        <w:drawing>
          <wp:inline distT="0" distB="0" distL="0" distR="0" wp14:anchorId="412B1CE7" wp14:editId="2E00A0B0">
            <wp:extent cx="5486400" cy="2847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2847975"/>
                    </a:xfrm>
                    <a:prstGeom prst="rect">
                      <a:avLst/>
                    </a:prstGeom>
                    <a:noFill/>
                    <a:ln>
                      <a:noFill/>
                    </a:ln>
                  </pic:spPr>
                </pic:pic>
              </a:graphicData>
            </a:graphic>
          </wp:inline>
        </w:drawing>
      </w:r>
      <w:bookmarkStart w:id="0" w:name="_GoBack"/>
      <w:bookmarkEnd w:id="0"/>
    </w:p>
    <w:p w:rsidR="008E5983" w:rsidRDefault="008E5983" w:rsidP="008E5983"/>
    <w:p w:rsidR="008E5983" w:rsidRDefault="008E5983" w:rsidP="008E5983"/>
    <w:p w:rsidR="008E5983" w:rsidRDefault="008E5983" w:rsidP="008E5983"/>
    <w:p w:rsidR="009F6DCB" w:rsidRDefault="009F6DCB"/>
    <w:sectPr w:rsidR="009F6D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73"/>
    <w:rsid w:val="000952A4"/>
    <w:rsid w:val="000A0441"/>
    <w:rsid w:val="000A49DE"/>
    <w:rsid w:val="00125CFB"/>
    <w:rsid w:val="00145F3E"/>
    <w:rsid w:val="002A3401"/>
    <w:rsid w:val="00371273"/>
    <w:rsid w:val="003E51C9"/>
    <w:rsid w:val="00492998"/>
    <w:rsid w:val="004E18E2"/>
    <w:rsid w:val="005D6468"/>
    <w:rsid w:val="005E6D38"/>
    <w:rsid w:val="008B2573"/>
    <w:rsid w:val="008E5983"/>
    <w:rsid w:val="009D7036"/>
    <w:rsid w:val="009F6DCB"/>
    <w:rsid w:val="00AA2516"/>
    <w:rsid w:val="00B84D20"/>
    <w:rsid w:val="00C80C79"/>
    <w:rsid w:val="00CC6A39"/>
    <w:rsid w:val="00CD65CC"/>
    <w:rsid w:val="00DE3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5CC"/>
    <w:rPr>
      <w:rFonts w:ascii="Tahoma" w:hAnsi="Tahoma" w:cs="Tahoma"/>
      <w:sz w:val="16"/>
      <w:szCs w:val="16"/>
    </w:rPr>
  </w:style>
  <w:style w:type="character" w:styleId="Hyperlink">
    <w:name w:val="Hyperlink"/>
    <w:basedOn w:val="DefaultParagraphFont"/>
    <w:uiPriority w:val="99"/>
    <w:unhideWhenUsed/>
    <w:rsid w:val="00125C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5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65CC"/>
    <w:rPr>
      <w:rFonts w:ascii="Tahoma" w:hAnsi="Tahoma" w:cs="Tahoma"/>
      <w:sz w:val="16"/>
      <w:szCs w:val="16"/>
    </w:rPr>
  </w:style>
  <w:style w:type="character" w:styleId="Hyperlink">
    <w:name w:val="Hyperlink"/>
    <w:basedOn w:val="DefaultParagraphFont"/>
    <w:uiPriority w:val="99"/>
    <w:unhideWhenUsed/>
    <w:rsid w:val="00125C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hyperlink" Target="https://www2.cscc.unc.edu/hchs/system/files/forms/UNLICOMMDietaryBehaviorDBE0218200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Mossavar-Rahmani</dc:creator>
  <cp:lastModifiedBy>Y. Mossavar-Rahmani</cp:lastModifiedBy>
  <cp:revision>2</cp:revision>
  <dcterms:created xsi:type="dcterms:W3CDTF">2016-11-30T22:06:00Z</dcterms:created>
  <dcterms:modified xsi:type="dcterms:W3CDTF">2016-11-30T22:06:00Z</dcterms:modified>
</cp:coreProperties>
</file>