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AEA4D" w14:textId="77777777" w:rsidR="009F13A5" w:rsidRDefault="009F13A5" w:rsidP="009D1095">
      <w:pPr>
        <w:rPr>
          <w:noProof/>
          <w:color w:val="auto"/>
        </w:rPr>
      </w:pPr>
    </w:p>
    <w:p w14:paraId="664D83E6" w14:textId="66CC2E60" w:rsidR="002131AD" w:rsidRDefault="002131AD" w:rsidP="002D18DB">
      <w:pPr>
        <w:spacing w:line="480" w:lineRule="auto"/>
        <w:rPr>
          <w:b/>
          <w:bCs/>
          <w:iCs/>
        </w:rPr>
      </w:pPr>
      <w:r>
        <w:rPr>
          <w:b/>
        </w:rPr>
        <w:t xml:space="preserve">Supplementary Material and Methods: </w:t>
      </w:r>
    </w:p>
    <w:p w14:paraId="75FD540C" w14:textId="77777777" w:rsidR="002131AD" w:rsidRDefault="002131AD" w:rsidP="002131AD">
      <w:pPr>
        <w:spacing w:line="240" w:lineRule="auto"/>
        <w:rPr>
          <w:b/>
          <w:bCs/>
          <w:iCs/>
        </w:rPr>
      </w:pPr>
    </w:p>
    <w:p w14:paraId="128E44A7" w14:textId="4FD75310" w:rsidR="002131AD" w:rsidRDefault="002131AD" w:rsidP="002131AD">
      <w:pPr>
        <w:spacing w:line="480" w:lineRule="auto"/>
        <w:ind w:firstLine="720"/>
      </w:pPr>
      <w:r w:rsidRPr="00390A86">
        <w:rPr>
          <w:b/>
          <w:bCs/>
          <w:i/>
          <w:iCs/>
        </w:rPr>
        <w:t xml:space="preserve">Clinical Hormone Manipulation Protocol: </w:t>
      </w:r>
      <w:r w:rsidRPr="00390A86">
        <w:rPr>
          <w:bCs/>
          <w:iCs/>
        </w:rPr>
        <w:t xml:space="preserve"> </w:t>
      </w:r>
      <w:r w:rsidRPr="003A11A0">
        <w:t>(</w:t>
      </w:r>
      <w:r w:rsidRPr="003A11A0">
        <w:rPr>
          <w:color w:val="auto"/>
        </w:rPr>
        <w:t xml:space="preserve">see Figure </w:t>
      </w:r>
      <w:r w:rsidR="000B6974">
        <w:rPr>
          <w:color w:val="auto"/>
        </w:rPr>
        <w:t>S</w:t>
      </w:r>
      <w:r w:rsidRPr="003A11A0">
        <w:rPr>
          <w:color w:val="auto"/>
        </w:rPr>
        <w:t>1</w:t>
      </w:r>
      <w:r w:rsidRPr="003A11A0">
        <w:t>) The hormone</w:t>
      </w:r>
      <w:r>
        <w:t xml:space="preserve"> manipulation protocol has been previously described </w:t>
      </w:r>
      <w:r w:rsidR="008C5880">
        <w:fldChar w:fldCharType="begin"/>
      </w:r>
      <w:r w:rsidR="008C5880">
        <w:instrText xml:space="preserve"> ADDIN REFMGR.CITE &lt;Refman&gt;&lt;Cite&gt;&lt;Author&gt;Schmidt&lt;/Author&gt;&lt;Year&gt;1998&lt;/Year&gt;&lt;RecNum&gt;2814&lt;/RecNum&gt;&lt;IDText&gt;Differential behavioral effects of gonadal steroids in women with and in those without premenstrual syndrome&lt;/IDText&gt;&lt;MDL Ref_Type="Journal"&gt;&lt;Ref_Type&gt;Journal&lt;/Ref_Type&gt;&lt;Ref_ID&gt;2814&lt;/Ref_ID&gt;&lt;Title_Primary&gt;Differential behavioral effects of gonadal steroids in women with and in those without premenstrual syndrome&lt;/Title_Primary&gt;&lt;Authors_Primary&gt;Schmidt,P.J.&lt;/Authors_Primary&gt;&lt;Authors_Primary&gt;Nieman,L.K.&lt;/Authors_Primary&gt;&lt;Authors_Primary&gt;Danaceau,M.A.&lt;/Authors_Primary&gt;&lt;Authors_Primary&gt;Adams,L.F.&lt;/Authors_Primary&gt;&lt;Authors_Primary&gt;Rubinow,D.R.&lt;/Authors_Primary&gt;&lt;Date_Primary&gt;1998&lt;/Date_Primary&gt;&lt;Reprint&gt;In File&lt;/Reprint&gt;&lt;Start_Page&gt;209&lt;/Start_Page&gt;&lt;End_Page&gt;216&lt;/End_Page&gt;&lt;Periodical&gt;N.Engl.J.Med.&lt;/Periodical&gt;&lt;Volume&gt;338&lt;/Volume&gt;&lt;Web_URL&gt;&lt;u&gt;http://content.nejm.org/cgi/reprint/338/4/209.pdf&lt;/u&gt;&lt;/Web_URL&gt;&lt;ZZ_JournalFull&gt;&lt;f name="System"&gt;New England Journal of Medicine&lt;/f&gt;&lt;/ZZ_JournalFull&gt;&lt;ZZ_JournalStdAbbrev&gt;&lt;f name="System"&gt;N.Engl.J.Med.&lt;/f&gt;&lt;/ZZ_JournalStdAbbrev&gt;&lt;ZZ_WorkformID&gt;1&lt;/ZZ_WorkformID&gt;&lt;/MDL&gt;&lt;/Cite&gt;&lt;/Refman&gt;</w:instrText>
      </w:r>
      <w:r w:rsidR="008C5880">
        <w:fldChar w:fldCharType="separate"/>
      </w:r>
      <w:r w:rsidR="008C5880">
        <w:rPr>
          <w:noProof/>
        </w:rPr>
        <w:t>[1]</w:t>
      </w:r>
      <w:r w:rsidR="008C5880">
        <w:fldChar w:fldCharType="end"/>
      </w:r>
      <w:r>
        <w:t xml:space="preserve"> and is briefly presented here. All participants received six monthly injections of the GnRH agonist leuprolide acetate, Lupron (3.75 mg IM q monthly).  After three months of leuprolide alone, all participants (while continuing to receive monthly leuprolide injections for an additional three months) were randomly assigned in double-blind, crossover fashion to receive either estradiol (E) or progesterone (P) replacement lasting for five weeks each (with a two-week washout between hormone administration periods). </w:t>
      </w:r>
    </w:p>
    <w:p w14:paraId="76EC6A8B" w14:textId="77777777" w:rsidR="002131AD" w:rsidRDefault="002131AD" w:rsidP="002131AD">
      <w:pPr>
        <w:spacing w:line="480" w:lineRule="auto"/>
        <w:ind w:firstLine="720"/>
      </w:pPr>
      <w:r>
        <w:t xml:space="preserve"> We employed this GnRH agonist, ovarian suppression protocol to first confirm the ovarian steroid phenotypes that were the focus of this study; i.e., women with GnRH agonist-induced remission and ovarian steroid-triggered recurrence of PMDD symptoms and those with no mood symptoms during the same hormone manipulation (i.e., control women). </w:t>
      </w:r>
    </w:p>
    <w:p w14:paraId="66C05952" w14:textId="77777777" w:rsidR="002131AD" w:rsidRDefault="002131AD" w:rsidP="002131AD">
      <w:pPr>
        <w:spacing w:line="480" w:lineRule="auto"/>
        <w:ind w:firstLine="720"/>
      </w:pPr>
    </w:p>
    <w:p w14:paraId="7C2F7E52" w14:textId="5818AB97" w:rsidR="002131AD" w:rsidRDefault="002131AD" w:rsidP="002131AD">
      <w:pPr>
        <w:spacing w:line="480" w:lineRule="auto"/>
        <w:ind w:firstLine="720"/>
      </w:pPr>
      <w:r>
        <w:rPr>
          <w:b/>
          <w:bCs/>
          <w:i/>
          <w:iCs/>
        </w:rPr>
        <w:t>Symptom ratings and criteria for response:</w:t>
      </w:r>
      <w:r>
        <w:t xml:space="preserve"> Symptom-rating forms were completed daily by all women prior to the study and during the six-month Lupron protocol.  A modified Daily Rating Form (DRF) </w:t>
      </w:r>
      <w:r w:rsidR="008C5880">
        <w:fldChar w:fldCharType="begin">
          <w:fldData xml:space="preserve">PFJlZm1hbj48Q2l0ZT48QXV0aG9yPkVuZGljb3R0PC9BdXRob3I+PFllYXI+MTk4MjwvWWVhcj48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</w:fldData>
        </w:fldChar>
      </w:r>
      <w:r w:rsidR="008C5880">
        <w:instrText xml:space="preserve"> ADDIN REFMGR.CITE </w:instrText>
      </w:r>
      <w:r w:rsidR="008C5880">
        <w:fldChar w:fldCharType="begin">
          <w:fldData xml:space="preserve">PFJlZm1hbj48Q2l0ZT48QXV0aG9yPkVuZGljb3R0PC9BdXRob3I+PFllYXI+MTk4MjwvWWVhcj48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</w:fldData>
        </w:fldChar>
      </w:r>
      <w:r w:rsidR="008C5880">
        <w:instrText xml:space="preserve"> ADDIN EN.CITE.DATA </w:instrText>
      </w:r>
      <w:r w:rsidR="008C5880">
        <w:fldChar w:fldCharType="end"/>
      </w:r>
      <w:r w:rsidR="008C5880">
        <w:fldChar w:fldCharType="separate"/>
      </w:r>
      <w:r w:rsidR="008C5880">
        <w:rPr>
          <w:noProof/>
        </w:rPr>
        <w:t>[2,3]</w:t>
      </w:r>
      <w:r w:rsidR="008C5880">
        <w:fldChar w:fldCharType="end"/>
      </w:r>
      <w:r>
        <w:t xml:space="preserve"> was completed each evening. The DRF assesses severity of PMDD symptoms and was used both to confirm that woman with PMDD met DSM-IV criteria for PMDD (i.e., the impairment criterion) and to measure symptom severity through the course of the hormone-manipulation study. Significant recurrence of PMDD symptoms was defined by a weekly average DRF score of greater than three (moderate severity) in irritability, anxiety, or sadness </w:t>
      </w:r>
      <w:r w:rsidR="008C5880">
        <w:fldChar w:fldCharType="begin"/>
      </w:r>
      <w:r w:rsidR="008C5880">
        <w:instrText xml:space="preserve"> ADDIN REFMGR.CITE &lt;Refman&gt;&lt;Cite&gt;&lt;Author&gt;Halbreich&lt;/Author&gt;&lt;Year&gt;2003&lt;/Year&gt;&lt;RecNum&gt;6038&lt;/RecNum&gt;&lt;IDText&gt;The prevalence, impairment, impact, and burden of premenstrual dysphoric disorder (PMS/PMDD)&lt;/IDText&gt;&lt;MDL Ref_Type="Journal"&gt;&lt;Ref_Type&gt;Journal&lt;/Ref_Type&gt;&lt;Ref_ID&gt;6038&lt;/Ref_ID&gt;&lt;Title_Primary&gt;The prevalence, impairment, impact, and burden of premenstrual dysphoric disorder (PMS/PMDD)&lt;/Title_Primary&gt;&lt;Authors_Primary&gt;Halbreich,U.&lt;/Authors_Primary&gt;&lt;Authors_Primary&gt;Borenstein,J.&lt;/Authors_Primary&gt;&lt;Authors_Primary&gt;Pearlstein,T.&lt;/Authors_Primary&gt;&lt;Authors_Primary&gt;Kahn,L.S.&lt;/Authors_Primary&gt;&lt;Date_Primary&gt;2003&lt;/Date_Primary&gt;&lt;Reprint&gt;In File&lt;/Reprint&gt;&lt;Start_Page&gt;1&lt;/Start_Page&gt;&lt;End_Page&gt;23&lt;/End_Page&gt;&lt;Periodical&gt;Psychoneuroendocrinology&lt;/Periodical&gt;&lt;Volume&gt;28&lt;/Volume&gt;&lt;Web_URL&gt;&lt;u&gt;http://www.sciencedirect.com/science?_ob=MImg&amp;amp;_imagekey=B6TBX-48XSBVB-3-3&amp;amp;_cdi=5154&amp;amp;_user=10843&amp;amp;_orig=search&amp;amp;_coverDate=08%2F31%2F2003&amp;amp;_qd=1&amp;amp;_sk=999719999.8996&amp;amp;view=c&amp;amp;wchp=dGLbVtb-zSkzV&amp;amp;md5=ca97470b3cd314541f687594b6fbdf1f&amp;amp;ie=/sdarticle.pdf&lt;/u&gt;&lt;/Web_URL&gt;&lt;ZZ_JournalFull&gt;&lt;f name="System"&gt;Psychoneuroendocrinology&lt;/f&gt;&lt;/ZZ_JournalFull&gt;&lt;ZZ_WorkformID&gt;1&lt;/ZZ_WorkformID&gt;&lt;/MDL&gt;&lt;/Cite&gt;&lt;/Refman&gt;</w:instrText>
      </w:r>
      <w:r w:rsidR="008C5880">
        <w:fldChar w:fldCharType="separate"/>
      </w:r>
      <w:r w:rsidR="008C5880">
        <w:rPr>
          <w:noProof/>
        </w:rPr>
        <w:t>[4]</w:t>
      </w:r>
      <w:r w:rsidR="008C5880">
        <w:fldChar w:fldCharType="end"/>
      </w:r>
      <w:r>
        <w:t xml:space="preserve">. Controls were defined by absence of affective symptoms throughout the 6 month hormone manipulation protocol (i.e., no weekly average score </w:t>
      </w:r>
      <w:r w:rsidRPr="00494DBD">
        <w:rPr>
          <w:u w:val="single"/>
        </w:rPr>
        <w:t>&gt;</w:t>
      </w:r>
      <w:r>
        <w:t xml:space="preserve">2).  </w:t>
      </w:r>
    </w:p>
    <w:p w14:paraId="450E0055" w14:textId="77777777" w:rsidR="002131AD" w:rsidRPr="00A15675" w:rsidRDefault="002131AD" w:rsidP="002131AD">
      <w:pPr>
        <w:spacing w:line="480" w:lineRule="auto"/>
        <w:ind w:firstLine="720"/>
        <w:rPr>
          <w:bCs/>
          <w:iCs/>
          <w:u w:val="single"/>
        </w:rPr>
      </w:pPr>
    </w:p>
    <w:p w14:paraId="452F9020" w14:textId="2B298B53" w:rsidR="002131AD" w:rsidRDefault="002131AD" w:rsidP="002131AD">
      <w:pPr>
        <w:spacing w:line="480" w:lineRule="auto"/>
        <w:ind w:firstLine="720"/>
      </w:pPr>
      <w:r w:rsidRPr="003A11A0">
        <w:rPr>
          <w:b/>
          <w:bCs/>
          <w:i/>
          <w:iCs/>
          <w:color w:val="auto"/>
        </w:rPr>
        <w:t>Selection of participants for generation of lymphoblastoid cell lines (LCLs):</w:t>
      </w:r>
      <w:r w:rsidRPr="003A11A0">
        <w:rPr>
          <w:bCs/>
          <w:iCs/>
        </w:rPr>
        <w:t xml:space="preserve"> </w:t>
      </w:r>
      <w:r w:rsidRPr="003A11A0">
        <w:t>(see Table 1) Two main sets of lymphoblastoid cell lines were created for this study: a focus set and a larger replication set.  For the focus set, we selected from participants who completed participation in the GnRH agonist-induced</w:t>
      </w:r>
      <w:r>
        <w:t xml:space="preserve"> hormone manipulation protocol.  Group 1 (n=10) consisted of women with PMDD based on suppression of PMDD symptoms during leuprolide treatment and recurrence of symptoms during either the E2 or P4 add-back conditions </w:t>
      </w:r>
      <w:r w:rsidR="008C5880">
        <w:fldChar w:fldCharType="begin"/>
      </w:r>
      <w:r w:rsidR="008C5880">
        <w:instrText xml:space="preserve"> ADDIN REFMGR.CITE &lt;Refman&gt;&lt;Cite&gt;&lt;Author&gt;Schmidt&lt;/Author&gt;&lt;Year&gt;1998&lt;/Year&gt;&lt;RecNum&gt;2814&lt;/RecNum&gt;&lt;IDText&gt;Differential behavioral effects of gonadal steroids in women with and in those without premenstrual syndrome&lt;/IDText&gt;&lt;MDL Ref_Type="Journal"&gt;&lt;Ref_Type&gt;Journal&lt;/Ref_Type&gt;&lt;Ref_ID&gt;2814&lt;/Ref_ID&gt;&lt;Title_Primary&gt;Differential behavioral effects of gonadal steroids in women with and in those without premenstrual syndrome&lt;/Title_Primary&gt;&lt;Authors_Primary&gt;Schmidt,P.J.&lt;/Authors_Primary&gt;&lt;Authors_Primary&gt;Nieman,L.K.&lt;/Authors_Primary&gt;&lt;Authors_Primary&gt;Danaceau,M.A.&lt;/Authors_Primary&gt;&lt;Authors_Primary&gt;Adams,L.F.&lt;/Authors_Primary&gt;&lt;Authors_Primary&gt;Rubinow,D.R.&lt;/Authors_Primary&gt;&lt;Date_Primary&gt;1998&lt;/Date_Primary&gt;&lt;Reprint&gt;In File&lt;/Reprint&gt;&lt;Start_Page&gt;209&lt;/Start_Page&gt;&lt;End_Page&gt;216&lt;/End_Page&gt;&lt;Periodical&gt;N.Engl.J.Med.&lt;/Periodical&gt;&lt;Volume&gt;338&lt;/Volume&gt;&lt;Web_URL&gt;&lt;u&gt;http://content.nejm.org/cgi/reprint/338/4/209.pdf&lt;/u&gt;&lt;/Web_URL&gt;&lt;ZZ_JournalFull&gt;&lt;f name="System"&gt;New England Journal of Medicine&lt;/f&gt;&lt;/ZZ_JournalFull&gt;&lt;ZZ_JournalStdAbbrev&gt;&lt;f name="System"&gt;N.Engl.J.Med.&lt;/f&gt;&lt;/ZZ_JournalStdAbbrev&gt;&lt;ZZ_WorkformID&gt;1&lt;/ZZ_WorkformID&gt;&lt;/MDL&gt;&lt;/Cite&gt;&lt;/Refman&gt;</w:instrText>
      </w:r>
      <w:r w:rsidR="008C5880">
        <w:fldChar w:fldCharType="separate"/>
      </w:r>
      <w:r w:rsidR="008C5880">
        <w:rPr>
          <w:noProof/>
        </w:rPr>
        <w:t>[1]</w:t>
      </w:r>
      <w:r w:rsidR="008C5880">
        <w:fldChar w:fldCharType="end"/>
      </w:r>
      <w:r>
        <w:t>. Group 2 (n=9) consisted of women without PMDD (</w:t>
      </w:r>
      <w:r w:rsidR="00960F65">
        <w:t>C</w:t>
      </w:r>
      <w:r>
        <w:t>ontrols) based on absence of symptoms throughout the entire protocol. Group 1 and Group 2 were matched for age and ethnicity and compared against each other within experimental protocols (no significant differences in Age (t</w:t>
      </w:r>
      <w:r w:rsidRPr="00655CC3">
        <w:rPr>
          <w:vertAlign w:val="subscript"/>
        </w:rPr>
        <w:t>17</w:t>
      </w:r>
      <w:r>
        <w:t xml:space="preserve"> =1.3, p=0.03) or BMI (t</w:t>
      </w:r>
      <w:r w:rsidRPr="00655CC3">
        <w:rPr>
          <w:vertAlign w:val="subscript"/>
        </w:rPr>
        <w:t>17</w:t>
      </w:r>
      <w:r>
        <w:t>=0.2, p=0.8).</w:t>
      </w:r>
    </w:p>
    <w:p w14:paraId="4CB8EDE5" w14:textId="0AC8D52B" w:rsidR="002131AD" w:rsidRDefault="002131AD" w:rsidP="002131AD">
      <w:pPr>
        <w:spacing w:line="480" w:lineRule="auto"/>
        <w:ind w:firstLine="720"/>
      </w:pPr>
      <w:r>
        <w:tab/>
        <w:t>For the larger replication set</w:t>
      </w:r>
      <w:r w:rsidR="00700B34">
        <w:t xml:space="preserve"> was a completely independent sample of women</w:t>
      </w:r>
      <w:r>
        <w:t xml:space="preserve">, we selected </w:t>
      </w:r>
      <w:r w:rsidR="007E5E47">
        <w:t>24</w:t>
      </w:r>
      <w:r>
        <w:t xml:space="preserve"> PMDD women (Group 3) and </w:t>
      </w:r>
      <w:r w:rsidR="007E5E47">
        <w:t>24</w:t>
      </w:r>
      <w:r>
        <w:t xml:space="preserve"> control women (Group 4) who </w:t>
      </w:r>
      <w:r w:rsidR="00700B34">
        <w:t>were not selected on the basis of their symptomatic response to the GnRH-agonist hormone intervention but did meet the same inclusion criteria as the focus group</w:t>
      </w:r>
      <w:r>
        <w:t xml:space="preserve">. Some women in groups 3 and 4 had participated in the GnRH agonist study, but their participation was not an inclusion criterion. These women underwent the same screening as those in Groups 1 and 2, and completed the DRF to confirm the diagnosis or absence of PMDD according to the DSM </w:t>
      </w:r>
      <w:r w:rsidR="001612ED">
        <w:t>I</w:t>
      </w:r>
      <w:r>
        <w:t xml:space="preserve">V </w:t>
      </w:r>
      <w:r w:rsidR="008C5880">
        <w:fldChar w:fldCharType="begin"/>
      </w:r>
      <w:r w:rsidR="008C5880">
        <w:instrText xml:space="preserve"> ADDIN REFMGR.CITE &lt;Refman&gt;&lt;Cite&gt;&lt;Year&gt;1994&lt;/Year&gt;&lt;RecNum&gt;1784&lt;/RecNum&gt;&lt;IDText&gt;American Psychiatric Association Diagnostic and Statistical Manual of Mental Disorders Fourth Edition&lt;/IDText&gt;&lt;MDL Ref_Type="Book, Whole"&gt;&lt;Ref_Type&gt;Book, Whole&lt;/Ref_Type&gt;&lt;Ref_ID&gt;1784&lt;/Ref_ID&gt;&lt;Title_Primary&gt;American Psychiatric Association Diagnostic and Statistical Manual of Mental Disorders Fourth Edition&lt;/Title_Primary&gt;&lt;Date_Primary&gt;1994&lt;/Date_Primary&gt;&lt;Keywords&gt;psychiatric&lt;/Keywords&gt;&lt;Keywords&gt;association&lt;/Keywords&gt;&lt;Keywords&gt;Diagnostic and Statistical Manual of Mental Disorders&lt;/Keywords&gt;&lt;Keywords&gt;Statistical&lt;/Keywords&gt;&lt;Keywords&gt;Mental Disorders&lt;/Keywords&gt;&lt;Keywords&gt;Disorders&lt;/Keywords&gt;&lt;Reprint&gt;In File&lt;/Reprint&gt;&lt;Pub_Place&gt;Washington, DC&lt;/Pub_Place&gt;&lt;Publisher&gt;American Psychiatric Association&lt;/Publisher&gt;&lt;ZZ_WorkformID&gt;2&lt;/ZZ_WorkformID&gt;&lt;/MDL&gt;&lt;/Cite&gt;&lt;/Refman&gt;</w:instrText>
      </w:r>
      <w:r w:rsidR="008C5880">
        <w:fldChar w:fldCharType="separate"/>
      </w:r>
      <w:r w:rsidR="008C5880">
        <w:rPr>
          <w:noProof/>
        </w:rPr>
        <w:t>[5]</w:t>
      </w:r>
      <w:r w:rsidR="008C5880">
        <w:fldChar w:fldCharType="end"/>
      </w:r>
      <w:r>
        <w:t xml:space="preserve">. Thus, Group 3 represents </w:t>
      </w:r>
      <w:r w:rsidR="00F128F9">
        <w:t>a less restricted</w:t>
      </w:r>
      <w:r>
        <w:t xml:space="preserve"> PMDD phenotype, not necessarily confirmed as hormone-triggered. Nonetheless, we predict based on clinical studies, and observation,  that approximately 70% of the women ascertained as PMDD will experience symptom remission with GnRH agonist treatment </w:t>
      </w:r>
      <w:r w:rsidR="008C5880">
        <w:fldChar w:fldCharType="begin">
          <w:fldData xml:space="preserve">PFJlZm1hbj48Q2l0ZT48QXV0aG9yPlNjaG1pZHQ8L0F1dGhvcj48WWVhcj4xOTk4PC9ZZWFyPjxS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</w:fldData>
        </w:fldChar>
      </w:r>
      <w:r w:rsidR="008C5880">
        <w:instrText xml:space="preserve"> ADDIN REFMGR.CITE </w:instrText>
      </w:r>
      <w:r w:rsidR="008C5880">
        <w:fldChar w:fldCharType="begin">
          <w:fldData xml:space="preserve">PFJlZm1hbj48Q2l0ZT48QXV0aG9yPlNjaG1pZHQ8L0F1dGhvcj48WWVhcj4xOTk4PC9ZZWFyPjxS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</w:fldData>
        </w:fldChar>
      </w:r>
      <w:r w:rsidR="008C5880">
        <w:instrText xml:space="preserve"> ADDIN EN.CITE.DATA </w:instrText>
      </w:r>
      <w:r w:rsidR="008C5880">
        <w:fldChar w:fldCharType="end"/>
      </w:r>
      <w:r w:rsidR="008C5880">
        <w:fldChar w:fldCharType="separate"/>
      </w:r>
      <w:r w:rsidR="008C5880">
        <w:rPr>
          <w:noProof/>
        </w:rPr>
        <w:t>[1,6]</w:t>
      </w:r>
      <w:r w:rsidR="008C5880">
        <w:fldChar w:fldCharType="end"/>
      </w:r>
      <w:r>
        <w:t xml:space="preserve">, and 90% of control women would not develop clinically significant mood symptoms on leuprolide (Lupron) </w:t>
      </w:r>
      <w:r w:rsidR="008C5880">
        <w:fldChar w:fldCharType="begin"/>
      </w:r>
      <w:r w:rsidR="008C5880">
        <w:instrText xml:space="preserve"> ADDIN REFMGR.CITE &lt;Refman&gt;&lt;Cite&gt;&lt;Author&gt;Ben Dor&lt;/Author&gt;&lt;Year&gt;2013&lt;/Year&gt;&lt;RecNum&gt;9657&lt;/RecNum&gt;&lt;IDText&gt;Effects of pharmacologically-induced hypogonadism on mood and behavior in healthy young women&lt;/IDText&gt;&lt;MDL Ref_Type="Journal"&gt;&lt;Ref_Type&gt;Journal&lt;/Ref_Type&gt;&lt;Ref_ID&gt;9657&lt;/Ref_ID&gt;&lt;Title_Primary&gt;Effects of pharmacologically-induced hypogonadism on mood and behavior in healthy young women&lt;/Title_Primary&gt;&lt;Authors_Primary&gt;Ben Dor,R.&lt;/Authors_Primary&gt;&lt;Authors_Primary&gt;Harsh,V.L.&lt;/Authors_Primary&gt;&lt;Authors_Primary&gt;Fortinsky,P.&lt;/Authors_Primary&gt;&lt;Authors_Primary&gt;Koziol,D.E.&lt;/Authors_Primary&gt;&lt;Authors_Primary&gt;Rubinow,D.R.&lt;/Authors_Primary&gt;&lt;Authors_Primary&gt;Schmidt,P.J.&lt;/Authors_Primary&gt;&lt;Date_Primary&gt;2013&lt;/Date_Primary&gt;&lt;Reprint&gt;Not in File&lt;/Reprint&gt;&lt;Start_Page&gt;426&lt;/Start_Page&gt;&lt;End_Page&gt;433&lt;/End_Page&gt;&lt;Periodical&gt;Am.J.Psychiatry&lt;/Periodical&gt;&lt;Volume&gt;170&lt;/Volume&gt;&lt;Web_URL&gt;&lt;u&gt;http://ajp.psychiatryonline.org/data/Journals/AJP/926716/426.pdf&lt;/u&gt;&lt;/Web_URL&gt;&lt;ZZ_JournalFull&gt;&lt;f name="System"&gt;American Journal of Psychiatry&lt;/f&gt;&lt;/ZZ_JournalFull&gt;&lt;ZZ_JournalStdAbbrev&gt;&lt;f name="System"&gt;Am.J.Psychiatry&lt;/f&gt;&lt;/ZZ_JournalStdAbbrev&gt;&lt;ZZ_WorkformID&gt;1&lt;/ZZ_WorkformID&gt;&lt;/MDL&gt;&lt;/Cite&gt;&lt;/Refman&gt;</w:instrText>
      </w:r>
      <w:r w:rsidR="008C5880">
        <w:fldChar w:fldCharType="separate"/>
      </w:r>
      <w:r w:rsidR="008C5880">
        <w:rPr>
          <w:noProof/>
        </w:rPr>
        <w:t>[7]</w:t>
      </w:r>
      <w:r w:rsidR="008C5880">
        <w:fldChar w:fldCharType="end"/>
      </w:r>
      <w:r>
        <w:t xml:space="preserve">. They were also matched for ethnicity, although there was a significant </w:t>
      </w:r>
      <w:r>
        <w:lastRenderedPageBreak/>
        <w:t xml:space="preserve">difference in </w:t>
      </w:r>
      <w:r w:rsidR="00076787">
        <w:t>a</w:t>
      </w:r>
      <w:r>
        <w:t>ge (t</w:t>
      </w:r>
      <w:r w:rsidR="007E5E47">
        <w:rPr>
          <w:vertAlign w:val="subscript"/>
        </w:rPr>
        <w:t>46</w:t>
      </w:r>
      <w:r>
        <w:t>=4.4, p&lt;0.0001), but not BMI (t</w:t>
      </w:r>
      <w:r w:rsidR="007C7987" w:rsidRPr="007C7987">
        <w:rPr>
          <w:kern w:val="24"/>
          <w:vertAlign w:val="subscript"/>
        </w:rPr>
        <w:t>35</w:t>
      </w:r>
      <w:r>
        <w:t>=1.</w:t>
      </w:r>
      <w:r w:rsidR="003F3A84">
        <w:t>3</w:t>
      </w:r>
      <w:r w:rsidR="007C7987">
        <w:t>9</w:t>
      </w:r>
      <w:r>
        <w:t>, p=0.</w:t>
      </w:r>
      <w:r w:rsidR="007C7987">
        <w:t>173</w:t>
      </w:r>
      <w:r>
        <w:t xml:space="preserve">). The difference in age range was within 10 years, due to the fact that women with PMDD seek help at a later age than </w:t>
      </w:r>
      <w:r w:rsidR="00076787">
        <w:t xml:space="preserve">the </w:t>
      </w:r>
      <w:r>
        <w:t xml:space="preserve">women </w:t>
      </w:r>
      <w:r w:rsidR="00076787">
        <w:t xml:space="preserve">volunteering to participate </w:t>
      </w:r>
      <w:r w:rsidR="00F07134">
        <w:t xml:space="preserve">as </w:t>
      </w:r>
      <w:r w:rsidR="00960F65">
        <w:t>C</w:t>
      </w:r>
      <w:r w:rsidR="00F07134">
        <w:t>ontrols</w:t>
      </w:r>
      <w:r>
        <w:t>; this difference is statistically significant, but not necessarily biologically relevant, particularly for the generation of lymphoblastoid cell lines.</w:t>
      </w:r>
    </w:p>
    <w:p w14:paraId="6D8B54F6" w14:textId="77777777" w:rsidR="002131AD" w:rsidRDefault="002131AD" w:rsidP="002131AD">
      <w:pPr>
        <w:spacing w:line="480" w:lineRule="auto"/>
        <w:ind w:firstLine="720"/>
      </w:pPr>
    </w:p>
    <w:p w14:paraId="15475B5A" w14:textId="17A5EDBB" w:rsidR="002131AD" w:rsidRPr="003A11A0" w:rsidRDefault="002131AD" w:rsidP="002131AD">
      <w:pPr>
        <w:spacing w:line="480" w:lineRule="auto"/>
        <w:ind w:firstLine="720"/>
      </w:pPr>
      <w:r w:rsidRPr="00B91725">
        <w:rPr>
          <w:b/>
          <w:i/>
        </w:rPr>
        <w:t xml:space="preserve">Experimental </w:t>
      </w:r>
      <w:r w:rsidR="00CA61F0">
        <w:rPr>
          <w:b/>
          <w:i/>
        </w:rPr>
        <w:t>selection</w:t>
      </w:r>
      <w:r w:rsidRPr="00B91725">
        <w:rPr>
          <w:b/>
          <w:i/>
        </w:rPr>
        <w:t xml:space="preserve"> of LCLs:</w:t>
      </w:r>
      <w:r>
        <w:t xml:space="preserve"> To demonstrate that lymphoblastoid cells express the machinery to respond to estradiol and progesterone, a subset of 15 cell lines from Group 3 and </w:t>
      </w:r>
      <w:r w:rsidRPr="003A11A0">
        <w:t xml:space="preserve">15 cell lines from Group 4 were examined for mRNA expression by qRT-PCR (custom TaqMan primers, catalog number 4331182: </w:t>
      </w:r>
      <w:r w:rsidRPr="003A11A0">
        <w:rPr>
          <w:i/>
        </w:rPr>
        <w:t>ESR1</w:t>
      </w:r>
      <w:r w:rsidRPr="003A11A0">
        <w:t xml:space="preserve"> [Hs00174860_m1], </w:t>
      </w:r>
      <w:r w:rsidRPr="003A11A0">
        <w:rPr>
          <w:i/>
        </w:rPr>
        <w:t>ESR2</w:t>
      </w:r>
      <w:r w:rsidRPr="003A11A0">
        <w:t xml:space="preserve"> [HS00230957_m1)], </w:t>
      </w:r>
      <w:r w:rsidR="002D18DB" w:rsidRPr="002D18DB">
        <w:rPr>
          <w:i/>
        </w:rPr>
        <w:t>PR</w:t>
      </w:r>
      <w:r w:rsidR="002D18DB">
        <w:t xml:space="preserve"> [HS00172183_m1], </w:t>
      </w:r>
      <w:r w:rsidRPr="003A11A0">
        <w:rPr>
          <w:i/>
        </w:rPr>
        <w:t xml:space="preserve">PGRMC1 </w:t>
      </w:r>
      <w:r w:rsidRPr="003A11A0">
        <w:t xml:space="preserve">[Hs00998344_m1] and </w:t>
      </w:r>
      <w:r w:rsidRPr="003A11A0">
        <w:rPr>
          <w:i/>
        </w:rPr>
        <w:t>PGRMC2</w:t>
      </w:r>
      <w:r w:rsidRPr="003A11A0">
        <w:t xml:space="preserve"> [Hs001128672_m1]).  </w:t>
      </w:r>
      <w:r w:rsidRPr="003A11A0">
        <w:rPr>
          <w:bCs/>
        </w:rPr>
        <w:t xml:space="preserve">Experimental results are seen in Figure </w:t>
      </w:r>
      <w:r w:rsidR="00B732A1">
        <w:rPr>
          <w:bCs/>
        </w:rPr>
        <w:t>1</w:t>
      </w:r>
      <w:r w:rsidRPr="003A11A0">
        <w:rPr>
          <w:bCs/>
        </w:rPr>
        <w:t>.</w:t>
      </w:r>
    </w:p>
    <w:p w14:paraId="6D885A71" w14:textId="546EC4BA" w:rsidR="002131AD" w:rsidRDefault="002131AD" w:rsidP="002131AD">
      <w:pPr>
        <w:spacing w:line="480" w:lineRule="auto"/>
      </w:pPr>
      <w:r w:rsidRPr="003A11A0">
        <w:tab/>
        <w:t xml:space="preserve">All RNA sequencing experiments were performed with cell lines (untreated or hormone treated) from the focus set (Groups 1 and 2).  Experimental results are seen in Figures </w:t>
      </w:r>
      <w:r w:rsidR="0084162E">
        <w:t>1</w:t>
      </w:r>
      <w:r w:rsidRPr="003A11A0">
        <w:t>, 3, S</w:t>
      </w:r>
      <w:r w:rsidR="006B548D" w:rsidRPr="003A11A0">
        <w:t>1</w:t>
      </w:r>
      <w:r w:rsidRPr="003A11A0">
        <w:t>-</w:t>
      </w:r>
      <w:r w:rsidR="006B548D" w:rsidRPr="003A11A0">
        <w:t>3</w:t>
      </w:r>
      <w:r w:rsidRPr="003A11A0">
        <w:t>, and Tables 2, S2-7, OL1, and OL2.</w:t>
      </w:r>
    </w:p>
    <w:p w14:paraId="23029D95" w14:textId="55E39A75" w:rsidR="002131AD" w:rsidRDefault="002131AD" w:rsidP="002131AD">
      <w:pPr>
        <w:spacing w:line="480" w:lineRule="auto"/>
      </w:pPr>
      <w:r>
        <w:tab/>
        <w:t xml:space="preserve">Protein expression analyses to confirm differences in mRNA expression for the 4 hormone receptors and </w:t>
      </w:r>
      <w:r w:rsidRPr="003A11A0">
        <w:t xml:space="preserve">select genes of the ESC/E(Z) complex were performed with 7 cell lines each from the focus set (Groups 1 and 2).  Experimental results are seen in Figures </w:t>
      </w:r>
      <w:r w:rsidR="0084162E">
        <w:t>1</w:t>
      </w:r>
      <w:r w:rsidRPr="003A11A0">
        <w:t xml:space="preserve"> and S</w:t>
      </w:r>
      <w:r w:rsidR="006B548D" w:rsidRPr="003A11A0">
        <w:t>2</w:t>
      </w:r>
      <w:r w:rsidRPr="003A11A0">
        <w:t>, primary antibody information is in Table S1.</w:t>
      </w:r>
    </w:p>
    <w:p w14:paraId="366432C6" w14:textId="56E75C33" w:rsidR="002131AD" w:rsidRDefault="002131AD" w:rsidP="002131AD">
      <w:pPr>
        <w:spacing w:line="480" w:lineRule="auto"/>
        <w:rPr>
          <w:bCs/>
          <w:iCs/>
          <w:u w:val="single"/>
        </w:rPr>
      </w:pPr>
      <w:r>
        <w:tab/>
        <w:t xml:space="preserve">Validation and independent replication of mRNA expression for genes of the ESC/E(Z) complex were performed by gene-specific qRT-PCR TaqMan assays in the larger replication set of cell lines (Groups 3 and 4).  Custom TaqMan primers, catalog number 4331182: </w:t>
      </w:r>
      <w:r w:rsidRPr="00256F70">
        <w:rPr>
          <w:i/>
        </w:rPr>
        <w:t>AEBP2</w:t>
      </w:r>
      <w:r w:rsidRPr="00256F70">
        <w:t xml:space="preserve"> [</w:t>
      </w:r>
      <w:r w:rsidRPr="00256F70">
        <w:rPr>
          <w:rFonts w:eastAsia="Times New Roman"/>
          <w:kern w:val="0"/>
          <w:lang w:eastAsia="en-US"/>
        </w:rPr>
        <w:t>Hs00299233_m1</w:t>
      </w:r>
      <w:r>
        <w:rPr>
          <w:rFonts w:eastAsia="Times New Roman"/>
          <w:kern w:val="0"/>
          <w:lang w:eastAsia="en-US"/>
        </w:rPr>
        <w:t xml:space="preserve">], </w:t>
      </w:r>
      <w:r w:rsidRPr="00256F70">
        <w:rPr>
          <w:i/>
        </w:rPr>
        <w:t>EED</w:t>
      </w:r>
      <w:r w:rsidRPr="00256F70">
        <w:t xml:space="preserve"> [</w:t>
      </w:r>
      <w:r w:rsidRPr="00256F70">
        <w:rPr>
          <w:rFonts w:eastAsia="Times New Roman"/>
          <w:kern w:val="0"/>
          <w:lang w:eastAsia="en-US"/>
        </w:rPr>
        <w:t>Hs00537777_m1</w:t>
      </w:r>
      <w:r>
        <w:t xml:space="preserve">], </w:t>
      </w:r>
      <w:r w:rsidRPr="00256F70">
        <w:rPr>
          <w:i/>
        </w:rPr>
        <w:t>EZH1</w:t>
      </w:r>
      <w:r w:rsidRPr="00256F70">
        <w:t xml:space="preserve"> [</w:t>
      </w:r>
      <w:r w:rsidRPr="00256F70">
        <w:rPr>
          <w:rFonts w:eastAsia="Times New Roman"/>
          <w:kern w:val="0"/>
          <w:lang w:eastAsia="en-US"/>
        </w:rPr>
        <w:t>Hs00940463_m1],</w:t>
      </w:r>
      <w:r>
        <w:rPr>
          <w:rFonts w:eastAsia="Times New Roman"/>
          <w:kern w:val="0"/>
          <w:lang w:eastAsia="en-US"/>
        </w:rPr>
        <w:t xml:space="preserve"> </w:t>
      </w:r>
      <w:r w:rsidRPr="00256F70">
        <w:rPr>
          <w:i/>
        </w:rPr>
        <w:t>EZH2</w:t>
      </w:r>
      <w:r w:rsidRPr="00256F70">
        <w:t xml:space="preserve"> [</w:t>
      </w:r>
      <w:r w:rsidRPr="00256F70">
        <w:rPr>
          <w:rFonts w:eastAsia="Times New Roman"/>
          <w:kern w:val="0"/>
          <w:lang w:eastAsia="en-US"/>
        </w:rPr>
        <w:t>Hs01016789_m1],</w:t>
      </w:r>
      <w:r>
        <w:rPr>
          <w:rFonts w:eastAsia="Times New Roman"/>
          <w:kern w:val="0"/>
          <w:lang w:eastAsia="en-US"/>
        </w:rPr>
        <w:t xml:space="preserve"> </w:t>
      </w:r>
      <w:r w:rsidRPr="00256F70">
        <w:rPr>
          <w:i/>
        </w:rPr>
        <w:t>HDAC2</w:t>
      </w:r>
      <w:r w:rsidRPr="00256F70">
        <w:t xml:space="preserve"> [</w:t>
      </w:r>
      <w:r w:rsidRPr="00256F70">
        <w:rPr>
          <w:rFonts w:eastAsia="Times New Roman"/>
          <w:kern w:val="0"/>
          <w:lang w:eastAsia="en-US"/>
        </w:rPr>
        <w:t>Hs00231032_m1],</w:t>
      </w:r>
      <w:r>
        <w:rPr>
          <w:rFonts w:eastAsia="Times New Roman"/>
          <w:kern w:val="0"/>
          <w:lang w:eastAsia="en-US"/>
        </w:rPr>
        <w:t xml:space="preserve"> </w:t>
      </w:r>
      <w:r w:rsidRPr="00256F70">
        <w:rPr>
          <w:i/>
        </w:rPr>
        <w:t>JARID2</w:t>
      </w:r>
      <w:r w:rsidRPr="00256F70">
        <w:t xml:space="preserve"> [</w:t>
      </w:r>
      <w:r w:rsidRPr="00256F70">
        <w:rPr>
          <w:rFonts w:eastAsia="Times New Roman"/>
          <w:kern w:val="0"/>
          <w:lang w:eastAsia="en-US"/>
        </w:rPr>
        <w:t>Hs01004460_m1],</w:t>
      </w:r>
      <w:r>
        <w:rPr>
          <w:rFonts w:eastAsia="Times New Roman"/>
          <w:kern w:val="0"/>
          <w:lang w:eastAsia="en-US"/>
        </w:rPr>
        <w:t xml:space="preserve"> </w:t>
      </w:r>
      <w:r w:rsidRPr="00256F70">
        <w:rPr>
          <w:i/>
        </w:rPr>
        <w:t>MTF2</w:t>
      </w:r>
      <w:r w:rsidRPr="00256F70">
        <w:t xml:space="preserve"> </w:t>
      </w:r>
      <w:r w:rsidRPr="00256F70">
        <w:lastRenderedPageBreak/>
        <w:t>[</w:t>
      </w:r>
      <w:r w:rsidRPr="00256F70">
        <w:rPr>
          <w:rFonts w:eastAsia="Times New Roman"/>
          <w:kern w:val="0"/>
          <w:lang w:eastAsia="en-US"/>
        </w:rPr>
        <w:t>Hs00980938_m1],</w:t>
      </w:r>
      <w:r>
        <w:rPr>
          <w:rFonts w:eastAsia="Times New Roman"/>
          <w:kern w:val="0"/>
          <w:lang w:eastAsia="en-US"/>
        </w:rPr>
        <w:t xml:space="preserve"> </w:t>
      </w:r>
      <w:r w:rsidRPr="00256F70">
        <w:rPr>
          <w:i/>
        </w:rPr>
        <w:t>PHF1</w:t>
      </w:r>
      <w:r w:rsidRPr="00256F70">
        <w:t xml:space="preserve"> [</w:t>
      </w:r>
      <w:r w:rsidRPr="00256F70">
        <w:rPr>
          <w:rFonts w:eastAsia="Times New Roman"/>
          <w:kern w:val="0"/>
          <w:lang w:eastAsia="en-US"/>
        </w:rPr>
        <w:t>Hs00984678_g1],</w:t>
      </w:r>
      <w:r>
        <w:rPr>
          <w:rFonts w:eastAsia="Times New Roman"/>
          <w:kern w:val="0"/>
          <w:lang w:eastAsia="en-US"/>
        </w:rPr>
        <w:t xml:space="preserve"> </w:t>
      </w:r>
      <w:r w:rsidRPr="00256F70">
        <w:rPr>
          <w:i/>
        </w:rPr>
        <w:t>RBBP4</w:t>
      </w:r>
      <w:r w:rsidRPr="00256F70">
        <w:t xml:space="preserve"> [</w:t>
      </w:r>
      <w:r w:rsidRPr="00256F70">
        <w:rPr>
          <w:rFonts w:eastAsia="Times New Roman"/>
          <w:kern w:val="0"/>
          <w:lang w:eastAsia="en-US"/>
        </w:rPr>
        <w:t>Hs01568507_g1],</w:t>
      </w:r>
      <w:r>
        <w:rPr>
          <w:rFonts w:eastAsia="Times New Roman"/>
          <w:kern w:val="0"/>
          <w:lang w:eastAsia="en-US"/>
        </w:rPr>
        <w:t xml:space="preserve"> </w:t>
      </w:r>
      <w:r w:rsidRPr="00256F70">
        <w:rPr>
          <w:i/>
        </w:rPr>
        <w:t>RBBP7</w:t>
      </w:r>
      <w:r w:rsidRPr="00256F70">
        <w:t xml:space="preserve"> </w:t>
      </w:r>
      <w:r w:rsidRPr="003A11A0">
        <w:t>[</w:t>
      </w:r>
      <w:r w:rsidRPr="003A11A0">
        <w:rPr>
          <w:rFonts w:eastAsia="Times New Roman"/>
          <w:kern w:val="0"/>
          <w:lang w:eastAsia="en-US"/>
        </w:rPr>
        <w:t xml:space="preserve">Hs00171476_m1], </w:t>
      </w:r>
      <w:r w:rsidRPr="003A11A0">
        <w:rPr>
          <w:i/>
        </w:rPr>
        <w:t>SIRT1</w:t>
      </w:r>
      <w:r w:rsidRPr="003A11A0">
        <w:t xml:space="preserve"> [</w:t>
      </w:r>
      <w:r w:rsidRPr="003A11A0">
        <w:rPr>
          <w:rFonts w:eastAsia="Times New Roman"/>
          <w:kern w:val="0"/>
          <w:lang w:eastAsia="en-US"/>
        </w:rPr>
        <w:t xml:space="preserve">Hs01009005_m1], </w:t>
      </w:r>
      <w:r w:rsidRPr="003A11A0">
        <w:rPr>
          <w:i/>
        </w:rPr>
        <w:t>SUZ12</w:t>
      </w:r>
      <w:r w:rsidRPr="003A11A0">
        <w:t xml:space="preserve"> [</w:t>
      </w:r>
      <w:r w:rsidRPr="003A11A0">
        <w:rPr>
          <w:rFonts w:eastAsia="Times New Roman"/>
          <w:kern w:val="0"/>
          <w:lang w:eastAsia="en-US"/>
        </w:rPr>
        <w:t xml:space="preserve">Hs00248742_m1].  </w:t>
      </w:r>
      <w:r w:rsidRPr="003A11A0">
        <w:rPr>
          <w:bCs/>
          <w:iCs/>
        </w:rPr>
        <w:t xml:space="preserve">Experimental results are seen in Figures </w:t>
      </w:r>
      <w:r w:rsidR="0084162E">
        <w:rPr>
          <w:bCs/>
          <w:iCs/>
        </w:rPr>
        <w:t>1</w:t>
      </w:r>
      <w:r w:rsidRPr="003A11A0">
        <w:rPr>
          <w:bCs/>
          <w:iCs/>
        </w:rPr>
        <w:t xml:space="preserve"> and S</w:t>
      </w:r>
      <w:r w:rsidR="006B548D" w:rsidRPr="003A11A0">
        <w:rPr>
          <w:bCs/>
          <w:iCs/>
        </w:rPr>
        <w:t>2</w:t>
      </w:r>
      <w:r w:rsidRPr="003A11A0">
        <w:rPr>
          <w:bCs/>
          <w:iCs/>
        </w:rPr>
        <w:t>.</w:t>
      </w:r>
    </w:p>
    <w:p w14:paraId="3CFCA102" w14:textId="77777777" w:rsidR="002131AD" w:rsidRPr="00A15675" w:rsidRDefault="002131AD" w:rsidP="002131AD">
      <w:pPr>
        <w:spacing w:line="240" w:lineRule="auto"/>
        <w:rPr>
          <w:b/>
          <w:bCs/>
          <w:iCs/>
        </w:rPr>
      </w:pPr>
    </w:p>
    <w:p w14:paraId="42B9A3B7" w14:textId="77777777" w:rsidR="002131AD" w:rsidRPr="00D93B99" w:rsidRDefault="002131AD" w:rsidP="002131AD">
      <w:pPr>
        <w:spacing w:line="480" w:lineRule="auto"/>
        <w:rPr>
          <w:b/>
          <w:bCs/>
          <w:iCs/>
          <w:color w:val="auto"/>
        </w:rPr>
      </w:pPr>
      <w:r w:rsidRPr="00D93B99">
        <w:rPr>
          <w:b/>
          <w:bCs/>
          <w:iCs/>
          <w:color w:val="auto"/>
        </w:rPr>
        <w:t>Culturing and hormone treatments of lymphoblastoid cell cultures</w:t>
      </w:r>
    </w:p>
    <w:p w14:paraId="5D9FB5F3" w14:textId="3BC0E4CE" w:rsidR="007F03DB" w:rsidRDefault="002131AD" w:rsidP="007F03DB">
      <w:pPr>
        <w:spacing w:line="480" w:lineRule="auto"/>
        <w:ind w:firstLine="720"/>
      </w:pPr>
      <w:r>
        <w:t xml:space="preserve">EBV-transformed lymphoblastoid cell lines were made from peripheral blood as described previously </w:t>
      </w:r>
      <w:r w:rsidR="008C5880">
        <w:fldChar w:fldCharType="begin">
          <w:fldData xml:space="preserve">PFJlZm1hbj48Q2l0ZT48QXV0aG9yPk9oPC9BdXRob3I+PFllYXI+MjAwMzwvWWVhcj48UmVjTnVt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</w:fldData>
        </w:fldChar>
      </w:r>
      <w:r w:rsidR="008C5880">
        <w:instrText xml:space="preserve"> ADDIN REFMGR.CITE </w:instrText>
      </w:r>
      <w:r w:rsidR="008C5880">
        <w:fldChar w:fldCharType="begin">
          <w:fldData xml:space="preserve">PFJlZm1hbj48Q2l0ZT48QXV0aG9yPk9oPC9BdXRob3I+PFllYXI+MjAwMzwvWWVhcj48UmVjTnVt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</w:fldData>
        </w:fldChar>
      </w:r>
      <w:r w:rsidR="008C5880">
        <w:instrText xml:space="preserve"> ADDIN EN.CITE.DATA </w:instrText>
      </w:r>
      <w:r w:rsidR="008C5880">
        <w:fldChar w:fldCharType="end"/>
      </w:r>
      <w:r w:rsidR="008C5880">
        <w:fldChar w:fldCharType="separate"/>
      </w:r>
      <w:r w:rsidR="008C5880">
        <w:rPr>
          <w:noProof/>
        </w:rPr>
        <w:t>[8]</w:t>
      </w:r>
      <w:r w:rsidR="008C5880">
        <w:fldChar w:fldCharType="end"/>
      </w:r>
      <w:r>
        <w:t xml:space="preserve">), and cultured under identical conditions. </w:t>
      </w:r>
      <w:r w:rsidR="007F03DB">
        <w:t>Samples from PMDD and Control women were paired as often as possible, and treated the same throughout transformation, cell culture</w:t>
      </w:r>
      <w:r w:rsidR="006364B8">
        <w:t>,</w:t>
      </w:r>
      <w:r w:rsidR="007F03DB">
        <w:t xml:space="preserve"> and experiments to avoid any possible group differences between diagnosis or hormone exposure.</w:t>
      </w:r>
    </w:p>
    <w:p w14:paraId="66CA8316" w14:textId="2360778F" w:rsidR="002131AD" w:rsidRDefault="007F03DB" w:rsidP="007F03DB">
      <w:pPr>
        <w:spacing w:line="480" w:lineRule="auto"/>
        <w:ind w:firstLine="720"/>
      </w:pPr>
      <w:r>
        <w:t xml:space="preserve">Upon receipt of each blood sample, PBMCs were separated, transformed with EBV, grown, and frozen away, requiring 4-8 weeks in total. At the time of each experiment, selected cell lines were brought out of freeze-away and grown until there were enough cells to fill 4 T25 flasks (see below). All of these steps were completed by the same investigator, following the same protocol. All LCL’s were maintained for &gt;300 generations (cell doublings) prior to analyses. </w:t>
      </w:r>
      <w:r w:rsidR="002131AD">
        <w:t>LCLs were cultured in 15-cm</w:t>
      </w:r>
      <w:r w:rsidR="002131AD">
        <w:rPr>
          <w:vertAlign w:val="superscript"/>
        </w:rPr>
        <w:t>2</w:t>
      </w:r>
      <w:r w:rsidR="002131AD">
        <w:t xml:space="preserve"> flasks with RPMI containing 15% fetal bovine serum (FBS), 2% 200-mM glutamine, and 1% gentamicin (5 mg/ml) at 37°C, with 5% CO</w:t>
      </w:r>
      <w:r w:rsidR="002131AD">
        <w:rPr>
          <w:vertAlign w:val="subscript"/>
        </w:rPr>
        <w:t>2</w:t>
      </w:r>
      <w:r w:rsidR="002131AD">
        <w:t xml:space="preserve">. Phenol red has been shown to have estrogen-like activity, and normal FBS contains 8 ng/100 ml progesterone </w:t>
      </w:r>
      <w:r w:rsidR="008C5880">
        <w:rPr>
          <w:rStyle w:val="apple-converted-space"/>
        </w:rPr>
        <w:fldChar w:fldCharType="begin">
          <w:fldData xml:space="preserve">PFJlZm1hbj48Q2l0ZT48QXV0aG9yPkdhcmNpYS1Hb256YWxvPC9BdXRob3I+PFllYXI+MjAwODwv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</w:fldData>
        </w:fldChar>
      </w:r>
      <w:r w:rsidR="008C5880">
        <w:rPr>
          <w:rStyle w:val="apple-converted-space"/>
        </w:rPr>
        <w:instrText xml:space="preserve"> ADDIN REFMGR.CITE </w:instrText>
      </w:r>
      <w:r w:rsidR="008C5880">
        <w:rPr>
          <w:rStyle w:val="apple-converted-space"/>
        </w:rPr>
        <w:fldChar w:fldCharType="begin">
          <w:fldData xml:space="preserve">PFJlZm1hbj48Q2l0ZT48QXV0aG9yPkdhcmNpYS1Hb256YWxvPC9BdXRob3I+PFllYXI+MjAwODwv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</w:fldData>
        </w:fldChar>
      </w:r>
      <w:r w:rsidR="008C5880">
        <w:rPr>
          <w:rStyle w:val="apple-converted-space"/>
        </w:rPr>
        <w:instrText xml:space="preserve"> ADDIN EN.CITE.DATA </w:instrText>
      </w:r>
      <w:r w:rsidR="008C5880">
        <w:rPr>
          <w:rStyle w:val="apple-converted-space"/>
        </w:rPr>
      </w:r>
      <w:r w:rsidR="008C5880">
        <w:rPr>
          <w:rStyle w:val="apple-converted-space"/>
        </w:rPr>
        <w:fldChar w:fldCharType="end"/>
      </w:r>
      <w:r w:rsidR="008C5880">
        <w:rPr>
          <w:rStyle w:val="apple-converted-space"/>
        </w:rPr>
      </w:r>
      <w:r w:rsidR="008C5880">
        <w:rPr>
          <w:rStyle w:val="apple-converted-space"/>
        </w:rPr>
        <w:fldChar w:fldCharType="separate"/>
      </w:r>
      <w:r w:rsidR="008C5880">
        <w:rPr>
          <w:rStyle w:val="apple-converted-space"/>
          <w:noProof/>
        </w:rPr>
        <w:t>[9]</w:t>
      </w:r>
      <w:r w:rsidR="008C5880">
        <w:rPr>
          <w:rStyle w:val="apple-converted-space"/>
        </w:rPr>
        <w:fldChar w:fldCharType="end"/>
      </w:r>
      <w:r w:rsidR="002131AD">
        <w:rPr>
          <w:rStyle w:val="apple-converted-space"/>
        </w:rPr>
        <w:t xml:space="preserve">, so for a minimum of 3-5 days before hormone exposure cells were cultured in a sex steroid-free growth medium of </w:t>
      </w:r>
      <w:r w:rsidR="002131AD">
        <w:t>phenol red-free RPMI 1640 media (Gibco, Cat. no. 11835-055), supplemented with 15% knock out serum (KOSR) (estrogen-depleted) [Gibco, Cat. no. 10828-028] + 2% glutamine (200-mM), and 1% gentamicin (5 mg/ml) to reduce possible exposure to steroid-like activity prior to experimental exposure.</w:t>
      </w:r>
      <w:r w:rsidR="002131AD" w:rsidRPr="00B451D3">
        <w:t xml:space="preserve"> </w:t>
      </w:r>
      <w:r w:rsidR="002131AD">
        <w:t xml:space="preserve">When the number of cells </w:t>
      </w:r>
      <w:r w:rsidR="002131AD">
        <w:lastRenderedPageBreak/>
        <w:t>reached 1×10</w:t>
      </w:r>
      <w:r w:rsidR="002131AD">
        <w:rPr>
          <w:vertAlign w:val="superscript"/>
        </w:rPr>
        <w:t>6</w:t>
      </w:r>
      <w:r w:rsidR="002131AD">
        <w:t xml:space="preserve"> cells/mL, we seeded cells from each cell line at 2×10</w:t>
      </w:r>
      <w:r w:rsidR="002131AD">
        <w:rPr>
          <w:rStyle w:val="apple-converted-space"/>
        </w:rPr>
        <w:t> </w:t>
      </w:r>
      <w:r w:rsidR="002131AD">
        <w:rPr>
          <w:vertAlign w:val="superscript"/>
        </w:rPr>
        <w:t>5</w:t>
      </w:r>
      <w:r w:rsidR="002131AD">
        <w:rPr>
          <w:rStyle w:val="apple-converted-space"/>
        </w:rPr>
        <w:t> </w:t>
      </w:r>
      <w:r w:rsidR="002131AD">
        <w:t>cells/mL in new T25 flasks and grown again to 1x10</w:t>
      </w:r>
      <w:r w:rsidR="002131AD">
        <w:rPr>
          <w:vertAlign w:val="superscript"/>
        </w:rPr>
        <w:t>6</w:t>
      </w:r>
      <w:r w:rsidR="002131AD">
        <w:t xml:space="preserve"> cells/mL, then pelleted and stored at -80°C until use.</w:t>
      </w:r>
    </w:p>
    <w:p w14:paraId="0213DA82" w14:textId="21F2D9E9" w:rsidR="002131AD" w:rsidRDefault="002131AD" w:rsidP="002131AD">
      <w:pPr>
        <w:spacing w:line="480" w:lineRule="auto"/>
        <w:ind w:firstLine="720"/>
        <w:rPr>
          <w:b/>
          <w:bCs/>
          <w:iCs/>
        </w:rPr>
      </w:pPr>
      <w:r>
        <w:t xml:space="preserve">To examine the regulation of ESC/E(Z) complex genes and target genes implicated in the </w:t>
      </w:r>
      <w:r w:rsidR="00F6243B">
        <w:t>untreated</w:t>
      </w:r>
      <w:r>
        <w:t xml:space="preserve"> transcriptome study we exposed  LCLs to physiologically  relevant concentrations of E2 and P4</w:t>
      </w:r>
      <w:r w:rsidR="00942B47">
        <w:t xml:space="preserve"> (i.e., nanomolar concentrations of ovarian steroids comparable to those a woman would be exposed to across the normal menstrual cycle)</w:t>
      </w:r>
      <w:r>
        <w:t xml:space="preserve">. </w:t>
      </w:r>
      <w:r>
        <w:rPr>
          <w:rStyle w:val="apple-converted-space"/>
        </w:rPr>
        <w:t>LCLs</w:t>
      </w:r>
      <w:r>
        <w:t xml:space="preserve"> were grown in sex steroid-free growth medium without phenol red and supplemented with 15% KOSR for a minimum of 3-5 days, after which either E2 (Sigma-Aldrich, cat no. E2758-5G) or P4 (4-Pregnene-3, 20-dione, Sigma-Aldrich, cat no. P8783-25 G) were added for a final concentration of 10</w:t>
      </w:r>
      <w:r>
        <w:rPr>
          <w:vertAlign w:val="superscript"/>
        </w:rPr>
        <w:t>-7</w:t>
      </w:r>
      <w:r>
        <w:t>M (100 nmol) on the 6</w:t>
      </w:r>
      <w:r>
        <w:rPr>
          <w:vertAlign w:val="superscript"/>
        </w:rPr>
        <w:t>th</w:t>
      </w:r>
      <w:r>
        <w:t xml:space="preserve"> day. Total exposure was 24 hours. Concentrations of ovarian steroids and exposure interval were based on published, in vivo, studies </w:t>
      </w:r>
      <w:r w:rsidR="008C5880">
        <w:fldChar w:fldCharType="begin">
          <w:fldData xml:space="preserve">PFJlZm1hbj48Q2l0ZT48QXV0aG9yPlZpbGxhYmxhbmNhPC9BdXRob3I+PFllYXI+MjAwMjwvWWVh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</w:fldData>
        </w:fldChar>
      </w:r>
      <w:r w:rsidR="008C5880">
        <w:instrText xml:space="preserve"> ADDIN REFMGR.CITE </w:instrText>
      </w:r>
      <w:r w:rsidR="008C5880">
        <w:fldChar w:fldCharType="begin">
          <w:fldData xml:space="preserve">PFJlZm1hbj48Q2l0ZT48QXV0aG9yPlZpbGxhYmxhbmNhPC9BdXRob3I+PFllYXI+MjAwMjwvWWVh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</w:fldData>
        </w:fldChar>
      </w:r>
      <w:r w:rsidR="008C5880">
        <w:instrText xml:space="preserve"> ADDIN EN.CITE.DATA </w:instrText>
      </w:r>
      <w:r w:rsidR="008C5880">
        <w:fldChar w:fldCharType="end"/>
      </w:r>
      <w:r w:rsidR="008C5880">
        <w:fldChar w:fldCharType="separate"/>
      </w:r>
      <w:r w:rsidR="008C5880">
        <w:rPr>
          <w:noProof/>
        </w:rPr>
        <w:t>[10]</w:t>
      </w:r>
      <w:r w:rsidR="008C5880">
        <w:fldChar w:fldCharType="end"/>
      </w:r>
      <w:r>
        <w:t>.</w:t>
      </w:r>
    </w:p>
    <w:p w14:paraId="4EB255D6" w14:textId="77777777" w:rsidR="002131AD" w:rsidRDefault="002131AD" w:rsidP="002131AD">
      <w:pPr>
        <w:spacing w:line="240" w:lineRule="auto"/>
        <w:rPr>
          <w:b/>
          <w:bCs/>
          <w:iCs/>
        </w:rPr>
      </w:pPr>
    </w:p>
    <w:p w14:paraId="2A93DDD2" w14:textId="77777777" w:rsidR="002131AD" w:rsidRDefault="002131AD" w:rsidP="002131AD">
      <w:pPr>
        <w:spacing w:line="480" w:lineRule="auto"/>
        <w:rPr>
          <w:b/>
          <w:bCs/>
          <w:iCs/>
        </w:rPr>
      </w:pPr>
      <w:r>
        <w:rPr>
          <w:b/>
          <w:bCs/>
          <w:iCs/>
        </w:rPr>
        <w:t>RNA extraction</w:t>
      </w:r>
    </w:p>
    <w:p w14:paraId="05B17B10" w14:textId="77777777" w:rsidR="002131AD" w:rsidRDefault="002131AD" w:rsidP="002131AD">
      <w:pPr>
        <w:spacing w:line="480" w:lineRule="auto"/>
        <w:ind w:firstLine="720"/>
      </w:pPr>
      <w:r>
        <w:t>Total RNA was isolated from the cell pellets using TRIzol reagents (Life Technologies, Cat. no. 15596018) according to the manufacturer's instructions. The isolated RNA, between 5 and 10 micrograms, was treated with RNase-free DNase (Qiagen, Cat. no. 79254) to remove any traces of genomic DNA contamination. RNA was purified further using the RNeasy MinElute Cleanup kit (Qiagen, Cat. no. 74204). Quality assessment of the RNA was done by an Agilent® 2100 Bioanalyzer. This procedure produced high quality total RNA with A</w:t>
      </w:r>
      <w:r>
        <w:rPr>
          <w:vertAlign w:val="subscript"/>
        </w:rPr>
        <w:t>260</w:t>
      </w:r>
      <w:r>
        <w:t>/A</w:t>
      </w:r>
      <w:r>
        <w:rPr>
          <w:vertAlign w:val="subscript"/>
        </w:rPr>
        <w:t>280</w:t>
      </w:r>
      <w:r>
        <w:rPr>
          <w:rStyle w:val="apple-converted-space"/>
        </w:rPr>
        <w:t> </w:t>
      </w:r>
      <w:r>
        <w:t>ratio in the range of 1.8–2.0, and maintained high integrity of RNA as measured by an Agilent® 2100 Bioanalyzer (RIN&gt; 9.0).</w:t>
      </w:r>
    </w:p>
    <w:p w14:paraId="04CACA04" w14:textId="77777777" w:rsidR="002131AD" w:rsidRDefault="002131AD" w:rsidP="002131AD">
      <w:pPr>
        <w:spacing w:line="240" w:lineRule="auto"/>
        <w:rPr>
          <w:b/>
          <w:bCs/>
          <w:iCs/>
        </w:rPr>
      </w:pPr>
    </w:p>
    <w:p w14:paraId="72B4AD94" w14:textId="77777777" w:rsidR="002131AD" w:rsidRDefault="002131AD" w:rsidP="002131AD">
      <w:pPr>
        <w:spacing w:line="240" w:lineRule="auto"/>
        <w:rPr>
          <w:b/>
          <w:bCs/>
          <w:iCs/>
        </w:rPr>
      </w:pPr>
    </w:p>
    <w:p w14:paraId="4F1AD2D6" w14:textId="77777777" w:rsidR="009A339B" w:rsidRDefault="009A339B" w:rsidP="002131AD">
      <w:pPr>
        <w:spacing w:line="480" w:lineRule="auto"/>
        <w:rPr>
          <w:b/>
          <w:bCs/>
          <w:iCs/>
        </w:rPr>
      </w:pPr>
    </w:p>
    <w:p w14:paraId="53174D42" w14:textId="77777777" w:rsidR="009A339B" w:rsidRDefault="009A339B" w:rsidP="002131AD">
      <w:pPr>
        <w:spacing w:line="480" w:lineRule="auto"/>
        <w:rPr>
          <w:b/>
          <w:bCs/>
          <w:iCs/>
        </w:rPr>
      </w:pPr>
    </w:p>
    <w:p w14:paraId="1873F477" w14:textId="77777777" w:rsidR="002131AD" w:rsidRDefault="002131AD" w:rsidP="002131AD">
      <w:pPr>
        <w:spacing w:line="480" w:lineRule="auto"/>
        <w:rPr>
          <w:b/>
          <w:bCs/>
          <w:iCs/>
        </w:rPr>
      </w:pPr>
      <w:r>
        <w:rPr>
          <w:b/>
          <w:bCs/>
          <w:iCs/>
        </w:rPr>
        <w:lastRenderedPageBreak/>
        <w:t>Whole-transcriptome RNA sequencing using an Illumina Genome Analyzer (GAIIx)</w:t>
      </w:r>
    </w:p>
    <w:p w14:paraId="337629B6" w14:textId="3145034F" w:rsidR="002131AD" w:rsidRDefault="002131AD" w:rsidP="002131AD">
      <w:pPr>
        <w:spacing w:line="480" w:lineRule="auto"/>
        <w:ind w:firstLine="720"/>
      </w:pPr>
      <w:r>
        <w:t>Total RNA was used to prepare cDNA libraries using the Ambion RNA- seq library construction kit (Invitrogen cat no.4454073). First, samples were depleted of ribosomal RNA (rRNA) by two rounds of passage of 10 μg of total RNA using the RiboMinus Eukaryote Kit for RNA, from invitrogen, Cat. no. A1083708, and the RiboMinus Concentration Module from invitrogen, Cat. no. K1550-05). 300 ng rRNA-depleted total RNA was treated with RNase III to generate 100- to 200-nt fragments, hybridized, ligated with Ambion Adaptor Mix, reverse-transcribed, size-selected, amplified, and purified using the Ambion RNA-seq library construction kit. Quality and size distributions of amplified libraries were assessed with 2100 expert software of Agilent® 2100 bioanalyzer. If less than 25% of the amplified DNA for each sample was in the 25-270 bp range, we proceeded with cluster generation in which each library template was attached to the flow cell and amplified to form clusters for sequencing on the GAIIx instrument.  Sequences of 36 base</w:t>
      </w:r>
      <w:r>
        <w:rPr>
          <w:rFonts w:ascii="Cambria Math" w:hAnsi="Cambria Math"/>
        </w:rPr>
        <w:t>‐</w:t>
      </w:r>
      <w:r>
        <w:t>pair single reads for RNA</w:t>
      </w:r>
      <w:r>
        <w:rPr>
          <w:rFonts w:ascii="Cambria Math" w:hAnsi="Cambria Math"/>
        </w:rPr>
        <w:t>‐</w:t>
      </w:r>
      <w:r>
        <w:t>Seq were called from image files with the Illumina GA pipeline and aligned to the human reference genome (UCSC hg19) using Extended Eland in CASAVA</w:t>
      </w:r>
      <w:r>
        <w:rPr>
          <w:rFonts w:ascii="Cambria Math" w:hAnsi="Cambria Math"/>
        </w:rPr>
        <w:t>‐</w:t>
      </w:r>
      <w:r>
        <w:t>1.8.1. An average of 17.7 million RNA</w:t>
      </w:r>
      <w:r>
        <w:rPr>
          <w:rFonts w:ascii="Cambria Math" w:hAnsi="Cambria Math"/>
        </w:rPr>
        <w:t>‐</w:t>
      </w:r>
      <w:r>
        <w:t>seq reads for each sample were retrieved and parsed with in</w:t>
      </w:r>
      <w:r>
        <w:rPr>
          <w:rFonts w:ascii="Cambria Math" w:hAnsi="Cambria Math"/>
        </w:rPr>
        <w:t>‐</w:t>
      </w:r>
      <w:r>
        <w:t xml:space="preserve">house Perl scripts to generate base coverage in WIG file format. Two separate RNA sequencing runs were performed: the first with untreated or E2-treated Control and PMDD cell lines, and the second with untreated or P4-treated Control and PMDD cell lines.  </w:t>
      </w:r>
      <w:r w:rsidR="00EB5479">
        <w:t>Five</w:t>
      </w:r>
      <w:r>
        <w:t xml:space="preserve"> Control cell lines and </w:t>
      </w:r>
      <w:r w:rsidR="00EB5479">
        <w:t>five</w:t>
      </w:r>
      <w:r>
        <w:t xml:space="preserve"> PMDD cell lines were the same in both runs, </w:t>
      </w:r>
      <w:r w:rsidR="003C254A">
        <w:t>and</w:t>
      </w:r>
      <w:r>
        <w:t xml:space="preserve"> RPKM values from the untreated Control and untreated PMDD samples </w:t>
      </w:r>
      <w:r w:rsidR="003A11A0">
        <w:t>with</w:t>
      </w:r>
      <w:r w:rsidR="002A07E7">
        <w:t>in</w:t>
      </w:r>
      <w:r>
        <w:t xml:space="preserve"> each RNA sequencing run were then combined across runs within their respective group for subsequent analyses of “</w:t>
      </w:r>
      <w:r w:rsidR="00F6243B">
        <w:t>untreated</w:t>
      </w:r>
      <w:r>
        <w:t>” condition</w:t>
      </w:r>
      <w:r w:rsidR="003C254A">
        <w:t xml:space="preserve"> to increase gene coverage</w:t>
      </w:r>
      <w:r>
        <w:t>.</w:t>
      </w:r>
    </w:p>
    <w:p w14:paraId="572AF299" w14:textId="77777777" w:rsidR="002131AD" w:rsidRDefault="002131AD" w:rsidP="002131AD">
      <w:pPr>
        <w:spacing w:line="480" w:lineRule="auto"/>
        <w:ind w:firstLine="720"/>
      </w:pPr>
    </w:p>
    <w:p w14:paraId="25A9BC5D" w14:textId="77777777" w:rsidR="002131AD" w:rsidRDefault="002131AD" w:rsidP="002131AD">
      <w:pPr>
        <w:spacing w:line="480" w:lineRule="auto"/>
        <w:rPr>
          <w:b/>
          <w:bCs/>
          <w:iCs/>
        </w:rPr>
      </w:pPr>
      <w:r>
        <w:rPr>
          <w:b/>
          <w:bCs/>
          <w:iCs/>
        </w:rPr>
        <w:lastRenderedPageBreak/>
        <w:t>Analysis of RNA sequencing data</w:t>
      </w:r>
    </w:p>
    <w:p w14:paraId="7BABFB05" w14:textId="77777777" w:rsidR="002131AD" w:rsidRPr="00390A86" w:rsidRDefault="002131AD" w:rsidP="002131AD">
      <w:pPr>
        <w:spacing w:line="480" w:lineRule="auto"/>
        <w:rPr>
          <w:bCs/>
          <w:iCs/>
        </w:rPr>
      </w:pPr>
      <w:r>
        <w:rPr>
          <w:b/>
          <w:bCs/>
          <w:iCs/>
        </w:rPr>
        <w:tab/>
      </w:r>
      <w:r w:rsidRPr="004A7AC5">
        <w:rPr>
          <w:b/>
          <w:bCs/>
          <w:i/>
          <w:iCs/>
        </w:rPr>
        <w:t>Mapping of sequencing reads:</w:t>
      </w:r>
      <w:r w:rsidRPr="004A7AC5">
        <w:t xml:space="preserve"> </w:t>
      </w:r>
      <w:r>
        <w:t xml:space="preserve">RNA seq reads, in SCARF format from Illumina pipeline CASAVA_v1.8.1, were converted into FASTQ raw reads, and imported into the CLC Genomics Workbench (version 6.5). Sequence reads were aligned to the Homo sapiens (NCBI GRCh37.p5 human reference Hg19) reference genome and filtered for mitochondrial, ribosomal and tRNA contamination using CLCBio "Map Reads to Reference.”  Mapping stringency was set at 50% of read length mapping at 80% identity.  We used default settings allowing for no more than 2 mismatches per read, 90% minimum length of read, minimum similarity of 80%, randomly assigning genomic positions for non-unique reads, unspecified match limit of 10, no masking, no strand specificity, eukaryotic organism type and no exon discovery. These reads were mapped to obtain genic </w:t>
      </w:r>
      <w:r>
        <w:rPr>
          <w:color w:val="auto"/>
        </w:rPr>
        <w:t>r</w:t>
      </w:r>
      <w:r w:rsidRPr="001D228E">
        <w:rPr>
          <w:color w:val="auto"/>
          <w:shd w:val="clear" w:color="auto" w:fill="FFFFFF"/>
        </w:rPr>
        <w:t xml:space="preserve">eads </w:t>
      </w:r>
      <w:r>
        <w:rPr>
          <w:color w:val="auto"/>
          <w:shd w:val="clear" w:color="auto" w:fill="FFFFFF"/>
        </w:rPr>
        <w:t>p</w:t>
      </w:r>
      <w:r w:rsidRPr="001D228E">
        <w:rPr>
          <w:color w:val="auto"/>
          <w:shd w:val="clear" w:color="auto" w:fill="FFFFFF"/>
        </w:rPr>
        <w:t xml:space="preserve">er </w:t>
      </w:r>
      <w:r>
        <w:rPr>
          <w:color w:val="auto"/>
          <w:shd w:val="clear" w:color="auto" w:fill="FFFFFF"/>
        </w:rPr>
        <w:t>k</w:t>
      </w:r>
      <w:r w:rsidRPr="001D228E">
        <w:rPr>
          <w:color w:val="auto"/>
          <w:shd w:val="clear" w:color="auto" w:fill="FFFFFF"/>
        </w:rPr>
        <w:t xml:space="preserve">ilobase of transcript per </w:t>
      </w:r>
      <w:r>
        <w:rPr>
          <w:color w:val="auto"/>
          <w:shd w:val="clear" w:color="auto" w:fill="FFFFFF"/>
        </w:rPr>
        <w:t>m</w:t>
      </w:r>
      <w:r w:rsidRPr="001D228E">
        <w:rPr>
          <w:color w:val="auto"/>
          <w:shd w:val="clear" w:color="auto" w:fill="FFFFFF"/>
        </w:rPr>
        <w:t>illion mapped reads</w:t>
      </w:r>
      <w:r>
        <w:t xml:space="preserve"> (RPKM</w:t>
      </w:r>
      <w:r w:rsidRPr="001D228E">
        <w:rPr>
          <w:color w:val="auto"/>
          <w:shd w:val="clear" w:color="auto" w:fill="FFFFFF"/>
        </w:rPr>
        <w:t>)</w:t>
      </w:r>
      <w:r>
        <w:t xml:space="preserve"> values for all known transcripts for each of the sequenced samples from Group1 and Group 2. Genes were filtered to exclude any gene for which no sample contained an RPKM </w:t>
      </w:r>
      <w:r w:rsidRPr="001424F7">
        <w:rPr>
          <w:u w:val="single"/>
        </w:rPr>
        <w:t>&gt;</w:t>
      </w:r>
      <w:r>
        <w:t xml:space="preserve"> 1 and to remove genes annotated as ribosomal or mitochondrial (~15% of mapped reads).  Data was analyzed after log</w:t>
      </w:r>
      <w:r w:rsidRPr="009F7187">
        <w:rPr>
          <w:vertAlign w:val="subscript"/>
        </w:rPr>
        <w:t>2</w:t>
      </w:r>
      <w:r>
        <w:t xml:space="preserve"> transformation (after adding 1 to RPKMs to prevent negative log values) of non-normalized and quantile normalized data (to avoid artifacts resulting from the removal of mapped contaminant genes).</w:t>
      </w:r>
      <w:r w:rsidRPr="001D228E">
        <w:t xml:space="preserve"> </w:t>
      </w:r>
      <w:r>
        <w:t>Expression of each gene was thereby quantified for each individual within a consistent physical framework, defined by pooled analysis of expression signals and by National Center for Biotechnology Information gene annotations that allowed signals from multiple exons to be combined into a measure of average sequencing read counts for each gene.</w:t>
      </w:r>
    </w:p>
    <w:p w14:paraId="0FC9FAB6" w14:textId="77777777" w:rsidR="002131AD" w:rsidRPr="00390A86" w:rsidRDefault="002131AD" w:rsidP="002131AD">
      <w:pPr>
        <w:spacing w:line="240" w:lineRule="auto"/>
        <w:rPr>
          <w:bCs/>
          <w:iCs/>
        </w:rPr>
      </w:pPr>
    </w:p>
    <w:p w14:paraId="52A3D063" w14:textId="2EBB7877" w:rsidR="002131AD" w:rsidRDefault="002131AD" w:rsidP="002131AD">
      <w:pPr>
        <w:spacing w:line="480" w:lineRule="auto"/>
      </w:pPr>
      <w:r w:rsidRPr="00390A86">
        <w:rPr>
          <w:bCs/>
          <w:iCs/>
        </w:rPr>
        <w:tab/>
      </w:r>
      <w:r w:rsidRPr="004A7AC5">
        <w:rPr>
          <w:b/>
          <w:bCs/>
          <w:i/>
          <w:iCs/>
        </w:rPr>
        <w:t>Pathway analysis of RNA sequencing data:</w:t>
      </w:r>
      <w:r w:rsidRPr="004A7AC5">
        <w:t xml:space="preserve"> </w:t>
      </w:r>
      <w:r>
        <w:t xml:space="preserve">Gene Set Enrichment Analysis (GSEA) was performed on transformed RNA-expression values using gene ontologies (GO) for biological process, molecular function and cellular component for Group 1 and 2 samples in the </w:t>
      </w:r>
      <w:r w:rsidR="00F6243B">
        <w:t xml:space="preserve">untreated </w:t>
      </w:r>
      <w:r w:rsidR="00F6243B">
        <w:lastRenderedPageBreak/>
        <w:t xml:space="preserve">condition </w:t>
      </w:r>
      <w:r>
        <w:t xml:space="preserve"> and the E- and P-treated conditions. Values were set at 10,000 permutations, removal of duplicated gene IDs (keeping highest IQR value) and a minimum gene set size of 10.</w:t>
      </w:r>
    </w:p>
    <w:p w14:paraId="717E4F9C" w14:textId="0A030D4F" w:rsidR="002131AD" w:rsidRDefault="002131AD" w:rsidP="002131AD">
      <w:pPr>
        <w:spacing w:line="480" w:lineRule="auto"/>
        <w:ind w:firstLine="720"/>
        <w:rPr>
          <w:bCs/>
          <w:iCs/>
        </w:rPr>
      </w:pPr>
      <w:r>
        <w:t xml:space="preserve">Results were sorted by a version of CLC’s enrichment score which generates values from zero to one. “Lower Tail” values showed trends in enrichment in PMDD samples over those from </w:t>
      </w:r>
      <w:r w:rsidR="00CA61F0">
        <w:t>C</w:t>
      </w:r>
      <w:r>
        <w:t>ontrol women in ontological categories straight from GO database.</w:t>
      </w:r>
      <w:r>
        <w:rPr>
          <w:rFonts w:cs="Helvetica"/>
        </w:rPr>
        <w:t xml:space="preserve"> The GSEA analysis grouped genes into 251 different Gene Ontology categories in the untreated samples (PMDD and </w:t>
      </w:r>
      <w:r w:rsidR="00CA61F0">
        <w:rPr>
          <w:rFonts w:cs="Helvetica"/>
        </w:rPr>
        <w:t>C</w:t>
      </w:r>
      <w:r>
        <w:rPr>
          <w:rFonts w:cs="Helvetica"/>
        </w:rPr>
        <w:t xml:space="preserve">ontrol women from Groups 1and 2).  </w:t>
      </w:r>
      <w:r>
        <w:rPr>
          <w:bCs/>
        </w:rPr>
        <w:t xml:space="preserve">In addition to GSEA, we subjected </w:t>
      </w:r>
      <w:r w:rsidR="00350C33">
        <w:rPr>
          <w:bCs/>
        </w:rPr>
        <w:t>all differentially expressed genes</w:t>
      </w:r>
      <w:r>
        <w:rPr>
          <w:bCs/>
        </w:rPr>
        <w:t xml:space="preserve"> for these untreated samples to GO and pathway analysis using another bioinformatics tool, </w:t>
      </w:r>
      <w:r w:rsidRPr="009A3231">
        <w:rPr>
          <w:bCs/>
        </w:rPr>
        <w:t>t</w:t>
      </w:r>
      <w:r w:rsidRPr="009A3231">
        <w:rPr>
          <w:color w:val="auto"/>
        </w:rPr>
        <w:t>he</w:t>
      </w:r>
      <w:r w:rsidRPr="009A3231">
        <w:rPr>
          <w:rStyle w:val="apple-converted-space"/>
          <w:color w:val="auto"/>
        </w:rPr>
        <w:t> </w:t>
      </w:r>
      <w:r>
        <w:rPr>
          <w:bCs/>
          <w:color w:val="auto"/>
        </w:rPr>
        <w:t>D</w:t>
      </w:r>
      <w:r w:rsidRPr="009A3231">
        <w:rPr>
          <w:color w:val="auto"/>
        </w:rPr>
        <w:t>atabase for</w:t>
      </w:r>
      <w:r w:rsidRPr="009A3231">
        <w:rPr>
          <w:rStyle w:val="apple-converted-space"/>
          <w:color w:val="auto"/>
        </w:rPr>
        <w:t> </w:t>
      </w:r>
      <w:r>
        <w:rPr>
          <w:bCs/>
          <w:color w:val="auto"/>
        </w:rPr>
        <w:t>A</w:t>
      </w:r>
      <w:r w:rsidRPr="009A3231">
        <w:rPr>
          <w:color w:val="auto"/>
        </w:rPr>
        <w:t>nnotation,</w:t>
      </w:r>
      <w:r w:rsidRPr="009A3231">
        <w:rPr>
          <w:rStyle w:val="apple-converted-space"/>
          <w:color w:val="auto"/>
        </w:rPr>
        <w:t> </w:t>
      </w:r>
      <w:r>
        <w:rPr>
          <w:bCs/>
          <w:color w:val="auto"/>
        </w:rPr>
        <w:t>V</w:t>
      </w:r>
      <w:r w:rsidRPr="009A3231">
        <w:rPr>
          <w:color w:val="auto"/>
        </w:rPr>
        <w:t xml:space="preserve">isualization and </w:t>
      </w:r>
      <w:r>
        <w:rPr>
          <w:bCs/>
          <w:color w:val="auto"/>
        </w:rPr>
        <w:t>I</w:t>
      </w:r>
      <w:r w:rsidRPr="009A3231">
        <w:rPr>
          <w:color w:val="auto"/>
        </w:rPr>
        <w:t>ntegrated</w:t>
      </w:r>
      <w:r w:rsidRPr="009A3231">
        <w:rPr>
          <w:rStyle w:val="apple-converted-space"/>
          <w:color w:val="auto"/>
        </w:rPr>
        <w:t> </w:t>
      </w:r>
      <w:r>
        <w:rPr>
          <w:bCs/>
          <w:color w:val="auto"/>
        </w:rPr>
        <w:t>D</w:t>
      </w:r>
      <w:r w:rsidRPr="009A3231">
        <w:rPr>
          <w:color w:val="auto"/>
        </w:rPr>
        <w:t>iscovery (</w:t>
      </w:r>
      <w:r w:rsidRPr="009A3231">
        <w:rPr>
          <w:bCs/>
          <w:color w:val="auto"/>
        </w:rPr>
        <w:t>DAVID</w:t>
      </w:r>
      <w:r w:rsidRPr="009A3231">
        <w:rPr>
          <w:color w:val="auto"/>
        </w:rPr>
        <w:t>) v 6.7</w:t>
      </w:r>
      <w:r>
        <w:rPr>
          <w:color w:val="auto"/>
          <w:shd w:val="clear" w:color="auto" w:fill="F9F9F9"/>
        </w:rPr>
        <w:t xml:space="preserve"> </w:t>
      </w:r>
      <w:r>
        <w:rPr>
          <w:bCs/>
        </w:rPr>
        <w:t xml:space="preserve">to detect biological, molecular and cellular functional domains impacted  untreated </w:t>
      </w:r>
      <w:r w:rsidR="00F6243B">
        <w:rPr>
          <w:bCs/>
        </w:rPr>
        <w:t xml:space="preserve">LCLs </w:t>
      </w:r>
      <w:r>
        <w:rPr>
          <w:bCs/>
        </w:rPr>
        <w:t>in PMDD and control women. The DAVID analysis grouped the genes into 887 different gene ontology categories.</w:t>
      </w:r>
      <w:r w:rsidDel="00727CFC">
        <w:rPr>
          <w:bCs/>
        </w:rPr>
        <w:t xml:space="preserve"> </w:t>
      </w:r>
      <w:r>
        <w:rPr>
          <w:bCs/>
        </w:rPr>
        <w:t xml:space="preserve">Further, we subjected </w:t>
      </w:r>
      <w:r w:rsidR="00350C33">
        <w:rPr>
          <w:bCs/>
        </w:rPr>
        <w:t>a subset of</w:t>
      </w:r>
      <w:r>
        <w:rPr>
          <w:bCs/>
        </w:rPr>
        <w:t xml:space="preserve"> differentially expressed genes across the genome </w:t>
      </w:r>
      <w:r w:rsidR="00350C33">
        <w:rPr>
          <w:bCs/>
        </w:rPr>
        <w:t xml:space="preserve">which had </w:t>
      </w:r>
      <w:r>
        <w:rPr>
          <w:bCs/>
        </w:rPr>
        <w:t>nominal p values of p&lt;0.</w:t>
      </w:r>
      <w:r w:rsidRPr="00097562">
        <w:rPr>
          <w:bCs/>
        </w:rPr>
        <w:t xml:space="preserve">05 (uncorrected) </w:t>
      </w:r>
      <w:r w:rsidRPr="006A155D">
        <w:rPr>
          <w:bCs/>
        </w:rPr>
        <w:t>to g</w:t>
      </w:r>
      <w:r>
        <w:rPr>
          <w:bCs/>
        </w:rPr>
        <w:t>ene ontology and pathway analysis using DAVID. Th</w:t>
      </w:r>
      <w:r w:rsidR="00350C33">
        <w:rPr>
          <w:bCs/>
        </w:rPr>
        <w:t>is</w:t>
      </w:r>
      <w:r>
        <w:rPr>
          <w:bCs/>
        </w:rPr>
        <w:t xml:space="preserve"> analysis grouped genes into </w:t>
      </w:r>
      <w:r>
        <w:rPr>
          <w:rFonts w:cs="Helvetica"/>
        </w:rPr>
        <w:t>505 different Gene Ontology categories in the untreated samples (PMDD and control women). For samples exposed to E and P, we performed only GSEA.</w:t>
      </w:r>
    </w:p>
    <w:p w14:paraId="15C11839" w14:textId="77777777" w:rsidR="002131AD" w:rsidRDefault="002131AD" w:rsidP="002131AD">
      <w:pPr>
        <w:spacing w:line="240" w:lineRule="auto"/>
        <w:rPr>
          <w:bCs/>
          <w:iCs/>
        </w:rPr>
      </w:pPr>
    </w:p>
    <w:p w14:paraId="2BCB029F" w14:textId="77777777" w:rsidR="002131AD" w:rsidRPr="00390A86" w:rsidRDefault="002131AD" w:rsidP="002131AD">
      <w:pPr>
        <w:spacing w:line="240" w:lineRule="auto"/>
        <w:rPr>
          <w:bCs/>
          <w:iCs/>
        </w:rPr>
      </w:pPr>
    </w:p>
    <w:p w14:paraId="26306548" w14:textId="77777777" w:rsidR="002131AD" w:rsidRDefault="002131AD" w:rsidP="002131AD">
      <w:pPr>
        <w:spacing w:line="480" w:lineRule="auto"/>
        <w:rPr>
          <w:b/>
          <w:bCs/>
          <w:iCs/>
        </w:rPr>
      </w:pPr>
      <w:r>
        <w:rPr>
          <w:b/>
          <w:bCs/>
          <w:iCs/>
        </w:rPr>
        <w:t>Quantitative mRNA expression analysis using qRT-PCR</w:t>
      </w:r>
    </w:p>
    <w:p w14:paraId="29AA34A1" w14:textId="77777777" w:rsidR="002131AD" w:rsidRPr="0043720B" w:rsidRDefault="002131AD" w:rsidP="002131AD">
      <w:pPr>
        <w:spacing w:line="480" w:lineRule="auto"/>
        <w:ind w:firstLine="720"/>
      </w:pPr>
      <w:r w:rsidRPr="0043720B">
        <w:t xml:space="preserve">We used commercially available quantitative real-time reverse transcription PCR (qRT-PCR) reagent </w:t>
      </w:r>
      <w:r>
        <w:t>kits from Applied Biosystems, (C</w:t>
      </w:r>
      <w:r w:rsidRPr="0043720B">
        <w:t>at</w:t>
      </w:r>
      <w:r>
        <w:t>.</w:t>
      </w:r>
      <w:r w:rsidRPr="0043720B">
        <w:t xml:space="preserve"> no. 4366596), and TaqMan</w:t>
      </w:r>
      <w:r w:rsidRPr="0043720B">
        <w:rPr>
          <w:vertAlign w:val="superscript"/>
        </w:rPr>
        <w:t>®</w:t>
      </w:r>
      <w:r w:rsidRPr="0043720B">
        <w:rPr>
          <w:rStyle w:val="apple-converted-space"/>
        </w:rPr>
        <w:t> </w:t>
      </w:r>
      <w:r>
        <w:t>Universal PCR Master Mix (C</w:t>
      </w:r>
      <w:r w:rsidRPr="0043720B">
        <w:t>at</w:t>
      </w:r>
      <w:r>
        <w:t>.</w:t>
      </w:r>
      <w:r w:rsidRPr="0043720B">
        <w:t xml:space="preserve"> no. 4324018). TaqMan assays were performed using a two-step procedure according to the supplier’s manual. First, single-stranded cDNA was synthesized from total RNA using the TaqMan</w:t>
      </w:r>
      <w:r w:rsidRPr="0043720B">
        <w:rPr>
          <w:vertAlign w:val="superscript"/>
        </w:rPr>
        <w:t>®</w:t>
      </w:r>
      <w:r w:rsidRPr="0043720B">
        <w:rPr>
          <w:rStyle w:val="apple-converted-space"/>
        </w:rPr>
        <w:t> </w:t>
      </w:r>
      <w:r w:rsidRPr="00DC0298">
        <w:t>RNA Reverse Transcription Kit. Briefly, for</w:t>
      </w:r>
      <w:r w:rsidRPr="0043720B">
        <w:t xml:space="preserve"> each 10 μL of reverse </w:t>
      </w:r>
      <w:r w:rsidRPr="0043720B">
        <w:lastRenderedPageBreak/>
        <w:t>transcription (RT) master mixture, we combined 0.8 μL of 100mM dNTPs, 1 μL of MultiScribe</w:t>
      </w:r>
      <w:r w:rsidRPr="0043720B">
        <w:rPr>
          <w:vertAlign w:val="superscript"/>
        </w:rPr>
        <w:t>™</w:t>
      </w:r>
      <w:r w:rsidRPr="0043720B">
        <w:rPr>
          <w:rStyle w:val="apple-converted-space"/>
        </w:rPr>
        <w:t> </w:t>
      </w:r>
      <w:r w:rsidRPr="0043720B">
        <w:t xml:space="preserve">Reverse Transcriptase, 2.0 μL of 10X RT buffer, and 4.2 μL of nuclease-free water. Then the 10 μL of RT master mixture was combined in a fresh tube with 10 μL total RNA (200 -300ng) and gently mixed. The RT reactions were performed on </w:t>
      </w:r>
      <w:r>
        <w:t xml:space="preserve">a </w:t>
      </w:r>
      <w:r w:rsidRPr="0043720B">
        <w:t>thermal cycler (Bio-Rad) programm</w:t>
      </w:r>
      <w:r>
        <w:t>ed to incubate reactions at 25°</w:t>
      </w:r>
      <w:r w:rsidRPr="0043720B">
        <w:t xml:space="preserve">C for 10 </w:t>
      </w:r>
      <w:r>
        <w:t>min, 37°C for 120 min, and 85°</w:t>
      </w:r>
      <w:r w:rsidRPr="0043720B">
        <w:t>C for 5 min. The synthes</w:t>
      </w:r>
      <w:r>
        <w:t>ized cDNA were stored in a −20°</w:t>
      </w:r>
      <w:r w:rsidRPr="0043720B">
        <w:t>C freezer or used for qRT-PCR analysis.</w:t>
      </w:r>
    </w:p>
    <w:p w14:paraId="01B1C42E" w14:textId="77777777" w:rsidR="002131AD" w:rsidRPr="004A7AC5" w:rsidRDefault="002131AD" w:rsidP="002131AD">
      <w:pPr>
        <w:spacing w:line="480" w:lineRule="auto"/>
        <w:rPr>
          <w:bCs/>
          <w:i/>
          <w:iCs/>
        </w:rPr>
      </w:pPr>
      <w:r w:rsidRPr="0043720B">
        <w:tab/>
        <w:t>TaqMan qRT-PCR assays were carried out according to the assay developer’s r</w:t>
      </w:r>
      <w:r>
        <w:t>ecommended conditions (ABI, CA) on a 7900HT Fast Real-Time PCR System (ABI, CA). Each qRT-PCR reaction was performed in a 10 μL volume containing 8 μL of TaqMan® Universal PCR Master Mix and 2 μL of diluted single-stranded cDNA product. Each sample was analyzed in quadruplicate. Reactions were carried out on the ABI 7900 real-time PCR system. Relative gene expression levels were calculated using the ΔCT value (normalized detection threshold) with beta actin as the reference control for normalization.</w:t>
      </w:r>
    </w:p>
    <w:p w14:paraId="1BBFDB53" w14:textId="77777777" w:rsidR="002131AD" w:rsidRDefault="002131AD" w:rsidP="002131AD">
      <w:pPr>
        <w:spacing w:line="240" w:lineRule="auto"/>
        <w:rPr>
          <w:b/>
          <w:bCs/>
          <w:iCs/>
        </w:rPr>
      </w:pPr>
    </w:p>
    <w:p w14:paraId="2A4DC4FD" w14:textId="77777777" w:rsidR="002131AD" w:rsidRDefault="002131AD" w:rsidP="002131AD">
      <w:pPr>
        <w:spacing w:line="240" w:lineRule="auto"/>
        <w:rPr>
          <w:b/>
          <w:bCs/>
          <w:iCs/>
        </w:rPr>
      </w:pPr>
    </w:p>
    <w:p w14:paraId="048AF37B" w14:textId="77777777" w:rsidR="002131AD" w:rsidRDefault="002131AD" w:rsidP="002131AD">
      <w:pPr>
        <w:spacing w:line="480" w:lineRule="auto"/>
        <w:rPr>
          <w:b/>
          <w:bCs/>
          <w:iCs/>
        </w:rPr>
      </w:pPr>
      <w:r>
        <w:rPr>
          <w:b/>
          <w:bCs/>
          <w:iCs/>
        </w:rPr>
        <w:t>Quantitative protein expression analysis using ProteinSimple© western analysis</w:t>
      </w:r>
    </w:p>
    <w:p w14:paraId="61AB79CB" w14:textId="32C8EFB2" w:rsidR="002131AD" w:rsidRPr="00EC66DD" w:rsidRDefault="002131AD" w:rsidP="002131AD">
      <w:pPr>
        <w:shd w:val="clear" w:color="auto" w:fill="FFFFFF" w:themeFill="background1"/>
        <w:spacing w:line="480" w:lineRule="auto"/>
        <w:ind w:firstLine="720"/>
      </w:pPr>
      <w:r w:rsidRPr="00EC66DD">
        <w:rPr>
          <w:bCs/>
        </w:rPr>
        <w:t xml:space="preserve">Protein levels were quantified using </w:t>
      </w:r>
      <w:r>
        <w:rPr>
          <w:bCs/>
        </w:rPr>
        <w:t xml:space="preserve">an </w:t>
      </w:r>
      <w:r w:rsidRPr="00EC66DD">
        <w:rPr>
          <w:bCs/>
        </w:rPr>
        <w:t xml:space="preserve">automated capillary-based size sorting system </w:t>
      </w:r>
      <w:r w:rsidR="008C5880">
        <w:rPr>
          <w:bCs/>
        </w:rPr>
        <w:fldChar w:fldCharType="begin">
          <w:fldData xml:space="preserve">PFJlZm1hbj48Q2l0ZT48QXV0aG9yPk8mYXBvcztOZWlsbDwvQXV0aG9yPjxZZWFyPjIwMDY8L1ll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</w:fldData>
        </w:fldChar>
      </w:r>
      <w:r w:rsidR="008C5880">
        <w:rPr>
          <w:bCs/>
        </w:rPr>
        <w:instrText xml:space="preserve"> ADDIN REFMGR.CITE </w:instrText>
      </w:r>
      <w:r w:rsidR="008C5880">
        <w:rPr>
          <w:bCs/>
        </w:rPr>
        <w:fldChar w:fldCharType="begin">
          <w:fldData xml:space="preserve">PFJlZm1hbj48Q2l0ZT48QXV0aG9yPk8mYXBvcztOZWlsbDwvQXV0aG9yPjxZZWFyPjIwMDY8L1ll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</w:fldData>
        </w:fldChar>
      </w:r>
      <w:r w:rsidR="008C5880">
        <w:rPr>
          <w:bCs/>
        </w:rPr>
        <w:instrText xml:space="preserve"> ADDIN EN.CITE.DATA </w:instrText>
      </w:r>
      <w:r w:rsidR="008C5880">
        <w:rPr>
          <w:bCs/>
        </w:rPr>
      </w:r>
      <w:r w:rsidR="008C5880">
        <w:rPr>
          <w:bCs/>
        </w:rPr>
        <w:fldChar w:fldCharType="end"/>
      </w:r>
      <w:r w:rsidR="008C5880">
        <w:rPr>
          <w:bCs/>
        </w:rPr>
      </w:r>
      <w:r w:rsidR="008C5880">
        <w:rPr>
          <w:bCs/>
        </w:rPr>
        <w:fldChar w:fldCharType="separate"/>
      </w:r>
      <w:r w:rsidR="008C5880">
        <w:rPr>
          <w:bCs/>
          <w:noProof/>
        </w:rPr>
        <w:t>[11]</w:t>
      </w:r>
      <w:r w:rsidR="008C5880">
        <w:rPr>
          <w:bCs/>
        </w:rPr>
        <w:fldChar w:fldCharType="end"/>
      </w:r>
      <w:r w:rsidRPr="00EC66DD">
        <w:rPr>
          <w:bCs/>
        </w:rPr>
        <w:t xml:space="preserve"> “WES” from Protein</w:t>
      </w:r>
      <w:r>
        <w:rPr>
          <w:bCs/>
        </w:rPr>
        <w:t xml:space="preserve"> </w:t>
      </w:r>
      <w:r w:rsidRPr="00EC66DD">
        <w:rPr>
          <w:bCs/>
        </w:rPr>
        <w:t>Simple.  All procedures were performed with manufacturer’s reagents according to the user manual.  Briefly, cell pellets were lysed in freshly made RIPA buffer (</w:t>
      </w:r>
      <w:r w:rsidRPr="00EC66DD">
        <w:t xml:space="preserve">50 mM Tris, pH 8.0, 150 mM NaCl, 1% NP40 (Igepal), 0.5% Na Deoxycholate, 0.1% SDS, 10 mM </w:t>
      </w:r>
      <w:r w:rsidRPr="00EC66DD">
        <w:rPr>
          <w:lang w:val="sv-SE"/>
        </w:rPr>
        <w:t>β</w:t>
      </w:r>
      <w:r w:rsidRPr="00EC66DD">
        <w:t xml:space="preserve"> Mercaptoethanol, 0.1% Pierce Halt Protease inhibitor</w:t>
      </w:r>
      <w:r w:rsidRPr="00EC66DD">
        <w:rPr>
          <w:bCs/>
        </w:rPr>
        <w:t xml:space="preserve">) and total protein </w:t>
      </w:r>
      <w:r>
        <w:rPr>
          <w:bCs/>
        </w:rPr>
        <w:t xml:space="preserve">was </w:t>
      </w:r>
      <w:r w:rsidRPr="00EC66DD">
        <w:rPr>
          <w:bCs/>
        </w:rPr>
        <w:t xml:space="preserve">analyzed by </w:t>
      </w:r>
      <w:r w:rsidR="00D80194" w:rsidRPr="00EC66DD">
        <w:rPr>
          <w:bCs/>
        </w:rPr>
        <w:t>Bio</w:t>
      </w:r>
      <w:r w:rsidR="00D80194">
        <w:rPr>
          <w:bCs/>
        </w:rPr>
        <w:t>-</w:t>
      </w:r>
      <w:r w:rsidR="00D80194" w:rsidRPr="00EC66DD">
        <w:rPr>
          <w:bCs/>
        </w:rPr>
        <w:t>Rad</w:t>
      </w:r>
      <w:r w:rsidR="00D80194">
        <w:rPr>
          <w:bCs/>
        </w:rPr>
        <w:t xml:space="preserve"> Protein</w:t>
      </w:r>
      <w:r w:rsidR="00D80194" w:rsidRPr="00EC66DD">
        <w:rPr>
          <w:bCs/>
        </w:rPr>
        <w:t xml:space="preserve"> </w:t>
      </w:r>
      <w:r w:rsidR="00D80194">
        <w:rPr>
          <w:bCs/>
        </w:rPr>
        <w:t>A</w:t>
      </w:r>
      <w:r w:rsidR="00D80194" w:rsidRPr="00EC66DD">
        <w:rPr>
          <w:bCs/>
        </w:rPr>
        <w:t>ssay</w:t>
      </w:r>
      <w:r w:rsidR="00D80194">
        <w:rPr>
          <w:bCs/>
        </w:rPr>
        <w:t xml:space="preserve"> (Bio-Rad Laboratories, Inc., CA, cat # 500-0006)</w:t>
      </w:r>
      <w:r w:rsidRPr="00EC66DD">
        <w:rPr>
          <w:bCs/>
        </w:rPr>
        <w:t>.  For each sample, 3 µg of total protein was combined with 5X fluorescent master mix (1:5) and heated at 95</w:t>
      </w:r>
      <w:r w:rsidRPr="00EC66DD">
        <w:rPr>
          <w:bCs/>
          <w:vertAlign w:val="superscript"/>
        </w:rPr>
        <w:t>o</w:t>
      </w:r>
      <w:r w:rsidRPr="00EC66DD">
        <w:rPr>
          <w:bCs/>
        </w:rPr>
        <w:t xml:space="preserve">C for 5 min.  The samples, blocking reagent, wash buffer, primary antibodies, secondary antibodies, and </w:t>
      </w:r>
      <w:r w:rsidRPr="00EC66DD">
        <w:rPr>
          <w:bCs/>
        </w:rPr>
        <w:lastRenderedPageBreak/>
        <w:t>chemiluminescent substrate were dispensed into designated wells in the manufacturer provided microplate.  The plate was centrifuged fo</w:t>
      </w:r>
      <w:r>
        <w:rPr>
          <w:bCs/>
        </w:rPr>
        <w:t xml:space="preserve">r 5 min at 2500 rpm at room temp </w:t>
      </w:r>
      <w:r w:rsidRPr="00EC66DD">
        <w:rPr>
          <w:bCs/>
        </w:rPr>
        <w:t>and then loaded into the WES machine with a capillary set.  The separation and immunodetection was performed automatically using default settings unless otherwise noted.  Data was then analyzed within the Compass software (ProteinSimple</w:t>
      </w:r>
      <w:r w:rsidR="009E35DD">
        <w:rPr>
          <w:bCs/>
        </w:rPr>
        <w:t>©</w:t>
      </w:r>
      <w:r w:rsidRPr="00EC66DD">
        <w:rPr>
          <w:bCs/>
        </w:rPr>
        <w:t xml:space="preserve">), and target proteins were normalized to β-actin or </w:t>
      </w:r>
      <w:r w:rsidRPr="003A11A0">
        <w:rPr>
          <w:bCs/>
        </w:rPr>
        <w:t>the ProteinSimple</w:t>
      </w:r>
      <w:r w:rsidR="009E35DD" w:rsidRPr="003A11A0">
        <w:rPr>
          <w:bCs/>
        </w:rPr>
        <w:t>©</w:t>
      </w:r>
      <w:r w:rsidRPr="003A11A0">
        <w:rPr>
          <w:bCs/>
        </w:rPr>
        <w:t xml:space="preserve"> loading control antibody. </w:t>
      </w:r>
      <w:r w:rsidRPr="003A11A0">
        <w:rPr>
          <w:bCs/>
          <w:color w:val="auto"/>
        </w:rPr>
        <w:t>Table S1</w:t>
      </w:r>
      <w:r w:rsidRPr="003A11A0">
        <w:rPr>
          <w:bCs/>
          <w:color w:val="FF0000"/>
        </w:rPr>
        <w:t xml:space="preserve"> </w:t>
      </w:r>
      <w:r w:rsidRPr="003A11A0">
        <w:rPr>
          <w:bCs/>
        </w:rPr>
        <w:t>shows the list of primary antibodies, con</w:t>
      </w:r>
      <w:r w:rsidRPr="00EC66DD">
        <w:rPr>
          <w:bCs/>
        </w:rPr>
        <w:t>centrations, and modifications to separation protocol.</w:t>
      </w:r>
      <w:r>
        <w:rPr>
          <w:bCs/>
        </w:rPr>
        <w:t xml:space="preserve"> The rabbit and mouse secondary antibodies were optimized for the concentration and were provided by the ProteinSimple</w:t>
      </w:r>
      <w:r w:rsidR="009E35DD">
        <w:rPr>
          <w:bCs/>
        </w:rPr>
        <w:t>©</w:t>
      </w:r>
      <w:r>
        <w:rPr>
          <w:bCs/>
        </w:rPr>
        <w:t xml:space="preserve"> in their kits.</w:t>
      </w:r>
    </w:p>
    <w:p w14:paraId="0A6C3EDC" w14:textId="77777777" w:rsidR="002131AD" w:rsidRDefault="002131AD" w:rsidP="002131AD">
      <w:pPr>
        <w:spacing w:line="240" w:lineRule="auto"/>
        <w:rPr>
          <w:b/>
          <w:bCs/>
          <w:iCs/>
        </w:rPr>
      </w:pPr>
    </w:p>
    <w:p w14:paraId="75B436CA" w14:textId="77777777" w:rsidR="002131AD" w:rsidRDefault="002131AD" w:rsidP="002131AD">
      <w:pPr>
        <w:spacing w:line="480" w:lineRule="auto"/>
        <w:rPr>
          <w:b/>
          <w:bCs/>
          <w:iCs/>
        </w:rPr>
      </w:pPr>
      <w:r>
        <w:rPr>
          <w:b/>
          <w:bCs/>
          <w:iCs/>
        </w:rPr>
        <w:t>Network prediction of the ESC/E(Z) complex genes and hormone receptors</w:t>
      </w:r>
    </w:p>
    <w:p w14:paraId="1DA6DE6B" w14:textId="77777777" w:rsidR="002131AD" w:rsidRDefault="002131AD" w:rsidP="002131AD">
      <w:pPr>
        <w:spacing w:line="480" w:lineRule="auto"/>
        <w:rPr>
          <w:b/>
          <w:bCs/>
          <w:iCs/>
        </w:rPr>
      </w:pPr>
      <w:r>
        <w:rPr>
          <w:b/>
          <w:bCs/>
          <w:iCs/>
        </w:rPr>
        <w:tab/>
      </w:r>
      <w:r>
        <w:t>GeneMANIA (genemania.org) was used to generate a gene network analysis inputting the 13 genes of the ESC/E(Z) complex (</w:t>
      </w:r>
      <w:r w:rsidRPr="00C03DB1">
        <w:rPr>
          <w:i/>
        </w:rPr>
        <w:t>AEBP2, EED, EZH1, EZH2, HDAC2, JARID2, MTF2, PHF1, PHF19, RBBP4, RBBP7, SIRT1, SUZ12</w:t>
      </w:r>
      <w:r>
        <w:t>) and the 4 hormone receptor genes (</w:t>
      </w:r>
      <w:r w:rsidRPr="00C03DB1">
        <w:rPr>
          <w:i/>
        </w:rPr>
        <w:t>ESR1, ESR2, PGRMC1, PGRMC2</w:t>
      </w:r>
      <w:r>
        <w:t xml:space="preserve">), whose expression was identified in LCLs .  Genes and targets are included in the network for the input genes based on weights of interactions with the input genes, determined automatically by linear regression. The search was performed in September, 2015, and reflects all published works in the GeneMANIA database at that time. </w:t>
      </w:r>
    </w:p>
    <w:p w14:paraId="25AF6C3D" w14:textId="77777777" w:rsidR="002131AD" w:rsidRDefault="002131AD" w:rsidP="002131AD">
      <w:pPr>
        <w:spacing w:line="240" w:lineRule="auto"/>
        <w:rPr>
          <w:b/>
          <w:bCs/>
          <w:iCs/>
        </w:rPr>
      </w:pPr>
    </w:p>
    <w:p w14:paraId="55D830EF" w14:textId="77777777" w:rsidR="002131AD" w:rsidRDefault="002131AD" w:rsidP="002131AD">
      <w:pPr>
        <w:spacing w:line="240" w:lineRule="auto"/>
        <w:rPr>
          <w:b/>
          <w:bCs/>
          <w:iCs/>
        </w:rPr>
      </w:pPr>
    </w:p>
    <w:p w14:paraId="61DA1352" w14:textId="4A8188D6" w:rsidR="002131AD" w:rsidRPr="00A15675" w:rsidRDefault="002131AD" w:rsidP="002131AD">
      <w:pPr>
        <w:spacing w:line="480" w:lineRule="auto"/>
        <w:rPr>
          <w:b/>
          <w:bCs/>
          <w:iCs/>
        </w:rPr>
      </w:pPr>
    </w:p>
    <w:p w14:paraId="532BDD0C" w14:textId="77777777" w:rsidR="002131AD" w:rsidRDefault="002131AD" w:rsidP="004521F8">
      <w:pPr>
        <w:spacing w:line="480" w:lineRule="auto"/>
        <w:rPr>
          <w:color w:val="auto"/>
          <w:u w:val="single"/>
        </w:rPr>
      </w:pPr>
    </w:p>
    <w:p w14:paraId="54CC0753" w14:textId="77777777" w:rsidR="002131AD" w:rsidRDefault="002131AD" w:rsidP="004521F8">
      <w:pPr>
        <w:spacing w:line="480" w:lineRule="auto"/>
        <w:rPr>
          <w:color w:val="auto"/>
          <w:u w:val="single"/>
        </w:rPr>
      </w:pPr>
    </w:p>
    <w:p w14:paraId="3241DF8F" w14:textId="77777777" w:rsidR="002131AD" w:rsidRDefault="002131AD" w:rsidP="004521F8">
      <w:pPr>
        <w:spacing w:line="480" w:lineRule="auto"/>
        <w:rPr>
          <w:color w:val="auto"/>
          <w:u w:val="single"/>
        </w:rPr>
      </w:pPr>
    </w:p>
    <w:p w14:paraId="242A33B6" w14:textId="77777777" w:rsidR="002131AD" w:rsidRDefault="002131AD" w:rsidP="004521F8">
      <w:pPr>
        <w:spacing w:line="480" w:lineRule="auto"/>
        <w:rPr>
          <w:color w:val="auto"/>
          <w:u w:val="single"/>
        </w:rPr>
      </w:pPr>
    </w:p>
    <w:p w14:paraId="5FAF9CF4" w14:textId="04C8EFFD" w:rsidR="004521F8" w:rsidRDefault="0084162E" w:rsidP="004521F8">
      <w:pPr>
        <w:spacing w:line="480" w:lineRule="auto"/>
        <w:rPr>
          <w:color w:val="auto"/>
          <w:u w:val="single"/>
        </w:rPr>
      </w:pPr>
      <w:r>
        <w:rPr>
          <w:color w:val="auto"/>
          <w:u w:val="single"/>
        </w:rPr>
        <w:lastRenderedPageBreak/>
        <w:t xml:space="preserve">Supplemental </w:t>
      </w:r>
      <w:r w:rsidR="004521F8" w:rsidRPr="00356CC4">
        <w:rPr>
          <w:color w:val="auto"/>
          <w:u w:val="single"/>
        </w:rPr>
        <w:t>Table and Figure Legends:</w:t>
      </w:r>
    </w:p>
    <w:p w14:paraId="522A40B1" w14:textId="77777777" w:rsidR="0020330D" w:rsidRDefault="0020330D" w:rsidP="004521F8">
      <w:pPr>
        <w:spacing w:line="480" w:lineRule="auto"/>
        <w:rPr>
          <w:color w:val="auto"/>
          <w:u w:val="single"/>
        </w:rPr>
      </w:pPr>
    </w:p>
    <w:p w14:paraId="7B2C3A30" w14:textId="2BAB801F" w:rsidR="004521F8" w:rsidRDefault="004521F8" w:rsidP="004521F8">
      <w:pPr>
        <w:spacing w:line="480" w:lineRule="auto"/>
      </w:pPr>
      <w:r>
        <w:rPr>
          <w:color w:val="auto"/>
          <w:u w:val="single"/>
        </w:rPr>
        <w:t>Figures</w:t>
      </w:r>
    </w:p>
    <w:p w14:paraId="5B528269" w14:textId="74B78A10" w:rsidR="00843F85" w:rsidRDefault="004521F8" w:rsidP="004521F8">
      <w:pPr>
        <w:spacing w:line="480" w:lineRule="auto"/>
        <w:rPr>
          <w:b/>
          <w:color w:val="auto"/>
        </w:rPr>
      </w:pPr>
      <w:r w:rsidRPr="00992243">
        <w:rPr>
          <w:b/>
          <w:color w:val="auto"/>
        </w:rPr>
        <w:t>Figure S</w:t>
      </w:r>
      <w:r w:rsidR="006C1977">
        <w:rPr>
          <w:b/>
          <w:color w:val="auto"/>
        </w:rPr>
        <w:t>1</w:t>
      </w:r>
      <w:r w:rsidRPr="00992243">
        <w:rPr>
          <w:b/>
          <w:color w:val="auto"/>
        </w:rPr>
        <w:t xml:space="preserve">: </w:t>
      </w:r>
      <w:r w:rsidR="00843F85" w:rsidRPr="00946BB4">
        <w:rPr>
          <w:b/>
        </w:rPr>
        <w:t xml:space="preserve">Protocol </w:t>
      </w:r>
      <w:r w:rsidR="00843F85">
        <w:rPr>
          <w:b/>
        </w:rPr>
        <w:t xml:space="preserve">schematic </w:t>
      </w:r>
      <w:r w:rsidR="00843F85" w:rsidRPr="00946BB4">
        <w:rPr>
          <w:b/>
        </w:rPr>
        <w:t>for clinical hormone suppression</w:t>
      </w:r>
      <w:r w:rsidR="00843F85">
        <w:rPr>
          <w:b/>
        </w:rPr>
        <w:t>/</w:t>
      </w:r>
      <w:r w:rsidR="00843F85" w:rsidRPr="00946BB4">
        <w:rPr>
          <w:b/>
        </w:rPr>
        <w:t>add-back</w:t>
      </w:r>
      <w:r w:rsidR="00843F85">
        <w:rPr>
          <w:b/>
        </w:rPr>
        <w:t xml:space="preserve">. </w:t>
      </w:r>
      <w:r w:rsidR="00843F85" w:rsidRPr="00B4037A">
        <w:rPr>
          <w:color w:val="auto"/>
        </w:rPr>
        <w:t>Between 2 and 6 days after onset of menses, women with PMDD and control women received six monthly intramuscular injections of 3.75 mg leuprolide (Lupron), which</w:t>
      </w:r>
      <w:r w:rsidR="00843F85">
        <w:rPr>
          <w:color w:val="auto"/>
        </w:rPr>
        <w:t xml:space="preserve"> after an initial stimulation</w:t>
      </w:r>
      <w:r w:rsidR="00843F85" w:rsidRPr="00B4037A">
        <w:rPr>
          <w:color w:val="auto"/>
        </w:rPr>
        <w:t xml:space="preserve"> suppresses ovarian function. </w:t>
      </w:r>
      <w:r w:rsidR="00843F85">
        <w:t xml:space="preserve">Clinic visits occurred every 2 weeks. Plasma FSH, LH, estradiol, and progesterone levels were measured at each visit to confirm ovarian suppression.  Following three months of leuprolide alone, all participants (while continuing to receive monthly leuprolide injections for another three months) were randomly assigned in double-blind, crossover fashion to receive either estradiol (E2) (100 mg daily by skin patch) or progesterone (P4) (200 mg vaginal suppository twice daily) replacement lasting for five weeks each (with a two-week washout between hormone administration periods). All women used a patch and a suppository each day during the hormonal add-back to maintain the patency of the double-blind. Black arrow indicates Leuprolide Acetate intramuscular injection.  Teal indicates active E2 patch.  Purple indicates active P4 suppository.  Gray indicates washout period.  Teal and purple stripe indicates active E2 plus active P4 to induce “menses” at the end of a four week E2 exposure. </w:t>
      </w:r>
      <w:r w:rsidR="00843F85" w:rsidRPr="000B6974">
        <w:t xml:space="preserve">Responders to Lupron were defined by self-reported improvement </w:t>
      </w:r>
      <w:r w:rsidR="00843F85">
        <w:t xml:space="preserve">during the last month of Lupron </w:t>
      </w:r>
      <w:r w:rsidR="00843F85" w:rsidRPr="000B6974">
        <w:t>confirmed by the absence of a weekly [7-day] average DRF scores for irritability, sadness or anxiety &gt; 3 (indicating less than moderate severity of a particular symptom)</w:t>
      </w:r>
      <w:r w:rsidR="008C5880">
        <w:fldChar w:fldCharType="begin">
          <w:fldData xml:space="preserve">PFJlZm1hbj48Q2l0ZT48QXV0aG9yPkhhbGJyZWljaDwvQXV0aG9yPjxZZWFyPjIwMDc8L1llYXI+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</w:fldData>
        </w:fldChar>
      </w:r>
      <w:r w:rsidR="008C5880">
        <w:instrText xml:space="preserve"> ADDIN REFMGR.CITE </w:instrText>
      </w:r>
      <w:r w:rsidR="008C5880">
        <w:fldChar w:fldCharType="begin">
          <w:fldData xml:space="preserve">PFJlZm1hbj48Q2l0ZT48QXV0aG9yPkhhbGJyZWljaDwvQXV0aG9yPjxZZWFyPjIwMDc8L1llYXI+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</w:fldData>
        </w:fldChar>
      </w:r>
      <w:r w:rsidR="008C5880">
        <w:instrText xml:space="preserve"> ADDIN EN.CITE.DATA </w:instrText>
      </w:r>
      <w:r w:rsidR="008C5880">
        <w:fldChar w:fldCharType="end"/>
      </w:r>
      <w:r w:rsidR="008C5880">
        <w:fldChar w:fldCharType="separate"/>
      </w:r>
      <w:r w:rsidR="008C5880">
        <w:rPr>
          <w:noProof/>
        </w:rPr>
        <w:t>[12,13]</w:t>
      </w:r>
      <w:r w:rsidR="008C5880">
        <w:fldChar w:fldCharType="end"/>
      </w:r>
      <w:r w:rsidR="00843F85" w:rsidRPr="000B6974">
        <w:t>.</w:t>
      </w:r>
      <w:r w:rsidR="00843F85">
        <w:t xml:space="preserve"> </w:t>
      </w:r>
      <w:r w:rsidR="00843F85" w:rsidRPr="005A3BCE">
        <w:t xml:space="preserve">Significant recurrence of PMDD symptoms was defined by a weekly average DRF score of greater than three (moderate severity) in irritability, anxiety, or sadness </w:t>
      </w:r>
      <w:r w:rsidR="008C5880">
        <w:fldChar w:fldCharType="begin"/>
      </w:r>
      <w:r w:rsidR="008C5880">
        <w:instrText xml:space="preserve"> ADDIN REFMGR.CITE &lt;Refman&gt;&lt;Cite&gt;&lt;Author&gt;Halbreich&lt;/Author&gt;&lt;Year&gt;2003&lt;/Year&gt;&lt;RecNum&gt;6038&lt;/RecNum&gt;&lt;IDText&gt;The prevalence, impairment, impact, and burden of premenstrual dysphoric disorder (PMS/PMDD)&lt;/IDText&gt;&lt;MDL Ref_Type="Journal"&gt;&lt;Ref_Type&gt;Journal&lt;/Ref_Type&gt;&lt;Ref_ID&gt;6038&lt;/Ref_ID&gt;&lt;Title_Primary&gt;The prevalence, impairment, impact, and burden of premenstrual dysphoric disorder (PMS/PMDD)&lt;/Title_Primary&gt;&lt;Authors_Primary&gt;Halbreich,U.&lt;/Authors_Primary&gt;&lt;Authors_Primary&gt;Borenstein,J.&lt;/Authors_Primary&gt;&lt;Authors_Primary&gt;Pearlstein,T.&lt;/Authors_Primary&gt;&lt;Authors_Primary&gt;Kahn,L.S.&lt;/Authors_Primary&gt;&lt;Date_Primary&gt;2003&lt;/Date_Primary&gt;&lt;Reprint&gt;In File&lt;/Reprint&gt;&lt;Start_Page&gt;1&lt;/Start_Page&gt;&lt;End_Page&gt;23&lt;/End_Page&gt;&lt;Periodical&gt;Psychoneuroendocrinology&lt;/Periodical&gt;&lt;Volume&gt;28&lt;/Volume&gt;&lt;Web_URL&gt;&lt;u&gt;http://www.sciencedirect.com/science?_ob=MImg&amp;amp;_imagekey=B6TBX-48XSBVB-3-3&amp;amp;_cdi=5154&amp;amp;_user=10843&amp;amp;_orig=search&amp;amp;_coverDate=08%2F31%2F2003&amp;amp;_qd=1&amp;amp;_sk=999719999.8996&amp;amp;view=c&amp;amp;wchp=dGLbVtb-zSkzV&amp;amp;md5=ca97470b3cd314541f687594b6fbdf1f&amp;amp;ie=/sdarticle.pdf&lt;/u&gt;&lt;/Web_URL&gt;&lt;ZZ_JournalFull&gt;&lt;f name="System"&gt;Psychoneuroendocrinology&lt;/f&gt;&lt;/ZZ_JournalFull&gt;&lt;ZZ_WorkformID&gt;1&lt;/ZZ_WorkformID&gt;&lt;/MDL&gt;&lt;/Cite&gt;&lt;/Refman&gt;</w:instrText>
      </w:r>
      <w:r w:rsidR="008C5880">
        <w:fldChar w:fldCharType="separate"/>
      </w:r>
      <w:r w:rsidR="008C5880">
        <w:rPr>
          <w:noProof/>
        </w:rPr>
        <w:t>[4]</w:t>
      </w:r>
      <w:r w:rsidR="008C5880">
        <w:fldChar w:fldCharType="end"/>
      </w:r>
      <w:r w:rsidR="00843F85" w:rsidRPr="005A3BCE">
        <w:t xml:space="preserve">. Controls were defined by absence </w:t>
      </w:r>
      <w:r w:rsidR="00843F85" w:rsidRPr="005A3BCE">
        <w:lastRenderedPageBreak/>
        <w:t xml:space="preserve">of affective symptoms throughout the 6 month hormone manipulation protocol (i.e., no weekly average score </w:t>
      </w:r>
      <w:r w:rsidR="00843F85" w:rsidRPr="005A3BCE">
        <w:rPr>
          <w:u w:val="single"/>
        </w:rPr>
        <w:t>&gt;</w:t>
      </w:r>
      <w:r w:rsidR="00843F85" w:rsidRPr="005A3BCE">
        <w:t>2).</w:t>
      </w:r>
      <w:r w:rsidR="00843F85">
        <w:t xml:space="preserve"> </w:t>
      </w:r>
      <w:r w:rsidRPr="00992243">
        <w:rPr>
          <w:b/>
          <w:color w:val="auto"/>
        </w:rPr>
        <w:t xml:space="preserve"> </w:t>
      </w:r>
    </w:p>
    <w:p w14:paraId="4E9D0668" w14:textId="77777777" w:rsidR="00843F85" w:rsidRDefault="00843F85" w:rsidP="004521F8">
      <w:pPr>
        <w:spacing w:line="480" w:lineRule="auto"/>
        <w:rPr>
          <w:b/>
          <w:color w:val="auto"/>
        </w:rPr>
      </w:pPr>
    </w:p>
    <w:p w14:paraId="6AC13ED8" w14:textId="263D46CB" w:rsidR="004521F8" w:rsidRPr="00992243" w:rsidRDefault="00843F85" w:rsidP="004521F8">
      <w:pPr>
        <w:spacing w:line="480" w:lineRule="auto"/>
      </w:pPr>
      <w:r w:rsidRPr="00E85454">
        <w:rPr>
          <w:b/>
          <w:color w:val="auto"/>
        </w:rPr>
        <w:t>Figure S</w:t>
      </w:r>
      <w:r>
        <w:rPr>
          <w:b/>
          <w:color w:val="auto"/>
        </w:rPr>
        <w:t>2</w:t>
      </w:r>
      <w:r w:rsidRPr="00E85454">
        <w:rPr>
          <w:b/>
          <w:color w:val="auto"/>
        </w:rPr>
        <w:t>:</w:t>
      </w:r>
      <w:r>
        <w:rPr>
          <w:b/>
          <w:color w:val="auto"/>
        </w:rPr>
        <w:t xml:space="preserve"> </w:t>
      </w:r>
      <w:r w:rsidR="004521F8" w:rsidRPr="00992243">
        <w:rPr>
          <w:b/>
        </w:rPr>
        <w:t>Scatter and volcano plots for RNAseq comparing untreated Control and PMDD lymphoblastoid cell lines</w:t>
      </w:r>
      <w:r w:rsidR="004521F8">
        <w:rPr>
          <w:b/>
        </w:rPr>
        <w:t>.</w:t>
      </w:r>
      <w:r w:rsidR="004521F8">
        <w:t xml:space="preserve">  </w:t>
      </w:r>
      <w:r w:rsidR="004521F8">
        <w:rPr>
          <w:color w:val="auto"/>
        </w:rPr>
        <w:t>Comparison of transcripts detected in untreated lymphoblastoid cell lines</w:t>
      </w:r>
      <w:r w:rsidR="004521F8" w:rsidRPr="00B4037A">
        <w:rPr>
          <w:color w:val="auto"/>
        </w:rPr>
        <w:t xml:space="preserve"> </w:t>
      </w:r>
      <w:r w:rsidR="004521F8">
        <w:rPr>
          <w:color w:val="auto"/>
        </w:rPr>
        <w:t xml:space="preserve">from Control and PMDD women </w:t>
      </w:r>
      <w:r w:rsidR="004521F8" w:rsidRPr="00B4037A">
        <w:rPr>
          <w:color w:val="auto"/>
        </w:rPr>
        <w:t>by RNA-sequencing</w:t>
      </w:r>
      <w:r w:rsidR="004521F8">
        <w:rPr>
          <w:color w:val="auto"/>
        </w:rPr>
        <w:t xml:space="preserve">. </w:t>
      </w:r>
      <w:r w:rsidR="004521F8" w:rsidRPr="00B4037A">
        <w:rPr>
          <w:color w:val="auto"/>
        </w:rPr>
        <w:t>(A) Scatterpl</w:t>
      </w:r>
      <w:r w:rsidR="004521F8">
        <w:rPr>
          <w:color w:val="auto"/>
        </w:rPr>
        <w:t>ot</w:t>
      </w:r>
      <w:r w:rsidR="004521F8" w:rsidRPr="00B4037A">
        <w:rPr>
          <w:color w:val="auto"/>
        </w:rPr>
        <w:t xml:space="preserve"> of expression levels of all 13</w:t>
      </w:r>
      <w:r w:rsidR="004521F8">
        <w:rPr>
          <w:color w:val="auto"/>
        </w:rPr>
        <w:t>,</w:t>
      </w:r>
      <w:r w:rsidR="004521F8" w:rsidRPr="00B4037A">
        <w:rPr>
          <w:color w:val="auto"/>
        </w:rPr>
        <w:t xml:space="preserve">488 </w:t>
      </w:r>
      <w:r w:rsidR="004521F8">
        <w:rPr>
          <w:color w:val="auto"/>
        </w:rPr>
        <w:t xml:space="preserve">mapped </w:t>
      </w:r>
      <w:r w:rsidR="004521F8" w:rsidRPr="00B4037A">
        <w:rPr>
          <w:color w:val="auto"/>
        </w:rPr>
        <w:t>g</w:t>
      </w:r>
      <w:r w:rsidR="004521F8">
        <w:rPr>
          <w:color w:val="auto"/>
        </w:rPr>
        <w:t>ene transcripts in Control cell lines</w:t>
      </w:r>
      <w:r w:rsidR="004521F8" w:rsidRPr="00B4037A">
        <w:rPr>
          <w:color w:val="auto"/>
        </w:rPr>
        <w:t xml:space="preserve"> </w:t>
      </w:r>
      <w:r w:rsidR="004521F8">
        <w:rPr>
          <w:color w:val="auto"/>
        </w:rPr>
        <w:t xml:space="preserve">vs </w:t>
      </w:r>
      <w:r w:rsidR="004521F8" w:rsidRPr="00B4037A">
        <w:rPr>
          <w:color w:val="auto"/>
        </w:rPr>
        <w:t>13</w:t>
      </w:r>
      <w:r w:rsidR="004521F8">
        <w:rPr>
          <w:color w:val="auto"/>
        </w:rPr>
        <w:t>,</w:t>
      </w:r>
      <w:r w:rsidR="004521F8" w:rsidRPr="00B4037A">
        <w:rPr>
          <w:color w:val="auto"/>
        </w:rPr>
        <w:t xml:space="preserve">552 </w:t>
      </w:r>
      <w:r w:rsidR="004521F8">
        <w:rPr>
          <w:color w:val="auto"/>
        </w:rPr>
        <w:t xml:space="preserve">mapped </w:t>
      </w:r>
      <w:r w:rsidR="004521F8" w:rsidRPr="00B4037A">
        <w:rPr>
          <w:color w:val="auto"/>
        </w:rPr>
        <w:t xml:space="preserve">gene transcripts in PMDD </w:t>
      </w:r>
      <w:r w:rsidR="004521F8">
        <w:rPr>
          <w:color w:val="auto"/>
        </w:rPr>
        <w:t>cell lines</w:t>
      </w:r>
      <w:r w:rsidR="004521F8" w:rsidRPr="00B4037A">
        <w:rPr>
          <w:color w:val="auto"/>
        </w:rPr>
        <w:t>. (B) Volca</w:t>
      </w:r>
      <w:r w:rsidR="004521F8">
        <w:rPr>
          <w:color w:val="auto"/>
        </w:rPr>
        <w:t>no plot of uncorrected p-value and fold change for all mapped</w:t>
      </w:r>
      <w:r w:rsidR="004521F8" w:rsidRPr="00B4037A">
        <w:rPr>
          <w:color w:val="auto"/>
        </w:rPr>
        <w:t xml:space="preserve"> gene transcripts in </w:t>
      </w:r>
      <w:r w:rsidR="004521F8">
        <w:rPr>
          <w:color w:val="auto"/>
        </w:rPr>
        <w:t>Control cell lines and PMDD cell lines</w:t>
      </w:r>
      <w:r w:rsidR="004521F8" w:rsidRPr="00B4037A">
        <w:rPr>
          <w:color w:val="auto"/>
        </w:rPr>
        <w:t>.</w:t>
      </w:r>
      <w:r w:rsidR="004521F8">
        <w:rPr>
          <w:color w:val="auto"/>
        </w:rPr>
        <w:t xml:space="preserve">  The 13 genes constituting the ESC/E(Z)</w:t>
      </w:r>
      <w:r w:rsidR="004521F8" w:rsidRPr="00B4037A">
        <w:rPr>
          <w:color w:val="auto"/>
        </w:rPr>
        <w:t xml:space="preserve"> complex</w:t>
      </w:r>
      <w:r w:rsidR="004521F8">
        <w:rPr>
          <w:color w:val="auto"/>
        </w:rPr>
        <w:t xml:space="preserve"> are indicated in </w:t>
      </w:r>
      <w:r w:rsidR="004521F8" w:rsidRPr="003427E1">
        <w:rPr>
          <w:color w:val="auto"/>
        </w:rPr>
        <w:t>red.</w:t>
      </w:r>
    </w:p>
    <w:p w14:paraId="1294C49B" w14:textId="77777777" w:rsidR="004521F8" w:rsidRDefault="004521F8" w:rsidP="004521F8">
      <w:pPr>
        <w:spacing w:line="480" w:lineRule="auto"/>
        <w:rPr>
          <w:color w:val="auto"/>
        </w:rPr>
      </w:pPr>
    </w:p>
    <w:p w14:paraId="70472381" w14:textId="0B6E364F" w:rsidR="004521F8" w:rsidRDefault="004521F8" w:rsidP="004521F8">
      <w:pPr>
        <w:spacing w:line="480" w:lineRule="auto"/>
        <w:rPr>
          <w:color w:val="auto"/>
        </w:rPr>
      </w:pPr>
      <w:r w:rsidRPr="00E85454">
        <w:rPr>
          <w:b/>
          <w:color w:val="auto"/>
        </w:rPr>
        <w:t>Figure S</w:t>
      </w:r>
      <w:r w:rsidR="00843F85">
        <w:rPr>
          <w:b/>
          <w:color w:val="auto"/>
        </w:rPr>
        <w:t>3</w:t>
      </w:r>
      <w:r w:rsidRPr="00E85454">
        <w:rPr>
          <w:b/>
          <w:color w:val="auto"/>
        </w:rPr>
        <w:t xml:space="preserve">: </w:t>
      </w:r>
      <w:r w:rsidRPr="00E85454">
        <w:rPr>
          <w:b/>
        </w:rPr>
        <w:t>RNAseq, qRT</w:t>
      </w:r>
      <w:r>
        <w:rPr>
          <w:b/>
        </w:rPr>
        <w:t>-</w:t>
      </w:r>
      <w:r w:rsidRPr="00E85454">
        <w:rPr>
          <w:b/>
        </w:rPr>
        <w:t>PCR, and protein for untreated Control and PMDD lympoblastoid cell lines original data.</w:t>
      </w:r>
      <w:r w:rsidRPr="00E85454">
        <w:t xml:space="preserve">  Graphs are presented as group mean ± SEM.  </w:t>
      </w:r>
      <w:r>
        <w:t>Student’s t-test was performed for each comparison</w:t>
      </w:r>
      <w:r w:rsidRPr="00E85454">
        <w:t>.  (A) mRNA expression via RNA</w:t>
      </w:r>
      <w:r>
        <w:t>-</w:t>
      </w:r>
      <w:r w:rsidRPr="00E85454">
        <w:t>seq</w:t>
      </w:r>
      <w:r>
        <w:t>uencing (RPKM)</w:t>
      </w:r>
      <w:r w:rsidRPr="00E85454">
        <w:t xml:space="preserve"> for the 13 genes of the ESC/E(Z) complex (n=9-10).  </w:t>
      </w:r>
      <w:r>
        <w:t xml:space="preserve">Both </w:t>
      </w:r>
      <w:r>
        <w:rPr>
          <w:i/>
        </w:rPr>
        <w:t>MTF2</w:t>
      </w:r>
      <w:r>
        <w:t xml:space="preserve"> and </w:t>
      </w:r>
      <w:r>
        <w:rPr>
          <w:i/>
        </w:rPr>
        <w:t>SIRT1</w:t>
      </w:r>
      <w:r>
        <w:t xml:space="preserve"> were significantly higher in the PMDD group than the Control group (*p&lt;0.05), and </w:t>
      </w:r>
      <w:r>
        <w:rPr>
          <w:i/>
        </w:rPr>
        <w:t xml:space="preserve">EED, HDAC2, </w:t>
      </w:r>
      <w:r w:rsidRPr="00452D56">
        <w:t>and</w:t>
      </w:r>
      <w:r>
        <w:rPr>
          <w:i/>
        </w:rPr>
        <w:t xml:space="preserve"> SUZ12</w:t>
      </w:r>
      <w:r>
        <w:t xml:space="preserve"> were </w:t>
      </w:r>
      <w:r w:rsidR="004A5D67">
        <w:t>higher at a trend level of significance</w:t>
      </w:r>
      <w:r>
        <w:t xml:space="preserve"> in the PMDD group than the Control group (</w:t>
      </w:r>
      <w:r>
        <w:rPr>
          <w:vertAlign w:val="superscript"/>
        </w:rPr>
        <w:t>#</w:t>
      </w:r>
      <w:r>
        <w:t>p&lt;0.1)</w:t>
      </w:r>
      <w:r w:rsidR="002F66A5">
        <w:t xml:space="preserve">, while </w:t>
      </w:r>
      <w:r w:rsidR="002F66A5">
        <w:rPr>
          <w:i/>
        </w:rPr>
        <w:t>PHF19</w:t>
      </w:r>
      <w:r w:rsidR="002F66A5">
        <w:t xml:space="preserve"> was lower at a trend level of significance in the PMDD group than the control group (#p&lt;0.1)</w:t>
      </w:r>
      <w:r>
        <w:t>.</w:t>
      </w:r>
      <w:r w:rsidRPr="00E85454">
        <w:t xml:space="preserve"> </w:t>
      </w:r>
      <w:r>
        <w:t xml:space="preserve"> </w:t>
      </w:r>
      <w:r w:rsidRPr="00E85454">
        <w:t>(B) mRNA expression via qRT-PCR</w:t>
      </w:r>
      <w:r>
        <w:t xml:space="preserve"> (</w:t>
      </w:r>
      <w:r w:rsidRPr="00EC782F">
        <w:t>∆CT value with β-actin as the reference control for normalization</w:t>
      </w:r>
      <w:r>
        <w:t>)</w:t>
      </w:r>
      <w:r w:rsidRPr="00E85454">
        <w:t xml:space="preserve"> for the 13 genes of the ESC/E(Z) complex (n=29-30). </w:t>
      </w:r>
      <w:r>
        <w:t>N</w:t>
      </w:r>
      <w:r w:rsidRPr="00EC782F">
        <w:t>ote a lower ∆CT value indicates higher expression</w:t>
      </w:r>
      <w:r>
        <w:t xml:space="preserve">.  </w:t>
      </w:r>
      <w:r w:rsidR="008B2E70">
        <w:rPr>
          <w:i/>
        </w:rPr>
        <w:t xml:space="preserve">HDAC2 </w:t>
      </w:r>
      <w:r w:rsidR="008B2E70" w:rsidRPr="004C0BE9">
        <w:t>(</w:t>
      </w:r>
      <w:r w:rsidR="008B2E70" w:rsidRPr="00260C30">
        <w:t>t</w:t>
      </w:r>
      <w:r w:rsidR="008B2E70">
        <w:rPr>
          <w:vertAlign w:val="subscript"/>
        </w:rPr>
        <w:t>43</w:t>
      </w:r>
      <w:r w:rsidR="008B2E70" w:rsidRPr="00260C30">
        <w:t>=</w:t>
      </w:r>
      <w:r w:rsidR="008B2E70">
        <w:t>2.6)</w:t>
      </w:r>
      <w:r w:rsidR="008B2E70">
        <w:rPr>
          <w:i/>
        </w:rPr>
        <w:t>, MTF2</w:t>
      </w:r>
      <w:r w:rsidR="008B2E70">
        <w:t xml:space="preserve"> (</w:t>
      </w:r>
      <w:r w:rsidR="008B2E70" w:rsidRPr="00260C30">
        <w:t>t</w:t>
      </w:r>
      <w:r w:rsidR="008B2E70">
        <w:rPr>
          <w:vertAlign w:val="subscript"/>
        </w:rPr>
        <w:t>37</w:t>
      </w:r>
      <w:r w:rsidR="008B2E70" w:rsidRPr="00260C30">
        <w:t>=3.7</w:t>
      </w:r>
      <w:r w:rsidR="008B2E70">
        <w:t>)</w:t>
      </w:r>
      <w:r w:rsidR="008B2E70">
        <w:rPr>
          <w:i/>
        </w:rPr>
        <w:t>, SIRT1</w:t>
      </w:r>
      <w:r w:rsidR="008B2E70">
        <w:t xml:space="preserve"> (t</w:t>
      </w:r>
      <w:r w:rsidR="008B2E70">
        <w:rPr>
          <w:vertAlign w:val="subscript"/>
        </w:rPr>
        <w:t>46</w:t>
      </w:r>
      <w:r w:rsidR="008B2E70">
        <w:t xml:space="preserve">=3.2), and </w:t>
      </w:r>
      <w:r w:rsidR="008B2E70" w:rsidRPr="008B2E70">
        <w:rPr>
          <w:i/>
        </w:rPr>
        <w:t>SUZ12</w:t>
      </w:r>
      <w:r w:rsidR="008B2E70">
        <w:t xml:space="preserve"> (t</w:t>
      </w:r>
      <w:r w:rsidR="008B2E70">
        <w:rPr>
          <w:vertAlign w:val="subscript"/>
        </w:rPr>
        <w:t>42</w:t>
      </w:r>
      <w:r w:rsidR="008B2E70">
        <w:t xml:space="preserve">=2.1) were significantly higher in the PMDD group than the Control group (*p&lt;0.05), and </w:t>
      </w:r>
      <w:r w:rsidR="008B2E70">
        <w:rPr>
          <w:i/>
        </w:rPr>
        <w:t xml:space="preserve">RBBP7 </w:t>
      </w:r>
      <w:r w:rsidR="008B2E70" w:rsidRPr="004C0BE9">
        <w:t>(</w:t>
      </w:r>
      <w:r w:rsidR="008B2E70" w:rsidRPr="00485B09">
        <w:t>t</w:t>
      </w:r>
      <w:r w:rsidR="008B2E70">
        <w:rPr>
          <w:vertAlign w:val="subscript"/>
        </w:rPr>
        <w:t>33</w:t>
      </w:r>
      <w:r w:rsidR="008B2E70" w:rsidRPr="00485B09">
        <w:t>=1.</w:t>
      </w:r>
      <w:r w:rsidR="008B2E70">
        <w:t xml:space="preserve">8) was </w:t>
      </w:r>
      <w:r w:rsidR="004A5D67">
        <w:t>higher at a trend level of significance</w:t>
      </w:r>
      <w:r>
        <w:t xml:space="preserve"> in the PMDD group than the </w:t>
      </w:r>
      <w:r>
        <w:lastRenderedPageBreak/>
        <w:t>Control group (</w:t>
      </w:r>
      <w:r>
        <w:rPr>
          <w:vertAlign w:val="superscript"/>
        </w:rPr>
        <w:t>#</w:t>
      </w:r>
      <w:r>
        <w:t>p&lt;0.1).</w:t>
      </w:r>
      <w:r w:rsidRPr="00E85454">
        <w:t xml:space="preserve"> </w:t>
      </w:r>
      <w:r>
        <w:t xml:space="preserve"> </w:t>
      </w:r>
      <w:r w:rsidRPr="00E85454">
        <w:t xml:space="preserve">(C) </w:t>
      </w:r>
      <w:r>
        <w:t>P</w:t>
      </w:r>
      <w:r w:rsidRPr="00E85454">
        <w:t>rotein expression via ProteinSimple</w:t>
      </w:r>
      <w:r w:rsidRPr="00E85454">
        <w:rPr>
          <w:color w:val="auto"/>
        </w:rPr>
        <w:t xml:space="preserve">© </w:t>
      </w:r>
      <w:r w:rsidR="009E35DD">
        <w:rPr>
          <w:color w:val="auto"/>
        </w:rPr>
        <w:t>w</w:t>
      </w:r>
      <w:r w:rsidRPr="00E85454">
        <w:rPr>
          <w:color w:val="auto"/>
        </w:rPr>
        <w:t xml:space="preserve">estern </w:t>
      </w:r>
      <w:r w:rsidR="009E35DD">
        <w:rPr>
          <w:color w:val="auto"/>
        </w:rPr>
        <w:t>a</w:t>
      </w:r>
      <w:r w:rsidRPr="00E85454">
        <w:rPr>
          <w:color w:val="auto"/>
        </w:rPr>
        <w:t>nalysis</w:t>
      </w:r>
      <w:r w:rsidRPr="00E85454">
        <w:t xml:space="preserve"> </w:t>
      </w:r>
      <w:r>
        <w:t>(</w:t>
      </w:r>
      <w:r>
        <w:rPr>
          <w:color w:val="auto"/>
        </w:rPr>
        <w:t>t</w:t>
      </w:r>
      <w:r w:rsidRPr="00EC782F">
        <w:rPr>
          <w:color w:val="auto"/>
        </w:rPr>
        <w:t>arge</w:t>
      </w:r>
      <w:r>
        <w:rPr>
          <w:color w:val="auto"/>
        </w:rPr>
        <w:t xml:space="preserve">t protein chemiluminescense </w:t>
      </w:r>
      <w:r w:rsidRPr="00EC782F">
        <w:rPr>
          <w:color w:val="auto"/>
        </w:rPr>
        <w:t>normalized to β-actin</w:t>
      </w:r>
      <w:r>
        <w:rPr>
          <w:color w:val="auto"/>
        </w:rPr>
        <w:t>)</w:t>
      </w:r>
      <w:r w:rsidRPr="00E85454">
        <w:t xml:space="preserve"> for select genes of the ESC/E(Z) complex (n=7).  </w:t>
      </w:r>
      <w:r>
        <w:t>MTF2</w:t>
      </w:r>
      <w:r w:rsidR="004C0BE9">
        <w:t xml:space="preserve"> (t</w:t>
      </w:r>
      <w:r w:rsidR="004C0BE9">
        <w:rPr>
          <w:vertAlign w:val="subscript"/>
        </w:rPr>
        <w:t>11</w:t>
      </w:r>
      <w:r w:rsidR="004C0BE9">
        <w:t>=3.4)</w:t>
      </w:r>
      <w:r>
        <w:t>, PHF19</w:t>
      </w:r>
      <w:r w:rsidR="004C0BE9">
        <w:t xml:space="preserve"> (t</w:t>
      </w:r>
      <w:r w:rsidR="004C0BE9">
        <w:rPr>
          <w:vertAlign w:val="subscript"/>
        </w:rPr>
        <w:t>12</w:t>
      </w:r>
      <w:r w:rsidR="004C0BE9">
        <w:t>=2.5)</w:t>
      </w:r>
      <w:r>
        <w:t xml:space="preserve">, and SIRT1 </w:t>
      </w:r>
      <w:r w:rsidR="004C0BE9" w:rsidRPr="004C0BE9">
        <w:t>(</w:t>
      </w:r>
      <w:r w:rsidR="004C0BE9">
        <w:t>t</w:t>
      </w:r>
      <w:r w:rsidR="004C0BE9">
        <w:rPr>
          <w:vertAlign w:val="subscript"/>
        </w:rPr>
        <w:t>11</w:t>
      </w:r>
      <w:r w:rsidR="004C0BE9">
        <w:t xml:space="preserve">=3.2) </w:t>
      </w:r>
      <w:r w:rsidRPr="004C0BE9">
        <w:t>were</w:t>
      </w:r>
      <w:r>
        <w:t xml:space="preserve"> significantly lower in the PMDD group than the Control group (*p&lt;0.05).  </w:t>
      </w:r>
      <w:r>
        <w:rPr>
          <w:color w:val="auto"/>
        </w:rPr>
        <w:t>R</w:t>
      </w:r>
      <w:r w:rsidRPr="00EC782F">
        <w:rPr>
          <w:color w:val="auto"/>
        </w:rPr>
        <w:t>epresentative images of protein “bands” from the Compass software are shown below each group</w:t>
      </w:r>
      <w:r>
        <w:rPr>
          <w:color w:val="auto"/>
        </w:rPr>
        <w:t>.</w:t>
      </w:r>
    </w:p>
    <w:p w14:paraId="742A0AB7" w14:textId="77777777" w:rsidR="004521F8" w:rsidRPr="007C784F" w:rsidRDefault="004521F8" w:rsidP="004521F8">
      <w:pPr>
        <w:spacing w:line="480" w:lineRule="auto"/>
        <w:rPr>
          <w:color w:val="auto"/>
        </w:rPr>
      </w:pPr>
    </w:p>
    <w:p w14:paraId="0BE9FC41" w14:textId="1E2635F7" w:rsidR="004521F8" w:rsidRPr="007C784F" w:rsidRDefault="004521F8" w:rsidP="004521F8">
      <w:pPr>
        <w:spacing w:line="480" w:lineRule="auto"/>
        <w:rPr>
          <w:color w:val="auto"/>
        </w:rPr>
      </w:pPr>
      <w:r w:rsidRPr="007C784F">
        <w:rPr>
          <w:b/>
        </w:rPr>
        <w:t>Figure S</w:t>
      </w:r>
      <w:r w:rsidR="00843F85">
        <w:rPr>
          <w:b/>
        </w:rPr>
        <w:t>4</w:t>
      </w:r>
      <w:r w:rsidRPr="007C784F">
        <w:rPr>
          <w:b/>
        </w:rPr>
        <w:t>: Scatter and volcano plots for RNAseq comparing untreated versus estradiol</w:t>
      </w:r>
      <w:r>
        <w:rPr>
          <w:b/>
        </w:rPr>
        <w:t>-</w:t>
      </w:r>
      <w:r w:rsidRPr="007C784F">
        <w:rPr>
          <w:b/>
        </w:rPr>
        <w:t xml:space="preserve">treated Control and PMDD lymphoblastoid cell lines.  </w:t>
      </w:r>
      <w:r w:rsidRPr="007C784F">
        <w:rPr>
          <w:color w:val="auto"/>
        </w:rPr>
        <w:t xml:space="preserve">Comparison of transcripts detected in untreated (UT) vs estradiol (E2) treated lymphoblastoid cell lines from Control and PMDD women by RNA-sequencing. (A) Scatterplot of expression levels of all 13,488 mapped gene transcripts in untreated Control cell lines vs 13,218 mapped gene transcripts in E2 treated Control cell lines. (B) Volcano plot of uncorrected p-value and fold change for all mapped gene transcripts in untreated Control cell lines and E2 treated Control cell lines.  (A) Scatterplot of expression levels of all 13,552 mapped gene transcripts in untreated PMDD cell lines vs 12,365 mapped gene transcripts in E2 treated PMDD cell lines. (B) Volcano plot of uncorrected p-value and fold change for all mapped gene transcripts in untreated PMDD cell lines and E2 treated PMDD cell lines.  </w:t>
      </w:r>
    </w:p>
    <w:p w14:paraId="2A7F0123" w14:textId="77777777" w:rsidR="004521F8" w:rsidRPr="007C784F" w:rsidRDefault="004521F8" w:rsidP="004521F8">
      <w:pPr>
        <w:spacing w:line="480" w:lineRule="auto"/>
        <w:rPr>
          <w:rFonts w:ascii="Arial" w:hAnsi="Arial" w:cs="Arial"/>
          <w:b/>
        </w:rPr>
      </w:pPr>
    </w:p>
    <w:p w14:paraId="655B660B" w14:textId="3AF10039" w:rsidR="004521F8" w:rsidRPr="003F469C" w:rsidRDefault="004521F8" w:rsidP="004521F8">
      <w:pPr>
        <w:spacing w:line="480" w:lineRule="auto"/>
      </w:pPr>
      <w:r w:rsidRPr="003F469C">
        <w:rPr>
          <w:b/>
          <w:color w:val="auto"/>
        </w:rPr>
        <w:t xml:space="preserve">Figure </w:t>
      </w:r>
      <w:r w:rsidR="006C1977" w:rsidRPr="003F469C">
        <w:rPr>
          <w:b/>
          <w:color w:val="auto"/>
        </w:rPr>
        <w:t>S</w:t>
      </w:r>
      <w:r w:rsidR="00843F85">
        <w:rPr>
          <w:b/>
          <w:color w:val="auto"/>
        </w:rPr>
        <w:t>5</w:t>
      </w:r>
      <w:r w:rsidRPr="003F469C">
        <w:rPr>
          <w:b/>
          <w:color w:val="auto"/>
        </w:rPr>
        <w:t>:</w:t>
      </w:r>
      <w:r w:rsidRPr="003F469C">
        <w:rPr>
          <w:b/>
        </w:rPr>
        <w:t xml:space="preserve"> All ESC/E(Z) complex gene </w:t>
      </w:r>
      <w:r>
        <w:rPr>
          <w:b/>
        </w:rPr>
        <w:t xml:space="preserve">expressions </w:t>
      </w:r>
      <w:r w:rsidRPr="003F469C">
        <w:rPr>
          <w:b/>
        </w:rPr>
        <w:t>from RNAseq</w:t>
      </w:r>
      <w:r>
        <w:rPr>
          <w:b/>
        </w:rPr>
        <w:t>: ANOVAs</w:t>
      </w:r>
      <w:r w:rsidRPr="003F469C">
        <w:rPr>
          <w:b/>
        </w:rPr>
        <w:t xml:space="preserve"> comparing untreated and estradiol</w:t>
      </w:r>
      <w:r>
        <w:rPr>
          <w:b/>
        </w:rPr>
        <w:t>-</w:t>
      </w:r>
      <w:r w:rsidRPr="003F469C">
        <w:rPr>
          <w:b/>
        </w:rPr>
        <w:t>treated Control and PMDD lymphoblastoid cell lines</w:t>
      </w:r>
      <w:r w:rsidRPr="00C51AE9">
        <w:rPr>
          <w:b/>
        </w:rPr>
        <w:t>.</w:t>
      </w:r>
      <w:r>
        <w:rPr>
          <w:b/>
        </w:rPr>
        <w:t xml:space="preserve"> </w:t>
      </w:r>
      <w:r w:rsidRPr="003F469C">
        <w:t>All graphs are presented as group mean ± SEM using RPKM values from RNA-sequencing.  Two-way ANOVAs were performed for each gene of interest, followed by Sidak’s multiple comparisons post-hoc test in cases of a significant interaction</w:t>
      </w:r>
      <w:r>
        <w:t xml:space="preserve">. </w:t>
      </w:r>
      <w:r w:rsidRPr="003F469C">
        <w:t xml:space="preserve">Untreated Control and PMDD lymphoblastoid </w:t>
      </w:r>
      <w:r w:rsidRPr="003F469C">
        <w:lastRenderedPageBreak/>
        <w:t xml:space="preserve">cell lines compared with estradiol treatment. (A) </w:t>
      </w:r>
      <w:r w:rsidRPr="003F469C">
        <w:rPr>
          <w:i/>
        </w:rPr>
        <w:t>AEBP2</w:t>
      </w:r>
      <w:r w:rsidRPr="003F469C">
        <w:t xml:space="preserve">, (B) </w:t>
      </w:r>
      <w:r w:rsidRPr="003F469C">
        <w:rPr>
          <w:i/>
        </w:rPr>
        <w:t>EED</w:t>
      </w:r>
      <w:r w:rsidRPr="003F469C">
        <w:t xml:space="preserve">, (C) </w:t>
      </w:r>
      <w:r w:rsidRPr="003F469C">
        <w:rPr>
          <w:i/>
        </w:rPr>
        <w:t>EZH1</w:t>
      </w:r>
      <w:r w:rsidRPr="003F469C">
        <w:t xml:space="preserve">, (D) </w:t>
      </w:r>
      <w:r w:rsidRPr="003F469C">
        <w:rPr>
          <w:i/>
        </w:rPr>
        <w:t>EZH2</w:t>
      </w:r>
      <w:r w:rsidRPr="003F469C">
        <w:t xml:space="preserve">, (E) </w:t>
      </w:r>
      <w:r w:rsidRPr="003F469C">
        <w:rPr>
          <w:i/>
        </w:rPr>
        <w:t>HDAC2</w:t>
      </w:r>
      <w:r w:rsidRPr="003F469C">
        <w:t xml:space="preserve">, (F) </w:t>
      </w:r>
      <w:r w:rsidRPr="003F469C">
        <w:rPr>
          <w:i/>
        </w:rPr>
        <w:t>JARID2</w:t>
      </w:r>
      <w:r w:rsidRPr="003F469C">
        <w:t xml:space="preserve">, (G) </w:t>
      </w:r>
      <w:r w:rsidRPr="003F469C">
        <w:rPr>
          <w:i/>
        </w:rPr>
        <w:t>MTF2</w:t>
      </w:r>
      <w:r w:rsidRPr="003F469C">
        <w:t xml:space="preserve">, (H) </w:t>
      </w:r>
      <w:r w:rsidRPr="003F469C">
        <w:rPr>
          <w:i/>
        </w:rPr>
        <w:t>PHF1</w:t>
      </w:r>
      <w:r w:rsidRPr="003F469C">
        <w:t xml:space="preserve">, (I) </w:t>
      </w:r>
      <w:r w:rsidRPr="003F469C">
        <w:rPr>
          <w:i/>
        </w:rPr>
        <w:t>PHF19</w:t>
      </w:r>
      <w:r w:rsidRPr="003F469C">
        <w:t xml:space="preserve">, (J) </w:t>
      </w:r>
      <w:r w:rsidRPr="003F469C">
        <w:rPr>
          <w:i/>
        </w:rPr>
        <w:t>RBBP4</w:t>
      </w:r>
      <w:r w:rsidRPr="003F469C">
        <w:t xml:space="preserve">, (K) </w:t>
      </w:r>
      <w:r w:rsidRPr="003F469C">
        <w:rPr>
          <w:i/>
        </w:rPr>
        <w:t>RBBP7</w:t>
      </w:r>
      <w:r w:rsidRPr="003F469C">
        <w:t xml:space="preserve">, (L) </w:t>
      </w:r>
      <w:r w:rsidRPr="003F469C">
        <w:rPr>
          <w:i/>
        </w:rPr>
        <w:t>SIRT1</w:t>
      </w:r>
      <w:r w:rsidRPr="003F469C">
        <w:t xml:space="preserve">, (M) </w:t>
      </w:r>
      <w:r w:rsidRPr="003F469C">
        <w:rPr>
          <w:i/>
        </w:rPr>
        <w:t>SUZ12</w:t>
      </w:r>
      <w:r w:rsidRPr="003F469C">
        <w:t>.</w:t>
      </w:r>
      <w:r>
        <w:t>S</w:t>
      </w:r>
      <w:r w:rsidRPr="003F469C">
        <w:t>ee Table S7 for statistical analysis</w:t>
      </w:r>
      <w:r>
        <w:t xml:space="preserve">; significant differences between cell lines from Control and PMDD women (where PMDD&gt;Control) were observed in the expression of the following genes: </w:t>
      </w:r>
      <w:r w:rsidRPr="006F7B6E">
        <w:rPr>
          <w:i/>
        </w:rPr>
        <w:t>AEBP2, EED, EZH2, HDAC2, MTF2, RBBP4, SIRT1</w:t>
      </w:r>
      <w:r>
        <w:t xml:space="preserve">, and </w:t>
      </w:r>
      <w:r w:rsidRPr="006F7B6E">
        <w:rPr>
          <w:i/>
        </w:rPr>
        <w:t>SUZ12</w:t>
      </w:r>
      <w:r w:rsidRPr="003F469C">
        <w:t xml:space="preserve"> </w:t>
      </w:r>
      <w:r>
        <w:t>(</w:t>
      </w:r>
      <w:r w:rsidRPr="003F469C">
        <w:t>*p&lt;0.05</w:t>
      </w:r>
      <w:r>
        <w:t xml:space="preserve">), otherwise p=NS.  For </w:t>
      </w:r>
      <w:r w:rsidRPr="006F7B6E">
        <w:rPr>
          <w:i/>
        </w:rPr>
        <w:t>JARID2</w:t>
      </w:r>
      <w:r>
        <w:t>, a significant interaction effect was found between untreated and estradiol-treated cell lines from PMDD (untreated&gt;estradiol-treated, *p&lt;0.05) but not from Control women</w:t>
      </w:r>
      <w:r w:rsidRPr="003F469C">
        <w:t xml:space="preserve">.  </w:t>
      </w:r>
    </w:p>
    <w:p w14:paraId="7E669506" w14:textId="77777777" w:rsidR="004521F8" w:rsidRDefault="004521F8" w:rsidP="004521F8">
      <w:pPr>
        <w:spacing w:line="480" w:lineRule="auto"/>
        <w:rPr>
          <w:b/>
        </w:rPr>
      </w:pPr>
    </w:p>
    <w:p w14:paraId="40701000" w14:textId="4AA26D16" w:rsidR="004521F8" w:rsidRPr="003F469C" w:rsidRDefault="004521F8" w:rsidP="004521F8">
      <w:pPr>
        <w:spacing w:line="480" w:lineRule="auto"/>
        <w:rPr>
          <w:color w:val="auto"/>
        </w:rPr>
      </w:pPr>
      <w:r w:rsidRPr="003F469C">
        <w:rPr>
          <w:b/>
        </w:rPr>
        <w:t>Figure S</w:t>
      </w:r>
      <w:r w:rsidR="00843F85">
        <w:rPr>
          <w:b/>
        </w:rPr>
        <w:t>6</w:t>
      </w:r>
      <w:r w:rsidRPr="003F469C">
        <w:rPr>
          <w:b/>
        </w:rPr>
        <w:t>: Scatter and volcano plots for RNAseq comparing untreated versus progesterone</w:t>
      </w:r>
      <w:r>
        <w:rPr>
          <w:b/>
        </w:rPr>
        <w:t>-</w:t>
      </w:r>
      <w:r w:rsidRPr="003F469C">
        <w:rPr>
          <w:b/>
        </w:rPr>
        <w:t xml:space="preserve">treated Control and PMDD lymphoblastoid cell lines.  </w:t>
      </w:r>
      <w:r w:rsidRPr="003F469C">
        <w:rPr>
          <w:color w:val="auto"/>
        </w:rPr>
        <w:t xml:space="preserve">Comparison of transcripts detected in untreated (UT) vs </w:t>
      </w:r>
      <w:r>
        <w:rPr>
          <w:color w:val="auto"/>
        </w:rPr>
        <w:t>progesterone</w:t>
      </w:r>
      <w:r w:rsidRPr="003F469C">
        <w:rPr>
          <w:color w:val="auto"/>
        </w:rPr>
        <w:t xml:space="preserve"> (P4)</w:t>
      </w:r>
      <w:r>
        <w:rPr>
          <w:color w:val="auto"/>
        </w:rPr>
        <w:t>-</w:t>
      </w:r>
      <w:r w:rsidRPr="003F469C">
        <w:rPr>
          <w:color w:val="auto"/>
        </w:rPr>
        <w:t>treated lymphoblastoid cell lines from Control and PMDD women by RNA-sequencing. (A) Scatterplot of expression levels of all 13,488 mapped gene transcripts in untreated Control cell lines vs 13,012 mapped gene transcripts in P4 treated Control cell lines. (B) Volcano plot of uncorrected p-value and fold change for all mapped gene transcripts in untreated Control cell lines and P4 treated Control cell lines.  (A) Scatterplot of expression levels of all 13,552 mapped gene transcripts in untreated PMDD cell lines vs 12,973 mapped gene transcripts in P4</w:t>
      </w:r>
      <w:r>
        <w:rPr>
          <w:color w:val="auto"/>
        </w:rPr>
        <w:t>-</w:t>
      </w:r>
      <w:r w:rsidRPr="003F469C">
        <w:rPr>
          <w:color w:val="auto"/>
        </w:rPr>
        <w:t>treated PMDD cell lines. (B) Volcano plot of uncorrected p-value and fold change for all mapped gene transcripts in untreated PMDD cell lines and P4</w:t>
      </w:r>
      <w:r>
        <w:rPr>
          <w:color w:val="auto"/>
        </w:rPr>
        <w:t>-</w:t>
      </w:r>
      <w:r w:rsidRPr="003F469C">
        <w:rPr>
          <w:color w:val="auto"/>
        </w:rPr>
        <w:t xml:space="preserve">treated PMDD cell lines.  </w:t>
      </w:r>
    </w:p>
    <w:p w14:paraId="26229D8D" w14:textId="77777777" w:rsidR="004521F8" w:rsidRDefault="004521F8" w:rsidP="004521F8">
      <w:pPr>
        <w:spacing w:line="480" w:lineRule="auto"/>
        <w:rPr>
          <w:color w:val="auto"/>
        </w:rPr>
      </w:pPr>
    </w:p>
    <w:p w14:paraId="190303FD" w14:textId="543FD1CA" w:rsidR="004521F8" w:rsidRDefault="004521F8" w:rsidP="004521F8">
      <w:pPr>
        <w:spacing w:line="480" w:lineRule="auto"/>
      </w:pPr>
      <w:r>
        <w:rPr>
          <w:b/>
          <w:color w:val="auto"/>
        </w:rPr>
        <w:t>Figure S</w:t>
      </w:r>
      <w:r w:rsidR="00843F85">
        <w:rPr>
          <w:b/>
          <w:color w:val="auto"/>
        </w:rPr>
        <w:t>7</w:t>
      </w:r>
      <w:r w:rsidRPr="003F469C">
        <w:rPr>
          <w:b/>
          <w:color w:val="auto"/>
        </w:rPr>
        <w:t>:</w:t>
      </w:r>
      <w:r w:rsidRPr="003F469C">
        <w:rPr>
          <w:b/>
        </w:rPr>
        <w:t xml:space="preserve"> </w:t>
      </w:r>
      <w:r>
        <w:rPr>
          <w:b/>
        </w:rPr>
        <w:t>A</w:t>
      </w:r>
      <w:r w:rsidRPr="003F469C">
        <w:rPr>
          <w:b/>
        </w:rPr>
        <w:t>ll ESC/E(Z) complex gene</w:t>
      </w:r>
      <w:r>
        <w:rPr>
          <w:b/>
        </w:rPr>
        <w:t xml:space="preserve"> expressions</w:t>
      </w:r>
      <w:r w:rsidRPr="003F469C">
        <w:rPr>
          <w:b/>
        </w:rPr>
        <w:t xml:space="preserve"> from RNAseq</w:t>
      </w:r>
      <w:r>
        <w:rPr>
          <w:b/>
        </w:rPr>
        <w:t>: ANOVAs</w:t>
      </w:r>
      <w:r w:rsidRPr="003F469C">
        <w:rPr>
          <w:b/>
        </w:rPr>
        <w:t xml:space="preserve"> comparing untreated and </w:t>
      </w:r>
      <w:r>
        <w:rPr>
          <w:b/>
        </w:rPr>
        <w:t>progesterone-</w:t>
      </w:r>
      <w:r w:rsidRPr="003F469C">
        <w:rPr>
          <w:b/>
        </w:rPr>
        <w:t xml:space="preserve">treated Control and PMDD lymphoblastoid cell lines. </w:t>
      </w:r>
      <w:r w:rsidRPr="003F469C">
        <w:t xml:space="preserve"> All </w:t>
      </w:r>
      <w:r w:rsidRPr="003F469C">
        <w:lastRenderedPageBreak/>
        <w:t>graphs are presented as group mean ± SEM using RPKM values from RNA-sequencing.  Two-way ANOVAs were performed for each gene of interest, followed by Sidak’s multiple comparisons post-hoc test in cases of a significant interaction</w:t>
      </w:r>
      <w:r>
        <w:t xml:space="preserve">. </w:t>
      </w:r>
      <w:r w:rsidRPr="003F469C">
        <w:t xml:space="preserve">Untreated Control and PMDD lymphoblastoid cell lines compared with </w:t>
      </w:r>
      <w:r>
        <w:t xml:space="preserve">progesterone </w:t>
      </w:r>
      <w:r w:rsidRPr="003F469C">
        <w:t xml:space="preserve">treatment. (A) </w:t>
      </w:r>
      <w:r w:rsidRPr="003F469C">
        <w:rPr>
          <w:i/>
        </w:rPr>
        <w:t>AEBP2</w:t>
      </w:r>
      <w:r w:rsidRPr="003F469C">
        <w:t xml:space="preserve">, (B) </w:t>
      </w:r>
      <w:r w:rsidRPr="003F469C">
        <w:rPr>
          <w:i/>
        </w:rPr>
        <w:t>EED</w:t>
      </w:r>
      <w:r w:rsidRPr="003F469C">
        <w:t xml:space="preserve">, (C) </w:t>
      </w:r>
      <w:r w:rsidRPr="003F469C">
        <w:rPr>
          <w:i/>
        </w:rPr>
        <w:t>EZH1</w:t>
      </w:r>
      <w:r w:rsidRPr="003F469C">
        <w:t xml:space="preserve">, (D) </w:t>
      </w:r>
      <w:r w:rsidRPr="003F469C">
        <w:rPr>
          <w:i/>
        </w:rPr>
        <w:t>EZH2</w:t>
      </w:r>
      <w:r w:rsidRPr="003F469C">
        <w:t xml:space="preserve">, (E) </w:t>
      </w:r>
      <w:r w:rsidRPr="003F469C">
        <w:rPr>
          <w:i/>
        </w:rPr>
        <w:t>HDAC2</w:t>
      </w:r>
      <w:r w:rsidRPr="003F469C">
        <w:t xml:space="preserve">, (F) </w:t>
      </w:r>
      <w:r w:rsidRPr="003F469C">
        <w:rPr>
          <w:i/>
        </w:rPr>
        <w:t>JARID2</w:t>
      </w:r>
      <w:r w:rsidRPr="003F469C">
        <w:t xml:space="preserve">, (G) </w:t>
      </w:r>
      <w:r w:rsidRPr="003F469C">
        <w:rPr>
          <w:i/>
        </w:rPr>
        <w:t>MTF2</w:t>
      </w:r>
      <w:r w:rsidRPr="003F469C">
        <w:t xml:space="preserve">, (H) </w:t>
      </w:r>
      <w:r w:rsidRPr="003F469C">
        <w:rPr>
          <w:i/>
        </w:rPr>
        <w:t>PHF1</w:t>
      </w:r>
      <w:r w:rsidRPr="003F469C">
        <w:t xml:space="preserve">, (I) </w:t>
      </w:r>
      <w:r w:rsidRPr="003F469C">
        <w:rPr>
          <w:i/>
        </w:rPr>
        <w:t>PHF19</w:t>
      </w:r>
      <w:r w:rsidRPr="003F469C">
        <w:t xml:space="preserve">, (J) </w:t>
      </w:r>
      <w:r w:rsidRPr="003F469C">
        <w:rPr>
          <w:i/>
        </w:rPr>
        <w:t>RBBP4</w:t>
      </w:r>
      <w:r w:rsidRPr="003F469C">
        <w:t xml:space="preserve">, (K) </w:t>
      </w:r>
      <w:r w:rsidRPr="003F469C">
        <w:rPr>
          <w:i/>
        </w:rPr>
        <w:t>RBBP7</w:t>
      </w:r>
      <w:r w:rsidRPr="003F469C">
        <w:t xml:space="preserve">, (L) </w:t>
      </w:r>
      <w:r w:rsidRPr="003F469C">
        <w:rPr>
          <w:i/>
        </w:rPr>
        <w:t>SIRT1</w:t>
      </w:r>
      <w:r w:rsidRPr="003F469C">
        <w:t xml:space="preserve">, (M) </w:t>
      </w:r>
      <w:r w:rsidRPr="003F469C">
        <w:rPr>
          <w:i/>
        </w:rPr>
        <w:t>SUZ12</w:t>
      </w:r>
      <w:r w:rsidRPr="003F469C">
        <w:t>.</w:t>
      </w:r>
      <w:r>
        <w:t>S</w:t>
      </w:r>
      <w:r w:rsidRPr="003F469C">
        <w:t>ee Table S7 for statistical analysis,</w:t>
      </w:r>
      <w:r>
        <w:t xml:space="preserve">; significant differences between cell lines from Control and PMDD women were observed in the expression of </w:t>
      </w:r>
      <w:r w:rsidRPr="002C389F">
        <w:rPr>
          <w:i/>
        </w:rPr>
        <w:t>MTF2 a</w:t>
      </w:r>
      <w:r>
        <w:t xml:space="preserve">nd </w:t>
      </w:r>
      <w:r w:rsidRPr="002C389F">
        <w:rPr>
          <w:i/>
        </w:rPr>
        <w:t>SIRT1</w:t>
      </w:r>
      <w:r>
        <w:t xml:space="preserve"> (where Control&lt;PMDD, *p&lt;0.05) and PHF19 (where Control&gt;PMDD,</w:t>
      </w:r>
      <w:r w:rsidRPr="003F469C">
        <w:t xml:space="preserve"> *p&lt;0.05</w:t>
      </w:r>
      <w:r>
        <w:t>)</w:t>
      </w:r>
      <w:r w:rsidRPr="003F469C">
        <w:t xml:space="preserve">.  </w:t>
      </w:r>
      <w:r>
        <w:t xml:space="preserve">For </w:t>
      </w:r>
      <w:r w:rsidRPr="002C389F">
        <w:rPr>
          <w:i/>
        </w:rPr>
        <w:t>EED, EZH2</w:t>
      </w:r>
      <w:r>
        <w:t xml:space="preserve">, and </w:t>
      </w:r>
      <w:r w:rsidRPr="002C389F">
        <w:rPr>
          <w:i/>
        </w:rPr>
        <w:t>MTF2</w:t>
      </w:r>
      <w:r>
        <w:t xml:space="preserve">, a significant interaction effect was found between untreated and progesterone-treated cell lines from Control (untreated&lt;progesterone treated, *p&lt;0.05) but not from PMDD women. All other cases p=NS. </w:t>
      </w:r>
    </w:p>
    <w:p w14:paraId="18E43740" w14:textId="77777777" w:rsidR="0020330D" w:rsidRDefault="0020330D" w:rsidP="004521F8">
      <w:pPr>
        <w:spacing w:line="480" w:lineRule="auto"/>
      </w:pPr>
    </w:p>
    <w:p w14:paraId="062846A1" w14:textId="77777777" w:rsidR="0020330D" w:rsidRDefault="0020330D" w:rsidP="004521F8">
      <w:pPr>
        <w:spacing w:line="480" w:lineRule="auto"/>
      </w:pPr>
    </w:p>
    <w:p w14:paraId="7008BEA4" w14:textId="49FA0D7C" w:rsidR="0084162E" w:rsidRDefault="004521F8" w:rsidP="004521F8">
      <w:pPr>
        <w:spacing w:line="480" w:lineRule="auto"/>
        <w:rPr>
          <w:color w:val="auto"/>
        </w:rPr>
      </w:pPr>
      <w:r>
        <w:rPr>
          <w:color w:val="auto"/>
          <w:u w:val="single"/>
        </w:rPr>
        <w:t>Tables</w:t>
      </w:r>
      <w:r w:rsidRPr="00356CC4">
        <w:rPr>
          <w:color w:val="auto"/>
          <w:u w:val="single"/>
        </w:rPr>
        <w:t>:</w:t>
      </w:r>
    </w:p>
    <w:p w14:paraId="36829939" w14:textId="77777777" w:rsidR="004521F8" w:rsidRPr="007D51EE" w:rsidRDefault="004521F8" w:rsidP="004521F8">
      <w:pPr>
        <w:spacing w:line="480" w:lineRule="auto"/>
      </w:pPr>
      <w:r w:rsidRPr="007D51EE">
        <w:rPr>
          <w:b/>
          <w:color w:val="auto"/>
        </w:rPr>
        <w:t>Table S</w:t>
      </w:r>
      <w:r w:rsidR="00CC3AF1">
        <w:rPr>
          <w:b/>
          <w:color w:val="auto"/>
        </w:rPr>
        <w:t>1</w:t>
      </w:r>
      <w:r w:rsidRPr="007D51EE">
        <w:rPr>
          <w:b/>
          <w:color w:val="auto"/>
        </w:rPr>
        <w:t xml:space="preserve">: </w:t>
      </w:r>
      <w:r w:rsidRPr="007D51EE">
        <w:rPr>
          <w:b/>
        </w:rPr>
        <w:t>Primary antibody information.</w:t>
      </w:r>
      <w:r>
        <w:rPr>
          <w:b/>
        </w:rPr>
        <w:t xml:space="preserve">  </w:t>
      </w:r>
      <w:r>
        <w:t xml:space="preserve">Source, dilution, and protocol adjustments for each antibody used with the ProteinSimple© </w:t>
      </w:r>
      <w:r w:rsidR="009E35DD">
        <w:t>w</w:t>
      </w:r>
      <w:r>
        <w:t xml:space="preserve">estern </w:t>
      </w:r>
      <w:r w:rsidR="009E35DD">
        <w:t>a</w:t>
      </w:r>
      <w:r>
        <w:t>nalysis.  All catalog numbers refer to 2014 catalogs.  Secondary antibodies for rabbit, mouse, and PSCon were provide by ProteinSimple© with the kits.</w:t>
      </w:r>
    </w:p>
    <w:p w14:paraId="4B3CF2A7" w14:textId="77777777" w:rsidR="004521F8" w:rsidRDefault="004521F8" w:rsidP="004521F8">
      <w:pPr>
        <w:spacing w:line="480" w:lineRule="auto"/>
        <w:rPr>
          <w:color w:val="auto"/>
        </w:rPr>
      </w:pPr>
    </w:p>
    <w:p w14:paraId="7C35CD6D" w14:textId="77777777" w:rsidR="004521F8" w:rsidRPr="005B4A18" w:rsidRDefault="004521F8" w:rsidP="004521F8">
      <w:pPr>
        <w:spacing w:line="480" w:lineRule="auto"/>
      </w:pPr>
      <w:r w:rsidRPr="007D51EE">
        <w:rPr>
          <w:b/>
        </w:rPr>
        <w:t>Table S</w:t>
      </w:r>
      <w:r w:rsidR="00CC3AF1">
        <w:rPr>
          <w:b/>
        </w:rPr>
        <w:t>2</w:t>
      </w:r>
      <w:r w:rsidRPr="007D51EE">
        <w:rPr>
          <w:b/>
        </w:rPr>
        <w:t xml:space="preserve">: Number of genes mapped and nominally differentially expressed as determined by RNAseq comparing untreated Control and PMDD lymphoblastoid cell lines. </w:t>
      </w:r>
      <w:r>
        <w:t xml:space="preserve"> Summary of RNA sequencing results from all comparisons of Control and PMDD lymphoblastoid cell lines, untreated or treated with estradiol or progesterone.  </w:t>
      </w:r>
      <w:r w:rsidRPr="005B4A18">
        <w:rPr>
          <w:i/>
        </w:rPr>
        <w:t>Number of genes mapped:</w:t>
      </w:r>
      <w:r>
        <w:t xml:space="preserve"> Lists the </w:t>
      </w:r>
      <w:r>
        <w:lastRenderedPageBreak/>
        <w:t xml:space="preserve">total number of successfully mapped genes after filtering for each group.  </w:t>
      </w:r>
      <w:r w:rsidRPr="005B4A18">
        <w:rPr>
          <w:i/>
        </w:rPr>
        <w:t>Genes nominally differentially expressed (non-FDR p&lt;0.05):</w:t>
      </w:r>
      <w:r>
        <w:t xml:space="preserve"> For each group comparison, lists the number of genes with a transformed, non-FDR p-value below 0.05.</w:t>
      </w:r>
    </w:p>
    <w:p w14:paraId="3716C9DB" w14:textId="77777777" w:rsidR="004521F8" w:rsidRDefault="004521F8" w:rsidP="004521F8">
      <w:pPr>
        <w:spacing w:line="480" w:lineRule="auto"/>
        <w:rPr>
          <w:color w:val="auto"/>
        </w:rPr>
      </w:pPr>
    </w:p>
    <w:p w14:paraId="004AA8C2" w14:textId="77777777" w:rsidR="004521F8" w:rsidRPr="009F5154" w:rsidRDefault="004521F8" w:rsidP="004521F8">
      <w:pPr>
        <w:spacing w:line="480" w:lineRule="auto"/>
        <w:rPr>
          <w:color w:val="auto"/>
        </w:rPr>
      </w:pPr>
    </w:p>
    <w:p w14:paraId="4B38D7EB" w14:textId="52EF0C64" w:rsidR="004521F8" w:rsidRPr="009F5154" w:rsidRDefault="004521F8" w:rsidP="004521F8">
      <w:pPr>
        <w:spacing w:line="480" w:lineRule="auto"/>
        <w:rPr>
          <w:b/>
        </w:rPr>
      </w:pPr>
      <w:r w:rsidRPr="009F5154">
        <w:rPr>
          <w:b/>
        </w:rPr>
        <w:t>Table S</w:t>
      </w:r>
      <w:r w:rsidR="00CC3AF1">
        <w:rPr>
          <w:b/>
        </w:rPr>
        <w:t>3</w:t>
      </w:r>
      <w:r w:rsidRPr="009F5154">
        <w:rPr>
          <w:b/>
        </w:rPr>
        <w:t xml:space="preserve">: Genes with nominally significant difference in expression (p&lt;0.05) and a fold change of &gt;│2.0│ comparing untreated Control and PMDD lymphoblastoid cell lines. </w:t>
      </w:r>
      <w:r>
        <w:rPr>
          <w:color w:val="auto"/>
        </w:rPr>
        <w:t>Comparison of transcripts detected in untreated lymphoblastoid cell lines</w:t>
      </w:r>
      <w:r w:rsidRPr="00B4037A">
        <w:rPr>
          <w:color w:val="auto"/>
        </w:rPr>
        <w:t xml:space="preserve"> </w:t>
      </w:r>
      <w:r>
        <w:rPr>
          <w:color w:val="auto"/>
        </w:rPr>
        <w:t xml:space="preserve">from Control and PMDD women </w:t>
      </w:r>
      <w:r w:rsidRPr="00B4037A">
        <w:rPr>
          <w:color w:val="auto"/>
        </w:rPr>
        <w:t>by RNA-sequencing</w:t>
      </w:r>
      <w:r>
        <w:rPr>
          <w:color w:val="auto"/>
        </w:rPr>
        <w:t>.  List</w:t>
      </w:r>
      <w:r w:rsidR="003A11A0">
        <w:rPr>
          <w:color w:val="auto"/>
        </w:rPr>
        <w:t>ed are</w:t>
      </w:r>
      <w:r>
        <w:rPr>
          <w:color w:val="auto"/>
        </w:rPr>
        <w:t xml:space="preserve"> all genes with a non-FDR p-value below 0.05 </w:t>
      </w:r>
      <w:r w:rsidRPr="00214633">
        <w:rPr>
          <w:i/>
          <w:color w:val="auto"/>
        </w:rPr>
        <w:t>and</w:t>
      </w:r>
      <w:r>
        <w:rPr>
          <w:color w:val="auto"/>
        </w:rPr>
        <w:t xml:space="preserve"> an absolute value of fold change greater than 2.0.  A positive fold change indicates higher expression in Control cell lines than PMDD cell lines.  Table is sorted by p-value.</w:t>
      </w:r>
    </w:p>
    <w:p w14:paraId="5EC02A1D" w14:textId="77777777" w:rsidR="00CC3AF1" w:rsidRDefault="00CC3AF1" w:rsidP="00CC3AF1">
      <w:pPr>
        <w:spacing w:line="480" w:lineRule="auto"/>
        <w:rPr>
          <w:b/>
        </w:rPr>
      </w:pPr>
    </w:p>
    <w:p w14:paraId="0D1C774D" w14:textId="77777777" w:rsidR="00CC3AF1" w:rsidRDefault="00CC3AF1" w:rsidP="00CC3AF1">
      <w:pPr>
        <w:spacing w:line="480" w:lineRule="auto"/>
        <w:rPr>
          <w:color w:val="auto"/>
        </w:rPr>
      </w:pPr>
      <w:r w:rsidRPr="007D51EE">
        <w:rPr>
          <w:b/>
        </w:rPr>
        <w:t>Table S</w:t>
      </w:r>
      <w:r>
        <w:rPr>
          <w:b/>
        </w:rPr>
        <w:t>4</w:t>
      </w:r>
      <w:r w:rsidRPr="007D51EE">
        <w:rPr>
          <w:b/>
        </w:rPr>
        <w:t>: Full GSEA results from RNAseq comparing untreated Control and PMDD lymphoblastoid cell lines.</w:t>
      </w:r>
      <w:r>
        <w:t xml:space="preserve">  Results are from the Gene Set Enrichment Analysis (GSEA) by CLC Genomics Workbench (version 6.5) on transformed RNA expression values from RNA sequencing of untreated Control (n=9) and PMDD (n=10) lymphoblastoid cell lines using gene ontologies (GO) for cellular component with 10,000 permutations.  Lower tail values reflect a permutation-based p-value, indicating perturbation of the gene set between groups.  Shown here are all ranked GO categories.  The ESC/E(Z) complex (GO category 35098) has a significant permutation-based p-value (lower tail) of 0.007 and has been highlighted here in yellow.  </w:t>
      </w:r>
    </w:p>
    <w:p w14:paraId="18197382" w14:textId="77777777" w:rsidR="00CC3AF1" w:rsidRDefault="00CC3AF1" w:rsidP="00CC3AF1">
      <w:pPr>
        <w:spacing w:line="480" w:lineRule="auto"/>
        <w:rPr>
          <w:b/>
          <w:color w:val="auto"/>
        </w:rPr>
      </w:pPr>
    </w:p>
    <w:p w14:paraId="2370EDFD" w14:textId="77777777" w:rsidR="00CC3AF1" w:rsidRPr="0078108C" w:rsidRDefault="00CC3AF1" w:rsidP="00CC3AF1">
      <w:pPr>
        <w:spacing w:line="480" w:lineRule="auto"/>
      </w:pPr>
      <w:r w:rsidRPr="005B4A18">
        <w:rPr>
          <w:b/>
          <w:color w:val="auto"/>
        </w:rPr>
        <w:t>Table S</w:t>
      </w:r>
      <w:r>
        <w:rPr>
          <w:b/>
          <w:color w:val="auto"/>
        </w:rPr>
        <w:t>5</w:t>
      </w:r>
      <w:r w:rsidRPr="005B4A18">
        <w:rPr>
          <w:b/>
          <w:color w:val="auto"/>
        </w:rPr>
        <w:t xml:space="preserve">: </w:t>
      </w:r>
      <w:r w:rsidRPr="005B4A18">
        <w:rPr>
          <w:b/>
        </w:rPr>
        <w:t>GSEA pathways differing between Control and PMDD lymphoblastoid cell lines</w:t>
      </w:r>
      <w:r>
        <w:rPr>
          <w:b/>
        </w:rPr>
        <w:t xml:space="preserve">.  </w:t>
      </w:r>
      <w:r>
        <w:t xml:space="preserve">For each possible group comparison for untreated, estradiol-treated, or progesterone-treated </w:t>
      </w:r>
      <w:r>
        <w:lastRenderedPageBreak/>
        <w:t>Control and PMDD lymphoblastoid cell lines, Gene Set Enrichment Analysis (GSEA) by CLC Genomics Workbench (version 6.5) was performed on transformed RNA expression values from RNA sequencing using gene ontologies (GO) with 10,000 permutations. The number of GO categories identified and the number of differentially altered pathways determined by each GSEA performed are listed.</w:t>
      </w:r>
    </w:p>
    <w:p w14:paraId="3E66B962" w14:textId="77777777" w:rsidR="004521F8" w:rsidRPr="009F5154" w:rsidRDefault="004521F8" w:rsidP="004521F8">
      <w:pPr>
        <w:spacing w:line="480" w:lineRule="auto"/>
      </w:pPr>
    </w:p>
    <w:p w14:paraId="05E2C078" w14:textId="6E8B941C" w:rsidR="004521F8" w:rsidRDefault="004521F8" w:rsidP="004521F8">
      <w:pPr>
        <w:spacing w:line="480" w:lineRule="auto"/>
      </w:pPr>
      <w:r w:rsidRPr="009F5154">
        <w:rPr>
          <w:b/>
        </w:rPr>
        <w:t>Table S6:</w:t>
      </w:r>
      <w:r>
        <w:rPr>
          <w:b/>
        </w:rPr>
        <w:t xml:space="preserve"> </w:t>
      </w:r>
      <w:r w:rsidRPr="009F5154">
        <w:rPr>
          <w:b/>
        </w:rPr>
        <w:t>Differential expression of ESC/E(Z) complex genes in comparing untreated (UT) and estradiol (E2)</w:t>
      </w:r>
      <w:r>
        <w:rPr>
          <w:b/>
        </w:rPr>
        <w:t>-</w:t>
      </w:r>
      <w:r w:rsidRPr="009F5154">
        <w:rPr>
          <w:b/>
        </w:rPr>
        <w:t xml:space="preserve"> or progesterone (P4)</w:t>
      </w:r>
      <w:r>
        <w:rPr>
          <w:b/>
        </w:rPr>
        <w:t>-</w:t>
      </w:r>
      <w:r w:rsidRPr="009F5154">
        <w:rPr>
          <w:b/>
        </w:rPr>
        <w:t>treated Control and PMDD lymphoblastoid cell lines.</w:t>
      </w:r>
      <w:r>
        <w:rPr>
          <w:b/>
        </w:rPr>
        <w:t xml:space="preserve"> </w:t>
      </w:r>
      <w:r w:rsidRPr="00EB2D47">
        <w:t xml:space="preserve">Data </w:t>
      </w:r>
      <w:r>
        <w:t>consists of the permutation-based p-value (lower tail) of the ESC/E(Z) complex (GO category 35098) from the GSEA results of each possible group comparison for untreated, E-treated, or P-treated Control and PMDD lymphoblastoid cell lines.</w:t>
      </w:r>
      <w:r w:rsidR="00164828">
        <w:t xml:space="preserve"> Of the seven GSEA comparisons made, four of them had a permutation based p-value (</w:t>
      </w:r>
      <w:r w:rsidR="00F07134">
        <w:t>l</w:t>
      </w:r>
      <w:r w:rsidR="00164828">
        <w:t>ower tail) of &lt;0.05, including the untreated</w:t>
      </w:r>
      <w:r w:rsidR="00F6243B">
        <w:t xml:space="preserve"> LCLs in the</w:t>
      </w:r>
      <w:r w:rsidR="00164828">
        <w:t xml:space="preserve"> Control vs PMDD comparison. </w:t>
      </w:r>
      <w:r w:rsidR="00164828">
        <w:rPr>
          <w:bCs/>
        </w:rPr>
        <w:t xml:space="preserve">GSEA showed no significant alteration in the ESC/E(Z) complex relative to </w:t>
      </w:r>
      <w:r w:rsidR="00F6243B">
        <w:rPr>
          <w:bCs/>
        </w:rPr>
        <w:t xml:space="preserve">untreated </w:t>
      </w:r>
      <w:r w:rsidR="00164828">
        <w:rPr>
          <w:bCs/>
        </w:rPr>
        <w:t xml:space="preserve"> conditions in PMDD LCLs exposed to estradiol (PMDD untreated vs PMDD E-treated, p=0.6). In contrast, in Control LCLs exposed to estradiol, GSEA identified significant up-regulation of ESC/E(Z) complex (Control untreated vs Control E-treated, p=0.03). Similarly, GSEA showed no significant alteration in the ESC/E(Z) complex relative to </w:t>
      </w:r>
      <w:r w:rsidR="00F6243B">
        <w:rPr>
          <w:bCs/>
        </w:rPr>
        <w:t>untreated</w:t>
      </w:r>
      <w:r w:rsidR="00164828">
        <w:rPr>
          <w:bCs/>
        </w:rPr>
        <w:t xml:space="preserve"> conditions in PMDD LCLs exposed to progesterone (PMDD untreated vs PMDD P-treated, p=0.8); whereas in Control LCLs exposed to progesterone, GSEA again identified significant up-regulation of the ESC/E(Z) complex (Control untreated vs Control P-treated, p=0.004).  When comparing estradiol-treated Control LCLs to estradiol-treated PMDD LCLs, the ESC/E(Z) complex was also differentially expressed between the two groups(p=0.01), although when comparing progesterone-treated Control LCLs to progesterone-treated PMDD </w:t>
      </w:r>
      <w:r w:rsidR="00164828">
        <w:rPr>
          <w:bCs/>
        </w:rPr>
        <w:lastRenderedPageBreak/>
        <w:t xml:space="preserve">LCLs, there were no significant differences between gene expression </w:t>
      </w:r>
      <w:r w:rsidR="00843F85">
        <w:rPr>
          <w:bCs/>
        </w:rPr>
        <w:t xml:space="preserve">in </w:t>
      </w:r>
      <w:r w:rsidR="00164828">
        <w:rPr>
          <w:bCs/>
        </w:rPr>
        <w:t xml:space="preserve">the ESC/E(Z) complex (p=0.7). </w:t>
      </w:r>
    </w:p>
    <w:p w14:paraId="66FE633B" w14:textId="77777777" w:rsidR="00164828" w:rsidRPr="009F5154" w:rsidRDefault="00164828" w:rsidP="004521F8">
      <w:pPr>
        <w:spacing w:line="480" w:lineRule="auto"/>
      </w:pPr>
    </w:p>
    <w:p w14:paraId="4831ABA5" w14:textId="77777777" w:rsidR="004521F8" w:rsidRPr="009F5154" w:rsidRDefault="004521F8" w:rsidP="004521F8">
      <w:pPr>
        <w:spacing w:line="480" w:lineRule="auto"/>
      </w:pPr>
    </w:p>
    <w:p w14:paraId="3492B148" w14:textId="3E125BB2" w:rsidR="004521F8" w:rsidRPr="00214633" w:rsidRDefault="004521F8" w:rsidP="004521F8">
      <w:pPr>
        <w:spacing w:line="480" w:lineRule="auto"/>
      </w:pPr>
      <w:r w:rsidRPr="009F5154">
        <w:rPr>
          <w:b/>
        </w:rPr>
        <w:t xml:space="preserve">Table S7: </w:t>
      </w:r>
      <w:r>
        <w:rPr>
          <w:b/>
        </w:rPr>
        <w:t>All</w:t>
      </w:r>
      <w:r w:rsidRPr="009F5154">
        <w:rPr>
          <w:b/>
        </w:rPr>
        <w:t xml:space="preserve"> ESC/E(Z) complex gene</w:t>
      </w:r>
      <w:r>
        <w:rPr>
          <w:b/>
        </w:rPr>
        <w:t xml:space="preserve"> expressions from RNAseq: ANOVA interactions</w:t>
      </w:r>
      <w:r w:rsidRPr="009F5154">
        <w:rPr>
          <w:b/>
        </w:rPr>
        <w:t xml:space="preserve"> comparing untreated (UT) and estradiol (E)</w:t>
      </w:r>
      <w:r>
        <w:rPr>
          <w:b/>
        </w:rPr>
        <w:t>-</w:t>
      </w:r>
      <w:r w:rsidRPr="009F5154">
        <w:rPr>
          <w:b/>
        </w:rPr>
        <w:t xml:space="preserve"> or progesterone (P)</w:t>
      </w:r>
      <w:r>
        <w:rPr>
          <w:b/>
        </w:rPr>
        <w:t>-</w:t>
      </w:r>
      <w:r w:rsidRPr="009F5154">
        <w:rPr>
          <w:b/>
        </w:rPr>
        <w:t>treated Control and PMDD lymphoblastoid cell lines.</w:t>
      </w:r>
      <w:r>
        <w:rPr>
          <w:b/>
        </w:rPr>
        <w:t xml:space="preserve">  </w:t>
      </w:r>
      <w:r w:rsidRPr="00311040">
        <w:t>U</w:t>
      </w:r>
      <w:r w:rsidRPr="003F469C">
        <w:t>sing RPK</w:t>
      </w:r>
      <w:r>
        <w:t>M values from RNA-sequencing, t</w:t>
      </w:r>
      <w:r w:rsidRPr="003F469C">
        <w:t>wo-way ANOVAs were performed for each gene of interest, followed by Sidak’s multiple comparisons post-hoc test in cases of a significant interaction</w:t>
      </w:r>
      <w:r>
        <w:t xml:space="preserve">.  In the last four columns, RPKM values for each group is reported as mean (standard deviation).  The interaction F-value for each comparison is reported, along with its p-value with significant interactions highlighted in bold.  Significant diagnosis effects are indicated with </w:t>
      </w:r>
      <w:r>
        <w:rPr>
          <w:vertAlign w:val="superscript"/>
        </w:rPr>
        <w:t>a</w:t>
      </w:r>
      <w:r>
        <w:rPr>
          <w:vertAlign w:val="subscript"/>
        </w:rPr>
        <w:t xml:space="preserve">.  </w:t>
      </w:r>
      <w:r>
        <w:t>There were no significant effects of treatment alone.  Graphs from this dataset are presented in Figures 3, S</w:t>
      </w:r>
      <w:r w:rsidR="005B507E">
        <w:t>4</w:t>
      </w:r>
      <w:r>
        <w:t>, and S</w:t>
      </w:r>
      <w:r w:rsidR="005B507E">
        <w:t>6</w:t>
      </w:r>
      <w:r>
        <w:t>.</w:t>
      </w:r>
    </w:p>
    <w:p w14:paraId="7AA7F6E9" w14:textId="77777777" w:rsidR="004521F8" w:rsidRDefault="004521F8" w:rsidP="004521F8">
      <w:pPr>
        <w:spacing w:line="480" w:lineRule="auto"/>
        <w:rPr>
          <w:b/>
          <w:color w:val="auto"/>
        </w:rPr>
      </w:pPr>
    </w:p>
    <w:p w14:paraId="18B84E18" w14:textId="77777777" w:rsidR="004521F8" w:rsidRDefault="004521F8" w:rsidP="004521F8">
      <w:pPr>
        <w:spacing w:line="480" w:lineRule="auto"/>
        <w:rPr>
          <w:b/>
          <w:color w:val="auto"/>
        </w:rPr>
      </w:pPr>
      <w:r w:rsidRPr="00356CC4">
        <w:rPr>
          <w:b/>
          <w:color w:val="auto"/>
        </w:rPr>
        <w:t xml:space="preserve">On-line Material </w:t>
      </w:r>
      <w:r>
        <w:rPr>
          <w:b/>
          <w:color w:val="auto"/>
        </w:rPr>
        <w:t>–</w:t>
      </w:r>
      <w:r w:rsidRPr="00356CC4">
        <w:rPr>
          <w:b/>
          <w:color w:val="auto"/>
        </w:rPr>
        <w:t xml:space="preserve"> </w:t>
      </w:r>
    </w:p>
    <w:p w14:paraId="7198B586" w14:textId="77777777" w:rsidR="0052340F" w:rsidRPr="00214633" w:rsidRDefault="0052340F" w:rsidP="0052340F">
      <w:pPr>
        <w:spacing w:line="480" w:lineRule="auto"/>
        <w:rPr>
          <w:b/>
        </w:rPr>
      </w:pPr>
      <w:r w:rsidRPr="00214633">
        <w:rPr>
          <w:b/>
        </w:rPr>
        <w:t>Table OL</w:t>
      </w:r>
      <w:r>
        <w:rPr>
          <w:b/>
        </w:rPr>
        <w:t>1</w:t>
      </w:r>
      <w:r w:rsidRPr="00214633">
        <w:rPr>
          <w:b/>
        </w:rPr>
        <w:t>: Genes with nominally significant differential expression (p&lt;0.05) comparing untreated Control and PMDD lymphoblastoid cell lines.</w:t>
      </w:r>
      <w:r>
        <w:rPr>
          <w:b/>
        </w:rPr>
        <w:t xml:space="preserve">  </w:t>
      </w:r>
      <w:r>
        <w:rPr>
          <w:color w:val="auto"/>
        </w:rPr>
        <w:t>Comparison of transcripts detected in untreated lymphoblastoid cell lines</w:t>
      </w:r>
      <w:r w:rsidRPr="00B4037A">
        <w:rPr>
          <w:color w:val="auto"/>
        </w:rPr>
        <w:t xml:space="preserve"> </w:t>
      </w:r>
      <w:r>
        <w:rPr>
          <w:color w:val="auto"/>
        </w:rPr>
        <w:t xml:space="preserve">from Control and PMDD women </w:t>
      </w:r>
      <w:r w:rsidRPr="00B4037A">
        <w:rPr>
          <w:color w:val="auto"/>
        </w:rPr>
        <w:t>by RNA-sequencing</w:t>
      </w:r>
      <w:r>
        <w:rPr>
          <w:color w:val="auto"/>
        </w:rPr>
        <w:t>.  All genes with a non-FDR p-value below 0.05 are listed, ranked by p-value. A positive fold change indicates higher expression in Control cell lines than PMDD cell lines. Genes from the ESC/E(Z) complex are highlighted in yellow.</w:t>
      </w:r>
    </w:p>
    <w:p w14:paraId="0A78C879" w14:textId="77777777" w:rsidR="00F07134" w:rsidRDefault="00F07134" w:rsidP="00A94160">
      <w:pPr>
        <w:spacing w:line="480" w:lineRule="auto"/>
        <w:rPr>
          <w:b/>
        </w:rPr>
      </w:pPr>
    </w:p>
    <w:p w14:paraId="56AF87EC" w14:textId="77777777" w:rsidR="00F656C0" w:rsidRDefault="004521F8" w:rsidP="00A94160">
      <w:pPr>
        <w:spacing w:line="480" w:lineRule="auto"/>
        <w:rPr>
          <w:color w:val="auto"/>
        </w:rPr>
      </w:pPr>
      <w:r w:rsidRPr="00214633">
        <w:rPr>
          <w:b/>
        </w:rPr>
        <w:lastRenderedPageBreak/>
        <w:t>Table OL</w:t>
      </w:r>
      <w:r w:rsidR="00CC3AF1">
        <w:rPr>
          <w:b/>
        </w:rPr>
        <w:t>2</w:t>
      </w:r>
      <w:r w:rsidRPr="00214633">
        <w:rPr>
          <w:b/>
        </w:rPr>
        <w:t>: DAVID analysis results from RNAseq comparing untreated Control and PMDD lymphoblastoid cell lines.</w:t>
      </w:r>
      <w:r>
        <w:rPr>
          <w:b/>
        </w:rPr>
        <w:t xml:space="preserve">  </w:t>
      </w:r>
      <w:r>
        <w:t>The Database for Annotation, Visualization, and Integrated Discovery (</w:t>
      </w:r>
      <w:r w:rsidRPr="008B12AB">
        <w:rPr>
          <w:color w:val="auto"/>
        </w:rPr>
        <w:t>DAVID</w:t>
      </w:r>
      <w:r>
        <w:rPr>
          <w:color w:val="auto"/>
        </w:rPr>
        <w:t xml:space="preserve">) bioinformatics tool was used to perform pathway analysis on RNA sequencing results comparing untreated Control and PMDD lymphoblastoid cell lines.  Genes were grouped into </w:t>
      </w:r>
      <w:r w:rsidRPr="008B12AB">
        <w:rPr>
          <w:color w:val="auto"/>
        </w:rPr>
        <w:t>887 different gene ontology categories</w:t>
      </w:r>
      <w:r>
        <w:rPr>
          <w:color w:val="auto"/>
        </w:rPr>
        <w:t xml:space="preserve"> ranked by p-value. The PRC2 Complex (GO Name BIOCARTA), with a p-value of 0.003, is highlighted in yellow.</w:t>
      </w:r>
    </w:p>
    <w:p w14:paraId="26FE4AE4" w14:textId="77777777" w:rsidR="00F656C0" w:rsidRDefault="00F656C0" w:rsidP="00A94160">
      <w:pPr>
        <w:spacing w:line="480" w:lineRule="auto"/>
        <w:rPr>
          <w:color w:val="auto"/>
        </w:rPr>
      </w:pPr>
    </w:p>
    <w:p w14:paraId="048BE4B9" w14:textId="77777777" w:rsidR="005C1095" w:rsidRDefault="005C1095" w:rsidP="00A94160">
      <w:pPr>
        <w:spacing w:line="480" w:lineRule="auto"/>
        <w:rPr>
          <w:color w:val="auto"/>
        </w:rPr>
      </w:pPr>
    </w:p>
    <w:p w14:paraId="0B791138" w14:textId="77777777" w:rsidR="00386825" w:rsidRDefault="00386825" w:rsidP="00A94160">
      <w:pPr>
        <w:spacing w:line="480" w:lineRule="auto"/>
        <w:rPr>
          <w:color w:val="auto"/>
        </w:rPr>
      </w:pPr>
    </w:p>
    <w:p w14:paraId="255F6386" w14:textId="77777777" w:rsidR="00386825" w:rsidRDefault="00386825" w:rsidP="00A94160">
      <w:pPr>
        <w:spacing w:line="480" w:lineRule="auto"/>
        <w:rPr>
          <w:color w:val="auto"/>
        </w:rPr>
      </w:pPr>
    </w:p>
    <w:p w14:paraId="0AD2B864" w14:textId="77777777" w:rsidR="00DD343A" w:rsidRDefault="00DD343A" w:rsidP="00A94160">
      <w:pPr>
        <w:spacing w:line="480" w:lineRule="auto"/>
        <w:rPr>
          <w:color w:val="auto"/>
        </w:rPr>
      </w:pPr>
    </w:p>
    <w:p w14:paraId="5F1F1A84" w14:textId="77777777" w:rsidR="00C31281" w:rsidRDefault="00C31281" w:rsidP="00A94160">
      <w:pPr>
        <w:spacing w:line="480" w:lineRule="auto"/>
        <w:rPr>
          <w:color w:val="auto"/>
        </w:rPr>
      </w:pPr>
    </w:p>
    <w:p w14:paraId="49DBB74E" w14:textId="77777777" w:rsidR="00826FEF" w:rsidRDefault="00826FEF" w:rsidP="00A94160">
      <w:pPr>
        <w:spacing w:line="480" w:lineRule="auto"/>
        <w:rPr>
          <w:color w:val="auto"/>
        </w:rPr>
      </w:pPr>
    </w:p>
    <w:p w14:paraId="5695844F" w14:textId="15ED1932" w:rsidR="00826FEF" w:rsidRDefault="00826FEF" w:rsidP="00A94160">
      <w:pPr>
        <w:spacing w:line="480" w:lineRule="auto"/>
        <w:rPr>
          <w:color w:val="auto"/>
        </w:rPr>
      </w:pPr>
    </w:p>
    <w:p w14:paraId="318D2D20" w14:textId="77777777" w:rsidR="00C52EC7" w:rsidRDefault="00C52EC7" w:rsidP="00A94160">
      <w:pPr>
        <w:spacing w:line="480" w:lineRule="auto"/>
        <w:rPr>
          <w:color w:val="auto"/>
        </w:rPr>
      </w:pPr>
    </w:p>
    <w:p w14:paraId="1008FD1E" w14:textId="77777777" w:rsidR="00C52EC7" w:rsidRDefault="00C52EC7" w:rsidP="00A94160">
      <w:pPr>
        <w:spacing w:line="480" w:lineRule="auto"/>
        <w:rPr>
          <w:color w:val="auto"/>
        </w:rPr>
      </w:pPr>
    </w:p>
    <w:p w14:paraId="43E32F3B" w14:textId="77777777" w:rsidR="00C52EC7" w:rsidRDefault="00C52EC7" w:rsidP="00A94160">
      <w:pPr>
        <w:spacing w:line="480" w:lineRule="auto"/>
        <w:rPr>
          <w:color w:val="auto"/>
        </w:rPr>
      </w:pPr>
    </w:p>
    <w:p w14:paraId="7D97C146" w14:textId="77777777" w:rsidR="00C52EC7" w:rsidRDefault="00C52EC7" w:rsidP="00A94160">
      <w:pPr>
        <w:spacing w:line="480" w:lineRule="auto"/>
        <w:rPr>
          <w:color w:val="auto"/>
        </w:rPr>
      </w:pPr>
    </w:p>
    <w:p w14:paraId="41DE8846" w14:textId="77777777" w:rsidR="00C52EC7" w:rsidRDefault="00C52EC7" w:rsidP="00A94160">
      <w:pPr>
        <w:spacing w:line="480" w:lineRule="auto"/>
        <w:rPr>
          <w:color w:val="auto"/>
        </w:rPr>
      </w:pPr>
    </w:p>
    <w:p w14:paraId="111ECA5C" w14:textId="77777777" w:rsidR="00C52EC7" w:rsidRDefault="00C52EC7" w:rsidP="00A94160">
      <w:pPr>
        <w:spacing w:line="480" w:lineRule="auto"/>
        <w:rPr>
          <w:color w:val="auto"/>
        </w:rPr>
      </w:pPr>
    </w:p>
    <w:p w14:paraId="6545F899" w14:textId="77777777" w:rsidR="00C52EC7" w:rsidRDefault="00C52EC7" w:rsidP="00A94160">
      <w:pPr>
        <w:spacing w:line="480" w:lineRule="auto"/>
        <w:rPr>
          <w:color w:val="auto"/>
        </w:rPr>
      </w:pPr>
    </w:p>
    <w:p w14:paraId="485EE2DE" w14:textId="77777777" w:rsidR="00C52EC7" w:rsidRDefault="00C52EC7" w:rsidP="00A94160">
      <w:pPr>
        <w:spacing w:line="480" w:lineRule="auto"/>
        <w:rPr>
          <w:color w:val="auto"/>
        </w:rPr>
      </w:pPr>
    </w:p>
    <w:p w14:paraId="7B323DF4" w14:textId="77777777" w:rsidR="00C52EC7" w:rsidRDefault="00C52EC7" w:rsidP="00A94160">
      <w:pPr>
        <w:spacing w:line="480" w:lineRule="auto"/>
        <w:rPr>
          <w:color w:val="auto"/>
        </w:rPr>
      </w:pPr>
    </w:p>
    <w:p w14:paraId="7E723242" w14:textId="77777777" w:rsidR="008C5880" w:rsidRDefault="008C5880" w:rsidP="008C5880">
      <w:pPr>
        <w:jc w:val="center"/>
        <w:rPr>
          <w:noProof/>
          <w:color w:val="auto"/>
        </w:rPr>
      </w:pPr>
      <w:r>
        <w:rPr>
          <w:color w:val="auto"/>
        </w:rPr>
        <w:lastRenderedPageBreak/>
        <w:fldChar w:fldCharType="begin"/>
      </w:r>
      <w:r>
        <w:rPr>
          <w:color w:val="auto"/>
        </w:rPr>
        <w:instrText xml:space="preserve"> ADDIN REFMGR.REFLIST </w:instrText>
      </w:r>
      <w:r>
        <w:rPr>
          <w:color w:val="auto"/>
        </w:rPr>
        <w:fldChar w:fldCharType="separate"/>
      </w:r>
      <w:r>
        <w:rPr>
          <w:noProof/>
          <w:color w:val="auto"/>
        </w:rPr>
        <w:t>Reference List</w:t>
      </w:r>
    </w:p>
    <w:p w14:paraId="3C235438" w14:textId="77777777" w:rsidR="008C5880" w:rsidRDefault="008C5880" w:rsidP="008C5880">
      <w:pPr>
        <w:jc w:val="center"/>
        <w:rPr>
          <w:noProof/>
          <w:color w:val="auto"/>
        </w:rPr>
      </w:pPr>
    </w:p>
    <w:p w14:paraId="0F8CF019"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1. </w:t>
      </w:r>
      <w:r>
        <w:rPr>
          <w:noProof/>
          <w:color w:val="auto"/>
        </w:rPr>
        <w:tab/>
        <w:t xml:space="preserve">Schmidt PJ, Nieman LK, Danaceau MA, Adams LF, Rubinow DR: </w:t>
      </w:r>
      <w:r w:rsidRPr="008C5880">
        <w:rPr>
          <w:b/>
          <w:noProof/>
          <w:color w:val="auto"/>
        </w:rPr>
        <w:t>Differential behavioral effects of gonadal steroids in women with and in those without premenstrual syndrome.</w:t>
      </w:r>
      <w:r>
        <w:rPr>
          <w:noProof/>
          <w:color w:val="auto"/>
        </w:rPr>
        <w:t xml:space="preserve"> </w:t>
      </w:r>
      <w:r w:rsidRPr="008C5880">
        <w:rPr>
          <w:i/>
          <w:noProof/>
          <w:color w:val="auto"/>
        </w:rPr>
        <w:t>N Engl J Med</w:t>
      </w:r>
      <w:r>
        <w:rPr>
          <w:noProof/>
          <w:color w:val="auto"/>
        </w:rPr>
        <w:t xml:space="preserve"> 1998, </w:t>
      </w:r>
      <w:r w:rsidRPr="008C5880">
        <w:rPr>
          <w:b/>
          <w:noProof/>
          <w:color w:val="auto"/>
        </w:rPr>
        <w:t>338:</w:t>
      </w:r>
      <w:r>
        <w:rPr>
          <w:noProof/>
          <w:color w:val="auto"/>
        </w:rPr>
        <w:t xml:space="preserve"> 209-216.</w:t>
      </w:r>
    </w:p>
    <w:p w14:paraId="3150DBBF"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2. </w:t>
      </w:r>
      <w:r>
        <w:rPr>
          <w:noProof/>
          <w:color w:val="auto"/>
        </w:rPr>
        <w:tab/>
        <w:t xml:space="preserve">Endicott J, Halbreich U: </w:t>
      </w:r>
      <w:r w:rsidRPr="008C5880">
        <w:rPr>
          <w:b/>
          <w:noProof/>
          <w:color w:val="auto"/>
        </w:rPr>
        <w:t>Retrospective report of premenstrual depressive changes: Factors affecting confirmation by daily ratings.</w:t>
      </w:r>
      <w:r>
        <w:rPr>
          <w:noProof/>
          <w:color w:val="auto"/>
        </w:rPr>
        <w:t xml:space="preserve"> </w:t>
      </w:r>
      <w:r w:rsidRPr="008C5880">
        <w:rPr>
          <w:i/>
          <w:noProof/>
          <w:color w:val="auto"/>
        </w:rPr>
        <w:t>Psychopharmacol Bull</w:t>
      </w:r>
      <w:r>
        <w:rPr>
          <w:noProof/>
          <w:color w:val="auto"/>
        </w:rPr>
        <w:t xml:space="preserve"> 1982, </w:t>
      </w:r>
      <w:r w:rsidRPr="008C5880">
        <w:rPr>
          <w:b/>
          <w:noProof/>
          <w:color w:val="auto"/>
        </w:rPr>
        <w:t>18:</w:t>
      </w:r>
      <w:r>
        <w:rPr>
          <w:noProof/>
          <w:color w:val="auto"/>
        </w:rPr>
        <w:t xml:space="preserve"> 109-112.</w:t>
      </w:r>
    </w:p>
    <w:p w14:paraId="1C763756"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3. </w:t>
      </w:r>
      <w:r>
        <w:rPr>
          <w:noProof/>
          <w:color w:val="auto"/>
        </w:rPr>
        <w:tab/>
        <w:t xml:space="preserve">Endicott J, Nee J, Cohen J, Halbreich U: </w:t>
      </w:r>
      <w:r w:rsidRPr="008C5880">
        <w:rPr>
          <w:b/>
          <w:noProof/>
          <w:color w:val="auto"/>
        </w:rPr>
        <w:t>Premenstrual changes: patterns and correlates of daily ratings.</w:t>
      </w:r>
      <w:r>
        <w:rPr>
          <w:noProof/>
          <w:color w:val="auto"/>
        </w:rPr>
        <w:t xml:space="preserve"> </w:t>
      </w:r>
      <w:r w:rsidRPr="008C5880">
        <w:rPr>
          <w:i/>
          <w:noProof/>
          <w:color w:val="auto"/>
        </w:rPr>
        <w:t>J Affective Disord</w:t>
      </w:r>
      <w:r>
        <w:rPr>
          <w:noProof/>
          <w:color w:val="auto"/>
        </w:rPr>
        <w:t xml:space="preserve"> 1986, </w:t>
      </w:r>
      <w:r w:rsidRPr="008C5880">
        <w:rPr>
          <w:b/>
          <w:noProof/>
          <w:color w:val="auto"/>
        </w:rPr>
        <w:t>10:</w:t>
      </w:r>
      <w:r>
        <w:rPr>
          <w:noProof/>
          <w:color w:val="auto"/>
        </w:rPr>
        <w:t xml:space="preserve"> 127-135.</w:t>
      </w:r>
    </w:p>
    <w:p w14:paraId="699F8071"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4. </w:t>
      </w:r>
      <w:r>
        <w:rPr>
          <w:noProof/>
          <w:color w:val="auto"/>
        </w:rPr>
        <w:tab/>
        <w:t xml:space="preserve">Halbreich U, Borenstein J, Pearlstein T, Kahn LS: </w:t>
      </w:r>
      <w:r w:rsidRPr="008C5880">
        <w:rPr>
          <w:b/>
          <w:noProof/>
          <w:color w:val="auto"/>
        </w:rPr>
        <w:t>The prevalence, impairment, impact, and burden of premenstrual dysphoric disorder (PMS/PMDD).</w:t>
      </w:r>
      <w:r>
        <w:rPr>
          <w:noProof/>
          <w:color w:val="auto"/>
        </w:rPr>
        <w:t xml:space="preserve"> </w:t>
      </w:r>
      <w:r w:rsidRPr="008C5880">
        <w:rPr>
          <w:i/>
          <w:noProof/>
          <w:color w:val="auto"/>
        </w:rPr>
        <w:t>Psychoneuroendocrinology</w:t>
      </w:r>
      <w:r>
        <w:rPr>
          <w:noProof/>
          <w:color w:val="auto"/>
        </w:rPr>
        <w:t xml:space="preserve"> 2003, </w:t>
      </w:r>
      <w:r w:rsidRPr="008C5880">
        <w:rPr>
          <w:b/>
          <w:noProof/>
          <w:color w:val="auto"/>
        </w:rPr>
        <w:t>28:</w:t>
      </w:r>
      <w:r>
        <w:rPr>
          <w:noProof/>
          <w:color w:val="auto"/>
        </w:rPr>
        <w:t xml:space="preserve"> 1-23.</w:t>
      </w:r>
    </w:p>
    <w:p w14:paraId="522D2E68"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5. </w:t>
      </w:r>
      <w:r>
        <w:rPr>
          <w:noProof/>
          <w:color w:val="auto"/>
        </w:rPr>
        <w:tab/>
      </w:r>
      <w:r w:rsidRPr="008C5880">
        <w:rPr>
          <w:i/>
          <w:noProof/>
          <w:color w:val="auto"/>
        </w:rPr>
        <w:t>American Psychiatric Association Diagnostic and Statistical Manual of Mental Disorders Fourth Edition</w:t>
      </w:r>
      <w:r>
        <w:rPr>
          <w:noProof/>
          <w:color w:val="auto"/>
        </w:rPr>
        <w:t>. Washington, DC: American Psychiatric Association; 1994.</w:t>
      </w:r>
    </w:p>
    <w:p w14:paraId="552E9929"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6. </w:t>
      </w:r>
      <w:r>
        <w:rPr>
          <w:noProof/>
          <w:color w:val="auto"/>
        </w:rPr>
        <w:tab/>
        <w:t xml:space="preserve">Freeman EW, Sondheimer SJ, Rickels K: </w:t>
      </w:r>
      <w:r w:rsidRPr="008C5880">
        <w:rPr>
          <w:b/>
          <w:noProof/>
          <w:color w:val="auto"/>
        </w:rPr>
        <w:t>Gonadotropin-releasing hormone agonist in the treatment of premenstrual symptoms with and without ongoing dysphoria: a controlled study.</w:t>
      </w:r>
      <w:r>
        <w:rPr>
          <w:noProof/>
          <w:color w:val="auto"/>
        </w:rPr>
        <w:t xml:space="preserve"> </w:t>
      </w:r>
      <w:r w:rsidRPr="008C5880">
        <w:rPr>
          <w:i/>
          <w:noProof/>
          <w:color w:val="auto"/>
        </w:rPr>
        <w:t>Psychopharmacol Bull</w:t>
      </w:r>
      <w:r>
        <w:rPr>
          <w:noProof/>
          <w:color w:val="auto"/>
        </w:rPr>
        <w:t xml:space="preserve"> 1997, </w:t>
      </w:r>
      <w:r w:rsidRPr="008C5880">
        <w:rPr>
          <w:b/>
          <w:noProof/>
          <w:color w:val="auto"/>
        </w:rPr>
        <w:t>33:</w:t>
      </w:r>
      <w:r>
        <w:rPr>
          <w:noProof/>
          <w:color w:val="auto"/>
        </w:rPr>
        <w:t xml:space="preserve"> 303-309.</w:t>
      </w:r>
    </w:p>
    <w:p w14:paraId="6E6167B6"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7. </w:t>
      </w:r>
      <w:r>
        <w:rPr>
          <w:noProof/>
          <w:color w:val="auto"/>
        </w:rPr>
        <w:tab/>
        <w:t xml:space="preserve">Ben Dor R, Harsh VL, Fortinsky P, Koziol DE, Rubinow DR, Schmidt PJ: </w:t>
      </w:r>
      <w:r w:rsidRPr="008C5880">
        <w:rPr>
          <w:b/>
          <w:noProof/>
          <w:color w:val="auto"/>
        </w:rPr>
        <w:t>Effects of pharmacologically-induced hypogonadism on mood and behavior in healthy young women.</w:t>
      </w:r>
      <w:r>
        <w:rPr>
          <w:noProof/>
          <w:color w:val="auto"/>
        </w:rPr>
        <w:t xml:space="preserve"> </w:t>
      </w:r>
      <w:r w:rsidRPr="008C5880">
        <w:rPr>
          <w:i/>
          <w:noProof/>
          <w:color w:val="auto"/>
        </w:rPr>
        <w:t>Am J Psychiatry</w:t>
      </w:r>
      <w:r>
        <w:rPr>
          <w:noProof/>
          <w:color w:val="auto"/>
        </w:rPr>
        <w:t xml:space="preserve"> 2013, </w:t>
      </w:r>
      <w:r w:rsidRPr="008C5880">
        <w:rPr>
          <w:b/>
          <w:noProof/>
          <w:color w:val="auto"/>
        </w:rPr>
        <w:t>170:</w:t>
      </w:r>
      <w:r>
        <w:rPr>
          <w:noProof/>
          <w:color w:val="auto"/>
        </w:rPr>
        <w:t xml:space="preserve"> 426-433.</w:t>
      </w:r>
    </w:p>
    <w:p w14:paraId="5AE93F0E"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8. </w:t>
      </w:r>
      <w:r>
        <w:rPr>
          <w:noProof/>
          <w:color w:val="auto"/>
        </w:rPr>
        <w:tab/>
        <w:t xml:space="preserve">Oh HM, Oh JM, Choi SC, Kim SW, Han WC, Kim TH </w:t>
      </w:r>
      <w:r w:rsidRPr="008C5880">
        <w:rPr>
          <w:i/>
          <w:noProof/>
          <w:color w:val="auto"/>
        </w:rPr>
        <w:t>et al</w:t>
      </w:r>
      <w:r>
        <w:rPr>
          <w:noProof/>
          <w:color w:val="auto"/>
        </w:rPr>
        <w:t xml:space="preserve">.: </w:t>
      </w:r>
      <w:r w:rsidRPr="008C5880">
        <w:rPr>
          <w:b/>
          <w:noProof/>
          <w:color w:val="auto"/>
        </w:rPr>
        <w:t>An efficient method for the rapid establishment of Epstein-Barr virus immortalization of human B lymphocytes.</w:t>
      </w:r>
      <w:r>
        <w:rPr>
          <w:noProof/>
          <w:color w:val="auto"/>
        </w:rPr>
        <w:t xml:space="preserve"> </w:t>
      </w:r>
      <w:r w:rsidRPr="008C5880">
        <w:rPr>
          <w:i/>
          <w:noProof/>
          <w:color w:val="auto"/>
        </w:rPr>
        <w:t>Cell Prolif</w:t>
      </w:r>
      <w:r>
        <w:rPr>
          <w:noProof/>
          <w:color w:val="auto"/>
        </w:rPr>
        <w:t xml:space="preserve"> 2003, </w:t>
      </w:r>
      <w:r w:rsidRPr="008C5880">
        <w:rPr>
          <w:b/>
          <w:noProof/>
          <w:color w:val="auto"/>
        </w:rPr>
        <w:t>36:</w:t>
      </w:r>
      <w:r>
        <w:rPr>
          <w:noProof/>
          <w:color w:val="auto"/>
        </w:rPr>
        <w:t xml:space="preserve"> 191-197.</w:t>
      </w:r>
    </w:p>
    <w:p w14:paraId="7DA782B3"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9. </w:t>
      </w:r>
      <w:r>
        <w:rPr>
          <w:noProof/>
          <w:color w:val="auto"/>
        </w:rPr>
        <w:tab/>
        <w:t xml:space="preserve">Garcia-Gonzalo FR, Izpisua Belmonte JC: </w:t>
      </w:r>
      <w:r w:rsidRPr="008C5880">
        <w:rPr>
          <w:b/>
          <w:noProof/>
          <w:color w:val="auto"/>
        </w:rPr>
        <w:t>Albumin-associated lipids regulate human embryonic stem cell self-renewal.</w:t>
      </w:r>
      <w:r>
        <w:rPr>
          <w:noProof/>
          <w:color w:val="auto"/>
        </w:rPr>
        <w:t xml:space="preserve"> </w:t>
      </w:r>
      <w:r w:rsidRPr="008C5880">
        <w:rPr>
          <w:i/>
          <w:noProof/>
          <w:color w:val="auto"/>
        </w:rPr>
        <w:t>PLoS One</w:t>
      </w:r>
      <w:r>
        <w:rPr>
          <w:noProof/>
          <w:color w:val="auto"/>
        </w:rPr>
        <w:t xml:space="preserve"> 2008, </w:t>
      </w:r>
      <w:r w:rsidRPr="008C5880">
        <w:rPr>
          <w:b/>
          <w:noProof/>
          <w:color w:val="auto"/>
        </w:rPr>
        <w:t>3:</w:t>
      </w:r>
      <w:r>
        <w:rPr>
          <w:noProof/>
          <w:color w:val="auto"/>
        </w:rPr>
        <w:t xml:space="preserve"> e1384.</w:t>
      </w:r>
    </w:p>
    <w:p w14:paraId="3B8006B0"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10. </w:t>
      </w:r>
      <w:r>
        <w:rPr>
          <w:noProof/>
          <w:color w:val="auto"/>
        </w:rPr>
        <w:tab/>
        <w:t xml:space="preserve">Villablanca AC, Lewis KA, Rutledge JC: </w:t>
      </w:r>
      <w:r w:rsidRPr="008C5880">
        <w:rPr>
          <w:b/>
          <w:noProof/>
          <w:color w:val="auto"/>
        </w:rPr>
        <w:t>Time- and dose-dependent differential upregulation of three genes by 17 beta-estradiol in endothelial cells.</w:t>
      </w:r>
      <w:r>
        <w:rPr>
          <w:noProof/>
          <w:color w:val="auto"/>
        </w:rPr>
        <w:t xml:space="preserve"> </w:t>
      </w:r>
      <w:r w:rsidRPr="008C5880">
        <w:rPr>
          <w:i/>
          <w:noProof/>
          <w:color w:val="auto"/>
        </w:rPr>
        <w:t>J Appl Physiol (1985 )</w:t>
      </w:r>
      <w:r>
        <w:rPr>
          <w:noProof/>
          <w:color w:val="auto"/>
        </w:rPr>
        <w:t xml:space="preserve"> 2002, </w:t>
      </w:r>
      <w:r w:rsidRPr="008C5880">
        <w:rPr>
          <w:b/>
          <w:noProof/>
          <w:color w:val="auto"/>
        </w:rPr>
        <w:t>92:</w:t>
      </w:r>
      <w:r>
        <w:rPr>
          <w:noProof/>
          <w:color w:val="auto"/>
        </w:rPr>
        <w:t xml:space="preserve"> 1064-1073.</w:t>
      </w:r>
    </w:p>
    <w:p w14:paraId="26C7EC35"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11. </w:t>
      </w:r>
      <w:r>
        <w:rPr>
          <w:noProof/>
          <w:color w:val="auto"/>
        </w:rPr>
        <w:tab/>
        <w:t xml:space="preserve">O'Neill RA, Bhamidipati A, Bi X, Deb-Basu D, Cahill L, Ferrante J </w:t>
      </w:r>
      <w:r w:rsidRPr="008C5880">
        <w:rPr>
          <w:i/>
          <w:noProof/>
          <w:color w:val="auto"/>
        </w:rPr>
        <w:t>et al</w:t>
      </w:r>
      <w:r>
        <w:rPr>
          <w:noProof/>
          <w:color w:val="auto"/>
        </w:rPr>
        <w:t xml:space="preserve">.: </w:t>
      </w:r>
      <w:r w:rsidRPr="008C5880">
        <w:rPr>
          <w:b/>
          <w:noProof/>
          <w:color w:val="auto"/>
        </w:rPr>
        <w:t>Isoelectric focusing technology quantifies protein signaling in 25 cells.</w:t>
      </w:r>
      <w:r>
        <w:rPr>
          <w:noProof/>
          <w:color w:val="auto"/>
        </w:rPr>
        <w:t xml:space="preserve"> </w:t>
      </w:r>
      <w:r w:rsidRPr="008C5880">
        <w:rPr>
          <w:i/>
          <w:noProof/>
          <w:color w:val="auto"/>
        </w:rPr>
        <w:t>Proc Natl Acad Sci U S A</w:t>
      </w:r>
      <w:r>
        <w:rPr>
          <w:noProof/>
          <w:color w:val="auto"/>
        </w:rPr>
        <w:t xml:space="preserve"> 2006, </w:t>
      </w:r>
      <w:r w:rsidRPr="008C5880">
        <w:rPr>
          <w:b/>
          <w:noProof/>
          <w:color w:val="auto"/>
        </w:rPr>
        <w:t>103:</w:t>
      </w:r>
      <w:r>
        <w:rPr>
          <w:noProof/>
          <w:color w:val="auto"/>
        </w:rPr>
        <w:t xml:space="preserve"> 16153-16158.</w:t>
      </w:r>
    </w:p>
    <w:p w14:paraId="22CA30E2" w14:textId="77777777" w:rsidR="008C5880" w:rsidRDefault="008C5880" w:rsidP="008C5880">
      <w:pPr>
        <w:tabs>
          <w:tab w:val="right" w:pos="360"/>
          <w:tab w:val="left" w:pos="540"/>
        </w:tabs>
        <w:spacing w:after="240" w:line="240" w:lineRule="atLeast"/>
        <w:ind w:left="540" w:hanging="540"/>
        <w:rPr>
          <w:noProof/>
          <w:color w:val="auto"/>
        </w:rPr>
      </w:pPr>
      <w:r>
        <w:rPr>
          <w:noProof/>
          <w:color w:val="auto"/>
        </w:rPr>
        <w:tab/>
        <w:t xml:space="preserve">12. </w:t>
      </w:r>
      <w:r>
        <w:rPr>
          <w:noProof/>
          <w:color w:val="auto"/>
        </w:rPr>
        <w:tab/>
        <w:t xml:space="preserve">Halbreich U, Backstrom T, Eriksson E, O'Brien S, Calil H, Ceskova E </w:t>
      </w:r>
      <w:r w:rsidRPr="008C5880">
        <w:rPr>
          <w:i/>
          <w:noProof/>
          <w:color w:val="auto"/>
        </w:rPr>
        <w:t>et al</w:t>
      </w:r>
      <w:r>
        <w:rPr>
          <w:noProof/>
          <w:color w:val="auto"/>
        </w:rPr>
        <w:t xml:space="preserve">.: </w:t>
      </w:r>
      <w:r w:rsidRPr="008C5880">
        <w:rPr>
          <w:b/>
          <w:noProof/>
          <w:color w:val="auto"/>
        </w:rPr>
        <w:t>Clinical diagnosis criteria for premenstrual syndrome and guidelines for their quantification for research studies.</w:t>
      </w:r>
      <w:r>
        <w:rPr>
          <w:noProof/>
          <w:color w:val="auto"/>
        </w:rPr>
        <w:t xml:space="preserve"> </w:t>
      </w:r>
      <w:r w:rsidRPr="008C5880">
        <w:rPr>
          <w:i/>
          <w:noProof/>
          <w:color w:val="auto"/>
        </w:rPr>
        <w:t>Gynecol Endocrinol</w:t>
      </w:r>
      <w:r>
        <w:rPr>
          <w:noProof/>
          <w:color w:val="auto"/>
        </w:rPr>
        <w:t xml:space="preserve"> 2007, </w:t>
      </w:r>
      <w:r w:rsidRPr="008C5880">
        <w:rPr>
          <w:b/>
          <w:noProof/>
          <w:color w:val="auto"/>
        </w:rPr>
        <w:t>23:</w:t>
      </w:r>
      <w:r>
        <w:rPr>
          <w:noProof/>
          <w:color w:val="auto"/>
        </w:rPr>
        <w:t xml:space="preserve"> 123-130.</w:t>
      </w:r>
    </w:p>
    <w:p w14:paraId="0067438F" w14:textId="77777777" w:rsidR="008C5880" w:rsidRDefault="008C5880" w:rsidP="008C5880">
      <w:pPr>
        <w:tabs>
          <w:tab w:val="right" w:pos="360"/>
          <w:tab w:val="left" w:pos="540"/>
        </w:tabs>
        <w:spacing w:line="240" w:lineRule="atLeast"/>
        <w:ind w:left="540" w:hanging="540"/>
        <w:rPr>
          <w:noProof/>
          <w:color w:val="auto"/>
        </w:rPr>
      </w:pPr>
      <w:r>
        <w:rPr>
          <w:noProof/>
          <w:color w:val="auto"/>
        </w:rPr>
        <w:lastRenderedPageBreak/>
        <w:tab/>
        <w:t xml:space="preserve">13. </w:t>
      </w:r>
      <w:r>
        <w:rPr>
          <w:noProof/>
          <w:color w:val="auto"/>
        </w:rPr>
        <w:tab/>
        <w:t xml:space="preserve">Halbreich U: </w:t>
      </w:r>
      <w:r w:rsidRPr="008C5880">
        <w:rPr>
          <w:b/>
          <w:noProof/>
          <w:color w:val="auto"/>
        </w:rPr>
        <w:t>The diagnosis of premenstrual syndromes and premenstrual dysphoric disorder - clinical procedures and research perspectives.</w:t>
      </w:r>
      <w:r>
        <w:rPr>
          <w:noProof/>
          <w:color w:val="auto"/>
        </w:rPr>
        <w:t xml:space="preserve"> </w:t>
      </w:r>
      <w:r w:rsidRPr="008C5880">
        <w:rPr>
          <w:i/>
          <w:noProof/>
          <w:color w:val="auto"/>
        </w:rPr>
        <w:t>Gynecol Endocrinol</w:t>
      </w:r>
      <w:r>
        <w:rPr>
          <w:noProof/>
          <w:color w:val="auto"/>
        </w:rPr>
        <w:t xml:space="preserve"> 2004, </w:t>
      </w:r>
      <w:r w:rsidRPr="008C5880">
        <w:rPr>
          <w:b/>
          <w:noProof/>
          <w:color w:val="auto"/>
        </w:rPr>
        <w:t>19:</w:t>
      </w:r>
      <w:r>
        <w:rPr>
          <w:noProof/>
          <w:color w:val="auto"/>
        </w:rPr>
        <w:t xml:space="preserve"> 320-334.</w:t>
      </w:r>
    </w:p>
    <w:p w14:paraId="3C966135" w14:textId="4D1381CC" w:rsidR="008C5880" w:rsidRDefault="008C5880" w:rsidP="008C5880">
      <w:pPr>
        <w:tabs>
          <w:tab w:val="right" w:pos="360"/>
          <w:tab w:val="left" w:pos="540"/>
        </w:tabs>
        <w:spacing w:line="240" w:lineRule="atLeast"/>
        <w:ind w:left="540" w:hanging="540"/>
        <w:rPr>
          <w:noProof/>
          <w:color w:val="auto"/>
        </w:rPr>
      </w:pPr>
    </w:p>
    <w:p w14:paraId="2C4E621D" w14:textId="621E39A5" w:rsidR="00C52EC7" w:rsidRDefault="008C5880" w:rsidP="00A94160">
      <w:pPr>
        <w:spacing w:line="480" w:lineRule="auto"/>
        <w:rPr>
          <w:color w:val="auto"/>
        </w:rPr>
      </w:pPr>
      <w:r>
        <w:rPr>
          <w:color w:val="auto"/>
        </w:rPr>
        <w:fldChar w:fldCharType="end"/>
      </w:r>
      <w:bookmarkStart w:id="0" w:name="_GoBack"/>
      <w:bookmarkEnd w:id="0"/>
    </w:p>
    <w:sectPr w:rsidR="00C52EC7" w:rsidSect="00A67248">
      <w:headerReference w:type="default" r:id="rId8"/>
      <w:pgSz w:w="12240" w:h="15840"/>
      <w:pgMar w:top="1440" w:right="1440" w:bottom="1440" w:left="1440"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CB950" w14:textId="77777777" w:rsidR="00F563A3" w:rsidRDefault="00F563A3" w:rsidP="003C5447">
      <w:pPr>
        <w:spacing w:line="240" w:lineRule="auto"/>
      </w:pPr>
      <w:r>
        <w:separator/>
      </w:r>
    </w:p>
  </w:endnote>
  <w:endnote w:type="continuationSeparator" w:id="0">
    <w:p w14:paraId="5C8FB4F1" w14:textId="77777777" w:rsidR="00F563A3" w:rsidRDefault="00F563A3" w:rsidP="003C54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9419F" w14:textId="77777777" w:rsidR="00F563A3" w:rsidRDefault="00F563A3" w:rsidP="003C5447">
      <w:pPr>
        <w:spacing w:line="240" w:lineRule="auto"/>
      </w:pPr>
      <w:r>
        <w:separator/>
      </w:r>
    </w:p>
  </w:footnote>
  <w:footnote w:type="continuationSeparator" w:id="0">
    <w:p w14:paraId="11BE4C47" w14:textId="77777777" w:rsidR="00F563A3" w:rsidRDefault="00F563A3" w:rsidP="003C544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621800"/>
      <w:docPartObj>
        <w:docPartGallery w:val="Page Numbers (Top of Page)"/>
        <w:docPartUnique/>
      </w:docPartObj>
    </w:sdtPr>
    <w:sdtEndPr>
      <w:rPr>
        <w:noProof/>
      </w:rPr>
    </w:sdtEndPr>
    <w:sdtContent>
      <w:p w14:paraId="1AC8CE93" w14:textId="77777777" w:rsidR="00BE0332" w:rsidRDefault="00BE0332">
        <w:pPr>
          <w:pStyle w:val="Header"/>
          <w:jc w:val="center"/>
        </w:pPr>
        <w:r>
          <w:fldChar w:fldCharType="begin"/>
        </w:r>
        <w:r>
          <w:instrText xml:space="preserve"> PAGE   \* MERGEFORMAT </w:instrText>
        </w:r>
        <w:r>
          <w:fldChar w:fldCharType="separate"/>
        </w:r>
        <w:r w:rsidR="00236874">
          <w:rPr>
            <w:noProof/>
          </w:rPr>
          <w:t>21</w:t>
        </w:r>
        <w:r>
          <w:rPr>
            <w:noProof/>
          </w:rPr>
          <w:fldChar w:fldCharType="end"/>
        </w:r>
      </w:p>
    </w:sdtContent>
  </w:sdt>
  <w:p w14:paraId="24A9A9AE" w14:textId="77777777" w:rsidR="00BE0332" w:rsidRDefault="00BE03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7880996"/>
    <w:multiLevelType w:val="hybridMultilevel"/>
    <w:tmpl w:val="E5D016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0&lt;/Enabled&gt;&lt;ScanUnformatted&gt;1&lt;/ScanUnformatted&gt;&lt;ScanChanges&gt;1&lt;/ScanChanges&gt;&lt;/ENInstantFormat&gt;"/>
    <w:docVar w:name="REFMGR.Layout" w:val="&lt;ENLayout&gt;&lt;Style&gt;Biomed Central&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dave&lt;/item&gt;&lt;/Libraries&gt;&lt;/ENLibraries&gt;"/>
  </w:docVars>
  <w:rsids>
    <w:rsidRoot w:val="00A85E5F"/>
    <w:rsid w:val="00003C5A"/>
    <w:rsid w:val="0000526E"/>
    <w:rsid w:val="000077A5"/>
    <w:rsid w:val="00010230"/>
    <w:rsid w:val="000126E0"/>
    <w:rsid w:val="0001481F"/>
    <w:rsid w:val="000151BB"/>
    <w:rsid w:val="00017CC2"/>
    <w:rsid w:val="00017D71"/>
    <w:rsid w:val="00020E88"/>
    <w:rsid w:val="00020F76"/>
    <w:rsid w:val="00020FE6"/>
    <w:rsid w:val="00022BAD"/>
    <w:rsid w:val="000235E1"/>
    <w:rsid w:val="000245CC"/>
    <w:rsid w:val="00024AD5"/>
    <w:rsid w:val="00027F26"/>
    <w:rsid w:val="00032503"/>
    <w:rsid w:val="00032AD1"/>
    <w:rsid w:val="00033C88"/>
    <w:rsid w:val="00034123"/>
    <w:rsid w:val="00034301"/>
    <w:rsid w:val="00034F53"/>
    <w:rsid w:val="00036159"/>
    <w:rsid w:val="000369C5"/>
    <w:rsid w:val="000375C4"/>
    <w:rsid w:val="00040270"/>
    <w:rsid w:val="000403F4"/>
    <w:rsid w:val="0004095B"/>
    <w:rsid w:val="0004348B"/>
    <w:rsid w:val="000445A6"/>
    <w:rsid w:val="00046D0E"/>
    <w:rsid w:val="00047FCF"/>
    <w:rsid w:val="000507C8"/>
    <w:rsid w:val="00050A09"/>
    <w:rsid w:val="00053BF4"/>
    <w:rsid w:val="0005561B"/>
    <w:rsid w:val="000558B7"/>
    <w:rsid w:val="00055D1A"/>
    <w:rsid w:val="00060F4B"/>
    <w:rsid w:val="00062861"/>
    <w:rsid w:val="0006505C"/>
    <w:rsid w:val="00065135"/>
    <w:rsid w:val="000655C1"/>
    <w:rsid w:val="000655F8"/>
    <w:rsid w:val="00066289"/>
    <w:rsid w:val="00066AC5"/>
    <w:rsid w:val="00066B36"/>
    <w:rsid w:val="00066C4A"/>
    <w:rsid w:val="00070BA5"/>
    <w:rsid w:val="00071182"/>
    <w:rsid w:val="000727A4"/>
    <w:rsid w:val="00073212"/>
    <w:rsid w:val="00075A3C"/>
    <w:rsid w:val="00075CBB"/>
    <w:rsid w:val="00076787"/>
    <w:rsid w:val="00076C4F"/>
    <w:rsid w:val="00076DEC"/>
    <w:rsid w:val="0008010B"/>
    <w:rsid w:val="00080E44"/>
    <w:rsid w:val="0008400E"/>
    <w:rsid w:val="000859D4"/>
    <w:rsid w:val="00085D8B"/>
    <w:rsid w:val="00086155"/>
    <w:rsid w:val="000861F2"/>
    <w:rsid w:val="00086F75"/>
    <w:rsid w:val="00087980"/>
    <w:rsid w:val="000910A4"/>
    <w:rsid w:val="000912E8"/>
    <w:rsid w:val="00091F98"/>
    <w:rsid w:val="00093805"/>
    <w:rsid w:val="00094A86"/>
    <w:rsid w:val="00094B91"/>
    <w:rsid w:val="000964E9"/>
    <w:rsid w:val="00097562"/>
    <w:rsid w:val="00097D47"/>
    <w:rsid w:val="000A0A75"/>
    <w:rsid w:val="000A27D2"/>
    <w:rsid w:val="000A32A1"/>
    <w:rsid w:val="000A4D69"/>
    <w:rsid w:val="000A5D2B"/>
    <w:rsid w:val="000B00D5"/>
    <w:rsid w:val="000B08D5"/>
    <w:rsid w:val="000B26B6"/>
    <w:rsid w:val="000B2E14"/>
    <w:rsid w:val="000B31F1"/>
    <w:rsid w:val="000B449A"/>
    <w:rsid w:val="000B5060"/>
    <w:rsid w:val="000B565E"/>
    <w:rsid w:val="000B5CDF"/>
    <w:rsid w:val="000B6974"/>
    <w:rsid w:val="000B6BBE"/>
    <w:rsid w:val="000B7169"/>
    <w:rsid w:val="000C22CC"/>
    <w:rsid w:val="000C42A2"/>
    <w:rsid w:val="000C47D5"/>
    <w:rsid w:val="000C4E33"/>
    <w:rsid w:val="000C5B9E"/>
    <w:rsid w:val="000C6EE8"/>
    <w:rsid w:val="000D0206"/>
    <w:rsid w:val="000D0756"/>
    <w:rsid w:val="000D2249"/>
    <w:rsid w:val="000D26D2"/>
    <w:rsid w:val="000D3321"/>
    <w:rsid w:val="000D3777"/>
    <w:rsid w:val="000D5532"/>
    <w:rsid w:val="000D6A93"/>
    <w:rsid w:val="000E0BCF"/>
    <w:rsid w:val="000E0F46"/>
    <w:rsid w:val="000E0F6C"/>
    <w:rsid w:val="000E1390"/>
    <w:rsid w:val="000E15C9"/>
    <w:rsid w:val="000E4979"/>
    <w:rsid w:val="000E612D"/>
    <w:rsid w:val="000E74F2"/>
    <w:rsid w:val="000F22C3"/>
    <w:rsid w:val="000F309F"/>
    <w:rsid w:val="000F46EB"/>
    <w:rsid w:val="000F4DAC"/>
    <w:rsid w:val="000F4FA6"/>
    <w:rsid w:val="00100F4F"/>
    <w:rsid w:val="0010135E"/>
    <w:rsid w:val="001027C4"/>
    <w:rsid w:val="00102AD6"/>
    <w:rsid w:val="001047A5"/>
    <w:rsid w:val="00106EA4"/>
    <w:rsid w:val="00107954"/>
    <w:rsid w:val="00110087"/>
    <w:rsid w:val="00110159"/>
    <w:rsid w:val="00111A47"/>
    <w:rsid w:val="00112686"/>
    <w:rsid w:val="00113447"/>
    <w:rsid w:val="00114985"/>
    <w:rsid w:val="001153A8"/>
    <w:rsid w:val="00115D50"/>
    <w:rsid w:val="00116BEF"/>
    <w:rsid w:val="001170EE"/>
    <w:rsid w:val="00117C7A"/>
    <w:rsid w:val="00120F90"/>
    <w:rsid w:val="001220E8"/>
    <w:rsid w:val="00122C63"/>
    <w:rsid w:val="00124E6A"/>
    <w:rsid w:val="00125E2A"/>
    <w:rsid w:val="00127AAD"/>
    <w:rsid w:val="00127EE8"/>
    <w:rsid w:val="00130037"/>
    <w:rsid w:val="00130967"/>
    <w:rsid w:val="001319D5"/>
    <w:rsid w:val="00132855"/>
    <w:rsid w:val="001340EC"/>
    <w:rsid w:val="00135AB4"/>
    <w:rsid w:val="00135C39"/>
    <w:rsid w:val="00136350"/>
    <w:rsid w:val="00136A6E"/>
    <w:rsid w:val="00137AB7"/>
    <w:rsid w:val="001424F7"/>
    <w:rsid w:val="0014330D"/>
    <w:rsid w:val="00143977"/>
    <w:rsid w:val="00145527"/>
    <w:rsid w:val="00145E0A"/>
    <w:rsid w:val="00146A52"/>
    <w:rsid w:val="00147F69"/>
    <w:rsid w:val="00150F2F"/>
    <w:rsid w:val="00151594"/>
    <w:rsid w:val="0015179E"/>
    <w:rsid w:val="001539A1"/>
    <w:rsid w:val="00154D3E"/>
    <w:rsid w:val="00155097"/>
    <w:rsid w:val="001561DD"/>
    <w:rsid w:val="00156BB4"/>
    <w:rsid w:val="00157291"/>
    <w:rsid w:val="001578B9"/>
    <w:rsid w:val="00160AB9"/>
    <w:rsid w:val="001612ED"/>
    <w:rsid w:val="00163C62"/>
    <w:rsid w:val="00164828"/>
    <w:rsid w:val="0016598B"/>
    <w:rsid w:val="00166096"/>
    <w:rsid w:val="00166BCF"/>
    <w:rsid w:val="0016759E"/>
    <w:rsid w:val="00167B7E"/>
    <w:rsid w:val="001729C5"/>
    <w:rsid w:val="00173751"/>
    <w:rsid w:val="00175500"/>
    <w:rsid w:val="00175F38"/>
    <w:rsid w:val="0017701C"/>
    <w:rsid w:val="001776ED"/>
    <w:rsid w:val="0017792F"/>
    <w:rsid w:val="00177964"/>
    <w:rsid w:val="001837CB"/>
    <w:rsid w:val="00184EB3"/>
    <w:rsid w:val="00186D27"/>
    <w:rsid w:val="00186F0E"/>
    <w:rsid w:val="001871AC"/>
    <w:rsid w:val="00190208"/>
    <w:rsid w:val="00191B3E"/>
    <w:rsid w:val="00192AF0"/>
    <w:rsid w:val="00193B76"/>
    <w:rsid w:val="00194AB3"/>
    <w:rsid w:val="00197990"/>
    <w:rsid w:val="001A11A8"/>
    <w:rsid w:val="001A1D4B"/>
    <w:rsid w:val="001A250F"/>
    <w:rsid w:val="001A4610"/>
    <w:rsid w:val="001A4A82"/>
    <w:rsid w:val="001A63FE"/>
    <w:rsid w:val="001A717F"/>
    <w:rsid w:val="001B2041"/>
    <w:rsid w:val="001B22DD"/>
    <w:rsid w:val="001B573C"/>
    <w:rsid w:val="001C0036"/>
    <w:rsid w:val="001C136B"/>
    <w:rsid w:val="001C24D3"/>
    <w:rsid w:val="001C3884"/>
    <w:rsid w:val="001C3E4B"/>
    <w:rsid w:val="001C5541"/>
    <w:rsid w:val="001C56CE"/>
    <w:rsid w:val="001C70DD"/>
    <w:rsid w:val="001D228E"/>
    <w:rsid w:val="001D2C48"/>
    <w:rsid w:val="001D30E7"/>
    <w:rsid w:val="001D321E"/>
    <w:rsid w:val="001D3EF7"/>
    <w:rsid w:val="001D4F82"/>
    <w:rsid w:val="001D58EC"/>
    <w:rsid w:val="001D637F"/>
    <w:rsid w:val="001E156E"/>
    <w:rsid w:val="001E17B0"/>
    <w:rsid w:val="001E1843"/>
    <w:rsid w:val="001E18B7"/>
    <w:rsid w:val="001E4130"/>
    <w:rsid w:val="001E60BA"/>
    <w:rsid w:val="001E61EA"/>
    <w:rsid w:val="001E79E4"/>
    <w:rsid w:val="001F03DF"/>
    <w:rsid w:val="001F12F4"/>
    <w:rsid w:val="001F25F0"/>
    <w:rsid w:val="001F4779"/>
    <w:rsid w:val="001F5803"/>
    <w:rsid w:val="001F6D0E"/>
    <w:rsid w:val="001F72D4"/>
    <w:rsid w:val="001F7D75"/>
    <w:rsid w:val="002004FC"/>
    <w:rsid w:val="002007C1"/>
    <w:rsid w:val="00200AC4"/>
    <w:rsid w:val="002015B4"/>
    <w:rsid w:val="00202DBE"/>
    <w:rsid w:val="00202E6A"/>
    <w:rsid w:val="0020330D"/>
    <w:rsid w:val="00205AE0"/>
    <w:rsid w:val="00206B60"/>
    <w:rsid w:val="002077EF"/>
    <w:rsid w:val="00210508"/>
    <w:rsid w:val="00211161"/>
    <w:rsid w:val="00212186"/>
    <w:rsid w:val="0021234B"/>
    <w:rsid w:val="002130C9"/>
    <w:rsid w:val="002131AD"/>
    <w:rsid w:val="00215920"/>
    <w:rsid w:val="00216360"/>
    <w:rsid w:val="00221DC7"/>
    <w:rsid w:val="002225DB"/>
    <w:rsid w:val="00223AE1"/>
    <w:rsid w:val="00224DD5"/>
    <w:rsid w:val="00230478"/>
    <w:rsid w:val="002327A0"/>
    <w:rsid w:val="00233C39"/>
    <w:rsid w:val="002341F0"/>
    <w:rsid w:val="0023486B"/>
    <w:rsid w:val="00234D24"/>
    <w:rsid w:val="0023557C"/>
    <w:rsid w:val="00236874"/>
    <w:rsid w:val="00237312"/>
    <w:rsid w:val="00240998"/>
    <w:rsid w:val="0024252D"/>
    <w:rsid w:val="00242A0A"/>
    <w:rsid w:val="00242E7A"/>
    <w:rsid w:val="00244C8B"/>
    <w:rsid w:val="002504D2"/>
    <w:rsid w:val="00253B81"/>
    <w:rsid w:val="00253E25"/>
    <w:rsid w:val="00254677"/>
    <w:rsid w:val="00255477"/>
    <w:rsid w:val="00255A4D"/>
    <w:rsid w:val="00257A70"/>
    <w:rsid w:val="00260C30"/>
    <w:rsid w:val="002615AE"/>
    <w:rsid w:val="00262011"/>
    <w:rsid w:val="00263401"/>
    <w:rsid w:val="00265974"/>
    <w:rsid w:val="0026645C"/>
    <w:rsid w:val="00267995"/>
    <w:rsid w:val="00267B6E"/>
    <w:rsid w:val="00267CA8"/>
    <w:rsid w:val="00270D63"/>
    <w:rsid w:val="0027129E"/>
    <w:rsid w:val="00272521"/>
    <w:rsid w:val="0027360D"/>
    <w:rsid w:val="00274A8B"/>
    <w:rsid w:val="00275504"/>
    <w:rsid w:val="002755E7"/>
    <w:rsid w:val="00276315"/>
    <w:rsid w:val="002770BE"/>
    <w:rsid w:val="002800AC"/>
    <w:rsid w:val="00281E4A"/>
    <w:rsid w:val="002824F2"/>
    <w:rsid w:val="00283985"/>
    <w:rsid w:val="0028567E"/>
    <w:rsid w:val="00286185"/>
    <w:rsid w:val="00287CF6"/>
    <w:rsid w:val="002901FE"/>
    <w:rsid w:val="0029102D"/>
    <w:rsid w:val="002918C0"/>
    <w:rsid w:val="00292310"/>
    <w:rsid w:val="00292482"/>
    <w:rsid w:val="00294B93"/>
    <w:rsid w:val="00297ABB"/>
    <w:rsid w:val="00297CAF"/>
    <w:rsid w:val="00297ECA"/>
    <w:rsid w:val="002A0635"/>
    <w:rsid w:val="002A07E7"/>
    <w:rsid w:val="002A08BA"/>
    <w:rsid w:val="002A5CAA"/>
    <w:rsid w:val="002A6942"/>
    <w:rsid w:val="002A79B1"/>
    <w:rsid w:val="002B0FA3"/>
    <w:rsid w:val="002B32A8"/>
    <w:rsid w:val="002B395F"/>
    <w:rsid w:val="002B4566"/>
    <w:rsid w:val="002B4E9D"/>
    <w:rsid w:val="002B50B4"/>
    <w:rsid w:val="002B518E"/>
    <w:rsid w:val="002B724D"/>
    <w:rsid w:val="002B7DB4"/>
    <w:rsid w:val="002C124B"/>
    <w:rsid w:val="002C2385"/>
    <w:rsid w:val="002C24E4"/>
    <w:rsid w:val="002C6D4F"/>
    <w:rsid w:val="002C6DC2"/>
    <w:rsid w:val="002C797B"/>
    <w:rsid w:val="002D18DB"/>
    <w:rsid w:val="002D1C80"/>
    <w:rsid w:val="002D44D8"/>
    <w:rsid w:val="002D5047"/>
    <w:rsid w:val="002E0627"/>
    <w:rsid w:val="002E0A02"/>
    <w:rsid w:val="002E3097"/>
    <w:rsid w:val="002E30BA"/>
    <w:rsid w:val="002E34F4"/>
    <w:rsid w:val="002E5175"/>
    <w:rsid w:val="002E714A"/>
    <w:rsid w:val="002F492A"/>
    <w:rsid w:val="002F5D99"/>
    <w:rsid w:val="002F66A5"/>
    <w:rsid w:val="00300605"/>
    <w:rsid w:val="003019DF"/>
    <w:rsid w:val="00302304"/>
    <w:rsid w:val="00302515"/>
    <w:rsid w:val="00302832"/>
    <w:rsid w:val="0030515C"/>
    <w:rsid w:val="00305332"/>
    <w:rsid w:val="00305370"/>
    <w:rsid w:val="003066B4"/>
    <w:rsid w:val="00306852"/>
    <w:rsid w:val="00313758"/>
    <w:rsid w:val="0031422A"/>
    <w:rsid w:val="00314FA6"/>
    <w:rsid w:val="00317095"/>
    <w:rsid w:val="00317874"/>
    <w:rsid w:val="00317A28"/>
    <w:rsid w:val="00317D48"/>
    <w:rsid w:val="00320E51"/>
    <w:rsid w:val="003211E0"/>
    <w:rsid w:val="00322B0C"/>
    <w:rsid w:val="003230CC"/>
    <w:rsid w:val="00323D58"/>
    <w:rsid w:val="00324E8F"/>
    <w:rsid w:val="00326388"/>
    <w:rsid w:val="003315FE"/>
    <w:rsid w:val="003323DF"/>
    <w:rsid w:val="003328DC"/>
    <w:rsid w:val="00332D34"/>
    <w:rsid w:val="003331B2"/>
    <w:rsid w:val="003332CA"/>
    <w:rsid w:val="00333A6A"/>
    <w:rsid w:val="00334C0C"/>
    <w:rsid w:val="003417EB"/>
    <w:rsid w:val="003427A8"/>
    <w:rsid w:val="00343331"/>
    <w:rsid w:val="00343DF7"/>
    <w:rsid w:val="00345B8F"/>
    <w:rsid w:val="003505EE"/>
    <w:rsid w:val="00350C33"/>
    <w:rsid w:val="0035117F"/>
    <w:rsid w:val="00353B01"/>
    <w:rsid w:val="00353E13"/>
    <w:rsid w:val="0035490F"/>
    <w:rsid w:val="00354BD5"/>
    <w:rsid w:val="00355755"/>
    <w:rsid w:val="0035607C"/>
    <w:rsid w:val="003562D3"/>
    <w:rsid w:val="00356CC4"/>
    <w:rsid w:val="00356DF6"/>
    <w:rsid w:val="00357CD1"/>
    <w:rsid w:val="003610A8"/>
    <w:rsid w:val="0036198F"/>
    <w:rsid w:val="00363F8D"/>
    <w:rsid w:val="0036415F"/>
    <w:rsid w:val="003654A7"/>
    <w:rsid w:val="0036592A"/>
    <w:rsid w:val="00366413"/>
    <w:rsid w:val="0036699B"/>
    <w:rsid w:val="00367EF7"/>
    <w:rsid w:val="00370105"/>
    <w:rsid w:val="00370CD4"/>
    <w:rsid w:val="0037133E"/>
    <w:rsid w:val="003718C2"/>
    <w:rsid w:val="00371AB9"/>
    <w:rsid w:val="003726AB"/>
    <w:rsid w:val="00373671"/>
    <w:rsid w:val="00375262"/>
    <w:rsid w:val="00375BC0"/>
    <w:rsid w:val="00376D08"/>
    <w:rsid w:val="00377BAA"/>
    <w:rsid w:val="00380847"/>
    <w:rsid w:val="0038148F"/>
    <w:rsid w:val="00383D24"/>
    <w:rsid w:val="00383DB3"/>
    <w:rsid w:val="0038547C"/>
    <w:rsid w:val="00386825"/>
    <w:rsid w:val="003877F7"/>
    <w:rsid w:val="00387AEA"/>
    <w:rsid w:val="00390D50"/>
    <w:rsid w:val="0039352D"/>
    <w:rsid w:val="00393C3A"/>
    <w:rsid w:val="00394601"/>
    <w:rsid w:val="00394A19"/>
    <w:rsid w:val="00394B4E"/>
    <w:rsid w:val="00396860"/>
    <w:rsid w:val="00397F11"/>
    <w:rsid w:val="003A008C"/>
    <w:rsid w:val="003A0520"/>
    <w:rsid w:val="003A0829"/>
    <w:rsid w:val="003A11A0"/>
    <w:rsid w:val="003A2673"/>
    <w:rsid w:val="003A5906"/>
    <w:rsid w:val="003A6ECB"/>
    <w:rsid w:val="003B0240"/>
    <w:rsid w:val="003B1CAC"/>
    <w:rsid w:val="003B24FF"/>
    <w:rsid w:val="003B2638"/>
    <w:rsid w:val="003B2665"/>
    <w:rsid w:val="003B34E1"/>
    <w:rsid w:val="003B5219"/>
    <w:rsid w:val="003B60B7"/>
    <w:rsid w:val="003C0090"/>
    <w:rsid w:val="003C02D1"/>
    <w:rsid w:val="003C20FC"/>
    <w:rsid w:val="003C2293"/>
    <w:rsid w:val="003C254A"/>
    <w:rsid w:val="003C2831"/>
    <w:rsid w:val="003C4276"/>
    <w:rsid w:val="003C5447"/>
    <w:rsid w:val="003C574A"/>
    <w:rsid w:val="003C651A"/>
    <w:rsid w:val="003D5E71"/>
    <w:rsid w:val="003D6DA5"/>
    <w:rsid w:val="003D7007"/>
    <w:rsid w:val="003D76E1"/>
    <w:rsid w:val="003D7DD9"/>
    <w:rsid w:val="003E0AC1"/>
    <w:rsid w:val="003E1292"/>
    <w:rsid w:val="003E158D"/>
    <w:rsid w:val="003E1CFA"/>
    <w:rsid w:val="003E263F"/>
    <w:rsid w:val="003E2FF5"/>
    <w:rsid w:val="003E3D44"/>
    <w:rsid w:val="003E6B21"/>
    <w:rsid w:val="003F12E6"/>
    <w:rsid w:val="003F1648"/>
    <w:rsid w:val="003F32BF"/>
    <w:rsid w:val="003F3A84"/>
    <w:rsid w:val="003F3C1D"/>
    <w:rsid w:val="003F42C5"/>
    <w:rsid w:val="003F5413"/>
    <w:rsid w:val="003F5AD3"/>
    <w:rsid w:val="003F6374"/>
    <w:rsid w:val="003F6DEC"/>
    <w:rsid w:val="003F7B0E"/>
    <w:rsid w:val="0040362F"/>
    <w:rsid w:val="00404D1D"/>
    <w:rsid w:val="0040668F"/>
    <w:rsid w:val="00406E86"/>
    <w:rsid w:val="00410C11"/>
    <w:rsid w:val="00410F5A"/>
    <w:rsid w:val="00412321"/>
    <w:rsid w:val="00413828"/>
    <w:rsid w:val="004143C7"/>
    <w:rsid w:val="004145CB"/>
    <w:rsid w:val="00415173"/>
    <w:rsid w:val="004167D5"/>
    <w:rsid w:val="00416AE2"/>
    <w:rsid w:val="00417BDD"/>
    <w:rsid w:val="0042052C"/>
    <w:rsid w:val="00421B36"/>
    <w:rsid w:val="00422644"/>
    <w:rsid w:val="00422942"/>
    <w:rsid w:val="00423972"/>
    <w:rsid w:val="00423D9F"/>
    <w:rsid w:val="00424E98"/>
    <w:rsid w:val="00425BD8"/>
    <w:rsid w:val="00426052"/>
    <w:rsid w:val="00426B57"/>
    <w:rsid w:val="00427A1F"/>
    <w:rsid w:val="00432445"/>
    <w:rsid w:val="004326E4"/>
    <w:rsid w:val="004328FB"/>
    <w:rsid w:val="00433B4D"/>
    <w:rsid w:val="00434010"/>
    <w:rsid w:val="00434334"/>
    <w:rsid w:val="004345DB"/>
    <w:rsid w:val="0043486F"/>
    <w:rsid w:val="0043535C"/>
    <w:rsid w:val="004369E8"/>
    <w:rsid w:val="00436F7A"/>
    <w:rsid w:val="0043720B"/>
    <w:rsid w:val="0043750A"/>
    <w:rsid w:val="00437786"/>
    <w:rsid w:val="00441B68"/>
    <w:rsid w:val="00442E75"/>
    <w:rsid w:val="004435AA"/>
    <w:rsid w:val="00443C15"/>
    <w:rsid w:val="00450C8D"/>
    <w:rsid w:val="00451B8F"/>
    <w:rsid w:val="00451FB6"/>
    <w:rsid w:val="00451FD9"/>
    <w:rsid w:val="004521F8"/>
    <w:rsid w:val="00453AC5"/>
    <w:rsid w:val="00453B46"/>
    <w:rsid w:val="00453C29"/>
    <w:rsid w:val="0046069C"/>
    <w:rsid w:val="004621BD"/>
    <w:rsid w:val="00463762"/>
    <w:rsid w:val="004637A4"/>
    <w:rsid w:val="004638E5"/>
    <w:rsid w:val="00466EC0"/>
    <w:rsid w:val="004704B0"/>
    <w:rsid w:val="00470AE0"/>
    <w:rsid w:val="00472419"/>
    <w:rsid w:val="0047299E"/>
    <w:rsid w:val="004765D8"/>
    <w:rsid w:val="00476DE0"/>
    <w:rsid w:val="00480435"/>
    <w:rsid w:val="0048070C"/>
    <w:rsid w:val="00481CE8"/>
    <w:rsid w:val="004828E7"/>
    <w:rsid w:val="00483DF7"/>
    <w:rsid w:val="00485B09"/>
    <w:rsid w:val="00485D0E"/>
    <w:rsid w:val="0048709E"/>
    <w:rsid w:val="00487614"/>
    <w:rsid w:val="00487EB6"/>
    <w:rsid w:val="00490751"/>
    <w:rsid w:val="00490CD6"/>
    <w:rsid w:val="00491B62"/>
    <w:rsid w:val="00493134"/>
    <w:rsid w:val="004937D9"/>
    <w:rsid w:val="00493A27"/>
    <w:rsid w:val="004948DD"/>
    <w:rsid w:val="0049498F"/>
    <w:rsid w:val="00494DBD"/>
    <w:rsid w:val="004A108B"/>
    <w:rsid w:val="004A3305"/>
    <w:rsid w:val="004A3894"/>
    <w:rsid w:val="004A5D67"/>
    <w:rsid w:val="004A68E4"/>
    <w:rsid w:val="004A78FE"/>
    <w:rsid w:val="004B02CB"/>
    <w:rsid w:val="004B0B21"/>
    <w:rsid w:val="004B16B1"/>
    <w:rsid w:val="004B1809"/>
    <w:rsid w:val="004B1FF1"/>
    <w:rsid w:val="004B30D0"/>
    <w:rsid w:val="004B3B34"/>
    <w:rsid w:val="004B4D2B"/>
    <w:rsid w:val="004B7585"/>
    <w:rsid w:val="004B7DC4"/>
    <w:rsid w:val="004C0BE9"/>
    <w:rsid w:val="004C2B93"/>
    <w:rsid w:val="004C3124"/>
    <w:rsid w:val="004C3131"/>
    <w:rsid w:val="004C4193"/>
    <w:rsid w:val="004C5A46"/>
    <w:rsid w:val="004C6D8D"/>
    <w:rsid w:val="004C7048"/>
    <w:rsid w:val="004C7117"/>
    <w:rsid w:val="004C736D"/>
    <w:rsid w:val="004C79CA"/>
    <w:rsid w:val="004C79DC"/>
    <w:rsid w:val="004D0405"/>
    <w:rsid w:val="004D1430"/>
    <w:rsid w:val="004D1927"/>
    <w:rsid w:val="004D1BDE"/>
    <w:rsid w:val="004D2432"/>
    <w:rsid w:val="004D3B0D"/>
    <w:rsid w:val="004D40FC"/>
    <w:rsid w:val="004D4245"/>
    <w:rsid w:val="004D58E3"/>
    <w:rsid w:val="004D7C81"/>
    <w:rsid w:val="004E071E"/>
    <w:rsid w:val="004E18D8"/>
    <w:rsid w:val="004E2710"/>
    <w:rsid w:val="004E2E0F"/>
    <w:rsid w:val="004E325C"/>
    <w:rsid w:val="004E332E"/>
    <w:rsid w:val="004E4DB1"/>
    <w:rsid w:val="004E54A7"/>
    <w:rsid w:val="004E6197"/>
    <w:rsid w:val="004E6249"/>
    <w:rsid w:val="004E62AC"/>
    <w:rsid w:val="004E640C"/>
    <w:rsid w:val="004F0794"/>
    <w:rsid w:val="004F712F"/>
    <w:rsid w:val="004F736A"/>
    <w:rsid w:val="004F7D7A"/>
    <w:rsid w:val="00500402"/>
    <w:rsid w:val="005034BA"/>
    <w:rsid w:val="00504BA9"/>
    <w:rsid w:val="00504C09"/>
    <w:rsid w:val="00507373"/>
    <w:rsid w:val="005075C3"/>
    <w:rsid w:val="00507E13"/>
    <w:rsid w:val="00512850"/>
    <w:rsid w:val="00513365"/>
    <w:rsid w:val="00513D20"/>
    <w:rsid w:val="00516C55"/>
    <w:rsid w:val="0052026E"/>
    <w:rsid w:val="0052266A"/>
    <w:rsid w:val="005230CF"/>
    <w:rsid w:val="0052340F"/>
    <w:rsid w:val="005246D3"/>
    <w:rsid w:val="00525167"/>
    <w:rsid w:val="005256FE"/>
    <w:rsid w:val="005261F2"/>
    <w:rsid w:val="00530AC1"/>
    <w:rsid w:val="00530D4E"/>
    <w:rsid w:val="0053321C"/>
    <w:rsid w:val="00533C49"/>
    <w:rsid w:val="00534271"/>
    <w:rsid w:val="00534CBF"/>
    <w:rsid w:val="00535218"/>
    <w:rsid w:val="00535D88"/>
    <w:rsid w:val="005367AF"/>
    <w:rsid w:val="005375DD"/>
    <w:rsid w:val="00537BF7"/>
    <w:rsid w:val="005423D0"/>
    <w:rsid w:val="00544103"/>
    <w:rsid w:val="005457BA"/>
    <w:rsid w:val="00550016"/>
    <w:rsid w:val="00551A89"/>
    <w:rsid w:val="00552C3D"/>
    <w:rsid w:val="005627EF"/>
    <w:rsid w:val="005651C7"/>
    <w:rsid w:val="00566958"/>
    <w:rsid w:val="005711DB"/>
    <w:rsid w:val="00573504"/>
    <w:rsid w:val="0057614C"/>
    <w:rsid w:val="00577A0C"/>
    <w:rsid w:val="00577DD5"/>
    <w:rsid w:val="0058066C"/>
    <w:rsid w:val="00580B5D"/>
    <w:rsid w:val="00581D5B"/>
    <w:rsid w:val="005855B3"/>
    <w:rsid w:val="005858E5"/>
    <w:rsid w:val="005927AE"/>
    <w:rsid w:val="00592E07"/>
    <w:rsid w:val="00594374"/>
    <w:rsid w:val="005965EA"/>
    <w:rsid w:val="005976C3"/>
    <w:rsid w:val="005A01EE"/>
    <w:rsid w:val="005A2868"/>
    <w:rsid w:val="005A35E1"/>
    <w:rsid w:val="005A3BCE"/>
    <w:rsid w:val="005A5A7A"/>
    <w:rsid w:val="005A5D08"/>
    <w:rsid w:val="005B0BFE"/>
    <w:rsid w:val="005B0C15"/>
    <w:rsid w:val="005B0C46"/>
    <w:rsid w:val="005B130B"/>
    <w:rsid w:val="005B249D"/>
    <w:rsid w:val="005B34F9"/>
    <w:rsid w:val="005B3A5F"/>
    <w:rsid w:val="005B4B59"/>
    <w:rsid w:val="005B507E"/>
    <w:rsid w:val="005B53AB"/>
    <w:rsid w:val="005B5A13"/>
    <w:rsid w:val="005B5A2A"/>
    <w:rsid w:val="005C1095"/>
    <w:rsid w:val="005C3495"/>
    <w:rsid w:val="005C3582"/>
    <w:rsid w:val="005C38AF"/>
    <w:rsid w:val="005C3F2B"/>
    <w:rsid w:val="005C3F52"/>
    <w:rsid w:val="005C7850"/>
    <w:rsid w:val="005D1763"/>
    <w:rsid w:val="005D23BC"/>
    <w:rsid w:val="005D2613"/>
    <w:rsid w:val="005D2A37"/>
    <w:rsid w:val="005D2A4A"/>
    <w:rsid w:val="005D5AA6"/>
    <w:rsid w:val="005D5E2E"/>
    <w:rsid w:val="005D65D4"/>
    <w:rsid w:val="005D71AD"/>
    <w:rsid w:val="005E02F1"/>
    <w:rsid w:val="005E03F4"/>
    <w:rsid w:val="005E126F"/>
    <w:rsid w:val="005E1956"/>
    <w:rsid w:val="005E3F78"/>
    <w:rsid w:val="005E45EA"/>
    <w:rsid w:val="005E62FD"/>
    <w:rsid w:val="005E73F3"/>
    <w:rsid w:val="005F1417"/>
    <w:rsid w:val="005F18E1"/>
    <w:rsid w:val="005F23BB"/>
    <w:rsid w:val="005F31B2"/>
    <w:rsid w:val="005F509C"/>
    <w:rsid w:val="005F555D"/>
    <w:rsid w:val="006009A2"/>
    <w:rsid w:val="006029C1"/>
    <w:rsid w:val="006053B2"/>
    <w:rsid w:val="00612C76"/>
    <w:rsid w:val="0061420D"/>
    <w:rsid w:val="00617291"/>
    <w:rsid w:val="00617D11"/>
    <w:rsid w:val="0062140D"/>
    <w:rsid w:val="0062237D"/>
    <w:rsid w:val="00622CEB"/>
    <w:rsid w:val="00623487"/>
    <w:rsid w:val="00623873"/>
    <w:rsid w:val="00623EC0"/>
    <w:rsid w:val="00623F20"/>
    <w:rsid w:val="00624358"/>
    <w:rsid w:val="006247BF"/>
    <w:rsid w:val="0062599A"/>
    <w:rsid w:val="00627734"/>
    <w:rsid w:val="00627E3E"/>
    <w:rsid w:val="00627F16"/>
    <w:rsid w:val="006300C2"/>
    <w:rsid w:val="00632A93"/>
    <w:rsid w:val="00633D18"/>
    <w:rsid w:val="00634FF3"/>
    <w:rsid w:val="0063526F"/>
    <w:rsid w:val="00635874"/>
    <w:rsid w:val="006364B8"/>
    <w:rsid w:val="00640C38"/>
    <w:rsid w:val="00640F54"/>
    <w:rsid w:val="00644EA1"/>
    <w:rsid w:val="00645D9F"/>
    <w:rsid w:val="006501BA"/>
    <w:rsid w:val="006518CC"/>
    <w:rsid w:val="00652637"/>
    <w:rsid w:val="00652714"/>
    <w:rsid w:val="00653FF0"/>
    <w:rsid w:val="00654E75"/>
    <w:rsid w:val="00655161"/>
    <w:rsid w:val="00655567"/>
    <w:rsid w:val="00655CC3"/>
    <w:rsid w:val="00661878"/>
    <w:rsid w:val="00661E78"/>
    <w:rsid w:val="00662545"/>
    <w:rsid w:val="006635E5"/>
    <w:rsid w:val="00665648"/>
    <w:rsid w:val="00666D1D"/>
    <w:rsid w:val="006670E6"/>
    <w:rsid w:val="00670C2C"/>
    <w:rsid w:val="00673029"/>
    <w:rsid w:val="006743A8"/>
    <w:rsid w:val="006774F0"/>
    <w:rsid w:val="006802AF"/>
    <w:rsid w:val="00680812"/>
    <w:rsid w:val="00681700"/>
    <w:rsid w:val="00682F85"/>
    <w:rsid w:val="00684854"/>
    <w:rsid w:val="00685FFE"/>
    <w:rsid w:val="00690961"/>
    <w:rsid w:val="00692EE0"/>
    <w:rsid w:val="0069393C"/>
    <w:rsid w:val="006939F2"/>
    <w:rsid w:val="00695642"/>
    <w:rsid w:val="00695728"/>
    <w:rsid w:val="00695C0B"/>
    <w:rsid w:val="006967EB"/>
    <w:rsid w:val="006976AF"/>
    <w:rsid w:val="00697C44"/>
    <w:rsid w:val="006A155D"/>
    <w:rsid w:val="006A249E"/>
    <w:rsid w:val="006A3AF3"/>
    <w:rsid w:val="006A43D8"/>
    <w:rsid w:val="006A4848"/>
    <w:rsid w:val="006A540E"/>
    <w:rsid w:val="006B04A3"/>
    <w:rsid w:val="006B1A2F"/>
    <w:rsid w:val="006B2280"/>
    <w:rsid w:val="006B52C5"/>
    <w:rsid w:val="006B548D"/>
    <w:rsid w:val="006C06E3"/>
    <w:rsid w:val="006C1977"/>
    <w:rsid w:val="006C2F17"/>
    <w:rsid w:val="006C3B4F"/>
    <w:rsid w:val="006C4648"/>
    <w:rsid w:val="006C49A2"/>
    <w:rsid w:val="006C5369"/>
    <w:rsid w:val="006C6548"/>
    <w:rsid w:val="006C77C2"/>
    <w:rsid w:val="006D1551"/>
    <w:rsid w:val="006D18EA"/>
    <w:rsid w:val="006D32AE"/>
    <w:rsid w:val="006D46A1"/>
    <w:rsid w:val="006D47EB"/>
    <w:rsid w:val="006D544B"/>
    <w:rsid w:val="006D5AC9"/>
    <w:rsid w:val="006D5C27"/>
    <w:rsid w:val="006D7768"/>
    <w:rsid w:val="006D7A49"/>
    <w:rsid w:val="006D7B44"/>
    <w:rsid w:val="006E01F4"/>
    <w:rsid w:val="006E0EC2"/>
    <w:rsid w:val="006E124A"/>
    <w:rsid w:val="006E220A"/>
    <w:rsid w:val="006E2602"/>
    <w:rsid w:val="006E284E"/>
    <w:rsid w:val="006E2C03"/>
    <w:rsid w:val="006E3312"/>
    <w:rsid w:val="006E3C37"/>
    <w:rsid w:val="006E4BE0"/>
    <w:rsid w:val="006E4DB0"/>
    <w:rsid w:val="006E52BF"/>
    <w:rsid w:val="006F31BB"/>
    <w:rsid w:val="006F35B4"/>
    <w:rsid w:val="006F634A"/>
    <w:rsid w:val="006F71B4"/>
    <w:rsid w:val="006F7646"/>
    <w:rsid w:val="00700B34"/>
    <w:rsid w:val="00700D81"/>
    <w:rsid w:val="00701EF0"/>
    <w:rsid w:val="00701F1B"/>
    <w:rsid w:val="00703A02"/>
    <w:rsid w:val="0070577F"/>
    <w:rsid w:val="00705F39"/>
    <w:rsid w:val="00706691"/>
    <w:rsid w:val="007111FE"/>
    <w:rsid w:val="007115CD"/>
    <w:rsid w:val="00712F03"/>
    <w:rsid w:val="0071433E"/>
    <w:rsid w:val="007146AE"/>
    <w:rsid w:val="007209F1"/>
    <w:rsid w:val="00721B61"/>
    <w:rsid w:val="00721CEE"/>
    <w:rsid w:val="00721FB9"/>
    <w:rsid w:val="007225AE"/>
    <w:rsid w:val="007239D5"/>
    <w:rsid w:val="00723A0F"/>
    <w:rsid w:val="00723F10"/>
    <w:rsid w:val="007241DE"/>
    <w:rsid w:val="00725E74"/>
    <w:rsid w:val="00726A81"/>
    <w:rsid w:val="00727CFC"/>
    <w:rsid w:val="0073041C"/>
    <w:rsid w:val="007309A8"/>
    <w:rsid w:val="00732218"/>
    <w:rsid w:val="007330CE"/>
    <w:rsid w:val="00733963"/>
    <w:rsid w:val="007343E4"/>
    <w:rsid w:val="007432A5"/>
    <w:rsid w:val="00743AFC"/>
    <w:rsid w:val="00744A82"/>
    <w:rsid w:val="007453E6"/>
    <w:rsid w:val="00745CA9"/>
    <w:rsid w:val="007468EE"/>
    <w:rsid w:val="007503DF"/>
    <w:rsid w:val="0075143A"/>
    <w:rsid w:val="00752183"/>
    <w:rsid w:val="00752E94"/>
    <w:rsid w:val="00755054"/>
    <w:rsid w:val="0075591F"/>
    <w:rsid w:val="00760819"/>
    <w:rsid w:val="00760974"/>
    <w:rsid w:val="007649B6"/>
    <w:rsid w:val="00764F0A"/>
    <w:rsid w:val="00764F7C"/>
    <w:rsid w:val="00765582"/>
    <w:rsid w:val="00766641"/>
    <w:rsid w:val="00766CD1"/>
    <w:rsid w:val="00767087"/>
    <w:rsid w:val="0077078E"/>
    <w:rsid w:val="00770D05"/>
    <w:rsid w:val="007718C6"/>
    <w:rsid w:val="00771A15"/>
    <w:rsid w:val="00773ED4"/>
    <w:rsid w:val="00774904"/>
    <w:rsid w:val="00774F6F"/>
    <w:rsid w:val="00775D7F"/>
    <w:rsid w:val="007768C5"/>
    <w:rsid w:val="007772D1"/>
    <w:rsid w:val="00783178"/>
    <w:rsid w:val="0078371A"/>
    <w:rsid w:val="007845C4"/>
    <w:rsid w:val="00784612"/>
    <w:rsid w:val="007862D3"/>
    <w:rsid w:val="00786450"/>
    <w:rsid w:val="00786E6A"/>
    <w:rsid w:val="00787842"/>
    <w:rsid w:val="00792715"/>
    <w:rsid w:val="0079678D"/>
    <w:rsid w:val="00796CD7"/>
    <w:rsid w:val="00796DD9"/>
    <w:rsid w:val="007A038D"/>
    <w:rsid w:val="007A1DA1"/>
    <w:rsid w:val="007A2D3F"/>
    <w:rsid w:val="007A33F8"/>
    <w:rsid w:val="007A34C3"/>
    <w:rsid w:val="007A36D5"/>
    <w:rsid w:val="007A3A62"/>
    <w:rsid w:val="007A533A"/>
    <w:rsid w:val="007A561F"/>
    <w:rsid w:val="007B00FC"/>
    <w:rsid w:val="007B1014"/>
    <w:rsid w:val="007B1839"/>
    <w:rsid w:val="007B302E"/>
    <w:rsid w:val="007B3211"/>
    <w:rsid w:val="007B3229"/>
    <w:rsid w:val="007B3A74"/>
    <w:rsid w:val="007B4951"/>
    <w:rsid w:val="007B4EF8"/>
    <w:rsid w:val="007B57E8"/>
    <w:rsid w:val="007B5BAB"/>
    <w:rsid w:val="007B713E"/>
    <w:rsid w:val="007B7CCB"/>
    <w:rsid w:val="007C0C4D"/>
    <w:rsid w:val="007C0DE9"/>
    <w:rsid w:val="007C0EE6"/>
    <w:rsid w:val="007C1C99"/>
    <w:rsid w:val="007C2A2C"/>
    <w:rsid w:val="007C2A9E"/>
    <w:rsid w:val="007C3AF5"/>
    <w:rsid w:val="007C434B"/>
    <w:rsid w:val="007C439E"/>
    <w:rsid w:val="007C4AB8"/>
    <w:rsid w:val="007C5496"/>
    <w:rsid w:val="007C58EA"/>
    <w:rsid w:val="007C6227"/>
    <w:rsid w:val="007C696D"/>
    <w:rsid w:val="007C7987"/>
    <w:rsid w:val="007D0F06"/>
    <w:rsid w:val="007D1A7E"/>
    <w:rsid w:val="007D2DBC"/>
    <w:rsid w:val="007D3241"/>
    <w:rsid w:val="007D4A3B"/>
    <w:rsid w:val="007D679C"/>
    <w:rsid w:val="007D68E4"/>
    <w:rsid w:val="007D6D9E"/>
    <w:rsid w:val="007D772B"/>
    <w:rsid w:val="007E041F"/>
    <w:rsid w:val="007E15C7"/>
    <w:rsid w:val="007E16AC"/>
    <w:rsid w:val="007E2C58"/>
    <w:rsid w:val="007E31F5"/>
    <w:rsid w:val="007E37C6"/>
    <w:rsid w:val="007E4FA1"/>
    <w:rsid w:val="007E5E47"/>
    <w:rsid w:val="007E6AA9"/>
    <w:rsid w:val="007E6CCE"/>
    <w:rsid w:val="007E6FEF"/>
    <w:rsid w:val="007E7FF6"/>
    <w:rsid w:val="007F017B"/>
    <w:rsid w:val="007F03DB"/>
    <w:rsid w:val="007F0687"/>
    <w:rsid w:val="007F12E5"/>
    <w:rsid w:val="007F33AA"/>
    <w:rsid w:val="007F556E"/>
    <w:rsid w:val="007F5719"/>
    <w:rsid w:val="007F6075"/>
    <w:rsid w:val="007F6115"/>
    <w:rsid w:val="007F749C"/>
    <w:rsid w:val="007F74E8"/>
    <w:rsid w:val="007F78CE"/>
    <w:rsid w:val="00800762"/>
    <w:rsid w:val="00800DEA"/>
    <w:rsid w:val="00800E29"/>
    <w:rsid w:val="00800EAB"/>
    <w:rsid w:val="00802886"/>
    <w:rsid w:val="00802F4A"/>
    <w:rsid w:val="0080589D"/>
    <w:rsid w:val="00805F3B"/>
    <w:rsid w:val="0081099E"/>
    <w:rsid w:val="00811679"/>
    <w:rsid w:val="008146E9"/>
    <w:rsid w:val="00814742"/>
    <w:rsid w:val="0081528E"/>
    <w:rsid w:val="00816CFC"/>
    <w:rsid w:val="00817C4D"/>
    <w:rsid w:val="00822D62"/>
    <w:rsid w:val="0082403D"/>
    <w:rsid w:val="00826FEF"/>
    <w:rsid w:val="00827A9D"/>
    <w:rsid w:val="00827EA8"/>
    <w:rsid w:val="00830637"/>
    <w:rsid w:val="00830ABD"/>
    <w:rsid w:val="008316B5"/>
    <w:rsid w:val="008326AE"/>
    <w:rsid w:val="008331FF"/>
    <w:rsid w:val="00833349"/>
    <w:rsid w:val="00833C6A"/>
    <w:rsid w:val="008350D2"/>
    <w:rsid w:val="00835AC2"/>
    <w:rsid w:val="008400D1"/>
    <w:rsid w:val="00840532"/>
    <w:rsid w:val="00840EFD"/>
    <w:rsid w:val="0084162E"/>
    <w:rsid w:val="00843F85"/>
    <w:rsid w:val="0084495A"/>
    <w:rsid w:val="008466C8"/>
    <w:rsid w:val="00846AD5"/>
    <w:rsid w:val="00846D0D"/>
    <w:rsid w:val="00850A16"/>
    <w:rsid w:val="00851B98"/>
    <w:rsid w:val="008521B2"/>
    <w:rsid w:val="00853475"/>
    <w:rsid w:val="0085438F"/>
    <w:rsid w:val="00854A03"/>
    <w:rsid w:val="0085521A"/>
    <w:rsid w:val="00856C6C"/>
    <w:rsid w:val="00856E7B"/>
    <w:rsid w:val="008576D5"/>
    <w:rsid w:val="00857810"/>
    <w:rsid w:val="00857E27"/>
    <w:rsid w:val="00860BD5"/>
    <w:rsid w:val="00861DBD"/>
    <w:rsid w:val="00865131"/>
    <w:rsid w:val="00866396"/>
    <w:rsid w:val="00866CC4"/>
    <w:rsid w:val="00871529"/>
    <w:rsid w:val="00875FE6"/>
    <w:rsid w:val="00880184"/>
    <w:rsid w:val="008803FD"/>
    <w:rsid w:val="00880DDE"/>
    <w:rsid w:val="0088154F"/>
    <w:rsid w:val="008819E0"/>
    <w:rsid w:val="00881D8C"/>
    <w:rsid w:val="00882839"/>
    <w:rsid w:val="008836A9"/>
    <w:rsid w:val="00884BA7"/>
    <w:rsid w:val="008856F1"/>
    <w:rsid w:val="00885DC3"/>
    <w:rsid w:val="008900B6"/>
    <w:rsid w:val="00890D32"/>
    <w:rsid w:val="00891946"/>
    <w:rsid w:val="0089234D"/>
    <w:rsid w:val="00892EC9"/>
    <w:rsid w:val="00894C2D"/>
    <w:rsid w:val="008A1688"/>
    <w:rsid w:val="008A3065"/>
    <w:rsid w:val="008A39A6"/>
    <w:rsid w:val="008A4FBD"/>
    <w:rsid w:val="008A6E45"/>
    <w:rsid w:val="008A7FA1"/>
    <w:rsid w:val="008B09D0"/>
    <w:rsid w:val="008B12AB"/>
    <w:rsid w:val="008B2E70"/>
    <w:rsid w:val="008B300A"/>
    <w:rsid w:val="008B6708"/>
    <w:rsid w:val="008B6F5B"/>
    <w:rsid w:val="008B79AC"/>
    <w:rsid w:val="008C032C"/>
    <w:rsid w:val="008C0B9B"/>
    <w:rsid w:val="008C1200"/>
    <w:rsid w:val="008C1734"/>
    <w:rsid w:val="008C3137"/>
    <w:rsid w:val="008C4626"/>
    <w:rsid w:val="008C49CE"/>
    <w:rsid w:val="008C531C"/>
    <w:rsid w:val="008C57A9"/>
    <w:rsid w:val="008C5880"/>
    <w:rsid w:val="008C6955"/>
    <w:rsid w:val="008D072E"/>
    <w:rsid w:val="008D0CC3"/>
    <w:rsid w:val="008D0EAB"/>
    <w:rsid w:val="008D11DE"/>
    <w:rsid w:val="008D3133"/>
    <w:rsid w:val="008D515A"/>
    <w:rsid w:val="008D565B"/>
    <w:rsid w:val="008D5ABA"/>
    <w:rsid w:val="008D6F52"/>
    <w:rsid w:val="008E0351"/>
    <w:rsid w:val="008E0C10"/>
    <w:rsid w:val="008E144C"/>
    <w:rsid w:val="008E2F3D"/>
    <w:rsid w:val="008E3BCC"/>
    <w:rsid w:val="008E611C"/>
    <w:rsid w:val="008E75AC"/>
    <w:rsid w:val="008F299F"/>
    <w:rsid w:val="008F2C50"/>
    <w:rsid w:val="008F4D07"/>
    <w:rsid w:val="00901008"/>
    <w:rsid w:val="00901D8F"/>
    <w:rsid w:val="009038DC"/>
    <w:rsid w:val="00903FC6"/>
    <w:rsid w:val="00904F60"/>
    <w:rsid w:val="0090565E"/>
    <w:rsid w:val="00907A81"/>
    <w:rsid w:val="00911F2C"/>
    <w:rsid w:val="009128F5"/>
    <w:rsid w:val="00912A68"/>
    <w:rsid w:val="009130AE"/>
    <w:rsid w:val="00914C65"/>
    <w:rsid w:val="00921050"/>
    <w:rsid w:val="00921EF0"/>
    <w:rsid w:val="009235E0"/>
    <w:rsid w:val="00924160"/>
    <w:rsid w:val="0092434E"/>
    <w:rsid w:val="009250B8"/>
    <w:rsid w:val="00927030"/>
    <w:rsid w:val="00927DB9"/>
    <w:rsid w:val="00931D00"/>
    <w:rsid w:val="009322C1"/>
    <w:rsid w:val="009323D1"/>
    <w:rsid w:val="009349CE"/>
    <w:rsid w:val="00934B35"/>
    <w:rsid w:val="009353DF"/>
    <w:rsid w:val="009359FA"/>
    <w:rsid w:val="00937903"/>
    <w:rsid w:val="00942B47"/>
    <w:rsid w:val="009434C0"/>
    <w:rsid w:val="00946ECB"/>
    <w:rsid w:val="00947AB2"/>
    <w:rsid w:val="00951B57"/>
    <w:rsid w:val="0095533E"/>
    <w:rsid w:val="00955983"/>
    <w:rsid w:val="009562A7"/>
    <w:rsid w:val="009602B7"/>
    <w:rsid w:val="009605B2"/>
    <w:rsid w:val="00960F65"/>
    <w:rsid w:val="00961461"/>
    <w:rsid w:val="00962EB1"/>
    <w:rsid w:val="00965261"/>
    <w:rsid w:val="009654D6"/>
    <w:rsid w:val="00966BCB"/>
    <w:rsid w:val="00966D33"/>
    <w:rsid w:val="00967A17"/>
    <w:rsid w:val="00970074"/>
    <w:rsid w:val="009704EA"/>
    <w:rsid w:val="00970A42"/>
    <w:rsid w:val="00971886"/>
    <w:rsid w:val="00973CF5"/>
    <w:rsid w:val="00973EAE"/>
    <w:rsid w:val="00973F84"/>
    <w:rsid w:val="0097533B"/>
    <w:rsid w:val="009757D5"/>
    <w:rsid w:val="00975D93"/>
    <w:rsid w:val="00975F4B"/>
    <w:rsid w:val="009838F0"/>
    <w:rsid w:val="00991EDF"/>
    <w:rsid w:val="00993088"/>
    <w:rsid w:val="00993AC2"/>
    <w:rsid w:val="009941B8"/>
    <w:rsid w:val="0099423F"/>
    <w:rsid w:val="009944F5"/>
    <w:rsid w:val="0099583F"/>
    <w:rsid w:val="00996A0E"/>
    <w:rsid w:val="009A05B4"/>
    <w:rsid w:val="009A25B8"/>
    <w:rsid w:val="009A3231"/>
    <w:rsid w:val="009A339B"/>
    <w:rsid w:val="009A482C"/>
    <w:rsid w:val="009A49D5"/>
    <w:rsid w:val="009A7199"/>
    <w:rsid w:val="009A7F17"/>
    <w:rsid w:val="009B2096"/>
    <w:rsid w:val="009B4AE1"/>
    <w:rsid w:val="009B6813"/>
    <w:rsid w:val="009C1CA6"/>
    <w:rsid w:val="009C5957"/>
    <w:rsid w:val="009C69BF"/>
    <w:rsid w:val="009C6ECC"/>
    <w:rsid w:val="009D081E"/>
    <w:rsid w:val="009D1095"/>
    <w:rsid w:val="009D2BA6"/>
    <w:rsid w:val="009D31A3"/>
    <w:rsid w:val="009D3D80"/>
    <w:rsid w:val="009D5BD0"/>
    <w:rsid w:val="009D6AB7"/>
    <w:rsid w:val="009D7361"/>
    <w:rsid w:val="009D74A6"/>
    <w:rsid w:val="009E2913"/>
    <w:rsid w:val="009E35DD"/>
    <w:rsid w:val="009E4407"/>
    <w:rsid w:val="009E5F2C"/>
    <w:rsid w:val="009F01FC"/>
    <w:rsid w:val="009F0E10"/>
    <w:rsid w:val="009F13A5"/>
    <w:rsid w:val="009F1BD4"/>
    <w:rsid w:val="009F210E"/>
    <w:rsid w:val="009F2EA2"/>
    <w:rsid w:val="009F45FE"/>
    <w:rsid w:val="009F5B38"/>
    <w:rsid w:val="009F5D40"/>
    <w:rsid w:val="009F7187"/>
    <w:rsid w:val="00A000F6"/>
    <w:rsid w:val="00A00D6C"/>
    <w:rsid w:val="00A015A2"/>
    <w:rsid w:val="00A02C47"/>
    <w:rsid w:val="00A034BA"/>
    <w:rsid w:val="00A03AD5"/>
    <w:rsid w:val="00A04D54"/>
    <w:rsid w:val="00A05425"/>
    <w:rsid w:val="00A06191"/>
    <w:rsid w:val="00A07ADD"/>
    <w:rsid w:val="00A10A4F"/>
    <w:rsid w:val="00A1134D"/>
    <w:rsid w:val="00A142B1"/>
    <w:rsid w:val="00A151E8"/>
    <w:rsid w:val="00A1657F"/>
    <w:rsid w:val="00A20941"/>
    <w:rsid w:val="00A213FF"/>
    <w:rsid w:val="00A22BE6"/>
    <w:rsid w:val="00A24273"/>
    <w:rsid w:val="00A24E11"/>
    <w:rsid w:val="00A30A0A"/>
    <w:rsid w:val="00A32DC8"/>
    <w:rsid w:val="00A34385"/>
    <w:rsid w:val="00A37DFE"/>
    <w:rsid w:val="00A41BDB"/>
    <w:rsid w:val="00A41CF3"/>
    <w:rsid w:val="00A43BE8"/>
    <w:rsid w:val="00A44426"/>
    <w:rsid w:val="00A44F2D"/>
    <w:rsid w:val="00A45712"/>
    <w:rsid w:val="00A458AB"/>
    <w:rsid w:val="00A47461"/>
    <w:rsid w:val="00A4752C"/>
    <w:rsid w:val="00A514A7"/>
    <w:rsid w:val="00A55A7E"/>
    <w:rsid w:val="00A56FC4"/>
    <w:rsid w:val="00A60E0A"/>
    <w:rsid w:val="00A62E6F"/>
    <w:rsid w:val="00A633CD"/>
    <w:rsid w:val="00A63FE8"/>
    <w:rsid w:val="00A644A4"/>
    <w:rsid w:val="00A65794"/>
    <w:rsid w:val="00A67248"/>
    <w:rsid w:val="00A71137"/>
    <w:rsid w:val="00A736B6"/>
    <w:rsid w:val="00A7468A"/>
    <w:rsid w:val="00A75BD4"/>
    <w:rsid w:val="00A766B3"/>
    <w:rsid w:val="00A77122"/>
    <w:rsid w:val="00A773B6"/>
    <w:rsid w:val="00A77BDA"/>
    <w:rsid w:val="00A77FD0"/>
    <w:rsid w:val="00A80906"/>
    <w:rsid w:val="00A80D1E"/>
    <w:rsid w:val="00A81BAB"/>
    <w:rsid w:val="00A83000"/>
    <w:rsid w:val="00A8394C"/>
    <w:rsid w:val="00A85E5F"/>
    <w:rsid w:val="00A86EFF"/>
    <w:rsid w:val="00A86FDC"/>
    <w:rsid w:val="00A879F1"/>
    <w:rsid w:val="00A908D0"/>
    <w:rsid w:val="00A93640"/>
    <w:rsid w:val="00A94160"/>
    <w:rsid w:val="00A954B1"/>
    <w:rsid w:val="00A95CDE"/>
    <w:rsid w:val="00A9620E"/>
    <w:rsid w:val="00A9685C"/>
    <w:rsid w:val="00A96BF2"/>
    <w:rsid w:val="00A9703D"/>
    <w:rsid w:val="00A97AA6"/>
    <w:rsid w:val="00AA0697"/>
    <w:rsid w:val="00AA0991"/>
    <w:rsid w:val="00AA0F07"/>
    <w:rsid w:val="00AA1624"/>
    <w:rsid w:val="00AA3516"/>
    <w:rsid w:val="00AA3D98"/>
    <w:rsid w:val="00AA4DC2"/>
    <w:rsid w:val="00AA4F85"/>
    <w:rsid w:val="00AA4FBE"/>
    <w:rsid w:val="00AA680B"/>
    <w:rsid w:val="00AA690E"/>
    <w:rsid w:val="00AA72F1"/>
    <w:rsid w:val="00AB1993"/>
    <w:rsid w:val="00AB274F"/>
    <w:rsid w:val="00AB41B3"/>
    <w:rsid w:val="00AB4C77"/>
    <w:rsid w:val="00AB59C8"/>
    <w:rsid w:val="00AB5D52"/>
    <w:rsid w:val="00AB7322"/>
    <w:rsid w:val="00AB7B7C"/>
    <w:rsid w:val="00AC0F1F"/>
    <w:rsid w:val="00AC1687"/>
    <w:rsid w:val="00AC382D"/>
    <w:rsid w:val="00AC3FB1"/>
    <w:rsid w:val="00AC4211"/>
    <w:rsid w:val="00AC591B"/>
    <w:rsid w:val="00AC5C9A"/>
    <w:rsid w:val="00AC622C"/>
    <w:rsid w:val="00AC6721"/>
    <w:rsid w:val="00AD0798"/>
    <w:rsid w:val="00AD0911"/>
    <w:rsid w:val="00AD23E4"/>
    <w:rsid w:val="00AD6311"/>
    <w:rsid w:val="00AD6354"/>
    <w:rsid w:val="00AE1175"/>
    <w:rsid w:val="00AE17C8"/>
    <w:rsid w:val="00AE4823"/>
    <w:rsid w:val="00AE70A6"/>
    <w:rsid w:val="00AF0E4C"/>
    <w:rsid w:val="00AF1A38"/>
    <w:rsid w:val="00AF3149"/>
    <w:rsid w:val="00AF37B7"/>
    <w:rsid w:val="00AF6A21"/>
    <w:rsid w:val="00AF76DD"/>
    <w:rsid w:val="00B03058"/>
    <w:rsid w:val="00B07084"/>
    <w:rsid w:val="00B07F95"/>
    <w:rsid w:val="00B12877"/>
    <w:rsid w:val="00B13E09"/>
    <w:rsid w:val="00B13FF7"/>
    <w:rsid w:val="00B14CED"/>
    <w:rsid w:val="00B153C3"/>
    <w:rsid w:val="00B15EAA"/>
    <w:rsid w:val="00B2248B"/>
    <w:rsid w:val="00B23CC8"/>
    <w:rsid w:val="00B26FAA"/>
    <w:rsid w:val="00B272A2"/>
    <w:rsid w:val="00B31111"/>
    <w:rsid w:val="00B311F7"/>
    <w:rsid w:val="00B32A9E"/>
    <w:rsid w:val="00B33F34"/>
    <w:rsid w:val="00B35467"/>
    <w:rsid w:val="00B35A27"/>
    <w:rsid w:val="00B37599"/>
    <w:rsid w:val="00B4037A"/>
    <w:rsid w:val="00B40988"/>
    <w:rsid w:val="00B4157D"/>
    <w:rsid w:val="00B41BCB"/>
    <w:rsid w:val="00B4426F"/>
    <w:rsid w:val="00B44976"/>
    <w:rsid w:val="00B45BBA"/>
    <w:rsid w:val="00B50709"/>
    <w:rsid w:val="00B511BB"/>
    <w:rsid w:val="00B513EE"/>
    <w:rsid w:val="00B521AD"/>
    <w:rsid w:val="00B55167"/>
    <w:rsid w:val="00B555CF"/>
    <w:rsid w:val="00B57A4E"/>
    <w:rsid w:val="00B57E84"/>
    <w:rsid w:val="00B61472"/>
    <w:rsid w:val="00B62C90"/>
    <w:rsid w:val="00B6557F"/>
    <w:rsid w:val="00B65A1E"/>
    <w:rsid w:val="00B65E24"/>
    <w:rsid w:val="00B66871"/>
    <w:rsid w:val="00B671E6"/>
    <w:rsid w:val="00B71037"/>
    <w:rsid w:val="00B71988"/>
    <w:rsid w:val="00B73077"/>
    <w:rsid w:val="00B732A1"/>
    <w:rsid w:val="00B74D5C"/>
    <w:rsid w:val="00B75851"/>
    <w:rsid w:val="00B76014"/>
    <w:rsid w:val="00B76699"/>
    <w:rsid w:val="00B773FC"/>
    <w:rsid w:val="00B85D59"/>
    <w:rsid w:val="00B86AB4"/>
    <w:rsid w:val="00B913DD"/>
    <w:rsid w:val="00B91725"/>
    <w:rsid w:val="00B94E8B"/>
    <w:rsid w:val="00B95C74"/>
    <w:rsid w:val="00B95DD0"/>
    <w:rsid w:val="00BA1E87"/>
    <w:rsid w:val="00BA2098"/>
    <w:rsid w:val="00BA26E1"/>
    <w:rsid w:val="00BA32AA"/>
    <w:rsid w:val="00BA32C0"/>
    <w:rsid w:val="00BA47D8"/>
    <w:rsid w:val="00BA4C43"/>
    <w:rsid w:val="00BA58DF"/>
    <w:rsid w:val="00BA59F0"/>
    <w:rsid w:val="00BA6931"/>
    <w:rsid w:val="00BA71A1"/>
    <w:rsid w:val="00BA7EB1"/>
    <w:rsid w:val="00BB14BC"/>
    <w:rsid w:val="00BB4E17"/>
    <w:rsid w:val="00BB57BE"/>
    <w:rsid w:val="00BB6357"/>
    <w:rsid w:val="00BB656C"/>
    <w:rsid w:val="00BB6E1D"/>
    <w:rsid w:val="00BC2E59"/>
    <w:rsid w:val="00BC755C"/>
    <w:rsid w:val="00BC756C"/>
    <w:rsid w:val="00BC770E"/>
    <w:rsid w:val="00BC7CA1"/>
    <w:rsid w:val="00BC7FD4"/>
    <w:rsid w:val="00BD0577"/>
    <w:rsid w:val="00BD225C"/>
    <w:rsid w:val="00BD27AA"/>
    <w:rsid w:val="00BD35E0"/>
    <w:rsid w:val="00BD46E2"/>
    <w:rsid w:val="00BD4D3F"/>
    <w:rsid w:val="00BD5FCA"/>
    <w:rsid w:val="00BD75B9"/>
    <w:rsid w:val="00BE0022"/>
    <w:rsid w:val="00BE0332"/>
    <w:rsid w:val="00BE0734"/>
    <w:rsid w:val="00BE2FCA"/>
    <w:rsid w:val="00BE39BA"/>
    <w:rsid w:val="00BE3D5F"/>
    <w:rsid w:val="00BE438B"/>
    <w:rsid w:val="00BE4EE3"/>
    <w:rsid w:val="00BE4F08"/>
    <w:rsid w:val="00BE51F4"/>
    <w:rsid w:val="00BE54C3"/>
    <w:rsid w:val="00BE5FC5"/>
    <w:rsid w:val="00BE62ED"/>
    <w:rsid w:val="00BF04A7"/>
    <w:rsid w:val="00BF150C"/>
    <w:rsid w:val="00BF1E6C"/>
    <w:rsid w:val="00BF32DA"/>
    <w:rsid w:val="00BF4345"/>
    <w:rsid w:val="00BF4D6A"/>
    <w:rsid w:val="00C00010"/>
    <w:rsid w:val="00C02B84"/>
    <w:rsid w:val="00C03DB1"/>
    <w:rsid w:val="00C06035"/>
    <w:rsid w:val="00C06521"/>
    <w:rsid w:val="00C07A78"/>
    <w:rsid w:val="00C07B2F"/>
    <w:rsid w:val="00C07DC8"/>
    <w:rsid w:val="00C10016"/>
    <w:rsid w:val="00C1125B"/>
    <w:rsid w:val="00C112D7"/>
    <w:rsid w:val="00C11469"/>
    <w:rsid w:val="00C11671"/>
    <w:rsid w:val="00C11941"/>
    <w:rsid w:val="00C135C9"/>
    <w:rsid w:val="00C139B2"/>
    <w:rsid w:val="00C14037"/>
    <w:rsid w:val="00C142F5"/>
    <w:rsid w:val="00C164DC"/>
    <w:rsid w:val="00C17E2C"/>
    <w:rsid w:val="00C2003A"/>
    <w:rsid w:val="00C20145"/>
    <w:rsid w:val="00C20619"/>
    <w:rsid w:val="00C25B91"/>
    <w:rsid w:val="00C26000"/>
    <w:rsid w:val="00C277AF"/>
    <w:rsid w:val="00C31281"/>
    <w:rsid w:val="00C31B39"/>
    <w:rsid w:val="00C326F6"/>
    <w:rsid w:val="00C34256"/>
    <w:rsid w:val="00C41386"/>
    <w:rsid w:val="00C42288"/>
    <w:rsid w:val="00C42C3E"/>
    <w:rsid w:val="00C4322F"/>
    <w:rsid w:val="00C432A8"/>
    <w:rsid w:val="00C43B82"/>
    <w:rsid w:val="00C44288"/>
    <w:rsid w:val="00C50430"/>
    <w:rsid w:val="00C52EC7"/>
    <w:rsid w:val="00C534F1"/>
    <w:rsid w:val="00C5352D"/>
    <w:rsid w:val="00C54D03"/>
    <w:rsid w:val="00C5529F"/>
    <w:rsid w:val="00C55B4D"/>
    <w:rsid w:val="00C56733"/>
    <w:rsid w:val="00C6119A"/>
    <w:rsid w:val="00C623BA"/>
    <w:rsid w:val="00C64A9A"/>
    <w:rsid w:val="00C659A7"/>
    <w:rsid w:val="00C660CF"/>
    <w:rsid w:val="00C669E8"/>
    <w:rsid w:val="00C67F8E"/>
    <w:rsid w:val="00C7075E"/>
    <w:rsid w:val="00C71CA4"/>
    <w:rsid w:val="00C741A0"/>
    <w:rsid w:val="00C744E9"/>
    <w:rsid w:val="00C762FC"/>
    <w:rsid w:val="00C77318"/>
    <w:rsid w:val="00C8085C"/>
    <w:rsid w:val="00C8130C"/>
    <w:rsid w:val="00C8259E"/>
    <w:rsid w:val="00C8505D"/>
    <w:rsid w:val="00C85C83"/>
    <w:rsid w:val="00C864F9"/>
    <w:rsid w:val="00C8770E"/>
    <w:rsid w:val="00C91D7C"/>
    <w:rsid w:val="00C9214C"/>
    <w:rsid w:val="00C938FD"/>
    <w:rsid w:val="00C93DEA"/>
    <w:rsid w:val="00C947D6"/>
    <w:rsid w:val="00C95471"/>
    <w:rsid w:val="00C96BB7"/>
    <w:rsid w:val="00CA00FC"/>
    <w:rsid w:val="00CA183B"/>
    <w:rsid w:val="00CA455E"/>
    <w:rsid w:val="00CA4BFD"/>
    <w:rsid w:val="00CA5056"/>
    <w:rsid w:val="00CA59CA"/>
    <w:rsid w:val="00CA61F0"/>
    <w:rsid w:val="00CB0B24"/>
    <w:rsid w:val="00CB155F"/>
    <w:rsid w:val="00CB1F50"/>
    <w:rsid w:val="00CB216A"/>
    <w:rsid w:val="00CB2545"/>
    <w:rsid w:val="00CB2C6C"/>
    <w:rsid w:val="00CB49CA"/>
    <w:rsid w:val="00CB52A6"/>
    <w:rsid w:val="00CB5697"/>
    <w:rsid w:val="00CB6088"/>
    <w:rsid w:val="00CC3AF1"/>
    <w:rsid w:val="00CC44CB"/>
    <w:rsid w:val="00CC4AA7"/>
    <w:rsid w:val="00CC4BD7"/>
    <w:rsid w:val="00CC5CC1"/>
    <w:rsid w:val="00CC5FF7"/>
    <w:rsid w:val="00CC7489"/>
    <w:rsid w:val="00CC7E5A"/>
    <w:rsid w:val="00CD1A80"/>
    <w:rsid w:val="00CD1EBA"/>
    <w:rsid w:val="00CD2063"/>
    <w:rsid w:val="00CD2887"/>
    <w:rsid w:val="00CD33E7"/>
    <w:rsid w:val="00CD577E"/>
    <w:rsid w:val="00CD588E"/>
    <w:rsid w:val="00CD6419"/>
    <w:rsid w:val="00CD7A18"/>
    <w:rsid w:val="00CE2A32"/>
    <w:rsid w:val="00CE591E"/>
    <w:rsid w:val="00CE6DBF"/>
    <w:rsid w:val="00CF00C5"/>
    <w:rsid w:val="00CF01AD"/>
    <w:rsid w:val="00CF1111"/>
    <w:rsid w:val="00CF3AD7"/>
    <w:rsid w:val="00CF42E8"/>
    <w:rsid w:val="00CF442C"/>
    <w:rsid w:val="00CF47F0"/>
    <w:rsid w:val="00CF4CD2"/>
    <w:rsid w:val="00D01F0B"/>
    <w:rsid w:val="00D04714"/>
    <w:rsid w:val="00D05029"/>
    <w:rsid w:val="00D057DF"/>
    <w:rsid w:val="00D06CC1"/>
    <w:rsid w:val="00D1091A"/>
    <w:rsid w:val="00D1126C"/>
    <w:rsid w:val="00D118DA"/>
    <w:rsid w:val="00D14C41"/>
    <w:rsid w:val="00D14CD2"/>
    <w:rsid w:val="00D158E4"/>
    <w:rsid w:val="00D164EC"/>
    <w:rsid w:val="00D243DC"/>
    <w:rsid w:val="00D244AF"/>
    <w:rsid w:val="00D24ECC"/>
    <w:rsid w:val="00D2633B"/>
    <w:rsid w:val="00D308F4"/>
    <w:rsid w:val="00D332D6"/>
    <w:rsid w:val="00D35A7E"/>
    <w:rsid w:val="00D3695C"/>
    <w:rsid w:val="00D40166"/>
    <w:rsid w:val="00D437BA"/>
    <w:rsid w:val="00D43F62"/>
    <w:rsid w:val="00D449E1"/>
    <w:rsid w:val="00D44F50"/>
    <w:rsid w:val="00D456F1"/>
    <w:rsid w:val="00D473CA"/>
    <w:rsid w:val="00D4745C"/>
    <w:rsid w:val="00D478CD"/>
    <w:rsid w:val="00D500DD"/>
    <w:rsid w:val="00D5172F"/>
    <w:rsid w:val="00D526E8"/>
    <w:rsid w:val="00D5792C"/>
    <w:rsid w:val="00D57EAC"/>
    <w:rsid w:val="00D605DC"/>
    <w:rsid w:val="00D60867"/>
    <w:rsid w:val="00D61AB8"/>
    <w:rsid w:val="00D63B32"/>
    <w:rsid w:val="00D64BF2"/>
    <w:rsid w:val="00D65718"/>
    <w:rsid w:val="00D6777A"/>
    <w:rsid w:val="00D67909"/>
    <w:rsid w:val="00D70F9B"/>
    <w:rsid w:val="00D71425"/>
    <w:rsid w:val="00D71D83"/>
    <w:rsid w:val="00D75E95"/>
    <w:rsid w:val="00D7618F"/>
    <w:rsid w:val="00D7640B"/>
    <w:rsid w:val="00D774DD"/>
    <w:rsid w:val="00D778E0"/>
    <w:rsid w:val="00D77CA1"/>
    <w:rsid w:val="00D80065"/>
    <w:rsid w:val="00D80194"/>
    <w:rsid w:val="00D810C0"/>
    <w:rsid w:val="00D813B7"/>
    <w:rsid w:val="00D843CC"/>
    <w:rsid w:val="00D84C81"/>
    <w:rsid w:val="00D84D64"/>
    <w:rsid w:val="00D865C5"/>
    <w:rsid w:val="00D86B51"/>
    <w:rsid w:val="00D873E1"/>
    <w:rsid w:val="00D91886"/>
    <w:rsid w:val="00D93382"/>
    <w:rsid w:val="00D933F7"/>
    <w:rsid w:val="00D96C95"/>
    <w:rsid w:val="00DA0A8D"/>
    <w:rsid w:val="00DA25BE"/>
    <w:rsid w:val="00DA436A"/>
    <w:rsid w:val="00DA499B"/>
    <w:rsid w:val="00DA575D"/>
    <w:rsid w:val="00DA7551"/>
    <w:rsid w:val="00DA7931"/>
    <w:rsid w:val="00DB195C"/>
    <w:rsid w:val="00DB31A2"/>
    <w:rsid w:val="00DB3F9A"/>
    <w:rsid w:val="00DB4018"/>
    <w:rsid w:val="00DB4E06"/>
    <w:rsid w:val="00DB63B4"/>
    <w:rsid w:val="00DB7D20"/>
    <w:rsid w:val="00DB7EA6"/>
    <w:rsid w:val="00DC0298"/>
    <w:rsid w:val="00DC1A78"/>
    <w:rsid w:val="00DC22A5"/>
    <w:rsid w:val="00DC294B"/>
    <w:rsid w:val="00DC4C77"/>
    <w:rsid w:val="00DC572B"/>
    <w:rsid w:val="00DC68FA"/>
    <w:rsid w:val="00DC6DEF"/>
    <w:rsid w:val="00DC7D87"/>
    <w:rsid w:val="00DD13E3"/>
    <w:rsid w:val="00DD164B"/>
    <w:rsid w:val="00DD333F"/>
    <w:rsid w:val="00DD343A"/>
    <w:rsid w:val="00DD4364"/>
    <w:rsid w:val="00DD58A1"/>
    <w:rsid w:val="00DD63F5"/>
    <w:rsid w:val="00DD77B5"/>
    <w:rsid w:val="00DD7D71"/>
    <w:rsid w:val="00DE0C61"/>
    <w:rsid w:val="00DE4321"/>
    <w:rsid w:val="00DE5858"/>
    <w:rsid w:val="00DE5FB3"/>
    <w:rsid w:val="00DE67B8"/>
    <w:rsid w:val="00DE705C"/>
    <w:rsid w:val="00DF1B73"/>
    <w:rsid w:val="00DF23A7"/>
    <w:rsid w:val="00DF376C"/>
    <w:rsid w:val="00DF59EF"/>
    <w:rsid w:val="00DF6086"/>
    <w:rsid w:val="00DF65BB"/>
    <w:rsid w:val="00DF66F3"/>
    <w:rsid w:val="00E001C6"/>
    <w:rsid w:val="00E00C71"/>
    <w:rsid w:val="00E00DA8"/>
    <w:rsid w:val="00E033DD"/>
    <w:rsid w:val="00E03660"/>
    <w:rsid w:val="00E03B4A"/>
    <w:rsid w:val="00E03CC5"/>
    <w:rsid w:val="00E03CD4"/>
    <w:rsid w:val="00E04310"/>
    <w:rsid w:val="00E04A7F"/>
    <w:rsid w:val="00E10989"/>
    <w:rsid w:val="00E10A9E"/>
    <w:rsid w:val="00E11864"/>
    <w:rsid w:val="00E1242E"/>
    <w:rsid w:val="00E1362E"/>
    <w:rsid w:val="00E14EF2"/>
    <w:rsid w:val="00E15292"/>
    <w:rsid w:val="00E15F62"/>
    <w:rsid w:val="00E167E1"/>
    <w:rsid w:val="00E176A1"/>
    <w:rsid w:val="00E20A14"/>
    <w:rsid w:val="00E22C90"/>
    <w:rsid w:val="00E24B40"/>
    <w:rsid w:val="00E2574F"/>
    <w:rsid w:val="00E264AE"/>
    <w:rsid w:val="00E26983"/>
    <w:rsid w:val="00E279AE"/>
    <w:rsid w:val="00E27ED1"/>
    <w:rsid w:val="00E31AAC"/>
    <w:rsid w:val="00E32366"/>
    <w:rsid w:val="00E325EA"/>
    <w:rsid w:val="00E3276B"/>
    <w:rsid w:val="00E32C33"/>
    <w:rsid w:val="00E3487C"/>
    <w:rsid w:val="00E354DD"/>
    <w:rsid w:val="00E357CC"/>
    <w:rsid w:val="00E35D8C"/>
    <w:rsid w:val="00E361F3"/>
    <w:rsid w:val="00E4072F"/>
    <w:rsid w:val="00E40958"/>
    <w:rsid w:val="00E414C5"/>
    <w:rsid w:val="00E41822"/>
    <w:rsid w:val="00E42085"/>
    <w:rsid w:val="00E425F1"/>
    <w:rsid w:val="00E42924"/>
    <w:rsid w:val="00E43EBC"/>
    <w:rsid w:val="00E44197"/>
    <w:rsid w:val="00E4481D"/>
    <w:rsid w:val="00E50E31"/>
    <w:rsid w:val="00E51C6E"/>
    <w:rsid w:val="00E527CF"/>
    <w:rsid w:val="00E52CD5"/>
    <w:rsid w:val="00E52F42"/>
    <w:rsid w:val="00E54A72"/>
    <w:rsid w:val="00E56746"/>
    <w:rsid w:val="00E56A21"/>
    <w:rsid w:val="00E57427"/>
    <w:rsid w:val="00E5744D"/>
    <w:rsid w:val="00E60181"/>
    <w:rsid w:val="00E65571"/>
    <w:rsid w:val="00E65727"/>
    <w:rsid w:val="00E66C16"/>
    <w:rsid w:val="00E70455"/>
    <w:rsid w:val="00E70E85"/>
    <w:rsid w:val="00E71600"/>
    <w:rsid w:val="00E73BA8"/>
    <w:rsid w:val="00E74F2B"/>
    <w:rsid w:val="00E75492"/>
    <w:rsid w:val="00E764B1"/>
    <w:rsid w:val="00E81106"/>
    <w:rsid w:val="00E81329"/>
    <w:rsid w:val="00E822A5"/>
    <w:rsid w:val="00E84E99"/>
    <w:rsid w:val="00E8640B"/>
    <w:rsid w:val="00E87F15"/>
    <w:rsid w:val="00E918E4"/>
    <w:rsid w:val="00E91CAA"/>
    <w:rsid w:val="00E92869"/>
    <w:rsid w:val="00E928C4"/>
    <w:rsid w:val="00E9474F"/>
    <w:rsid w:val="00E95265"/>
    <w:rsid w:val="00E96533"/>
    <w:rsid w:val="00E969CA"/>
    <w:rsid w:val="00E96B76"/>
    <w:rsid w:val="00EA098A"/>
    <w:rsid w:val="00EA1362"/>
    <w:rsid w:val="00EA1783"/>
    <w:rsid w:val="00EA1B9D"/>
    <w:rsid w:val="00EA1E80"/>
    <w:rsid w:val="00EA1FFF"/>
    <w:rsid w:val="00EA475F"/>
    <w:rsid w:val="00EA4951"/>
    <w:rsid w:val="00EA4CFE"/>
    <w:rsid w:val="00EA6398"/>
    <w:rsid w:val="00EA7BF6"/>
    <w:rsid w:val="00EB2A27"/>
    <w:rsid w:val="00EB31C7"/>
    <w:rsid w:val="00EB384D"/>
    <w:rsid w:val="00EB3E49"/>
    <w:rsid w:val="00EB3E8B"/>
    <w:rsid w:val="00EB4884"/>
    <w:rsid w:val="00EB4ABE"/>
    <w:rsid w:val="00EB5479"/>
    <w:rsid w:val="00EB5CE8"/>
    <w:rsid w:val="00EB667C"/>
    <w:rsid w:val="00EB772A"/>
    <w:rsid w:val="00EB7E28"/>
    <w:rsid w:val="00EC053E"/>
    <w:rsid w:val="00EC1C93"/>
    <w:rsid w:val="00EC2706"/>
    <w:rsid w:val="00EC66DD"/>
    <w:rsid w:val="00EC7293"/>
    <w:rsid w:val="00EC7324"/>
    <w:rsid w:val="00EC7465"/>
    <w:rsid w:val="00ED0E64"/>
    <w:rsid w:val="00ED1172"/>
    <w:rsid w:val="00ED31DF"/>
    <w:rsid w:val="00ED4415"/>
    <w:rsid w:val="00ED4732"/>
    <w:rsid w:val="00ED7D74"/>
    <w:rsid w:val="00EE0C30"/>
    <w:rsid w:val="00EE10F6"/>
    <w:rsid w:val="00EE127C"/>
    <w:rsid w:val="00EE1CD2"/>
    <w:rsid w:val="00EE3E64"/>
    <w:rsid w:val="00EE4E13"/>
    <w:rsid w:val="00EE50B3"/>
    <w:rsid w:val="00EE522C"/>
    <w:rsid w:val="00EE5BC3"/>
    <w:rsid w:val="00EF000F"/>
    <w:rsid w:val="00EF0C8F"/>
    <w:rsid w:val="00EF1BEF"/>
    <w:rsid w:val="00EF1D99"/>
    <w:rsid w:val="00EF2525"/>
    <w:rsid w:val="00EF3471"/>
    <w:rsid w:val="00EF3E80"/>
    <w:rsid w:val="00EF626B"/>
    <w:rsid w:val="00EF7283"/>
    <w:rsid w:val="00F0116D"/>
    <w:rsid w:val="00F037B6"/>
    <w:rsid w:val="00F03919"/>
    <w:rsid w:val="00F03CF5"/>
    <w:rsid w:val="00F07134"/>
    <w:rsid w:val="00F0714B"/>
    <w:rsid w:val="00F07B5A"/>
    <w:rsid w:val="00F07E6E"/>
    <w:rsid w:val="00F11B23"/>
    <w:rsid w:val="00F128F9"/>
    <w:rsid w:val="00F133BF"/>
    <w:rsid w:val="00F14C2F"/>
    <w:rsid w:val="00F14D56"/>
    <w:rsid w:val="00F1675E"/>
    <w:rsid w:val="00F168E1"/>
    <w:rsid w:val="00F168E3"/>
    <w:rsid w:val="00F16DD8"/>
    <w:rsid w:val="00F17309"/>
    <w:rsid w:val="00F174F4"/>
    <w:rsid w:val="00F178FD"/>
    <w:rsid w:val="00F20CF9"/>
    <w:rsid w:val="00F21EE5"/>
    <w:rsid w:val="00F22065"/>
    <w:rsid w:val="00F240AE"/>
    <w:rsid w:val="00F242D3"/>
    <w:rsid w:val="00F247E9"/>
    <w:rsid w:val="00F25C29"/>
    <w:rsid w:val="00F25D98"/>
    <w:rsid w:val="00F26F3C"/>
    <w:rsid w:val="00F27F03"/>
    <w:rsid w:val="00F30057"/>
    <w:rsid w:val="00F3012C"/>
    <w:rsid w:val="00F3193D"/>
    <w:rsid w:val="00F31B6F"/>
    <w:rsid w:val="00F32771"/>
    <w:rsid w:val="00F343B3"/>
    <w:rsid w:val="00F347D1"/>
    <w:rsid w:val="00F35DDE"/>
    <w:rsid w:val="00F402C4"/>
    <w:rsid w:val="00F424B3"/>
    <w:rsid w:val="00F42E08"/>
    <w:rsid w:val="00F4412D"/>
    <w:rsid w:val="00F44C77"/>
    <w:rsid w:val="00F45934"/>
    <w:rsid w:val="00F514BA"/>
    <w:rsid w:val="00F52307"/>
    <w:rsid w:val="00F532C8"/>
    <w:rsid w:val="00F537CE"/>
    <w:rsid w:val="00F53E0F"/>
    <w:rsid w:val="00F53FE3"/>
    <w:rsid w:val="00F54441"/>
    <w:rsid w:val="00F555EE"/>
    <w:rsid w:val="00F56073"/>
    <w:rsid w:val="00F563A3"/>
    <w:rsid w:val="00F56514"/>
    <w:rsid w:val="00F6243B"/>
    <w:rsid w:val="00F62AAF"/>
    <w:rsid w:val="00F62C4C"/>
    <w:rsid w:val="00F62D1A"/>
    <w:rsid w:val="00F64DBA"/>
    <w:rsid w:val="00F64E63"/>
    <w:rsid w:val="00F6559D"/>
    <w:rsid w:val="00F656C0"/>
    <w:rsid w:val="00F6620C"/>
    <w:rsid w:val="00F67DAD"/>
    <w:rsid w:val="00F70114"/>
    <w:rsid w:val="00F715E4"/>
    <w:rsid w:val="00F716AE"/>
    <w:rsid w:val="00F73DCE"/>
    <w:rsid w:val="00F74514"/>
    <w:rsid w:val="00F74FB8"/>
    <w:rsid w:val="00F75B13"/>
    <w:rsid w:val="00F77939"/>
    <w:rsid w:val="00F77F98"/>
    <w:rsid w:val="00F8056F"/>
    <w:rsid w:val="00F8467D"/>
    <w:rsid w:val="00F84C9F"/>
    <w:rsid w:val="00F85B85"/>
    <w:rsid w:val="00F86A28"/>
    <w:rsid w:val="00F86BD8"/>
    <w:rsid w:val="00F903D2"/>
    <w:rsid w:val="00F90FF6"/>
    <w:rsid w:val="00F91593"/>
    <w:rsid w:val="00F9323F"/>
    <w:rsid w:val="00F93CD9"/>
    <w:rsid w:val="00F93CFA"/>
    <w:rsid w:val="00F96386"/>
    <w:rsid w:val="00F96711"/>
    <w:rsid w:val="00F96804"/>
    <w:rsid w:val="00FA01AE"/>
    <w:rsid w:val="00FA0FBC"/>
    <w:rsid w:val="00FA14E6"/>
    <w:rsid w:val="00FA30E5"/>
    <w:rsid w:val="00FA4F24"/>
    <w:rsid w:val="00FA5034"/>
    <w:rsid w:val="00FA5CE3"/>
    <w:rsid w:val="00FB0036"/>
    <w:rsid w:val="00FB0D6F"/>
    <w:rsid w:val="00FB1699"/>
    <w:rsid w:val="00FB1BE1"/>
    <w:rsid w:val="00FB31CB"/>
    <w:rsid w:val="00FB33CE"/>
    <w:rsid w:val="00FB3924"/>
    <w:rsid w:val="00FB438F"/>
    <w:rsid w:val="00FB51E2"/>
    <w:rsid w:val="00FB5722"/>
    <w:rsid w:val="00FB72E1"/>
    <w:rsid w:val="00FB7706"/>
    <w:rsid w:val="00FC0126"/>
    <w:rsid w:val="00FC1107"/>
    <w:rsid w:val="00FC2A07"/>
    <w:rsid w:val="00FC3D5D"/>
    <w:rsid w:val="00FC5224"/>
    <w:rsid w:val="00FC551A"/>
    <w:rsid w:val="00FC68DB"/>
    <w:rsid w:val="00FC6CC0"/>
    <w:rsid w:val="00FC7A0C"/>
    <w:rsid w:val="00FD233F"/>
    <w:rsid w:val="00FD23FD"/>
    <w:rsid w:val="00FD4312"/>
    <w:rsid w:val="00FD4F2C"/>
    <w:rsid w:val="00FD5A50"/>
    <w:rsid w:val="00FD6B12"/>
    <w:rsid w:val="00FD7DE5"/>
    <w:rsid w:val="00FE0AAF"/>
    <w:rsid w:val="00FE18BC"/>
    <w:rsid w:val="00FE2D07"/>
    <w:rsid w:val="00FE4846"/>
    <w:rsid w:val="00FE4EA9"/>
    <w:rsid w:val="00FE6987"/>
    <w:rsid w:val="00FE75AD"/>
    <w:rsid w:val="00FF0630"/>
    <w:rsid w:val="00FF0802"/>
    <w:rsid w:val="00FF2054"/>
    <w:rsid w:val="00FF3970"/>
    <w:rsid w:val="00FF4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EA49486"/>
  <w15:docId w15:val="{651EDDFF-2ED5-4B79-8113-9009C43A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rPr>
      <w:rFonts w:eastAsia="Arial Unicode MS"/>
      <w:color w:val="000000"/>
      <w:kern w:val="1"/>
      <w:sz w:val="24"/>
      <w:szCs w:val="24"/>
      <w:lang w:eastAsia="ar-SA"/>
    </w:rPr>
  </w:style>
  <w:style w:type="paragraph" w:styleId="Heading2">
    <w:name w:val="heading 2"/>
    <w:basedOn w:val="Normal"/>
    <w:next w:val="Normal"/>
    <w:link w:val="Heading2Char"/>
    <w:uiPriority w:val="9"/>
    <w:semiHidden/>
    <w:unhideWhenUsed/>
    <w:qFormat/>
    <w:rsid w:val="00D605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BodyText"/>
    <w:qFormat/>
    <w:pPr>
      <w:numPr>
        <w:ilvl w:val="2"/>
        <w:numId w:val="1"/>
      </w:numPr>
      <w:spacing w:before="100" w:after="10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style>
  <w:style w:type="character" w:styleId="Hyperlink">
    <w:name w:val="Hyperlink"/>
    <w:rPr>
      <w:color w:val="0000FF"/>
      <w:u w:val="single"/>
    </w:rPr>
  </w:style>
  <w:style w:type="character" w:styleId="Emphasis">
    <w:name w:val="Emphasis"/>
    <w:uiPriority w:val="20"/>
    <w:qFormat/>
    <w:rPr>
      <w:i/>
      <w:iCs/>
    </w:rPr>
  </w:style>
  <w:style w:type="paragraph" w:customStyle="1" w:styleId="Heading">
    <w:name w:val="Heading"/>
    <w:basedOn w:val="Normal"/>
    <w:next w:val="BodyText"/>
    <w:pPr>
      <w:keepNext/>
      <w:spacing w:before="240" w:after="120"/>
    </w:pPr>
    <w:rPr>
      <w:rFonts w:ascii="Arial"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leadh3-h-lead">
    <w:name w:val="h-lead h3-h-lead"/>
    <w:basedOn w:val="Normal"/>
    <w:pPr>
      <w:spacing w:before="100" w:after="100"/>
    </w:pPr>
  </w:style>
  <w:style w:type="paragraph" w:styleId="BalloonText">
    <w:name w:val="Balloon Text"/>
    <w:basedOn w:val="Normal"/>
    <w:link w:val="BalloonTextChar"/>
    <w:uiPriority w:val="99"/>
    <w:semiHidden/>
    <w:unhideWhenUsed/>
    <w:rsid w:val="00A85E5F"/>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A85E5F"/>
    <w:rPr>
      <w:rFonts w:ascii="Tahoma" w:eastAsia="Arial Unicode MS" w:hAnsi="Tahoma" w:cs="Tahoma"/>
      <w:color w:val="000000"/>
      <w:kern w:val="1"/>
      <w:sz w:val="16"/>
      <w:szCs w:val="16"/>
      <w:lang w:eastAsia="ar-SA"/>
    </w:rPr>
  </w:style>
  <w:style w:type="character" w:styleId="CommentReference">
    <w:name w:val="annotation reference"/>
    <w:uiPriority w:val="99"/>
    <w:semiHidden/>
    <w:unhideWhenUsed/>
    <w:rsid w:val="00032503"/>
    <w:rPr>
      <w:sz w:val="16"/>
      <w:szCs w:val="16"/>
    </w:rPr>
  </w:style>
  <w:style w:type="paragraph" w:styleId="CommentText">
    <w:name w:val="annotation text"/>
    <w:basedOn w:val="Normal"/>
    <w:link w:val="CommentTextChar"/>
    <w:uiPriority w:val="99"/>
    <w:semiHidden/>
    <w:unhideWhenUsed/>
    <w:rsid w:val="00032503"/>
    <w:rPr>
      <w:sz w:val="20"/>
      <w:szCs w:val="20"/>
    </w:rPr>
  </w:style>
  <w:style w:type="character" w:customStyle="1" w:styleId="CommentTextChar">
    <w:name w:val="Comment Text Char"/>
    <w:link w:val="CommentText"/>
    <w:uiPriority w:val="99"/>
    <w:semiHidden/>
    <w:rsid w:val="00032503"/>
    <w:rPr>
      <w:rFonts w:eastAsia="Arial Unicode MS"/>
      <w:color w:val="000000"/>
      <w:kern w:val="1"/>
      <w:lang w:eastAsia="ar-SA"/>
    </w:rPr>
  </w:style>
  <w:style w:type="paragraph" w:styleId="CommentSubject">
    <w:name w:val="annotation subject"/>
    <w:basedOn w:val="CommentText"/>
    <w:next w:val="CommentText"/>
    <w:link w:val="CommentSubjectChar"/>
    <w:uiPriority w:val="99"/>
    <w:semiHidden/>
    <w:unhideWhenUsed/>
    <w:rsid w:val="00032503"/>
    <w:rPr>
      <w:b/>
      <w:bCs/>
    </w:rPr>
  </w:style>
  <w:style w:type="character" w:customStyle="1" w:styleId="CommentSubjectChar">
    <w:name w:val="Comment Subject Char"/>
    <w:link w:val="CommentSubject"/>
    <w:uiPriority w:val="99"/>
    <w:semiHidden/>
    <w:rsid w:val="00032503"/>
    <w:rPr>
      <w:rFonts w:eastAsia="Arial Unicode MS"/>
      <w:b/>
      <w:bCs/>
      <w:color w:val="000000"/>
      <w:kern w:val="1"/>
      <w:lang w:eastAsia="ar-SA"/>
    </w:rPr>
  </w:style>
  <w:style w:type="paragraph" w:customStyle="1" w:styleId="Default">
    <w:name w:val="Default"/>
    <w:rsid w:val="003F42C5"/>
    <w:pPr>
      <w:autoSpaceDE w:val="0"/>
      <w:autoSpaceDN w:val="0"/>
      <w:adjustRightInd w:val="0"/>
    </w:pPr>
    <w:rPr>
      <w:rFonts w:ascii="Optima LT Std" w:hAnsi="Optima LT Std" w:cs="Optima LT Std"/>
      <w:color w:val="000000"/>
      <w:sz w:val="24"/>
      <w:szCs w:val="24"/>
    </w:rPr>
  </w:style>
  <w:style w:type="paragraph" w:styleId="Header">
    <w:name w:val="header"/>
    <w:basedOn w:val="Normal"/>
    <w:link w:val="HeaderChar"/>
    <w:uiPriority w:val="99"/>
    <w:unhideWhenUsed/>
    <w:rsid w:val="003C5447"/>
    <w:pPr>
      <w:tabs>
        <w:tab w:val="center" w:pos="4320"/>
        <w:tab w:val="right" w:pos="8640"/>
      </w:tabs>
      <w:spacing w:line="240" w:lineRule="auto"/>
    </w:pPr>
  </w:style>
  <w:style w:type="character" w:customStyle="1" w:styleId="HeaderChar">
    <w:name w:val="Header Char"/>
    <w:basedOn w:val="DefaultParagraphFont"/>
    <w:link w:val="Header"/>
    <w:uiPriority w:val="99"/>
    <w:rsid w:val="003C5447"/>
    <w:rPr>
      <w:rFonts w:eastAsia="Arial Unicode MS"/>
      <w:color w:val="000000"/>
      <w:kern w:val="1"/>
      <w:sz w:val="24"/>
      <w:szCs w:val="24"/>
      <w:lang w:eastAsia="ar-SA"/>
    </w:rPr>
  </w:style>
  <w:style w:type="paragraph" w:styleId="Footer">
    <w:name w:val="footer"/>
    <w:basedOn w:val="Normal"/>
    <w:link w:val="FooterChar"/>
    <w:uiPriority w:val="99"/>
    <w:unhideWhenUsed/>
    <w:rsid w:val="003C5447"/>
    <w:pPr>
      <w:tabs>
        <w:tab w:val="center" w:pos="4320"/>
        <w:tab w:val="right" w:pos="8640"/>
      </w:tabs>
      <w:spacing w:line="240" w:lineRule="auto"/>
    </w:pPr>
  </w:style>
  <w:style w:type="character" w:customStyle="1" w:styleId="FooterChar">
    <w:name w:val="Footer Char"/>
    <w:basedOn w:val="DefaultParagraphFont"/>
    <w:link w:val="Footer"/>
    <w:uiPriority w:val="99"/>
    <w:rsid w:val="003C5447"/>
    <w:rPr>
      <w:rFonts w:eastAsia="Arial Unicode MS"/>
      <w:color w:val="000000"/>
      <w:kern w:val="1"/>
      <w:sz w:val="24"/>
      <w:szCs w:val="24"/>
      <w:lang w:eastAsia="ar-SA"/>
    </w:rPr>
  </w:style>
  <w:style w:type="character" w:customStyle="1" w:styleId="il">
    <w:name w:val="il"/>
    <w:basedOn w:val="DefaultParagraphFont"/>
    <w:rsid w:val="001871AC"/>
  </w:style>
  <w:style w:type="character" w:customStyle="1" w:styleId="Heading2Char">
    <w:name w:val="Heading 2 Char"/>
    <w:basedOn w:val="DefaultParagraphFont"/>
    <w:link w:val="Heading2"/>
    <w:uiPriority w:val="9"/>
    <w:semiHidden/>
    <w:rsid w:val="00D605DC"/>
    <w:rPr>
      <w:rFonts w:asciiTheme="majorHAnsi" w:eastAsiaTheme="majorEastAsia" w:hAnsiTheme="majorHAnsi" w:cstheme="majorBidi"/>
      <w:b/>
      <w:bCs/>
      <w:color w:val="4F81BD" w:themeColor="accent1"/>
      <w:kern w:val="1"/>
      <w:sz w:val="26"/>
      <w:szCs w:val="26"/>
      <w:lang w:eastAsia="ar-SA"/>
    </w:rPr>
  </w:style>
  <w:style w:type="paragraph" w:styleId="ListParagraph">
    <w:name w:val="List Paragraph"/>
    <w:basedOn w:val="Normal"/>
    <w:uiPriority w:val="34"/>
    <w:qFormat/>
    <w:rsid w:val="009602B7"/>
    <w:pPr>
      <w:ind w:left="720"/>
      <w:contextualSpacing/>
    </w:pPr>
  </w:style>
  <w:style w:type="paragraph" w:customStyle="1" w:styleId="Level1">
    <w:name w:val="Level 1"/>
    <w:basedOn w:val="Normal"/>
    <w:rsid w:val="00C552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40" w:lineRule="auto"/>
    </w:pPr>
    <w:rPr>
      <w:rFonts w:eastAsia="Times New Roman"/>
      <w:color w:val="auto"/>
      <w:kern w:val="0"/>
      <w:sz w:val="20"/>
      <w:szCs w:val="20"/>
      <w:lang w:eastAsia="en-US"/>
    </w:rPr>
  </w:style>
  <w:style w:type="paragraph" w:styleId="Bibliography">
    <w:name w:val="Bibliography"/>
    <w:basedOn w:val="Normal"/>
    <w:next w:val="Normal"/>
    <w:uiPriority w:val="47"/>
    <w:rsid w:val="00F03CF5"/>
    <w:pPr>
      <w:suppressAutoHyphens w:val="0"/>
      <w:overflowPunct w:val="0"/>
      <w:autoSpaceDE w:val="0"/>
      <w:autoSpaceDN w:val="0"/>
      <w:adjustRightInd w:val="0"/>
      <w:spacing w:after="120" w:line="240" w:lineRule="auto"/>
      <w:textAlignment w:val="baseline"/>
    </w:pPr>
    <w:rPr>
      <w:rFonts w:ascii="Arial" w:eastAsia="Times New Roman" w:hAnsi="Arial"/>
      <w:color w:val="auto"/>
      <w:kern w:val="0"/>
      <w:sz w:val="20"/>
      <w:szCs w:val="22"/>
      <w:lang w:eastAsia="en-US"/>
    </w:rPr>
  </w:style>
  <w:style w:type="paragraph" w:styleId="Revision">
    <w:name w:val="Revision"/>
    <w:hidden/>
    <w:uiPriority w:val="99"/>
    <w:semiHidden/>
    <w:rsid w:val="009D7361"/>
    <w:rPr>
      <w:rFonts w:eastAsia="Arial Unicode MS"/>
      <w:color w:val="000000"/>
      <w:kern w:val="1"/>
      <w:sz w:val="24"/>
      <w:szCs w:val="24"/>
      <w:lang w:eastAsia="ar-SA"/>
    </w:rPr>
  </w:style>
  <w:style w:type="table" w:styleId="TableGrid">
    <w:name w:val="Table Grid"/>
    <w:basedOn w:val="TableNormal"/>
    <w:uiPriority w:val="59"/>
    <w:rsid w:val="00A67248"/>
    <w:rPr>
      <w:rFonts w:ascii="Garamond" w:eastAsiaTheme="minorHAnsi" w:hAnsi="Garamond"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24666">
      <w:bodyDiv w:val="1"/>
      <w:marLeft w:val="0"/>
      <w:marRight w:val="0"/>
      <w:marTop w:val="0"/>
      <w:marBottom w:val="0"/>
      <w:divBdr>
        <w:top w:val="none" w:sz="0" w:space="0" w:color="auto"/>
        <w:left w:val="none" w:sz="0" w:space="0" w:color="auto"/>
        <w:bottom w:val="none" w:sz="0" w:space="0" w:color="auto"/>
        <w:right w:val="none" w:sz="0" w:space="0" w:color="auto"/>
      </w:divBdr>
      <w:divsChild>
        <w:div w:id="184026687">
          <w:marLeft w:val="0"/>
          <w:marRight w:val="0"/>
          <w:marTop w:val="0"/>
          <w:marBottom w:val="0"/>
          <w:divBdr>
            <w:top w:val="none" w:sz="0" w:space="0" w:color="auto"/>
            <w:left w:val="none" w:sz="0" w:space="0" w:color="auto"/>
            <w:bottom w:val="none" w:sz="0" w:space="0" w:color="auto"/>
            <w:right w:val="none" w:sz="0" w:space="0" w:color="auto"/>
          </w:divBdr>
        </w:div>
        <w:div w:id="475142680">
          <w:marLeft w:val="0"/>
          <w:marRight w:val="0"/>
          <w:marTop w:val="0"/>
          <w:marBottom w:val="0"/>
          <w:divBdr>
            <w:top w:val="none" w:sz="0" w:space="0" w:color="auto"/>
            <w:left w:val="none" w:sz="0" w:space="0" w:color="auto"/>
            <w:bottom w:val="none" w:sz="0" w:space="0" w:color="auto"/>
            <w:right w:val="none" w:sz="0" w:space="0" w:color="auto"/>
          </w:divBdr>
        </w:div>
        <w:div w:id="500588810">
          <w:marLeft w:val="0"/>
          <w:marRight w:val="0"/>
          <w:marTop w:val="0"/>
          <w:marBottom w:val="0"/>
          <w:divBdr>
            <w:top w:val="none" w:sz="0" w:space="0" w:color="auto"/>
            <w:left w:val="none" w:sz="0" w:space="0" w:color="auto"/>
            <w:bottom w:val="none" w:sz="0" w:space="0" w:color="auto"/>
            <w:right w:val="none" w:sz="0" w:space="0" w:color="auto"/>
          </w:divBdr>
        </w:div>
        <w:div w:id="1047949932">
          <w:marLeft w:val="0"/>
          <w:marRight w:val="0"/>
          <w:marTop w:val="0"/>
          <w:marBottom w:val="0"/>
          <w:divBdr>
            <w:top w:val="none" w:sz="0" w:space="0" w:color="auto"/>
            <w:left w:val="none" w:sz="0" w:space="0" w:color="auto"/>
            <w:bottom w:val="none" w:sz="0" w:space="0" w:color="auto"/>
            <w:right w:val="none" w:sz="0" w:space="0" w:color="auto"/>
          </w:divBdr>
        </w:div>
        <w:div w:id="1251043429">
          <w:marLeft w:val="0"/>
          <w:marRight w:val="0"/>
          <w:marTop w:val="0"/>
          <w:marBottom w:val="0"/>
          <w:divBdr>
            <w:top w:val="none" w:sz="0" w:space="0" w:color="auto"/>
            <w:left w:val="none" w:sz="0" w:space="0" w:color="auto"/>
            <w:bottom w:val="none" w:sz="0" w:space="0" w:color="auto"/>
            <w:right w:val="none" w:sz="0" w:space="0" w:color="auto"/>
          </w:divBdr>
        </w:div>
        <w:div w:id="1617443603">
          <w:marLeft w:val="0"/>
          <w:marRight w:val="0"/>
          <w:marTop w:val="0"/>
          <w:marBottom w:val="0"/>
          <w:divBdr>
            <w:top w:val="none" w:sz="0" w:space="0" w:color="auto"/>
            <w:left w:val="none" w:sz="0" w:space="0" w:color="auto"/>
            <w:bottom w:val="none" w:sz="0" w:space="0" w:color="auto"/>
            <w:right w:val="none" w:sz="0" w:space="0" w:color="auto"/>
          </w:divBdr>
        </w:div>
        <w:div w:id="1701785620">
          <w:marLeft w:val="0"/>
          <w:marRight w:val="0"/>
          <w:marTop w:val="0"/>
          <w:marBottom w:val="0"/>
          <w:divBdr>
            <w:top w:val="none" w:sz="0" w:space="0" w:color="auto"/>
            <w:left w:val="none" w:sz="0" w:space="0" w:color="auto"/>
            <w:bottom w:val="none" w:sz="0" w:space="0" w:color="auto"/>
            <w:right w:val="none" w:sz="0" w:space="0" w:color="auto"/>
          </w:divBdr>
        </w:div>
        <w:div w:id="2144810872">
          <w:marLeft w:val="0"/>
          <w:marRight w:val="0"/>
          <w:marTop w:val="0"/>
          <w:marBottom w:val="0"/>
          <w:divBdr>
            <w:top w:val="none" w:sz="0" w:space="0" w:color="auto"/>
            <w:left w:val="none" w:sz="0" w:space="0" w:color="auto"/>
            <w:bottom w:val="none" w:sz="0" w:space="0" w:color="auto"/>
            <w:right w:val="none" w:sz="0" w:space="0" w:color="auto"/>
          </w:divBdr>
        </w:div>
      </w:divsChild>
    </w:div>
    <w:div w:id="381486495">
      <w:bodyDiv w:val="1"/>
      <w:marLeft w:val="0"/>
      <w:marRight w:val="0"/>
      <w:marTop w:val="0"/>
      <w:marBottom w:val="0"/>
      <w:divBdr>
        <w:top w:val="none" w:sz="0" w:space="0" w:color="auto"/>
        <w:left w:val="none" w:sz="0" w:space="0" w:color="auto"/>
        <w:bottom w:val="none" w:sz="0" w:space="0" w:color="auto"/>
        <w:right w:val="none" w:sz="0" w:space="0" w:color="auto"/>
      </w:divBdr>
    </w:div>
    <w:div w:id="584531094">
      <w:bodyDiv w:val="1"/>
      <w:marLeft w:val="0"/>
      <w:marRight w:val="0"/>
      <w:marTop w:val="0"/>
      <w:marBottom w:val="0"/>
      <w:divBdr>
        <w:top w:val="none" w:sz="0" w:space="0" w:color="auto"/>
        <w:left w:val="none" w:sz="0" w:space="0" w:color="auto"/>
        <w:bottom w:val="none" w:sz="0" w:space="0" w:color="auto"/>
        <w:right w:val="none" w:sz="0" w:space="0" w:color="auto"/>
      </w:divBdr>
      <w:divsChild>
        <w:div w:id="55591888">
          <w:marLeft w:val="0"/>
          <w:marRight w:val="0"/>
          <w:marTop w:val="0"/>
          <w:marBottom w:val="0"/>
          <w:divBdr>
            <w:top w:val="none" w:sz="0" w:space="0" w:color="auto"/>
            <w:left w:val="none" w:sz="0" w:space="0" w:color="auto"/>
            <w:bottom w:val="none" w:sz="0" w:space="0" w:color="auto"/>
            <w:right w:val="none" w:sz="0" w:space="0" w:color="auto"/>
          </w:divBdr>
        </w:div>
        <w:div w:id="177698525">
          <w:marLeft w:val="0"/>
          <w:marRight w:val="0"/>
          <w:marTop w:val="0"/>
          <w:marBottom w:val="0"/>
          <w:divBdr>
            <w:top w:val="none" w:sz="0" w:space="0" w:color="auto"/>
            <w:left w:val="none" w:sz="0" w:space="0" w:color="auto"/>
            <w:bottom w:val="none" w:sz="0" w:space="0" w:color="auto"/>
            <w:right w:val="none" w:sz="0" w:space="0" w:color="auto"/>
          </w:divBdr>
        </w:div>
        <w:div w:id="200557062">
          <w:marLeft w:val="0"/>
          <w:marRight w:val="0"/>
          <w:marTop w:val="0"/>
          <w:marBottom w:val="0"/>
          <w:divBdr>
            <w:top w:val="none" w:sz="0" w:space="0" w:color="auto"/>
            <w:left w:val="none" w:sz="0" w:space="0" w:color="auto"/>
            <w:bottom w:val="none" w:sz="0" w:space="0" w:color="auto"/>
            <w:right w:val="none" w:sz="0" w:space="0" w:color="auto"/>
          </w:divBdr>
        </w:div>
        <w:div w:id="306978558">
          <w:marLeft w:val="0"/>
          <w:marRight w:val="0"/>
          <w:marTop w:val="0"/>
          <w:marBottom w:val="0"/>
          <w:divBdr>
            <w:top w:val="none" w:sz="0" w:space="0" w:color="auto"/>
            <w:left w:val="none" w:sz="0" w:space="0" w:color="auto"/>
            <w:bottom w:val="none" w:sz="0" w:space="0" w:color="auto"/>
            <w:right w:val="none" w:sz="0" w:space="0" w:color="auto"/>
          </w:divBdr>
        </w:div>
        <w:div w:id="379280741">
          <w:marLeft w:val="0"/>
          <w:marRight w:val="0"/>
          <w:marTop w:val="0"/>
          <w:marBottom w:val="0"/>
          <w:divBdr>
            <w:top w:val="none" w:sz="0" w:space="0" w:color="auto"/>
            <w:left w:val="none" w:sz="0" w:space="0" w:color="auto"/>
            <w:bottom w:val="none" w:sz="0" w:space="0" w:color="auto"/>
            <w:right w:val="none" w:sz="0" w:space="0" w:color="auto"/>
          </w:divBdr>
        </w:div>
        <w:div w:id="465465335">
          <w:marLeft w:val="0"/>
          <w:marRight w:val="0"/>
          <w:marTop w:val="0"/>
          <w:marBottom w:val="0"/>
          <w:divBdr>
            <w:top w:val="none" w:sz="0" w:space="0" w:color="auto"/>
            <w:left w:val="none" w:sz="0" w:space="0" w:color="auto"/>
            <w:bottom w:val="none" w:sz="0" w:space="0" w:color="auto"/>
            <w:right w:val="none" w:sz="0" w:space="0" w:color="auto"/>
          </w:divBdr>
        </w:div>
        <w:div w:id="638341703">
          <w:marLeft w:val="0"/>
          <w:marRight w:val="0"/>
          <w:marTop w:val="0"/>
          <w:marBottom w:val="0"/>
          <w:divBdr>
            <w:top w:val="none" w:sz="0" w:space="0" w:color="auto"/>
            <w:left w:val="none" w:sz="0" w:space="0" w:color="auto"/>
            <w:bottom w:val="none" w:sz="0" w:space="0" w:color="auto"/>
            <w:right w:val="none" w:sz="0" w:space="0" w:color="auto"/>
          </w:divBdr>
        </w:div>
        <w:div w:id="1908373783">
          <w:marLeft w:val="0"/>
          <w:marRight w:val="0"/>
          <w:marTop w:val="0"/>
          <w:marBottom w:val="0"/>
          <w:divBdr>
            <w:top w:val="none" w:sz="0" w:space="0" w:color="auto"/>
            <w:left w:val="none" w:sz="0" w:space="0" w:color="auto"/>
            <w:bottom w:val="none" w:sz="0" w:space="0" w:color="auto"/>
            <w:right w:val="none" w:sz="0" w:space="0" w:color="auto"/>
          </w:divBdr>
        </w:div>
      </w:divsChild>
    </w:div>
    <w:div w:id="1002856296">
      <w:bodyDiv w:val="1"/>
      <w:marLeft w:val="0"/>
      <w:marRight w:val="0"/>
      <w:marTop w:val="0"/>
      <w:marBottom w:val="0"/>
      <w:divBdr>
        <w:top w:val="none" w:sz="0" w:space="0" w:color="auto"/>
        <w:left w:val="none" w:sz="0" w:space="0" w:color="auto"/>
        <w:bottom w:val="none" w:sz="0" w:space="0" w:color="auto"/>
        <w:right w:val="none" w:sz="0" w:space="0" w:color="auto"/>
      </w:divBdr>
    </w:div>
    <w:div w:id="1134567849">
      <w:bodyDiv w:val="1"/>
      <w:marLeft w:val="0"/>
      <w:marRight w:val="0"/>
      <w:marTop w:val="0"/>
      <w:marBottom w:val="0"/>
      <w:divBdr>
        <w:top w:val="none" w:sz="0" w:space="0" w:color="auto"/>
        <w:left w:val="none" w:sz="0" w:space="0" w:color="auto"/>
        <w:bottom w:val="none" w:sz="0" w:space="0" w:color="auto"/>
        <w:right w:val="none" w:sz="0" w:space="0" w:color="auto"/>
      </w:divBdr>
      <w:divsChild>
        <w:div w:id="317851319">
          <w:marLeft w:val="0"/>
          <w:marRight w:val="0"/>
          <w:marTop w:val="240"/>
          <w:marBottom w:val="100"/>
          <w:divBdr>
            <w:top w:val="none" w:sz="0" w:space="0" w:color="auto"/>
            <w:left w:val="none" w:sz="0" w:space="0" w:color="auto"/>
            <w:bottom w:val="none" w:sz="0" w:space="0" w:color="auto"/>
            <w:right w:val="none" w:sz="0" w:space="0" w:color="auto"/>
          </w:divBdr>
          <w:divsChild>
            <w:div w:id="619411191">
              <w:marLeft w:val="0"/>
              <w:marRight w:val="0"/>
              <w:marTop w:val="0"/>
              <w:marBottom w:val="0"/>
              <w:divBdr>
                <w:top w:val="none" w:sz="0" w:space="0" w:color="auto"/>
                <w:left w:val="none" w:sz="0" w:space="0" w:color="auto"/>
                <w:bottom w:val="none" w:sz="0" w:space="0" w:color="auto"/>
                <w:right w:val="none" w:sz="0" w:space="0" w:color="auto"/>
              </w:divBdr>
            </w:div>
          </w:divsChild>
        </w:div>
        <w:div w:id="924992825">
          <w:marLeft w:val="0"/>
          <w:marRight w:val="0"/>
          <w:marTop w:val="288"/>
          <w:marBottom w:val="100"/>
          <w:divBdr>
            <w:top w:val="none" w:sz="0" w:space="0" w:color="auto"/>
            <w:left w:val="none" w:sz="0" w:space="0" w:color="auto"/>
            <w:bottom w:val="none" w:sz="0" w:space="0" w:color="auto"/>
            <w:right w:val="none" w:sz="0" w:space="0" w:color="auto"/>
          </w:divBdr>
          <w:divsChild>
            <w:div w:id="481048025">
              <w:marLeft w:val="0"/>
              <w:marRight w:val="0"/>
              <w:marTop w:val="0"/>
              <w:marBottom w:val="0"/>
              <w:divBdr>
                <w:top w:val="none" w:sz="0" w:space="0" w:color="auto"/>
                <w:left w:val="none" w:sz="0" w:space="0" w:color="auto"/>
                <w:bottom w:val="none" w:sz="0" w:space="0" w:color="auto"/>
                <w:right w:val="none" w:sz="0" w:space="0" w:color="auto"/>
              </w:divBdr>
            </w:div>
            <w:div w:id="9049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5346">
      <w:bodyDiv w:val="1"/>
      <w:marLeft w:val="0"/>
      <w:marRight w:val="0"/>
      <w:marTop w:val="0"/>
      <w:marBottom w:val="0"/>
      <w:divBdr>
        <w:top w:val="none" w:sz="0" w:space="0" w:color="auto"/>
        <w:left w:val="none" w:sz="0" w:space="0" w:color="auto"/>
        <w:bottom w:val="none" w:sz="0" w:space="0" w:color="auto"/>
        <w:right w:val="none" w:sz="0" w:space="0" w:color="auto"/>
      </w:divBdr>
      <w:divsChild>
        <w:div w:id="52509164">
          <w:marLeft w:val="0"/>
          <w:marRight w:val="0"/>
          <w:marTop w:val="0"/>
          <w:marBottom w:val="0"/>
          <w:divBdr>
            <w:top w:val="none" w:sz="0" w:space="0" w:color="auto"/>
            <w:left w:val="none" w:sz="0" w:space="0" w:color="auto"/>
            <w:bottom w:val="none" w:sz="0" w:space="0" w:color="auto"/>
            <w:right w:val="none" w:sz="0" w:space="0" w:color="auto"/>
          </w:divBdr>
        </w:div>
        <w:div w:id="249395020">
          <w:marLeft w:val="0"/>
          <w:marRight w:val="0"/>
          <w:marTop w:val="0"/>
          <w:marBottom w:val="0"/>
          <w:divBdr>
            <w:top w:val="none" w:sz="0" w:space="0" w:color="auto"/>
            <w:left w:val="none" w:sz="0" w:space="0" w:color="auto"/>
            <w:bottom w:val="none" w:sz="0" w:space="0" w:color="auto"/>
            <w:right w:val="none" w:sz="0" w:space="0" w:color="auto"/>
          </w:divBdr>
        </w:div>
        <w:div w:id="302588764">
          <w:marLeft w:val="0"/>
          <w:marRight w:val="0"/>
          <w:marTop w:val="0"/>
          <w:marBottom w:val="0"/>
          <w:divBdr>
            <w:top w:val="none" w:sz="0" w:space="0" w:color="auto"/>
            <w:left w:val="none" w:sz="0" w:space="0" w:color="auto"/>
            <w:bottom w:val="none" w:sz="0" w:space="0" w:color="auto"/>
            <w:right w:val="none" w:sz="0" w:space="0" w:color="auto"/>
          </w:divBdr>
        </w:div>
        <w:div w:id="349526877">
          <w:marLeft w:val="0"/>
          <w:marRight w:val="0"/>
          <w:marTop w:val="0"/>
          <w:marBottom w:val="0"/>
          <w:divBdr>
            <w:top w:val="none" w:sz="0" w:space="0" w:color="auto"/>
            <w:left w:val="none" w:sz="0" w:space="0" w:color="auto"/>
            <w:bottom w:val="none" w:sz="0" w:space="0" w:color="auto"/>
            <w:right w:val="none" w:sz="0" w:space="0" w:color="auto"/>
          </w:divBdr>
        </w:div>
        <w:div w:id="395400730">
          <w:marLeft w:val="0"/>
          <w:marRight w:val="0"/>
          <w:marTop w:val="0"/>
          <w:marBottom w:val="0"/>
          <w:divBdr>
            <w:top w:val="none" w:sz="0" w:space="0" w:color="auto"/>
            <w:left w:val="none" w:sz="0" w:space="0" w:color="auto"/>
            <w:bottom w:val="none" w:sz="0" w:space="0" w:color="auto"/>
            <w:right w:val="none" w:sz="0" w:space="0" w:color="auto"/>
          </w:divBdr>
        </w:div>
        <w:div w:id="1029456551">
          <w:marLeft w:val="0"/>
          <w:marRight w:val="0"/>
          <w:marTop w:val="0"/>
          <w:marBottom w:val="0"/>
          <w:divBdr>
            <w:top w:val="none" w:sz="0" w:space="0" w:color="auto"/>
            <w:left w:val="none" w:sz="0" w:space="0" w:color="auto"/>
            <w:bottom w:val="none" w:sz="0" w:space="0" w:color="auto"/>
            <w:right w:val="none" w:sz="0" w:space="0" w:color="auto"/>
          </w:divBdr>
        </w:div>
        <w:div w:id="1155686249">
          <w:marLeft w:val="0"/>
          <w:marRight w:val="0"/>
          <w:marTop w:val="0"/>
          <w:marBottom w:val="0"/>
          <w:divBdr>
            <w:top w:val="none" w:sz="0" w:space="0" w:color="auto"/>
            <w:left w:val="none" w:sz="0" w:space="0" w:color="auto"/>
            <w:bottom w:val="none" w:sz="0" w:space="0" w:color="auto"/>
            <w:right w:val="none" w:sz="0" w:space="0" w:color="auto"/>
          </w:divBdr>
        </w:div>
        <w:div w:id="1402487543">
          <w:marLeft w:val="0"/>
          <w:marRight w:val="0"/>
          <w:marTop w:val="0"/>
          <w:marBottom w:val="0"/>
          <w:divBdr>
            <w:top w:val="none" w:sz="0" w:space="0" w:color="auto"/>
            <w:left w:val="none" w:sz="0" w:space="0" w:color="auto"/>
            <w:bottom w:val="none" w:sz="0" w:space="0" w:color="auto"/>
            <w:right w:val="none" w:sz="0" w:space="0" w:color="auto"/>
          </w:divBdr>
        </w:div>
        <w:div w:id="1476020823">
          <w:marLeft w:val="0"/>
          <w:marRight w:val="0"/>
          <w:marTop w:val="0"/>
          <w:marBottom w:val="0"/>
          <w:divBdr>
            <w:top w:val="none" w:sz="0" w:space="0" w:color="auto"/>
            <w:left w:val="none" w:sz="0" w:space="0" w:color="auto"/>
            <w:bottom w:val="none" w:sz="0" w:space="0" w:color="auto"/>
            <w:right w:val="none" w:sz="0" w:space="0" w:color="auto"/>
          </w:divBdr>
        </w:div>
        <w:div w:id="1588268125">
          <w:marLeft w:val="0"/>
          <w:marRight w:val="0"/>
          <w:marTop w:val="0"/>
          <w:marBottom w:val="0"/>
          <w:divBdr>
            <w:top w:val="none" w:sz="0" w:space="0" w:color="auto"/>
            <w:left w:val="none" w:sz="0" w:space="0" w:color="auto"/>
            <w:bottom w:val="none" w:sz="0" w:space="0" w:color="auto"/>
            <w:right w:val="none" w:sz="0" w:space="0" w:color="auto"/>
          </w:divBdr>
        </w:div>
      </w:divsChild>
    </w:div>
    <w:div w:id="1562592653">
      <w:bodyDiv w:val="1"/>
      <w:marLeft w:val="0"/>
      <w:marRight w:val="0"/>
      <w:marTop w:val="0"/>
      <w:marBottom w:val="0"/>
      <w:divBdr>
        <w:top w:val="none" w:sz="0" w:space="0" w:color="auto"/>
        <w:left w:val="none" w:sz="0" w:space="0" w:color="auto"/>
        <w:bottom w:val="none" w:sz="0" w:space="0" w:color="auto"/>
        <w:right w:val="none" w:sz="0" w:space="0" w:color="auto"/>
      </w:divBdr>
    </w:div>
    <w:div w:id="1754820015">
      <w:bodyDiv w:val="1"/>
      <w:marLeft w:val="0"/>
      <w:marRight w:val="0"/>
      <w:marTop w:val="0"/>
      <w:marBottom w:val="0"/>
      <w:divBdr>
        <w:top w:val="none" w:sz="0" w:space="0" w:color="auto"/>
        <w:left w:val="none" w:sz="0" w:space="0" w:color="auto"/>
        <w:bottom w:val="none" w:sz="0" w:space="0" w:color="auto"/>
        <w:right w:val="none" w:sz="0" w:space="0" w:color="auto"/>
      </w:divBdr>
    </w:div>
    <w:div w:id="1811358637">
      <w:bodyDiv w:val="1"/>
      <w:marLeft w:val="0"/>
      <w:marRight w:val="0"/>
      <w:marTop w:val="0"/>
      <w:marBottom w:val="0"/>
      <w:divBdr>
        <w:top w:val="none" w:sz="0" w:space="0" w:color="auto"/>
        <w:left w:val="none" w:sz="0" w:space="0" w:color="auto"/>
        <w:bottom w:val="none" w:sz="0" w:space="0" w:color="auto"/>
        <w:right w:val="none" w:sz="0" w:space="0" w:color="auto"/>
      </w:divBdr>
      <w:divsChild>
        <w:div w:id="194970972">
          <w:marLeft w:val="0"/>
          <w:marRight w:val="0"/>
          <w:marTop w:val="0"/>
          <w:marBottom w:val="0"/>
          <w:divBdr>
            <w:top w:val="none" w:sz="0" w:space="0" w:color="auto"/>
            <w:left w:val="none" w:sz="0" w:space="0" w:color="auto"/>
            <w:bottom w:val="none" w:sz="0" w:space="0" w:color="auto"/>
            <w:right w:val="none" w:sz="0" w:space="0" w:color="auto"/>
          </w:divBdr>
        </w:div>
        <w:div w:id="300043781">
          <w:marLeft w:val="0"/>
          <w:marRight w:val="0"/>
          <w:marTop w:val="0"/>
          <w:marBottom w:val="0"/>
          <w:divBdr>
            <w:top w:val="none" w:sz="0" w:space="0" w:color="auto"/>
            <w:left w:val="none" w:sz="0" w:space="0" w:color="auto"/>
            <w:bottom w:val="none" w:sz="0" w:space="0" w:color="auto"/>
            <w:right w:val="none" w:sz="0" w:space="0" w:color="auto"/>
          </w:divBdr>
        </w:div>
        <w:div w:id="570504265">
          <w:marLeft w:val="0"/>
          <w:marRight w:val="0"/>
          <w:marTop w:val="0"/>
          <w:marBottom w:val="0"/>
          <w:divBdr>
            <w:top w:val="none" w:sz="0" w:space="0" w:color="auto"/>
            <w:left w:val="none" w:sz="0" w:space="0" w:color="auto"/>
            <w:bottom w:val="none" w:sz="0" w:space="0" w:color="auto"/>
            <w:right w:val="none" w:sz="0" w:space="0" w:color="auto"/>
          </w:divBdr>
        </w:div>
      </w:divsChild>
    </w:div>
    <w:div w:id="1906258027">
      <w:bodyDiv w:val="1"/>
      <w:marLeft w:val="0"/>
      <w:marRight w:val="0"/>
      <w:marTop w:val="0"/>
      <w:marBottom w:val="0"/>
      <w:divBdr>
        <w:top w:val="none" w:sz="0" w:space="0" w:color="auto"/>
        <w:left w:val="none" w:sz="0" w:space="0" w:color="auto"/>
        <w:bottom w:val="none" w:sz="0" w:space="0" w:color="auto"/>
        <w:right w:val="none" w:sz="0" w:space="0" w:color="auto"/>
      </w:divBdr>
      <w:divsChild>
        <w:div w:id="292946313">
          <w:marLeft w:val="0"/>
          <w:marRight w:val="0"/>
          <w:marTop w:val="0"/>
          <w:marBottom w:val="0"/>
          <w:divBdr>
            <w:top w:val="none" w:sz="0" w:space="0" w:color="auto"/>
            <w:left w:val="none" w:sz="0" w:space="0" w:color="auto"/>
            <w:bottom w:val="none" w:sz="0" w:space="0" w:color="auto"/>
            <w:right w:val="none" w:sz="0" w:space="0" w:color="auto"/>
          </w:divBdr>
        </w:div>
        <w:div w:id="876429368">
          <w:marLeft w:val="0"/>
          <w:marRight w:val="0"/>
          <w:marTop w:val="0"/>
          <w:marBottom w:val="0"/>
          <w:divBdr>
            <w:top w:val="none" w:sz="0" w:space="0" w:color="auto"/>
            <w:left w:val="none" w:sz="0" w:space="0" w:color="auto"/>
            <w:bottom w:val="none" w:sz="0" w:space="0" w:color="auto"/>
            <w:right w:val="none" w:sz="0" w:space="0" w:color="auto"/>
          </w:divBdr>
        </w:div>
        <w:div w:id="877622455">
          <w:marLeft w:val="0"/>
          <w:marRight w:val="0"/>
          <w:marTop w:val="0"/>
          <w:marBottom w:val="0"/>
          <w:divBdr>
            <w:top w:val="none" w:sz="0" w:space="0" w:color="auto"/>
            <w:left w:val="none" w:sz="0" w:space="0" w:color="auto"/>
            <w:bottom w:val="none" w:sz="0" w:space="0" w:color="auto"/>
            <w:right w:val="none" w:sz="0" w:space="0" w:color="auto"/>
          </w:divBdr>
        </w:div>
        <w:div w:id="1185291018">
          <w:marLeft w:val="0"/>
          <w:marRight w:val="0"/>
          <w:marTop w:val="0"/>
          <w:marBottom w:val="0"/>
          <w:divBdr>
            <w:top w:val="none" w:sz="0" w:space="0" w:color="auto"/>
            <w:left w:val="none" w:sz="0" w:space="0" w:color="auto"/>
            <w:bottom w:val="none" w:sz="0" w:space="0" w:color="auto"/>
            <w:right w:val="none" w:sz="0" w:space="0" w:color="auto"/>
          </w:divBdr>
        </w:div>
        <w:div w:id="1188563490">
          <w:marLeft w:val="0"/>
          <w:marRight w:val="0"/>
          <w:marTop w:val="0"/>
          <w:marBottom w:val="0"/>
          <w:divBdr>
            <w:top w:val="none" w:sz="0" w:space="0" w:color="auto"/>
            <w:left w:val="none" w:sz="0" w:space="0" w:color="auto"/>
            <w:bottom w:val="none" w:sz="0" w:space="0" w:color="auto"/>
            <w:right w:val="none" w:sz="0" w:space="0" w:color="auto"/>
          </w:divBdr>
        </w:div>
        <w:div w:id="1414085570">
          <w:marLeft w:val="0"/>
          <w:marRight w:val="0"/>
          <w:marTop w:val="0"/>
          <w:marBottom w:val="0"/>
          <w:divBdr>
            <w:top w:val="none" w:sz="0" w:space="0" w:color="auto"/>
            <w:left w:val="none" w:sz="0" w:space="0" w:color="auto"/>
            <w:bottom w:val="none" w:sz="0" w:space="0" w:color="auto"/>
            <w:right w:val="none" w:sz="0" w:space="0" w:color="auto"/>
          </w:divBdr>
        </w:div>
        <w:div w:id="1824007434">
          <w:marLeft w:val="0"/>
          <w:marRight w:val="0"/>
          <w:marTop w:val="0"/>
          <w:marBottom w:val="0"/>
          <w:divBdr>
            <w:top w:val="none" w:sz="0" w:space="0" w:color="auto"/>
            <w:left w:val="none" w:sz="0" w:space="0" w:color="auto"/>
            <w:bottom w:val="none" w:sz="0" w:space="0" w:color="auto"/>
            <w:right w:val="none" w:sz="0" w:space="0" w:color="auto"/>
          </w:divBdr>
        </w:div>
        <w:div w:id="2007895653">
          <w:marLeft w:val="0"/>
          <w:marRight w:val="0"/>
          <w:marTop w:val="0"/>
          <w:marBottom w:val="0"/>
          <w:divBdr>
            <w:top w:val="none" w:sz="0" w:space="0" w:color="auto"/>
            <w:left w:val="none" w:sz="0" w:space="0" w:color="auto"/>
            <w:bottom w:val="none" w:sz="0" w:space="0" w:color="auto"/>
            <w:right w:val="none" w:sz="0" w:space="0" w:color="auto"/>
          </w:divBdr>
        </w:div>
      </w:divsChild>
    </w:div>
    <w:div w:id="2001620395">
      <w:bodyDiv w:val="1"/>
      <w:marLeft w:val="0"/>
      <w:marRight w:val="0"/>
      <w:marTop w:val="0"/>
      <w:marBottom w:val="0"/>
      <w:divBdr>
        <w:top w:val="none" w:sz="0" w:space="0" w:color="auto"/>
        <w:left w:val="none" w:sz="0" w:space="0" w:color="auto"/>
        <w:bottom w:val="none" w:sz="0" w:space="0" w:color="auto"/>
        <w:right w:val="none" w:sz="0" w:space="0" w:color="auto"/>
      </w:divBdr>
    </w:div>
    <w:div w:id="200724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6B587-DF1F-4E78-B3CA-6CB522B9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6245</Words>
  <Characters>35603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41765</CharactersWithSpaces>
  <SharedDoc>false</SharedDoc>
  <HLinks>
    <vt:vector size="12" baseType="variant">
      <vt:variant>
        <vt:i4>4718612</vt:i4>
      </vt:variant>
      <vt:variant>
        <vt:i4>3</vt:i4>
      </vt:variant>
      <vt:variant>
        <vt:i4>0</vt:i4>
      </vt:variant>
      <vt:variant>
        <vt:i4>5</vt:i4>
      </vt:variant>
      <vt:variant>
        <vt:lpwstr/>
      </vt:variant>
      <vt:variant>
        <vt:lpwstr>ref-2</vt:lpwstr>
      </vt:variant>
      <vt:variant>
        <vt:i4>8257568</vt:i4>
      </vt:variant>
      <vt:variant>
        <vt:i4>0</vt:i4>
      </vt:variant>
      <vt:variant>
        <vt:i4>0</vt:i4>
      </vt:variant>
      <vt:variant>
        <vt:i4>5</vt:i4>
      </vt:variant>
      <vt:variant>
        <vt:lpwstr/>
      </vt:variant>
      <vt:variant>
        <vt:lpwstr>ref-46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Schmidt, Peter (NIH/NIMH) [E]</dc:creator>
  <cp:lastModifiedBy>Schmidt, Peter (NIH/NIMH) [E]</cp:lastModifiedBy>
  <cp:revision>2</cp:revision>
  <cp:lastPrinted>2016-01-19T15:19:00Z</cp:lastPrinted>
  <dcterms:created xsi:type="dcterms:W3CDTF">2016-12-02T20:50:00Z</dcterms:created>
  <dcterms:modified xsi:type="dcterms:W3CDTF">2016-12-02T20:50:00Z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