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CF3" w:rsidRPr="002D58B4" w:rsidRDefault="0018776F" w:rsidP="00DB4CF3">
      <w:pPr>
        <w:spacing w:beforeLines="50" w:before="120" w:afterLines="50" w:after="120"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Supplementary</w:t>
      </w:r>
      <w:r w:rsidR="00DB4CF3">
        <w:rPr>
          <w:rFonts w:ascii="Arial" w:hAnsi="Arial" w:cs="Arial"/>
          <w:b/>
          <w:sz w:val="24"/>
          <w:szCs w:val="24"/>
        </w:rPr>
        <w:t xml:space="preserve"> Figure Legend</w:t>
      </w:r>
    </w:p>
    <w:p w:rsidR="00DB4CF3" w:rsidRPr="002D58B4" w:rsidRDefault="0018776F" w:rsidP="00DB4CF3">
      <w:pPr>
        <w:spacing w:beforeLines="50" w:before="120" w:afterLines="50" w:after="120"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Supplementary Figure 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1. 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Quantitative RT-PCR analyses of SALL4A and SALL4B expression in control and SALL4 knockdown gastric cancer cells. *</w:t>
      </w:r>
      <w:r w:rsidR="00DB4CF3" w:rsidRPr="002D58B4">
        <w:rPr>
          <w:rFonts w:ascii="Arial" w:hAnsi="Arial" w:cs="Arial"/>
          <w:bCs/>
          <w:i/>
          <w:color w:val="000000" w:themeColor="text1"/>
          <w:sz w:val="24"/>
          <w:szCs w:val="24"/>
        </w:rPr>
        <w:t>P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&lt;0.05, **</w:t>
      </w:r>
      <w:r w:rsidR="00DB4CF3" w:rsidRPr="002D58B4">
        <w:rPr>
          <w:rFonts w:ascii="Arial" w:hAnsi="Arial" w:cs="Arial"/>
          <w:bCs/>
          <w:i/>
          <w:color w:val="000000" w:themeColor="text1"/>
          <w:sz w:val="24"/>
          <w:szCs w:val="24"/>
        </w:rPr>
        <w:t>P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&lt;0.01, compared to sh-Ctrl group.</w:t>
      </w:r>
    </w:p>
    <w:p w:rsidR="00DB4CF3" w:rsidRPr="002D58B4" w:rsidRDefault="0018776F" w:rsidP="00DB4CF3">
      <w:pPr>
        <w:spacing w:beforeLines="50" w:before="120" w:afterLines="50" w:after="12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Supplementary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Figure</w:t>
      </w:r>
      <w:r w:rsidRPr="002D58B4">
        <w:rPr>
          <w:rFonts w:ascii="Arial" w:hAnsi="Arial" w:cs="Arial"/>
          <w:b/>
          <w:sz w:val="24"/>
          <w:szCs w:val="24"/>
        </w:rPr>
        <w:t xml:space="preserve"> 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2. </w:t>
      </w:r>
      <w:r w:rsidR="00DB4CF3" w:rsidRPr="002D58B4">
        <w:rPr>
          <w:rFonts w:ascii="Arial" w:hAnsi="Arial" w:cs="Arial"/>
          <w:sz w:val="24"/>
          <w:szCs w:val="24"/>
        </w:rPr>
        <w:t xml:space="preserve">MTT assay for the sensitivity of 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control and SALL4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 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knockdown gastric cancer cells to cisplatin treatment. **</w:t>
      </w:r>
      <w:r w:rsidR="00DB4CF3" w:rsidRPr="002D58B4">
        <w:rPr>
          <w:rFonts w:ascii="Arial" w:hAnsi="Arial" w:cs="Arial"/>
          <w:bCs/>
          <w:i/>
          <w:color w:val="000000" w:themeColor="text1"/>
          <w:sz w:val="24"/>
          <w:szCs w:val="24"/>
        </w:rPr>
        <w:t>P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&lt;0.01, compared to sh-Ctrl group.</w:t>
      </w:r>
    </w:p>
    <w:p w:rsidR="00DB4CF3" w:rsidRPr="002D58B4" w:rsidRDefault="0018776F" w:rsidP="00DB4CF3">
      <w:pPr>
        <w:spacing w:beforeLines="50" w:before="120" w:afterLines="50" w:after="120"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Supplementary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Figure</w:t>
      </w:r>
      <w:r w:rsidRPr="002D58B4">
        <w:rPr>
          <w:rFonts w:ascii="Arial" w:hAnsi="Arial" w:cs="Arial"/>
          <w:b/>
          <w:sz w:val="24"/>
          <w:szCs w:val="24"/>
        </w:rPr>
        <w:t xml:space="preserve"> </w:t>
      </w:r>
      <w:r w:rsidR="00DB4CF3" w:rsidRPr="002D58B4">
        <w:rPr>
          <w:rFonts w:ascii="Arial" w:hAnsi="Arial" w:cs="Arial"/>
          <w:b/>
          <w:sz w:val="24"/>
          <w:szCs w:val="24"/>
        </w:rPr>
        <w:t>3.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 xml:space="preserve"> Quantitative RT-PCR analyses of Oct4, Sox2, Nanog, c-Myc, and CD44 expression in uninduced and Tet-induced SALL4 knockdown gastric cancer cells. *</w:t>
      </w:r>
      <w:r w:rsidR="00DB4CF3" w:rsidRPr="002D58B4">
        <w:rPr>
          <w:rFonts w:ascii="Arial" w:hAnsi="Arial" w:cs="Arial"/>
          <w:bCs/>
          <w:i/>
          <w:color w:val="000000" w:themeColor="text1"/>
          <w:sz w:val="24"/>
          <w:szCs w:val="24"/>
        </w:rPr>
        <w:t>P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&lt;0.05, **</w:t>
      </w:r>
      <w:r w:rsidR="00DB4CF3" w:rsidRPr="002D58B4">
        <w:rPr>
          <w:rFonts w:ascii="Arial" w:hAnsi="Arial" w:cs="Arial"/>
          <w:bCs/>
          <w:i/>
          <w:color w:val="000000" w:themeColor="text1"/>
          <w:sz w:val="24"/>
          <w:szCs w:val="24"/>
        </w:rPr>
        <w:t>P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&lt;0.01, compared to sh-Ctrl group.</w:t>
      </w:r>
    </w:p>
    <w:p w:rsidR="00DB4CF3" w:rsidRPr="002D58B4" w:rsidRDefault="0018776F" w:rsidP="00DB4CF3">
      <w:pPr>
        <w:spacing w:beforeLines="50" w:before="120" w:afterLines="50" w:after="120" w:line="48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Supplementary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Figure</w:t>
      </w:r>
      <w:r w:rsidRPr="002D58B4">
        <w:rPr>
          <w:rFonts w:ascii="Arial" w:hAnsi="Arial" w:cs="Arial"/>
          <w:b/>
          <w:sz w:val="24"/>
          <w:szCs w:val="24"/>
        </w:rPr>
        <w:t xml:space="preserve"> </w:t>
      </w:r>
      <w:r w:rsidR="00DB4CF3" w:rsidRPr="002D58B4">
        <w:rPr>
          <w:rFonts w:ascii="Arial" w:hAnsi="Arial" w:cs="Arial"/>
          <w:b/>
          <w:sz w:val="24"/>
          <w:szCs w:val="24"/>
        </w:rPr>
        <w:t>4.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 xml:space="preserve"> Quantitative RT-PCR analyses of E-cadherin expression in stable (</w:t>
      </w:r>
      <w:r w:rsidR="00C76760" w:rsidRPr="00C76760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 w:rsidR="00C76760">
        <w:rPr>
          <w:rFonts w:ascii="Arial" w:hAnsi="Arial" w:cs="Arial"/>
          <w:bCs/>
          <w:color w:val="000000" w:themeColor="text1"/>
          <w:sz w:val="24"/>
          <w:szCs w:val="24"/>
        </w:rPr>
        <w:t>) and inducible (</w:t>
      </w:r>
      <w:r w:rsidR="00C76760" w:rsidRPr="00C76760">
        <w:rPr>
          <w:rFonts w:ascii="Arial" w:hAnsi="Arial" w:cs="Arial"/>
          <w:b/>
          <w:bCs/>
          <w:color w:val="000000" w:themeColor="text1"/>
          <w:sz w:val="24"/>
          <w:szCs w:val="24"/>
        </w:rPr>
        <w:t>b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) SALL4 knockdown gastric cancer cells. *</w:t>
      </w:r>
      <w:r w:rsidR="00DB4CF3" w:rsidRPr="002D58B4">
        <w:rPr>
          <w:rFonts w:ascii="Arial" w:hAnsi="Arial" w:cs="Arial"/>
          <w:bCs/>
          <w:i/>
          <w:color w:val="000000" w:themeColor="text1"/>
          <w:sz w:val="24"/>
          <w:szCs w:val="24"/>
        </w:rPr>
        <w:t>P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&lt;0.05.</w:t>
      </w:r>
    </w:p>
    <w:p w:rsidR="00DB4CF3" w:rsidRPr="002D58B4" w:rsidRDefault="0018776F" w:rsidP="00DB4CF3">
      <w:pPr>
        <w:spacing w:beforeLines="50" w:before="120" w:afterLines="50" w:after="120"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Supplementary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Figure</w:t>
      </w:r>
      <w:r w:rsidRPr="002D58B4">
        <w:rPr>
          <w:rFonts w:ascii="Arial" w:hAnsi="Arial" w:cs="Arial"/>
          <w:b/>
          <w:sz w:val="24"/>
          <w:szCs w:val="24"/>
        </w:rPr>
        <w:t xml:space="preserve"> 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5. </w:t>
      </w:r>
      <w:r w:rsidR="00FD702D">
        <w:rPr>
          <w:rFonts w:ascii="Arial" w:hAnsi="Arial" w:cs="Arial"/>
          <w:sz w:val="24"/>
          <w:szCs w:val="24"/>
        </w:rPr>
        <w:t>(</w:t>
      </w:r>
      <w:r w:rsidR="00FD702D" w:rsidRPr="00FD702D">
        <w:rPr>
          <w:rFonts w:ascii="Arial" w:hAnsi="Arial" w:cs="Arial"/>
          <w:b/>
          <w:sz w:val="24"/>
          <w:szCs w:val="24"/>
        </w:rPr>
        <w:t>a</w:t>
      </w:r>
      <w:r w:rsidR="00FD702D">
        <w:rPr>
          <w:rFonts w:ascii="Arial" w:hAnsi="Arial" w:cs="Arial"/>
          <w:sz w:val="24"/>
          <w:szCs w:val="24"/>
        </w:rPr>
        <w:t>)</w:t>
      </w:r>
      <w:r w:rsidR="00DB4CF3" w:rsidRPr="002D58B4">
        <w:rPr>
          <w:rFonts w:ascii="Arial" w:hAnsi="Arial" w:cs="Arial"/>
          <w:sz w:val="24"/>
          <w:szCs w:val="24"/>
        </w:rPr>
        <w:t xml:space="preserve"> Western blot analyses of SALL4 and CD44 expression in MGC80-3 and HGC-27 cells. </w:t>
      </w:r>
      <w:r w:rsidR="00FD702D">
        <w:rPr>
          <w:rFonts w:ascii="Arial" w:hAnsi="Arial" w:cs="Arial"/>
          <w:sz w:val="24"/>
          <w:szCs w:val="24"/>
        </w:rPr>
        <w:t>(</w:t>
      </w:r>
      <w:bookmarkStart w:id="0" w:name="_GoBack"/>
      <w:r w:rsidR="00FD702D" w:rsidRPr="00FD702D">
        <w:rPr>
          <w:rFonts w:ascii="Arial" w:hAnsi="Arial" w:cs="Arial"/>
          <w:b/>
          <w:sz w:val="24"/>
          <w:szCs w:val="24"/>
        </w:rPr>
        <w:t>b</w:t>
      </w:r>
      <w:bookmarkEnd w:id="0"/>
      <w:r w:rsidR="00FD702D">
        <w:rPr>
          <w:rFonts w:ascii="Arial" w:hAnsi="Arial" w:cs="Arial"/>
          <w:sz w:val="24"/>
          <w:szCs w:val="24"/>
        </w:rPr>
        <w:t>)</w:t>
      </w:r>
      <w:r w:rsidR="00DB4CF3" w:rsidRPr="002D58B4">
        <w:rPr>
          <w:rFonts w:ascii="Arial" w:hAnsi="Arial" w:cs="Arial"/>
          <w:sz w:val="24"/>
          <w:szCs w:val="24"/>
        </w:rPr>
        <w:t xml:space="preserve"> 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Quantitative RT-PCR analyses of SALL4 and CD44 expression in 10 paired gastric cancer tissues and adjacent noncancerous tissues.</w:t>
      </w:r>
    </w:p>
    <w:p w:rsidR="00DB4CF3" w:rsidRPr="002D58B4" w:rsidRDefault="0018776F" w:rsidP="00DB4CF3">
      <w:pPr>
        <w:spacing w:beforeLines="50" w:before="120" w:afterLines="50" w:after="120" w:line="48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Supplementary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Figure</w:t>
      </w:r>
      <w:r w:rsidRPr="002D58B4">
        <w:rPr>
          <w:rFonts w:ascii="Arial" w:hAnsi="Arial" w:cs="Arial"/>
          <w:b/>
          <w:sz w:val="24"/>
          <w:szCs w:val="24"/>
        </w:rPr>
        <w:t xml:space="preserve"> 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6. 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Quantitative RT-PCR analyses of SALL4 expression in SALL4 knockdown cells with or without CD44 overexpression. *</w:t>
      </w:r>
      <w:r w:rsidR="00DB4CF3" w:rsidRPr="002D58B4">
        <w:rPr>
          <w:rFonts w:ascii="Arial" w:hAnsi="Arial" w:cs="Arial"/>
          <w:bCs/>
          <w:i/>
          <w:color w:val="000000" w:themeColor="text1"/>
          <w:sz w:val="24"/>
          <w:szCs w:val="24"/>
        </w:rPr>
        <w:t>P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>&lt;0.05, compared to sh-Ctrl+Vector group;</w:t>
      </w:r>
    </w:p>
    <w:p w:rsidR="00DB4CF3" w:rsidRPr="002D58B4" w:rsidRDefault="0018776F" w:rsidP="00DB4CF3">
      <w:pPr>
        <w:spacing w:beforeLines="50" w:before="120" w:afterLines="50" w:after="120" w:line="48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Supplementary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Figure</w:t>
      </w:r>
      <w:r w:rsidRPr="002D58B4">
        <w:rPr>
          <w:rFonts w:ascii="Arial" w:hAnsi="Arial" w:cs="Arial"/>
          <w:b/>
          <w:sz w:val="24"/>
          <w:szCs w:val="24"/>
        </w:rPr>
        <w:t xml:space="preserve"> 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7. </w:t>
      </w:r>
      <w:r w:rsidR="00DB4CF3" w:rsidRPr="002D58B4">
        <w:rPr>
          <w:rFonts w:ascii="Arial" w:hAnsi="Arial" w:cs="Arial"/>
          <w:sz w:val="24"/>
          <w:szCs w:val="24"/>
        </w:rPr>
        <w:t>Western blot analyses of E-cadherin and N-cadherin expression in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 xml:space="preserve"> SALL4 knockdown cells with or without CD44 overexpression.</w:t>
      </w:r>
    </w:p>
    <w:p w:rsidR="00DB4CF3" w:rsidRPr="002D58B4" w:rsidRDefault="0018776F" w:rsidP="00DB4CF3">
      <w:pPr>
        <w:spacing w:beforeLines="50" w:before="120" w:afterLines="50" w:after="120" w:line="48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Supplementary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Figure</w:t>
      </w:r>
      <w:r w:rsidRPr="002D58B4">
        <w:rPr>
          <w:rFonts w:ascii="Arial" w:hAnsi="Arial" w:cs="Arial"/>
          <w:b/>
          <w:sz w:val="24"/>
          <w:szCs w:val="24"/>
        </w:rPr>
        <w:t xml:space="preserve"> </w:t>
      </w:r>
      <w:r w:rsidR="00DB4CF3" w:rsidRPr="002D58B4">
        <w:rPr>
          <w:rFonts w:ascii="Arial" w:hAnsi="Arial" w:cs="Arial"/>
          <w:b/>
          <w:sz w:val="24"/>
          <w:szCs w:val="24"/>
        </w:rPr>
        <w:t xml:space="preserve">8. </w:t>
      </w:r>
      <w:r w:rsidR="00DB4CF3" w:rsidRPr="002D58B4">
        <w:rPr>
          <w:rFonts w:ascii="Arial" w:hAnsi="Arial" w:cs="Arial"/>
          <w:sz w:val="24"/>
          <w:szCs w:val="24"/>
        </w:rPr>
        <w:t>Western blot analyses of</w:t>
      </w:r>
      <w:r w:rsidR="00DB4CF3" w:rsidRPr="002D58B4">
        <w:rPr>
          <w:rFonts w:ascii="Arial" w:hAnsi="Arial" w:cs="Arial"/>
          <w:bCs/>
          <w:color w:val="000000" w:themeColor="text1"/>
          <w:sz w:val="24"/>
          <w:szCs w:val="24"/>
        </w:rPr>
        <w:t xml:space="preserve"> p-ERK, ERK, p-p65, p65, p-STAT3, and STAT3 expression in SALL4 knockdown cells with or without CD44 overexpression.</w:t>
      </w:r>
    </w:p>
    <w:p w:rsidR="00DB4CF3" w:rsidRPr="002D58B4" w:rsidRDefault="00DB4CF3" w:rsidP="00DB4CF3">
      <w:pPr>
        <w:spacing w:beforeLines="50" w:before="120" w:afterLines="50" w:after="12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762F0B" w:rsidRDefault="00762F0B"/>
    <w:sectPr w:rsidR="00762F0B" w:rsidSect="004358AB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BE2" w:rsidRDefault="00B67BE2">
      <w:pPr>
        <w:spacing w:after="0"/>
      </w:pPr>
      <w:r>
        <w:separator/>
      </w:r>
    </w:p>
  </w:endnote>
  <w:endnote w:type="continuationSeparator" w:id="0">
    <w:p w:rsidR="00B67BE2" w:rsidRDefault="00B67B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88439"/>
      <w:docPartObj>
        <w:docPartGallery w:val="Page Numbers (Bottom of Page)"/>
        <w:docPartUnique/>
      </w:docPartObj>
    </w:sdtPr>
    <w:sdtEndPr/>
    <w:sdtContent>
      <w:p w:rsidR="00927FA4" w:rsidRDefault="00DB4CF3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702D" w:rsidRPr="00FD702D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:rsidR="00927FA4" w:rsidRDefault="00B67BE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BE2" w:rsidRDefault="00B67BE2">
      <w:pPr>
        <w:spacing w:after="0"/>
      </w:pPr>
      <w:r>
        <w:separator/>
      </w:r>
    </w:p>
  </w:footnote>
  <w:footnote w:type="continuationSeparator" w:id="0">
    <w:p w:rsidR="00B67BE2" w:rsidRDefault="00B67BE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55"/>
    <w:rsid w:val="0018776F"/>
    <w:rsid w:val="00762F0B"/>
    <w:rsid w:val="008937A6"/>
    <w:rsid w:val="008E4655"/>
    <w:rsid w:val="00B67BE2"/>
    <w:rsid w:val="00C76760"/>
    <w:rsid w:val="00DB4CF3"/>
    <w:rsid w:val="00FD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248263"/>
  <w15:chartTrackingRefBased/>
  <w15:docId w15:val="{CDCC4A0C-4E97-40D6-B819-C9DE991F3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CF3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B4CF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DB4CF3"/>
    <w:rPr>
      <w:rFonts w:ascii="Tahoma" w:eastAsia="微软雅黑" w:hAnsi="Tahoma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776F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8776F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221</Words>
  <Characters>1264</Characters>
  <Application>Microsoft Office Word</Application>
  <DocSecurity>0</DocSecurity>
  <Lines>10</Lines>
  <Paragraphs>2</Paragraphs>
  <ScaleCrop>false</ScaleCrop>
  <Company>Microsoft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6</cp:revision>
  <dcterms:created xsi:type="dcterms:W3CDTF">2016-06-21T07:43:00Z</dcterms:created>
  <dcterms:modified xsi:type="dcterms:W3CDTF">2016-06-23T04:23:00Z</dcterms:modified>
</cp:coreProperties>
</file>