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795" w:rsidRPr="005B3F3B" w:rsidRDefault="00595795" w:rsidP="00595795">
      <w:pPr>
        <w:pStyle w:val="a5"/>
        <w:rPr>
          <w:b/>
        </w:rPr>
      </w:pPr>
      <w:bookmarkStart w:id="0" w:name="_GoBack"/>
      <w:bookmarkEnd w:id="0"/>
      <w:r w:rsidRPr="005B3F3B">
        <w:rPr>
          <w:rFonts w:hint="eastAsia"/>
          <w:b/>
        </w:rPr>
        <w:t>Suppleme</w:t>
      </w:r>
      <w:r w:rsidRPr="005B3F3B">
        <w:rPr>
          <w:b/>
        </w:rPr>
        <w:t xml:space="preserve">ntary Figure </w:t>
      </w:r>
      <w:r>
        <w:rPr>
          <w:b/>
        </w:rPr>
        <w:t>L</w:t>
      </w:r>
      <w:r w:rsidRPr="005B3F3B">
        <w:rPr>
          <w:b/>
        </w:rPr>
        <w:t>egends</w:t>
      </w:r>
    </w:p>
    <w:p w:rsidR="00595795" w:rsidRPr="005B3F3B" w:rsidRDefault="00595795" w:rsidP="00595795">
      <w:pPr>
        <w:spacing w:line="360" w:lineRule="auto"/>
        <w:rPr>
          <w:b/>
        </w:rPr>
      </w:pPr>
      <w:r w:rsidRPr="005B3F3B">
        <w:rPr>
          <w:rFonts w:hint="eastAsia"/>
          <w:b/>
        </w:rPr>
        <w:t>Suppleme</w:t>
      </w:r>
      <w:r w:rsidRPr="005B3F3B">
        <w:rPr>
          <w:b/>
        </w:rPr>
        <w:t xml:space="preserve">ntary Figure 1 XDH </w:t>
      </w:r>
      <w:r>
        <w:rPr>
          <w:b/>
        </w:rPr>
        <w:t xml:space="preserve">inhibition </w:t>
      </w:r>
      <w:r w:rsidRPr="005B3F3B">
        <w:rPr>
          <w:b/>
        </w:rPr>
        <w:t xml:space="preserve">induced cell migration and invasion in HepG2 cells. </w:t>
      </w:r>
      <w:r w:rsidRPr="005B3F3B">
        <w:t xml:space="preserve">(a) Proliferation assay </w:t>
      </w:r>
      <w:r>
        <w:t>of</w:t>
      </w:r>
      <w:r w:rsidRPr="005B3F3B">
        <w:t xml:space="preserve"> HepG2 cells transfect</w:t>
      </w:r>
      <w:r>
        <w:t>ed with</w:t>
      </w:r>
      <w:r w:rsidRPr="005B3F3B">
        <w:t xml:space="preserve"> shRNA</w:t>
      </w:r>
      <w:r>
        <w:t xml:space="preserve"> </w:t>
      </w:r>
      <w:r w:rsidRPr="00AC52D5">
        <w:rPr>
          <w:color w:val="FF0000"/>
        </w:rPr>
        <w:t>(shXDH).</w:t>
      </w:r>
      <w:r w:rsidRPr="00587B5B">
        <w:rPr>
          <w:color w:val="FF0000"/>
        </w:rPr>
        <w:t xml:space="preserve"> </w:t>
      </w:r>
      <w:r w:rsidRPr="005B3F3B">
        <w:t>(b) Analysis of XDH activity in HepG2 cells in the presence or absence of 50 μ</w:t>
      </w:r>
      <w:r>
        <w:t>M</w:t>
      </w:r>
      <w:r w:rsidRPr="005B3F3B">
        <w:t xml:space="preserve"> </w:t>
      </w:r>
      <w:r>
        <w:t>o</w:t>
      </w:r>
      <w:r w:rsidRPr="005B3F3B">
        <w:t xml:space="preserve">xypurinol. (c) Proliferation assay </w:t>
      </w:r>
      <w:r>
        <w:t>of</w:t>
      </w:r>
      <w:r w:rsidRPr="005B3F3B">
        <w:t xml:space="preserve"> HepG2 cells in the presence or absence of 50 μ</w:t>
      </w:r>
      <w:r>
        <w:t>M</w:t>
      </w:r>
      <w:r w:rsidRPr="005B3F3B">
        <w:t xml:space="preserve"> </w:t>
      </w:r>
      <w:r>
        <w:t>o</w:t>
      </w:r>
      <w:r w:rsidRPr="005B3F3B">
        <w:t>xypurinol. (d-e) Wound healing assay (d) or transwell assay (e) of cell migration or invasion in HepG2 cells in the presence of 50 μ</w:t>
      </w:r>
      <w:r>
        <w:t>M</w:t>
      </w:r>
      <w:r w:rsidRPr="005B3F3B">
        <w:t xml:space="preserve"> </w:t>
      </w:r>
      <w:r>
        <w:t>o</w:t>
      </w:r>
      <w:r w:rsidRPr="005B3F3B">
        <w:t>xypurinol</w:t>
      </w:r>
      <w:r w:rsidRPr="005B3F3B">
        <w:rPr>
          <w:rFonts w:hint="eastAsia"/>
        </w:rPr>
        <w:t>.</w:t>
      </w:r>
      <w:r w:rsidRPr="005B3F3B">
        <w:t xml:space="preserve"> (f-g) mRNA profiling (f) and western blot analysis (g) of EMT marker gene expression level</w:t>
      </w:r>
      <w:r>
        <w:t>s</w:t>
      </w:r>
      <w:r w:rsidRPr="005B3F3B">
        <w:t xml:space="preserve"> in HepG2 cells in the presence of 50 μ</w:t>
      </w:r>
      <w:r>
        <w:t>M</w:t>
      </w:r>
      <w:r w:rsidRPr="005B3F3B">
        <w:t xml:space="preserve"> </w:t>
      </w:r>
      <w:r>
        <w:t>o</w:t>
      </w:r>
      <w:r w:rsidRPr="005B3F3B">
        <w:t>xypurinol</w:t>
      </w:r>
      <w:r w:rsidRPr="005B3F3B">
        <w:rPr>
          <w:rFonts w:hint="eastAsia"/>
        </w:rPr>
        <w:t xml:space="preserve">. </w:t>
      </w:r>
      <w:r w:rsidRPr="005B3F3B">
        <w:t>XDH, xanthine dehydrogenase; EMT, epithelial-mesenchymal transition; mRNA, messenger RNA</w:t>
      </w:r>
      <w:r>
        <w:t xml:space="preserve">; </w:t>
      </w:r>
      <w:r>
        <w:rPr>
          <w:color w:val="FF0000"/>
        </w:rPr>
        <w:t xml:space="preserve">shRNA, </w:t>
      </w:r>
      <w:r w:rsidRPr="009C6263">
        <w:rPr>
          <w:color w:val="FF0000"/>
        </w:rPr>
        <w:t>small hairpin RNA</w:t>
      </w:r>
      <w:r>
        <w:rPr>
          <w:color w:val="FF0000"/>
        </w:rPr>
        <w:t>;</w:t>
      </w:r>
      <w:r w:rsidRPr="00655CC1">
        <w:rPr>
          <w:color w:val="FF0000"/>
        </w:rPr>
        <w:t xml:space="preserve"> </w:t>
      </w:r>
      <w:r>
        <w:rPr>
          <w:color w:val="FF0000"/>
        </w:rPr>
        <w:t>rel., relative.</w:t>
      </w:r>
      <w:r w:rsidRPr="005B3F3B">
        <w:t xml:space="preserve"> Unpaired </w:t>
      </w:r>
      <w:r w:rsidRPr="005B3F3B">
        <w:rPr>
          <w:i/>
        </w:rPr>
        <w:t>t</w:t>
      </w:r>
      <w:r w:rsidRPr="005B3F3B">
        <w:t>-test</w:t>
      </w:r>
      <w:r>
        <w:t>s</w:t>
      </w:r>
      <w:r w:rsidRPr="005B3F3B">
        <w:t xml:space="preserve"> </w:t>
      </w:r>
      <w:r>
        <w:t>were</w:t>
      </w:r>
      <w:r w:rsidRPr="005B3F3B">
        <w:t xml:space="preserve"> performed to assess statistical significance. All data are expressed as the mean ± </w:t>
      </w:r>
      <w:r>
        <w:t>s.e.m.</w:t>
      </w:r>
      <w:r w:rsidRPr="005B3F3B">
        <w:t xml:space="preserve"> </w:t>
      </w:r>
      <w:r>
        <w:t>of</w:t>
      </w:r>
      <w:r w:rsidRPr="005B3F3B">
        <w:t xml:space="preserve"> three experiments. ns, not significant, *p&lt;0.05, </w:t>
      </w:r>
      <w:r w:rsidRPr="005B3F3B">
        <w:rPr>
          <w:rFonts w:cs="Arial"/>
        </w:rPr>
        <w:t>**p&lt;0.01.</w:t>
      </w:r>
    </w:p>
    <w:p w:rsidR="00595795" w:rsidRPr="00B45797" w:rsidRDefault="00595795" w:rsidP="00595795">
      <w:pPr>
        <w:spacing w:line="360" w:lineRule="auto"/>
        <w:rPr>
          <w:b/>
        </w:rPr>
      </w:pPr>
      <w:r w:rsidRPr="005B3F3B">
        <w:rPr>
          <w:rFonts w:hint="eastAsia"/>
          <w:b/>
        </w:rPr>
        <w:t>Suppleme</w:t>
      </w:r>
      <w:r w:rsidRPr="005B3F3B">
        <w:rPr>
          <w:b/>
        </w:rPr>
        <w:t xml:space="preserve">ntary Figure 2 XDH </w:t>
      </w:r>
      <w:r>
        <w:rPr>
          <w:b/>
        </w:rPr>
        <w:t xml:space="preserve">inhibition </w:t>
      </w:r>
      <w:r w:rsidRPr="005B3F3B">
        <w:rPr>
          <w:b/>
        </w:rPr>
        <w:t xml:space="preserve">promotes cell migration and invasion in Huh7 cells. </w:t>
      </w:r>
      <w:r w:rsidRPr="005B3F3B">
        <w:t xml:space="preserve">(a) Proliferation assay </w:t>
      </w:r>
      <w:r>
        <w:t>of</w:t>
      </w:r>
      <w:r w:rsidRPr="005B3F3B">
        <w:t xml:space="preserve"> Huh7 cells in the presence of 50 μ</w:t>
      </w:r>
      <w:r>
        <w:t>M</w:t>
      </w:r>
      <w:r w:rsidRPr="005B3F3B">
        <w:t xml:space="preserve"> </w:t>
      </w:r>
      <w:r>
        <w:t>o</w:t>
      </w:r>
      <w:r w:rsidRPr="005B3F3B">
        <w:t>xypurinol. (b-c) Wound healing assay (b) or transwell assay (c) of cell migration or invasion in Huh7 cells in the presence of 50 μ</w:t>
      </w:r>
      <w:r>
        <w:t>M</w:t>
      </w:r>
      <w:r w:rsidRPr="005B3F3B">
        <w:t xml:space="preserve"> </w:t>
      </w:r>
      <w:r>
        <w:t>o</w:t>
      </w:r>
      <w:r w:rsidRPr="005B3F3B">
        <w:t>xypurinol</w:t>
      </w:r>
      <w:r w:rsidRPr="005B3F3B">
        <w:rPr>
          <w:rFonts w:hint="eastAsia"/>
        </w:rPr>
        <w:t xml:space="preserve">. </w:t>
      </w:r>
      <w:r w:rsidRPr="005B3F3B">
        <w:t>(d-e) mRNA profiling (d) and western blot analysis (e) of EMT marker gene expression levels in Huh7 cells treated with 50 μ</w:t>
      </w:r>
      <w:r>
        <w:t>M</w:t>
      </w:r>
      <w:r w:rsidRPr="005B3F3B">
        <w:t xml:space="preserve"> </w:t>
      </w:r>
      <w:r>
        <w:t>o</w:t>
      </w:r>
      <w:r w:rsidRPr="005B3F3B">
        <w:t>xypurinol</w:t>
      </w:r>
      <w:r w:rsidRPr="005B3F3B">
        <w:rPr>
          <w:rFonts w:hint="eastAsia"/>
        </w:rPr>
        <w:t xml:space="preserve">. </w:t>
      </w:r>
      <w:r w:rsidRPr="005B3F3B">
        <w:t>XDH, xanthine dehydrogenase; EMT, epithelial-mesenchymal transition; mRNA, messenger RNA</w:t>
      </w:r>
      <w:r>
        <w:t>;</w:t>
      </w:r>
      <w:r w:rsidRPr="006C7138">
        <w:rPr>
          <w:color w:val="000000" w:themeColor="text1"/>
        </w:rPr>
        <w:t xml:space="preserve"> rel., relative.</w:t>
      </w:r>
      <w:r w:rsidRPr="005B3F3B">
        <w:t xml:space="preserve"> Unpaired </w:t>
      </w:r>
      <w:r w:rsidRPr="005B3F3B">
        <w:rPr>
          <w:i/>
        </w:rPr>
        <w:t>t</w:t>
      </w:r>
      <w:r w:rsidRPr="005B3F3B">
        <w:t>-test</w:t>
      </w:r>
      <w:r>
        <w:t>s</w:t>
      </w:r>
      <w:r w:rsidRPr="005B3F3B">
        <w:t xml:space="preserve"> </w:t>
      </w:r>
      <w:r>
        <w:t>were</w:t>
      </w:r>
      <w:r w:rsidRPr="005B3F3B">
        <w:t xml:space="preserve"> performed to assess statistical significance. All data are expressed as the mean ± </w:t>
      </w:r>
      <w:r>
        <w:t>s.e.m.</w:t>
      </w:r>
      <w:r w:rsidRPr="005B3F3B">
        <w:t xml:space="preserve"> </w:t>
      </w:r>
      <w:r>
        <w:t>of</w:t>
      </w:r>
      <w:r w:rsidRPr="005B3F3B">
        <w:t xml:space="preserve"> three experiments. ns, not significant, *p&lt;0.05, </w:t>
      </w:r>
      <w:r w:rsidRPr="005B3F3B">
        <w:rPr>
          <w:rFonts w:cs="Arial"/>
        </w:rPr>
        <w:t>**p&lt;0.01.</w:t>
      </w:r>
    </w:p>
    <w:p w:rsidR="00595795" w:rsidRPr="00587B5B" w:rsidRDefault="00595795" w:rsidP="00595795">
      <w:pPr>
        <w:spacing w:line="360" w:lineRule="auto"/>
        <w:rPr>
          <w:b/>
        </w:rPr>
      </w:pPr>
      <w:r w:rsidRPr="005B3F3B">
        <w:rPr>
          <w:rFonts w:hint="eastAsia"/>
          <w:b/>
        </w:rPr>
        <w:t>Suppleme</w:t>
      </w:r>
      <w:r w:rsidRPr="005B3F3B">
        <w:rPr>
          <w:b/>
        </w:rPr>
        <w:t>ntary Figure 3 XDH expression do</w:t>
      </w:r>
      <w:r>
        <w:rPr>
          <w:b/>
        </w:rPr>
        <w:t>es</w:t>
      </w:r>
      <w:r w:rsidRPr="005B3F3B">
        <w:rPr>
          <w:b/>
        </w:rPr>
        <w:t xml:space="preserve"> not affect proliferation in MHCC97H cells</w:t>
      </w:r>
      <w:r w:rsidRPr="005B3F3B">
        <w:rPr>
          <w:b/>
          <w:i/>
        </w:rPr>
        <w:t xml:space="preserve"> in vitro</w:t>
      </w:r>
      <w:r w:rsidRPr="005B3F3B">
        <w:rPr>
          <w:b/>
        </w:rPr>
        <w:t xml:space="preserve"> </w:t>
      </w:r>
      <w:r>
        <w:rPr>
          <w:b/>
        </w:rPr>
        <w:t>or</w:t>
      </w:r>
      <w:r w:rsidRPr="005B3F3B">
        <w:rPr>
          <w:b/>
        </w:rPr>
        <w:t xml:space="preserve"> </w:t>
      </w:r>
      <w:r w:rsidRPr="005B3F3B">
        <w:rPr>
          <w:b/>
          <w:i/>
        </w:rPr>
        <w:t>in vivo</w:t>
      </w:r>
      <w:r w:rsidRPr="005B3F3B">
        <w:rPr>
          <w:b/>
        </w:rPr>
        <w:t xml:space="preserve">. </w:t>
      </w:r>
      <w:r w:rsidRPr="005B3F3B">
        <w:t xml:space="preserve">(a) Proliferation assay in MHCC97H cells with XDH overexpression or </w:t>
      </w:r>
      <w:r>
        <w:t xml:space="preserve">cells transfected with </w:t>
      </w:r>
      <w:r w:rsidRPr="005B3F3B">
        <w:t>control vectors. (b) Tumor volume</w:t>
      </w:r>
      <w:r>
        <w:t>s</w:t>
      </w:r>
      <w:r w:rsidRPr="005B3F3B">
        <w:t xml:space="preserve"> in nude mice subcutaneous</w:t>
      </w:r>
      <w:r>
        <w:t>ly</w:t>
      </w:r>
      <w:r w:rsidRPr="005B3F3B">
        <w:t xml:space="preserve"> inject</w:t>
      </w:r>
      <w:r>
        <w:t>ed</w:t>
      </w:r>
      <w:r w:rsidRPr="005B3F3B">
        <w:t xml:space="preserve"> </w:t>
      </w:r>
      <w:r>
        <w:t>with</w:t>
      </w:r>
      <w:r w:rsidRPr="005B3F3B">
        <w:t xml:space="preserve"> MHCC97H cells </w:t>
      </w:r>
      <w:r>
        <w:t>on</w:t>
      </w:r>
      <w:r w:rsidRPr="005B3F3B">
        <w:t xml:space="preserve"> day </w:t>
      </w:r>
      <w:r>
        <w:t>21</w:t>
      </w:r>
      <w:r w:rsidRPr="005B3F3B">
        <w:t xml:space="preserve">. n=8 for each group. Unpaired </w:t>
      </w:r>
      <w:r w:rsidRPr="005B3F3B">
        <w:rPr>
          <w:i/>
        </w:rPr>
        <w:t>t</w:t>
      </w:r>
      <w:r w:rsidRPr="005B3F3B">
        <w:t>-test</w:t>
      </w:r>
      <w:r>
        <w:t>s</w:t>
      </w:r>
      <w:r w:rsidRPr="005B3F3B">
        <w:t xml:space="preserve"> </w:t>
      </w:r>
      <w:r>
        <w:t>were</w:t>
      </w:r>
      <w:r w:rsidRPr="005B3F3B">
        <w:t xml:space="preserve"> performed to assess statistical significance. </w:t>
      </w:r>
      <w:r>
        <w:t xml:space="preserve">XDH, xanthine dehydrogenase. </w:t>
      </w:r>
      <w:r w:rsidRPr="005B3F3B">
        <w:t>ns, not significant.</w:t>
      </w:r>
    </w:p>
    <w:p w:rsidR="00F824E8" w:rsidRPr="00595795" w:rsidRDefault="00F824E8"/>
    <w:sectPr w:rsidR="00F824E8" w:rsidRPr="00595795" w:rsidSect="00B45797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4CB" w:rsidRDefault="00AA74CB" w:rsidP="00595795">
      <w:r>
        <w:separator/>
      </w:r>
    </w:p>
  </w:endnote>
  <w:endnote w:type="continuationSeparator" w:id="0">
    <w:p w:rsidR="00AA74CB" w:rsidRDefault="00AA74CB" w:rsidP="0059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4CB" w:rsidRDefault="00AA74CB" w:rsidP="00595795">
      <w:r>
        <w:separator/>
      </w:r>
    </w:p>
  </w:footnote>
  <w:footnote w:type="continuationSeparator" w:id="0">
    <w:p w:rsidR="00AA74CB" w:rsidRDefault="00AA74CB" w:rsidP="00595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27"/>
    <w:rsid w:val="0036074A"/>
    <w:rsid w:val="00595795"/>
    <w:rsid w:val="005E3EF1"/>
    <w:rsid w:val="005F0D41"/>
    <w:rsid w:val="00AA74CB"/>
    <w:rsid w:val="00E229A4"/>
    <w:rsid w:val="00F46027"/>
    <w:rsid w:val="00F8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FEC5C7-BA17-4916-B0BE-FA4D7BF9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楷体" w:hAnsi="Arial" w:cstheme="minorBidi"/>
        <w:kern w:val="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95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5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5795"/>
    <w:rPr>
      <w:sz w:val="18"/>
      <w:szCs w:val="18"/>
      <w:lang w:val="en-GB"/>
    </w:rPr>
  </w:style>
  <w:style w:type="paragraph" w:styleId="a4">
    <w:name w:val="footer"/>
    <w:basedOn w:val="a"/>
    <w:link w:val="Char0"/>
    <w:uiPriority w:val="99"/>
    <w:unhideWhenUsed/>
    <w:rsid w:val="00595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5795"/>
    <w:rPr>
      <w:sz w:val="18"/>
      <w:szCs w:val="18"/>
      <w:lang w:val="en-GB"/>
    </w:rPr>
  </w:style>
  <w:style w:type="paragraph" w:styleId="a5">
    <w:name w:val="No Spacing"/>
    <w:uiPriority w:val="1"/>
    <w:qFormat/>
    <w:rsid w:val="00595795"/>
    <w:pPr>
      <w:widowControl w:val="0"/>
      <w:jc w:val="both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4</cp:revision>
  <dcterms:created xsi:type="dcterms:W3CDTF">2017-07-03T12:25:00Z</dcterms:created>
  <dcterms:modified xsi:type="dcterms:W3CDTF">2017-07-04T14:26:00Z</dcterms:modified>
</cp:coreProperties>
</file>