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11-28T00:00:00Z">
              <w:dateFormat w:val="M/d/yyyy"/>
              <w:lid w:val="en-US"/>
              <w:storeMappedDataAs w:val="dateTime"/>
              <w:calendar w:val="gregorian"/>
            </w:date>
          </w:sdtPr>
          <w:sdtContent>
            <w:tc>
              <w:tcPr>
                <w:tcW w:w="7920" w:type="dxa"/>
                <w:tcBorders>
                  <w:bottom w:val="single" w:sz="4" w:space="0" w:color="auto"/>
                </w:tcBorders>
              </w:tcPr>
              <w:p w14:paraId="72891EAB" w14:textId="39C0A2D9" w:rsidR="00B92965" w:rsidRDefault="00660923" w:rsidP="00B92965">
                <w:r>
                  <w:t>11/28/2025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cstheme="minorHAnsi"/>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3C18CE59" w:rsidR="00B92965" w:rsidRDefault="00903463" w:rsidP="00B92965">
                <w:r w:rsidRPr="00614A73">
                  <w:rPr>
                    <w:rFonts w:cstheme="minorHAnsi"/>
                  </w:rPr>
                  <w:t>Ali Mobasheri</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cstheme="minorHAnsi"/>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5AE1DDB4" w:rsidR="00B92965" w:rsidRPr="00660923" w:rsidRDefault="00660923" w:rsidP="00B92965">
                <w:pPr>
                  <w:rPr>
                    <w:rFonts w:cstheme="minorHAnsi"/>
                    <w:sz w:val="21"/>
                    <w:szCs w:val="21"/>
                  </w:rPr>
                </w:pPr>
                <w:r w:rsidRPr="00660923">
                  <w:rPr>
                    <w:rFonts w:cstheme="minorHAnsi"/>
                  </w:rPr>
                  <w:t>Next-Generation Therapies for Osteoarthritis: The Evolving Role of Cell-Based Treatments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ArialMT" w:hAnsi="ArialMT"/>
              <w:color w:val="000000"/>
              <w:sz w:val="18"/>
              <w:szCs w:val="18"/>
            </w:rPr>
            <w:id w:val="663978353"/>
            <w:lock w:val="sdtLocked"/>
            <w:placeholder>
              <w:docPart w:val="FCC4518BAACF453E9803C176CD47BE06"/>
            </w:placeholder>
            <w:showingPlcHdr/>
            <w:text/>
          </w:sdtPr>
          <w:sdtContent>
            <w:tc>
              <w:tcPr>
                <w:tcW w:w="7920" w:type="dxa"/>
                <w:tcBorders>
                  <w:top w:val="single" w:sz="4" w:space="0" w:color="auto"/>
                  <w:bottom w:val="single" w:sz="4" w:space="0" w:color="auto"/>
                </w:tcBorders>
              </w:tcPr>
              <w:p w14:paraId="5F668A07" w14:textId="682DDC33" w:rsidR="00B92965" w:rsidRDefault="00660923" w:rsidP="00B92965">
                <w:r w:rsidRPr="00DD2055">
                  <w:rPr>
                    <w:rStyle w:val="PlaceholderText"/>
                  </w:rPr>
                  <w:t>Click or tap here to enter text.</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C10040" w14:textId="77777777" w:rsidR="00BC152A" w:rsidRDefault="00BC152A"/>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1BC53746" w:rsidR="00F52A77" w:rsidRDefault="003177EA"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Pr="00A64724" w:rsidRDefault="00F52A77" w:rsidP="00F52A77">
            <w:pPr>
              <w:rPr>
                <w:rFonts w:ascii="Calibri" w:hAnsi="Calibri" w:cs="Calibri"/>
                <w:b/>
                <w:bCs/>
                <w:szCs w:val="22"/>
              </w:rPr>
            </w:pPr>
          </w:p>
          <w:tbl>
            <w:tblPr>
              <w:tblStyle w:val="testStype"/>
              <w:tblW w:w="0" w:type="auto"/>
              <w:tblLayout w:type="fixed"/>
              <w:tblLook w:val="04A0" w:firstRow="1" w:lastRow="0" w:firstColumn="1" w:lastColumn="0" w:noHBand="0" w:noVBand="1"/>
            </w:tblPr>
            <w:tblGrid>
              <w:gridCol w:w="4296"/>
              <w:gridCol w:w="4202"/>
            </w:tblGrid>
            <w:tr w:rsidR="00F52A77" w:rsidRPr="00A64724" w14:paraId="0C7648A2" w14:textId="77777777" w:rsidTr="00F020A6">
              <w:tc>
                <w:tcPr>
                  <w:tcW w:w="4296" w:type="dxa"/>
                </w:tcPr>
                <w:p w14:paraId="77E64BD2" w14:textId="77777777" w:rsidR="003177EA" w:rsidRDefault="003177EA" w:rsidP="003177EA">
                  <w:permStart w:id="909969162" w:edGrp="everyone"/>
                  <w:r>
                    <w:t>Academy of Finland (Research Council of Finland)</w:t>
                  </w:r>
                </w:p>
                <w:p w14:paraId="4D76ED4E" w14:textId="0A587A9A" w:rsidR="00F52A77" w:rsidRPr="00A64724" w:rsidRDefault="00F52A77" w:rsidP="00F52A77">
                  <w:pPr>
                    <w:rPr>
                      <w:rFonts w:ascii="Calibri" w:hAnsi="Calibri" w:cs="Calibri"/>
                      <w:b/>
                      <w:bCs/>
                      <w:szCs w:val="22"/>
                    </w:rPr>
                  </w:pPr>
                </w:p>
              </w:tc>
              <w:tc>
                <w:tcPr>
                  <w:tcW w:w="4202" w:type="dxa"/>
                </w:tcPr>
                <w:p w14:paraId="667AB4C8" w14:textId="2F823CC3" w:rsidR="00F52A77" w:rsidRPr="003177EA" w:rsidRDefault="003177EA" w:rsidP="00F52A77">
                  <w:pPr>
                    <w:rPr>
                      <w:rFonts w:ascii="Calibri" w:hAnsi="Calibri" w:cs="Calibri"/>
                      <w:szCs w:val="22"/>
                    </w:rPr>
                  </w:pPr>
                  <w:r w:rsidRPr="003177EA">
                    <w:rPr>
                      <w:rFonts w:ascii="Calibri" w:hAnsi="Calibri" w:cs="Calibri"/>
                      <w:szCs w:val="22"/>
                    </w:rPr>
                    <w:t xml:space="preserve">Research Council of Finland/Suomen Akatemia Profi 6, grant numbers 336449 and 351568, awarded to </w:t>
                  </w:r>
                  <w:r w:rsidRPr="003177EA">
                    <w:rPr>
                      <w:rFonts w:ascii="Calibri" w:hAnsi="Calibri" w:cs="Calibri"/>
                      <w:szCs w:val="22"/>
                    </w:rPr>
                    <w:t xml:space="preserve">Ali Mobasheri at </w:t>
                  </w:r>
                  <w:r w:rsidRPr="003177EA">
                    <w:rPr>
                      <w:rFonts w:ascii="Calibri" w:hAnsi="Calibri" w:cs="Calibri"/>
                      <w:szCs w:val="22"/>
                    </w:rPr>
                    <w:t>the University of Oulu</w:t>
                  </w:r>
                  <w:r w:rsidRPr="003177EA">
                    <w:rPr>
                      <w:rFonts w:ascii="Calibri" w:hAnsi="Calibri" w:cs="Calibri"/>
                      <w:szCs w:val="22"/>
                    </w:rPr>
                    <w:t>.</w:t>
                  </w: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38A7144D" w:rsidR="00F52A77" w:rsidRDefault="00660923"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106F83F7" w14:textId="77777777" w:rsidR="00F358B3" w:rsidRDefault="00F358B3" w:rsidP="00F358B3">
                  <w:permStart w:id="2112571583" w:edGrp="everyone"/>
                  <w:r>
                    <w:t>European Commission</w:t>
                  </w:r>
                </w:p>
                <w:p w14:paraId="21264DFC" w14:textId="77777777" w:rsidR="00F358B3" w:rsidRDefault="00F358B3" w:rsidP="00F358B3">
                  <w:r>
                    <w:t>Academy of Finland (Research Council of Finland)</w:t>
                  </w:r>
                </w:p>
                <w:p w14:paraId="2A6E5B64" w14:textId="77777777" w:rsidR="00F52A77" w:rsidRDefault="00F358B3" w:rsidP="00F358B3">
                  <w:r>
                    <w:t>Research Council of Lithuania (Lietuvos Mokslo Taryba)</w:t>
                  </w:r>
                </w:p>
                <w:p w14:paraId="4A426500" w14:textId="3EA51E8C" w:rsidR="00DE31BE" w:rsidRPr="00B406C2" w:rsidRDefault="00DE31BE" w:rsidP="00F358B3">
                  <w:r>
                    <w:t>COST Association</w:t>
                  </w:r>
                </w:p>
              </w:tc>
              <w:tc>
                <w:tcPr>
                  <w:tcW w:w="4050" w:type="dxa"/>
                </w:tcPr>
                <w:p w14:paraId="70299A1F" w14:textId="25E6559F" w:rsidR="00F52A77" w:rsidRPr="00B406C2" w:rsidRDefault="00F52A77" w:rsidP="00F358B3"/>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0"/>
                    <w14:checkedState w14:val="2612" w14:font="MS Gothic"/>
                    <w14:uncheckedState w14:val="2610" w14:font="MS Gothic"/>
                  </w14:checkbox>
                </w:sdtPr>
                <w:sdtContent>
                  <w:tc>
                    <w:tcPr>
                      <w:tcW w:w="426" w:type="dxa"/>
                    </w:tcPr>
                    <w:p w14:paraId="421A6496" w14:textId="4F8AAC51" w:rsidR="00F52A77" w:rsidRDefault="00660923"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5944BD4D" w:rsidR="00F52A77" w:rsidRDefault="00660923"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7C9B040E" w:rsidR="00F52A77" w:rsidRDefault="00660923" w:rsidP="00F52A77">
                  <w:permStart w:id="2079991142" w:edGrp="everyone"/>
                  <w:r w:rsidRPr="00660923">
                    <w:t>ACI, Active Health GmbH, Ampio Pharmaceuticals, Apos Health, Aptissen SA, argenx, Banyan Biotechnology, BioSplice Therapeutics, Bruder Consulting and Venture Group, California Institute for Regenerative Medicine (CIRM), Chiron Organ-on-Chip Systems, Chondrometrics GmbH, Chondropeptix, Contura, Enlivex, Genascence, Grünenthal, GSK, HALEON, Hypera Pharma, IBSA, ICM, Image Analysis Group (IAG), Kangstem, Kolon Life Science, Kolon TissueGene, Laboratoires Expanscience, Mars, Waltham, McKinsey and Company, Nestlé Health Science, Pacira Biosciences, Pleryon, Pluri, Relevium Medical, Rottapharm Biotechnology, Sanofi, Sanofi CHC / Opella, Sporlastic GmbH, Sunac Therapeutics, Synartro AB, SynOA Therapeutics, and Viatris.</w:t>
                  </w:r>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Payment or honoraria for lectures, presentations, speakers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15C79F6" w:rsidR="00F52A77" w:rsidRDefault="00660923"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5F4EF4DC" w:rsidR="00F52A77" w:rsidRDefault="00F358B3" w:rsidP="00F52A77">
                  <w:permStart w:id="881918890" w:edGrp="everyone"/>
                  <w:r w:rsidRPr="002C244F">
                    <w:rPr>
                      <w:rFonts w:asciiTheme="majorHAnsi" w:hAnsiTheme="majorHAnsi" w:cstheme="majorHAnsi"/>
                      <w:szCs w:val="22"/>
                    </w:rPr>
                    <w:t>Janssen, Viatris, Grünenthal, Novartis, Orion Corpo</w:t>
                  </w:r>
                  <w:r>
                    <w:rPr>
                      <w:rFonts w:asciiTheme="majorHAnsi" w:hAnsiTheme="majorHAnsi" w:cstheme="majorHAnsi"/>
                      <w:szCs w:val="22"/>
                    </w:rPr>
                    <w:t>ration</w:t>
                  </w:r>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0"/>
                    <w14:checkedState w14:val="2612" w14:font="MS Gothic"/>
                    <w14:uncheckedState w14:val="2610" w14:font="MS Gothic"/>
                  </w14:checkbox>
                </w:sdtPr>
                <w:sdtContent>
                  <w:tc>
                    <w:tcPr>
                      <w:tcW w:w="426" w:type="dxa"/>
                    </w:tcPr>
                    <w:p w14:paraId="10F9B400" w14:textId="4C0775DF" w:rsidR="00F52A77" w:rsidRDefault="00660923"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A01EED4" w:rsidR="00F52A77" w:rsidRDefault="00660923"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607F87E3" w:rsidR="00F52A77" w:rsidRDefault="00F358B3" w:rsidP="00F52A77">
                  <w:permStart w:id="1867387537" w:edGrp="everyone"/>
                  <w:r>
                    <w:rPr>
                      <w:rFonts w:asciiTheme="majorHAnsi" w:hAnsiTheme="majorHAnsi" w:cstheme="majorHAnsi"/>
                      <w:szCs w:val="22"/>
                    </w:rPr>
                    <w:t xml:space="preserve">Janssen Cilag (Brazil), Viatris, </w:t>
                  </w:r>
                  <w:r w:rsidR="00660923">
                    <w:rPr>
                      <w:rFonts w:asciiTheme="majorHAnsi" w:hAnsiTheme="majorHAnsi" w:cstheme="majorHAnsi"/>
                      <w:szCs w:val="22"/>
                    </w:rPr>
                    <w:t>Opella, Hypera</w:t>
                  </w:r>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0"/>
                    <w14:checkedState w14:val="2612" w14:font="MS Gothic"/>
                    <w14:uncheckedState w14:val="2610" w14:font="MS Gothic"/>
                  </w14:checkbox>
                </w:sdtPr>
                <w:sdtContent>
                  <w:tc>
                    <w:tcPr>
                      <w:tcW w:w="426" w:type="dxa"/>
                    </w:tcPr>
                    <w:p w14:paraId="761FBEE9" w14:textId="45419986" w:rsidR="00AC2BE6" w:rsidRDefault="00660923"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lastRenderedPageBreak/>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0"/>
                    <w14:checkedState w14:val="2612" w14:font="MS Gothic"/>
                    <w14:uncheckedState w14:val="2610" w14:font="MS Gothic"/>
                  </w14:checkbox>
                </w:sdtPr>
                <w:sdtContent>
                  <w:tc>
                    <w:tcPr>
                      <w:tcW w:w="426" w:type="dxa"/>
                    </w:tcPr>
                    <w:p w14:paraId="7E52E912" w14:textId="4C96F15F" w:rsidR="00F52A77" w:rsidRDefault="00660923"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5A15D74C" w:rsidR="00F52A77" w:rsidRDefault="00660923"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6499204C" w14:textId="77777777" w:rsidR="00F52A77" w:rsidRDefault="00F358B3" w:rsidP="00F52A77">
                  <w:pPr>
                    <w:rPr>
                      <w:rFonts w:asciiTheme="majorHAnsi" w:hAnsiTheme="majorHAnsi" w:cstheme="majorHAnsi"/>
                      <w:szCs w:val="22"/>
                    </w:rPr>
                  </w:pPr>
                  <w:permStart w:id="530011188" w:edGrp="everyone"/>
                  <w:r>
                    <w:rPr>
                      <w:rFonts w:asciiTheme="majorHAnsi" w:hAnsiTheme="majorHAnsi" w:cstheme="majorHAnsi"/>
                      <w:szCs w:val="22"/>
                    </w:rPr>
                    <w:t>Osteoarthritis Research Society International</w:t>
                  </w:r>
                </w:p>
                <w:p w14:paraId="16CF4D94" w14:textId="6178E4DD" w:rsidR="00A64724" w:rsidRDefault="00A64724" w:rsidP="00F52A77">
                  <w:r w:rsidRPr="00A64724">
                    <w:rPr>
                      <w:rFonts w:asciiTheme="majorHAnsi" w:hAnsiTheme="majorHAnsi" w:cstheme="majorHAnsi"/>
                      <w:szCs w:val="22"/>
                    </w:rPr>
                    <w:t>European Society for Clinical and Economic Aspects of Osteoporosis, Osteoarthritis and Musculoskeletal Diseases (ESCEO)</w:t>
                  </w:r>
                </w:p>
              </w:tc>
              <w:tc>
                <w:tcPr>
                  <w:tcW w:w="4228" w:type="dxa"/>
                </w:tcPr>
                <w:p w14:paraId="29DFDF57" w14:textId="0CE7C106" w:rsidR="00F52A77" w:rsidRDefault="00A64724" w:rsidP="00F52A77">
                  <w:r>
                    <w:rPr>
                      <w:rFonts w:asciiTheme="majorHAnsi" w:hAnsiTheme="majorHAnsi" w:cstheme="majorHAnsi"/>
                      <w:szCs w:val="22"/>
                    </w:rPr>
                    <w:t xml:space="preserve">I </w:t>
                  </w:r>
                  <w:r w:rsidR="00660923">
                    <w:rPr>
                      <w:rFonts w:asciiTheme="majorHAnsi" w:hAnsiTheme="majorHAnsi" w:cstheme="majorHAnsi"/>
                      <w:szCs w:val="22"/>
                    </w:rPr>
                    <w:t xml:space="preserve">have </w:t>
                  </w:r>
                  <w:r w:rsidRPr="00A64724">
                    <w:rPr>
                      <w:rFonts w:asciiTheme="majorHAnsi" w:hAnsiTheme="majorHAnsi" w:cstheme="majorHAnsi"/>
                      <w:szCs w:val="22"/>
                    </w:rPr>
                    <w:t xml:space="preserve">served </w:t>
                  </w:r>
                  <w:r w:rsidR="00660923">
                    <w:rPr>
                      <w:rFonts w:asciiTheme="majorHAnsi" w:hAnsiTheme="majorHAnsi" w:cstheme="majorHAnsi"/>
                      <w:szCs w:val="22"/>
                    </w:rPr>
                    <w:t xml:space="preserve">as </w:t>
                  </w:r>
                  <w:r w:rsidRPr="00A64724">
                    <w:rPr>
                      <w:rFonts w:asciiTheme="majorHAnsi" w:hAnsiTheme="majorHAnsi" w:cstheme="majorHAnsi"/>
                      <w:szCs w:val="22"/>
                    </w:rPr>
                    <w:t xml:space="preserve">President of the Osteoarthritis Research Society International (OARSI) (May 2019 - May 2022) and a member of the OARSI Board of Directors from 2013-2022. </w:t>
                  </w:r>
                  <w:r w:rsidR="00660923">
                    <w:rPr>
                      <w:rFonts w:asciiTheme="majorHAnsi" w:hAnsiTheme="majorHAnsi" w:cstheme="majorHAnsi"/>
                      <w:szCs w:val="22"/>
                    </w:rPr>
                    <w:t xml:space="preserve">I currently </w:t>
                  </w:r>
                  <w:r w:rsidRPr="00A64724">
                    <w:rPr>
                      <w:rFonts w:asciiTheme="majorHAnsi" w:hAnsiTheme="majorHAnsi" w:cstheme="majorHAnsi"/>
                      <w:szCs w:val="22"/>
                    </w:rPr>
                    <w:t>serve as an advisor for the World Health Organization Collaborating Center for Public Health Aspects of Musculoskeletal Health and Aging, Member-at-Large on the Steering Committee Osteoarthritis Action Alliance, and Member of the Scientific Advisory Board of the European Society for Clinical and Economic Aspects of Osteoporosis, Osteoarthritis and Musculoskeletal Diseases (ESCEO)</w:t>
                  </w:r>
                </w:p>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3BAB6B44" w:rsidR="00F52A77" w:rsidRDefault="00660923"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11256432" w:rsidR="00F52A77" w:rsidRDefault="00660923" w:rsidP="00F52A77">
                  <w:permStart w:id="608642110" w:edGrp="everyone"/>
                  <w:r>
                    <w:t>Sunac Therapeutics</w:t>
                  </w:r>
                </w:p>
              </w:tc>
              <w:tc>
                <w:tcPr>
                  <w:tcW w:w="4228" w:type="dxa"/>
                </w:tcPr>
                <w:p w14:paraId="51187347" w14:textId="29DDDFB2" w:rsidR="00F52A77" w:rsidRDefault="003177EA" w:rsidP="00F52A77">
                  <w:r>
                    <w:t>Shares</w:t>
                  </w:r>
                </w:p>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211E31A7" w:rsidR="00F52A77" w:rsidRDefault="00660923"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371797F6" w:rsidR="00F52A77" w:rsidRDefault="00F358B3" w:rsidP="00F52A77">
                  <w:permStart w:id="606798571" w:edGrp="everyone"/>
                  <w:r>
                    <w:t>Chiron</w:t>
                  </w:r>
                </w:p>
              </w:tc>
              <w:tc>
                <w:tcPr>
                  <w:tcW w:w="4228" w:type="dxa"/>
                </w:tcPr>
                <w:p w14:paraId="6E5E0D7A" w14:textId="40E4F9E9" w:rsidR="00F52A77" w:rsidRDefault="00DE31BE" w:rsidP="00F52A77">
                  <w:r>
                    <w:t>Organ-on-chip devices</w:t>
                  </w:r>
                </w:p>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0"/>
                    <w14:checkedState w14:val="2612" w14:font="MS Gothic"/>
                    <w14:uncheckedState w14:val="2610" w14:font="MS Gothic"/>
                  </w14:checkbox>
                </w:sdtPr>
                <w:sdtContent>
                  <w:tc>
                    <w:tcPr>
                      <w:tcW w:w="426" w:type="dxa"/>
                    </w:tcPr>
                    <w:p w14:paraId="3C26DA03" w14:textId="6EA5A12F" w:rsidR="00F52A77" w:rsidRDefault="00660923"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38705404" w:rsidR="00F52A77" w:rsidRDefault="00EB5610" w:rsidP="00F52A77">
                  <w:permStart w:id="206785197" w:edGrp="everyone"/>
                  <w:r>
                    <w:t>Ali Mobasheri currently consults for the following cell therapy companies: Kangstem, Pluri, Enlivex, Kolon TissueGene</w:t>
                  </w:r>
                </w:p>
              </w:tc>
              <w:tc>
                <w:tcPr>
                  <w:tcW w:w="4228" w:type="dxa"/>
                </w:tcPr>
                <w:p w14:paraId="60CC8BCE" w14:textId="2BC5A9DB"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3C23DD19" w:rsidR="00F52A77" w:rsidRDefault="00DE31BE"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0C48899C" w14:textId="75F0E9A5" w:rsidR="00566208" w:rsidRPr="00566208" w:rsidRDefault="00566208" w:rsidP="00566208">
      <w:pPr>
        <w:tabs>
          <w:tab w:val="left" w:pos="6854"/>
        </w:tabs>
      </w:pPr>
    </w:p>
    <w:sectPr w:rsidR="00566208" w:rsidRPr="00566208" w:rsidSect="00D13AE5">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D51CB" w14:textId="77777777" w:rsidR="001C21E6" w:rsidRDefault="001C21E6" w:rsidP="00E23042">
      <w:r>
        <w:separator/>
      </w:r>
    </w:p>
  </w:endnote>
  <w:endnote w:type="continuationSeparator" w:id="0">
    <w:p w14:paraId="4A5D9BDF" w14:textId="77777777" w:rsidR="001C21E6" w:rsidRDefault="001C21E6"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8E475" w14:textId="77777777" w:rsidR="001C21E6" w:rsidRDefault="001C21E6" w:rsidP="00E23042">
      <w:r>
        <w:separator/>
      </w:r>
    </w:p>
  </w:footnote>
  <w:footnote w:type="continuationSeparator" w:id="0">
    <w:p w14:paraId="50F785B8" w14:textId="77777777" w:rsidR="001C21E6" w:rsidRDefault="001C21E6"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062DB"/>
    <w:rsid w:val="00013104"/>
    <w:rsid w:val="00045C5A"/>
    <w:rsid w:val="00050A98"/>
    <w:rsid w:val="0006627A"/>
    <w:rsid w:val="00080E3A"/>
    <w:rsid w:val="000A7AAC"/>
    <w:rsid w:val="000D01CB"/>
    <w:rsid w:val="001A4D68"/>
    <w:rsid w:val="001A5632"/>
    <w:rsid w:val="001C21E6"/>
    <w:rsid w:val="001E7847"/>
    <w:rsid w:val="001F07C3"/>
    <w:rsid w:val="001F15E2"/>
    <w:rsid w:val="002268E3"/>
    <w:rsid w:val="00257C61"/>
    <w:rsid w:val="00275A41"/>
    <w:rsid w:val="0029222F"/>
    <w:rsid w:val="002A462A"/>
    <w:rsid w:val="002C2D8C"/>
    <w:rsid w:val="002E51B0"/>
    <w:rsid w:val="003177EA"/>
    <w:rsid w:val="003309F0"/>
    <w:rsid w:val="00341A75"/>
    <w:rsid w:val="00342223"/>
    <w:rsid w:val="003512AC"/>
    <w:rsid w:val="00432B4B"/>
    <w:rsid w:val="004F1DCB"/>
    <w:rsid w:val="004F79FD"/>
    <w:rsid w:val="005031F7"/>
    <w:rsid w:val="00507BC6"/>
    <w:rsid w:val="00530CFE"/>
    <w:rsid w:val="005350C0"/>
    <w:rsid w:val="00566208"/>
    <w:rsid w:val="00587022"/>
    <w:rsid w:val="00591484"/>
    <w:rsid w:val="005918F6"/>
    <w:rsid w:val="005A7BB7"/>
    <w:rsid w:val="00611AF9"/>
    <w:rsid w:val="00614A73"/>
    <w:rsid w:val="00621D7D"/>
    <w:rsid w:val="00660923"/>
    <w:rsid w:val="00662E1E"/>
    <w:rsid w:val="00690CF1"/>
    <w:rsid w:val="006915AC"/>
    <w:rsid w:val="0071164C"/>
    <w:rsid w:val="00717DDF"/>
    <w:rsid w:val="00764868"/>
    <w:rsid w:val="007B461B"/>
    <w:rsid w:val="007D512D"/>
    <w:rsid w:val="007F4BDD"/>
    <w:rsid w:val="008014E5"/>
    <w:rsid w:val="00826C60"/>
    <w:rsid w:val="00847884"/>
    <w:rsid w:val="008566B0"/>
    <w:rsid w:val="008A55FE"/>
    <w:rsid w:val="008B36A0"/>
    <w:rsid w:val="008C3CC6"/>
    <w:rsid w:val="008E3F6C"/>
    <w:rsid w:val="008F723B"/>
    <w:rsid w:val="00903463"/>
    <w:rsid w:val="00926C21"/>
    <w:rsid w:val="0093113A"/>
    <w:rsid w:val="00932C52"/>
    <w:rsid w:val="009423C1"/>
    <w:rsid w:val="00957D7C"/>
    <w:rsid w:val="00975F0E"/>
    <w:rsid w:val="009812E0"/>
    <w:rsid w:val="00994C81"/>
    <w:rsid w:val="009C7762"/>
    <w:rsid w:val="009E412B"/>
    <w:rsid w:val="00A245A5"/>
    <w:rsid w:val="00A36C4C"/>
    <w:rsid w:val="00A64724"/>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C152A"/>
    <w:rsid w:val="00BD49B2"/>
    <w:rsid w:val="00C9002F"/>
    <w:rsid w:val="00CA1C80"/>
    <w:rsid w:val="00CC11F2"/>
    <w:rsid w:val="00CC2537"/>
    <w:rsid w:val="00CF4511"/>
    <w:rsid w:val="00D01AAF"/>
    <w:rsid w:val="00D13AE5"/>
    <w:rsid w:val="00D14113"/>
    <w:rsid w:val="00D3556A"/>
    <w:rsid w:val="00D41E83"/>
    <w:rsid w:val="00D80992"/>
    <w:rsid w:val="00D85D9F"/>
    <w:rsid w:val="00D92738"/>
    <w:rsid w:val="00D92F6D"/>
    <w:rsid w:val="00DD6C01"/>
    <w:rsid w:val="00DE242F"/>
    <w:rsid w:val="00DE31BE"/>
    <w:rsid w:val="00E14972"/>
    <w:rsid w:val="00E23042"/>
    <w:rsid w:val="00E45CDF"/>
    <w:rsid w:val="00E5771E"/>
    <w:rsid w:val="00E81545"/>
    <w:rsid w:val="00E85EA7"/>
    <w:rsid w:val="00EA256F"/>
    <w:rsid w:val="00EA6B39"/>
    <w:rsid w:val="00EB5610"/>
    <w:rsid w:val="00EF61AD"/>
    <w:rsid w:val="00F020A6"/>
    <w:rsid w:val="00F05B76"/>
    <w:rsid w:val="00F17BB1"/>
    <w:rsid w:val="00F21D2D"/>
    <w:rsid w:val="00F358B3"/>
    <w:rsid w:val="00F52A77"/>
    <w:rsid w:val="00F57640"/>
    <w:rsid w:val="00F613F3"/>
    <w:rsid w:val="00FA7A0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E4EB4"/>
    <w:rsid w:val="001A5632"/>
    <w:rsid w:val="00257C61"/>
    <w:rsid w:val="002A462A"/>
    <w:rsid w:val="00351B24"/>
    <w:rsid w:val="003C3CF5"/>
    <w:rsid w:val="003D6A0A"/>
    <w:rsid w:val="00452BDF"/>
    <w:rsid w:val="00565DBA"/>
    <w:rsid w:val="005F292A"/>
    <w:rsid w:val="005F78D4"/>
    <w:rsid w:val="00617E1A"/>
    <w:rsid w:val="006351EB"/>
    <w:rsid w:val="006564E6"/>
    <w:rsid w:val="006713E6"/>
    <w:rsid w:val="00717DDF"/>
    <w:rsid w:val="007537EB"/>
    <w:rsid w:val="00975F0E"/>
    <w:rsid w:val="009C63DD"/>
    <w:rsid w:val="00C56B98"/>
    <w:rsid w:val="00F265AB"/>
    <w:rsid w:val="00F82354"/>
    <w:rsid w:val="00F94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Ali Mobasheri</cp:lastModifiedBy>
  <cp:revision>5</cp:revision>
  <cp:lastPrinted>2024-01-18T10:26:00Z</cp:lastPrinted>
  <dcterms:created xsi:type="dcterms:W3CDTF">2025-11-29T07:48:00Z</dcterms:created>
  <dcterms:modified xsi:type="dcterms:W3CDTF">2025-11-29T07:51:00Z</dcterms:modified>
</cp:coreProperties>
</file>