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C42D4" w14:textId="77777777" w:rsidR="008D230A" w:rsidRPr="003575A2" w:rsidRDefault="008D230A" w:rsidP="008D230A">
      <w:pPr>
        <w:bidi w:val="0"/>
        <w:spacing w:after="0" w:line="240" w:lineRule="auto"/>
        <w:rPr>
          <w:rFonts w:ascii="Times New Roman" w:hAnsi="Times New Roman" w:cs="Times New Roman"/>
          <w:b/>
          <w:bCs/>
          <w:sz w:val="24"/>
          <w:szCs w:val="24"/>
          <w:lang w:val="en-US"/>
        </w:rPr>
      </w:pPr>
      <w:r w:rsidRPr="003575A2">
        <w:rPr>
          <w:rFonts w:ascii="Times New Roman" w:hAnsi="Times New Roman" w:cs="Times New Roman"/>
          <w:b/>
          <w:bCs/>
          <w:sz w:val="24"/>
          <w:szCs w:val="24"/>
          <w:lang w:val="en-US"/>
        </w:rPr>
        <w:t xml:space="preserve">Table </w:t>
      </w:r>
      <w:r>
        <w:rPr>
          <w:rFonts w:ascii="Times New Roman" w:hAnsi="Times New Roman" w:cs="Times New Roman"/>
          <w:b/>
          <w:bCs/>
          <w:sz w:val="24"/>
          <w:szCs w:val="24"/>
          <w:lang w:val="en-US"/>
        </w:rPr>
        <w:t>S3</w:t>
      </w:r>
      <w:r w:rsidRPr="003575A2">
        <w:rPr>
          <w:rFonts w:ascii="Times New Roman" w:hAnsi="Times New Roman" w:cs="Times New Roman"/>
          <w:b/>
          <w:bCs/>
          <w:sz w:val="24"/>
          <w:szCs w:val="24"/>
          <w:lang w:val="en-US"/>
        </w:rPr>
        <w:t>: Association between maternal BMI and maternal and neonatal adverse outcomes in singleton pregnancies – multivariable analysis</w:t>
      </w:r>
    </w:p>
    <w:p w14:paraId="2CCC8A8B" w14:textId="77777777" w:rsidR="008D230A" w:rsidRPr="003575A2" w:rsidRDefault="008D230A" w:rsidP="008D230A">
      <w:pPr>
        <w:bidi w:val="0"/>
        <w:spacing w:after="0" w:line="240" w:lineRule="auto"/>
        <w:rPr>
          <w:rFonts w:ascii="Times New Roman" w:hAnsi="Times New Roman" w:cs="Times New Roman"/>
          <w:b/>
          <w:bCs/>
          <w:sz w:val="24"/>
          <w:szCs w:val="24"/>
          <w:lang w:val="en-US"/>
        </w:rPr>
      </w:pPr>
    </w:p>
    <w:tbl>
      <w:tblPr>
        <w:tblW w:w="14715" w:type="dxa"/>
        <w:tblLayout w:type="fixed"/>
        <w:tblLook w:val="04A0" w:firstRow="1" w:lastRow="0" w:firstColumn="1" w:lastColumn="0" w:noHBand="0" w:noVBand="1"/>
      </w:tblPr>
      <w:tblGrid>
        <w:gridCol w:w="3441"/>
        <w:gridCol w:w="2225"/>
        <w:gridCol w:w="2472"/>
        <w:gridCol w:w="2120"/>
        <w:gridCol w:w="2120"/>
        <w:gridCol w:w="2337"/>
      </w:tblGrid>
      <w:tr w:rsidR="008D230A" w:rsidRPr="003575A2" w14:paraId="23BC8704" w14:textId="77777777" w:rsidTr="00950459">
        <w:tc>
          <w:tcPr>
            <w:tcW w:w="3441" w:type="dxa"/>
            <w:tcBorders>
              <w:top w:val="single" w:sz="4" w:space="0" w:color="auto"/>
              <w:left w:val="single" w:sz="4" w:space="0" w:color="auto"/>
              <w:bottom w:val="single" w:sz="4" w:space="0" w:color="auto"/>
              <w:right w:val="single" w:sz="4" w:space="0" w:color="auto"/>
            </w:tcBorders>
          </w:tcPr>
          <w:p w14:paraId="3DEBD3EF" w14:textId="77777777" w:rsidR="008D230A" w:rsidRPr="003575A2" w:rsidRDefault="008D230A" w:rsidP="00950459">
            <w:pPr>
              <w:bidi w:val="0"/>
              <w:spacing w:after="0" w:line="240" w:lineRule="auto"/>
              <w:contextualSpacing/>
              <w:rPr>
                <w:rFonts w:ascii="Times New Roman" w:hAnsi="Times New Roman" w:cs="Times New Roman"/>
                <w:b/>
                <w:bCs/>
                <w:lang w:val="en-US"/>
              </w:rPr>
            </w:pPr>
            <w:r w:rsidRPr="003575A2">
              <w:rPr>
                <w:rFonts w:ascii="Times New Roman" w:hAnsi="Times New Roman" w:cs="Times New Roman"/>
                <w:b/>
                <w:bCs/>
                <w:lang w:val="en-US"/>
              </w:rPr>
              <w:t>Outcome</w:t>
            </w:r>
          </w:p>
        </w:tc>
        <w:tc>
          <w:tcPr>
            <w:tcW w:w="11274" w:type="dxa"/>
            <w:gridSpan w:val="5"/>
            <w:tcBorders>
              <w:top w:val="single" w:sz="4" w:space="0" w:color="auto"/>
              <w:left w:val="single" w:sz="4" w:space="0" w:color="auto"/>
              <w:bottom w:val="single" w:sz="4" w:space="0" w:color="auto"/>
              <w:right w:val="single" w:sz="4" w:space="0" w:color="auto"/>
            </w:tcBorders>
          </w:tcPr>
          <w:p w14:paraId="1B2E3EB5" w14:textId="77777777" w:rsidR="008D230A" w:rsidRPr="003575A2" w:rsidRDefault="008D230A" w:rsidP="00950459">
            <w:pPr>
              <w:shd w:val="clear" w:color="auto" w:fill="FFFFFF" w:themeFill="background1"/>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Association of BMI category with adverse outcome (using normal weight group as reference)</w:t>
            </w:r>
          </w:p>
          <w:p w14:paraId="58287926"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[adjusted relative risk (95%-confidence interval)]</w:t>
            </w:r>
          </w:p>
        </w:tc>
      </w:tr>
      <w:tr w:rsidR="008D230A" w:rsidRPr="003575A2" w14:paraId="7C909A79" w14:textId="77777777" w:rsidTr="00950459">
        <w:tc>
          <w:tcPr>
            <w:tcW w:w="3441" w:type="dxa"/>
            <w:tcBorders>
              <w:top w:val="single" w:sz="4" w:space="0" w:color="auto"/>
              <w:left w:val="single" w:sz="4" w:space="0" w:color="auto"/>
              <w:bottom w:val="single" w:sz="4" w:space="0" w:color="auto"/>
              <w:right w:val="single" w:sz="4" w:space="0" w:color="auto"/>
            </w:tcBorders>
          </w:tcPr>
          <w:p w14:paraId="129460A0"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p>
        </w:tc>
        <w:tc>
          <w:tcPr>
            <w:tcW w:w="2225" w:type="dxa"/>
            <w:tcBorders>
              <w:top w:val="single" w:sz="4" w:space="0" w:color="auto"/>
              <w:left w:val="single" w:sz="4" w:space="0" w:color="auto"/>
              <w:bottom w:val="single" w:sz="4" w:space="0" w:color="auto"/>
              <w:right w:val="single" w:sz="4" w:space="0" w:color="auto"/>
            </w:tcBorders>
            <w:shd w:val="clear" w:color="auto" w:fill="auto"/>
          </w:tcPr>
          <w:p w14:paraId="614B8821"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Underweight</w:t>
            </w:r>
            <w:r w:rsidRPr="003575A2">
              <w:rPr>
                <w:rFonts w:ascii="Times New Roman" w:hAnsi="Times New Roman" w:cs="Times New Roman"/>
                <w:b/>
                <w:bCs/>
                <w:lang w:val="en-US"/>
              </w:rPr>
              <w:br/>
              <w:t>(BMI &lt;18.5 kg/m2)</w:t>
            </w:r>
            <w:r w:rsidRPr="003575A2">
              <w:rPr>
                <w:rFonts w:ascii="Times New Roman" w:hAnsi="Times New Roman" w:cs="Times New Roman"/>
                <w:b/>
                <w:bCs/>
                <w:lang w:val="en-US"/>
              </w:rPr>
              <w:br/>
            </w:r>
            <w:r w:rsidRPr="003575A2">
              <w:rPr>
                <w:rFonts w:ascii="Times New Roman" w:hAnsi="Times New Roman" w:cs="Times New Roman"/>
                <w:b/>
                <w:bCs/>
                <w:lang w:val="en-US"/>
              </w:rPr>
              <w:br/>
            </w:r>
          </w:p>
          <w:p w14:paraId="29B2480F"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(N=31,665)</w:t>
            </w:r>
          </w:p>
        </w:tc>
        <w:tc>
          <w:tcPr>
            <w:tcW w:w="2472" w:type="dxa"/>
            <w:tcBorders>
              <w:top w:val="single" w:sz="4" w:space="0" w:color="auto"/>
              <w:left w:val="single" w:sz="4" w:space="0" w:color="auto"/>
              <w:bottom w:val="single" w:sz="4" w:space="0" w:color="auto"/>
              <w:right w:val="single" w:sz="4" w:space="0" w:color="auto"/>
            </w:tcBorders>
            <w:shd w:val="clear" w:color="auto" w:fill="auto"/>
            <w:hideMark/>
          </w:tcPr>
          <w:p w14:paraId="37833AC5"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Overweight</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25.0-29.9 kg/m2)</w:t>
            </w:r>
            <w:r w:rsidRPr="003575A2">
              <w:rPr>
                <w:rFonts w:ascii="Times New Roman" w:hAnsi="Times New Roman" w:cs="Times New Roman"/>
                <w:b/>
                <w:bCs/>
                <w:lang w:val="en-US"/>
              </w:rPr>
              <w:br/>
            </w:r>
            <w:r w:rsidRPr="003575A2">
              <w:rPr>
                <w:rFonts w:ascii="Times New Roman" w:hAnsi="Times New Roman" w:cs="Times New Roman"/>
                <w:b/>
                <w:bCs/>
                <w:lang w:val="en-US"/>
              </w:rPr>
              <w:br/>
            </w:r>
          </w:p>
          <w:p w14:paraId="407270CE"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 (N=113,983)</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015E757E"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 xml:space="preserve">Class I </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30.0-34.9 kg/m2)</w:t>
            </w:r>
          </w:p>
          <w:p w14:paraId="1FCE1068"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(N=49,291)</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3F583103"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w:t>
            </w:r>
            <w:r w:rsidRPr="003575A2">
              <w:rPr>
                <w:rFonts w:ascii="Times New Roman" w:hAnsi="Times New Roman" w:cs="Times New Roman"/>
                <w:b/>
                <w:bCs/>
                <w:lang w:val="en-US"/>
              </w:rPr>
              <w:br/>
            </w:r>
            <w:r w:rsidRPr="003575A2">
              <w:rPr>
                <w:lang w:val="en-US"/>
              </w:rPr>
              <w:t>(</w:t>
            </w:r>
            <w:r w:rsidRPr="003575A2">
              <w:rPr>
                <w:rFonts w:ascii="Times New Roman" w:hAnsi="Times New Roman" w:cs="Times New Roman"/>
                <w:b/>
                <w:bCs/>
                <w:lang w:val="en-US"/>
              </w:rPr>
              <w:t>BMI 35.0-39.9 kg/m2)</w:t>
            </w:r>
          </w:p>
          <w:p w14:paraId="355D0D28"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(N=20,179)</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DCE7738"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 xml:space="preserve">Obesity </w:t>
            </w:r>
            <w:r w:rsidRPr="003575A2">
              <w:rPr>
                <w:rFonts w:ascii="Times New Roman" w:hAnsi="Times New Roman" w:cs="Times New Roman"/>
                <w:b/>
                <w:bCs/>
                <w:lang w:val="en-US"/>
              </w:rPr>
              <w:br/>
              <w:t>Class III</w:t>
            </w:r>
          </w:p>
          <w:p w14:paraId="04C08852"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lang w:val="en-US"/>
              </w:rPr>
              <w:t>(</w:t>
            </w:r>
            <w:r w:rsidRPr="003575A2">
              <w:rPr>
                <w:rFonts w:ascii="Times New Roman" w:hAnsi="Times New Roman" w:cs="Times New Roman"/>
                <w:b/>
                <w:bCs/>
                <w:lang w:val="en-US"/>
              </w:rPr>
              <w:t xml:space="preserve">BMI ≥40.0 kg/m2) </w:t>
            </w:r>
          </w:p>
          <w:p w14:paraId="693A779F"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p>
          <w:p w14:paraId="030BF3B2" w14:textId="77777777" w:rsidR="008D230A" w:rsidRPr="003575A2" w:rsidRDefault="008D230A" w:rsidP="00950459">
            <w:pPr>
              <w:bidi w:val="0"/>
              <w:spacing w:after="0" w:line="240" w:lineRule="auto"/>
              <w:contextualSpacing/>
              <w:jc w:val="center"/>
              <w:rPr>
                <w:rFonts w:ascii="Times New Roman" w:hAnsi="Times New Roman" w:cs="Times New Roman"/>
                <w:b/>
                <w:bCs/>
                <w:lang w:val="en-US"/>
              </w:rPr>
            </w:pPr>
            <w:r w:rsidRPr="003575A2">
              <w:rPr>
                <w:rFonts w:ascii="Times New Roman" w:hAnsi="Times New Roman" w:cs="Times New Roman"/>
                <w:b/>
                <w:bCs/>
                <w:lang w:val="en-US"/>
              </w:rPr>
              <w:t>(N=13,119)</w:t>
            </w:r>
          </w:p>
        </w:tc>
      </w:tr>
      <w:tr w:rsidR="008D230A" w:rsidRPr="003575A2" w14:paraId="50AB13A2"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5283179C"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Primary outcome </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0A2D8BA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0.86 (0.81-0.91)</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0522556"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1.6 (1.56-1.64)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3A6F0E2A"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2.25 (2.19-2.32)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17F246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2.78 (2.68-2.89)</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15A406F1"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3.10 (2.96-3.24)</w:t>
            </w:r>
          </w:p>
        </w:tc>
      </w:tr>
      <w:tr w:rsidR="008D230A" w:rsidRPr="003575A2" w14:paraId="0103E3B6"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4E1CFDA6"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Preeclampsia</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493BB44D"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0.71 (0.6-0.85)</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280D68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1.53 (1.41-1.66)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3B1AEE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2.14 (1.95-2.36)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28F11C3"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2.83 (2.50-3.2)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45A90A7B"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2.81 (2.43-3.26)</w:t>
            </w:r>
          </w:p>
        </w:tc>
      </w:tr>
      <w:tr w:rsidR="008D230A" w:rsidRPr="003575A2" w14:paraId="04090723"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0D436B20"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Gestational diabetes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6E71725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0.82 (0.76-0.87)</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13C05B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1.67 (1.63-1.73)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6B38BF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2.44 (2.36-2.53)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10CE701"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3.02 (2.89-3.15)</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170709A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3.45 (3.28-3.62)</w:t>
            </w:r>
          </w:p>
        </w:tc>
      </w:tr>
      <w:tr w:rsidR="008D230A" w:rsidRPr="003575A2" w14:paraId="3F50AEF8"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shd w:val="clear" w:color="auto" w:fill="auto"/>
          </w:tcPr>
          <w:p w14:paraId="69636C2E" w14:textId="77777777" w:rsidR="008D230A" w:rsidRPr="003575A2" w:rsidRDefault="008D230A" w:rsidP="00950459">
            <w:pPr>
              <w:bidi w:val="0"/>
              <w:spacing w:after="0" w:line="240" w:lineRule="auto"/>
              <w:contextualSpacing/>
              <w:rPr>
                <w:rFonts w:ascii="Times New Roman" w:hAnsi="Times New Roman" w:cs="Times New Roman"/>
                <w:i/>
                <w:iCs/>
                <w:lang w:val="en-US"/>
              </w:rPr>
            </w:pPr>
            <w:r w:rsidRPr="003575A2">
              <w:rPr>
                <w:rFonts w:ascii="Times New Roman" w:hAnsi="Times New Roman" w:cs="Times New Roman"/>
                <w:i/>
                <w:iCs/>
                <w:lang w:val="en-US"/>
              </w:rPr>
              <w:t xml:space="preserve">Preterm birth </w:t>
            </w:r>
            <w:r w:rsidRPr="003575A2">
              <w:rPr>
                <w:rFonts w:ascii="Arial" w:hAnsi="Arial" w:cs="Arial"/>
                <w:i/>
                <w:iCs/>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tcPr>
          <w:p w14:paraId="263A0FD5" w14:textId="77777777" w:rsidR="008D230A" w:rsidRPr="003575A2" w:rsidRDefault="008D230A" w:rsidP="00950459">
            <w:pPr>
              <w:bidi w:val="0"/>
              <w:spacing w:after="0" w:line="240" w:lineRule="auto"/>
              <w:jc w:val="center"/>
              <w:rPr>
                <w:rFonts w:ascii="Times New Roman" w:hAnsi="Times New Roman" w:cs="Times New Roman"/>
                <w:lang w:val="en-US"/>
              </w:rPr>
            </w:pP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1C7E202B"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2DA4D788"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27ED41F1"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407839B"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r>
      <w:tr w:rsidR="008D230A" w:rsidRPr="003575A2" w14:paraId="4BEF6109"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15553BE2"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&lt;37</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01E71423"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1.22 (1.16-1.27)</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8FC3DB0"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1.02 (0.99-1.06)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FD73A8B"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1.12 (1.08-1.17)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EEDBA6B"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1.15 (1.08-1.22)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21155F2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1.20 (1.12-1.28)</w:t>
            </w:r>
          </w:p>
        </w:tc>
      </w:tr>
      <w:tr w:rsidR="008D230A" w:rsidRPr="003575A2" w14:paraId="0BC6351D"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396A6D43"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42EE78C2"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1.25 (1.18-1.32)</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519B8703"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0.94 (0.91-0.98)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6976471"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0.96 (0.91-1.01)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8F5218A"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0.91 (0.84-0.99)</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3F14607B"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0.89 (0.81-0.98)</w:t>
            </w:r>
          </w:p>
        </w:tc>
      </w:tr>
      <w:tr w:rsidR="008D230A" w:rsidRPr="003575A2" w14:paraId="72FC557A"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4DF058A0"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1884C9B8"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1.14 (1.05-1.24)</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93B5848"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1.18 (1.13-1.24)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34B6A417"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1.42 (1.33-1.5)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DC1C957"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1.59 (1.47-1.73)</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6E55F747"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1.77 (1.61-1.95)</w:t>
            </w:r>
          </w:p>
        </w:tc>
      </w:tr>
      <w:tr w:rsidR="008D230A" w:rsidRPr="003575A2" w14:paraId="0C142300"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55681EBB"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&lt;34</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166FDE0D"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1.17 (1.05-1.30)</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5CA664B3"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1.16 (1.09-1.24)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67207E8"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1.20 (1.10-1.30)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FA64A2B"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1.3 (1.15-1.46)</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97802E6"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1.42 (1.24-1.64)</w:t>
            </w:r>
          </w:p>
        </w:tc>
      </w:tr>
      <w:tr w:rsidR="008D230A" w:rsidRPr="003575A2" w14:paraId="464E3D84"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7B8F6AC6"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48001B7A"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1.18 (1.04-1.33)</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472AE060"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1.05 (0.97-1.14)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2EEA089"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1.04 (0.93-1.16)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791838F"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1.09 (0.93-1.27)</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1470CBFC"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color w:val="000000"/>
                <w:lang w:val="en-US"/>
              </w:rPr>
              <w:t>1.17 (0.97-1.41)</w:t>
            </w:r>
          </w:p>
        </w:tc>
      </w:tr>
      <w:tr w:rsidR="008D230A" w:rsidRPr="003575A2" w14:paraId="0C260236"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429AC8EB"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471AC2A7"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1.15 (0.95-1.39)</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68AA4DFE"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1.41 (1.26-1.56)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87EF47E"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1.53 (1.33-1.76)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9768334"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1.76 (1.46-2.12)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02943E48"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1.98 (1.59-2.46)</w:t>
            </w:r>
          </w:p>
        </w:tc>
      </w:tr>
      <w:tr w:rsidR="008D230A" w:rsidRPr="003575A2" w14:paraId="4F7180DF"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292F91FC"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&lt;32</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21003C24"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1.18 (1.02-1.36)</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2110063D"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1.22 (1.12-1.33)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ECC031F"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1.38 (1.23-1.55)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3A0C43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1.53 (1.31-1.80)</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99475A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1.57 (1.29-1.90)</w:t>
            </w:r>
          </w:p>
        </w:tc>
      </w:tr>
      <w:tr w:rsidR="008D230A" w:rsidRPr="003575A2" w14:paraId="2EEAF3C3"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5069CDB1"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0604E19C"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1.26 (1.07-1.50)</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044FDD24"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color w:val="000000"/>
                <w:lang w:val="en-US"/>
              </w:rPr>
              <w:t>1.11 (0.99-1.24)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6E35BCA"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1.22 (1.05-1.41)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B450037"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1.30 (1.06-1.59)</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012621CA"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1.33 (1.03-1.70)</w:t>
            </w:r>
          </w:p>
        </w:tc>
      </w:tr>
      <w:tr w:rsidR="008D230A" w:rsidRPr="003575A2" w14:paraId="510948A4"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06964E38"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4F43792C"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0.96 (0.71-1.29)</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6A8C5F5E"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1.48 (1.27-1.72)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6337B28"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1.77 (1.46-2.14)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008777D"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2.07 (1.61-2.67)</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FDCB499"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2.12 (1.57-2.87)</w:t>
            </w:r>
          </w:p>
        </w:tc>
      </w:tr>
      <w:tr w:rsidR="008D230A" w:rsidRPr="003575A2" w14:paraId="2B0D416E"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6C34AD8B"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&lt;28</w:t>
            </w:r>
            <w:r w:rsidRPr="003575A2">
              <w:rPr>
                <w:rFonts w:ascii="Times New Roman" w:hAnsi="Times New Roman" w:cs="Times New Roman"/>
                <w:vertAlign w:val="superscript"/>
                <w:lang w:val="en-US"/>
              </w:rPr>
              <w:t>0/7</w:t>
            </w:r>
            <w:r w:rsidRPr="003575A2">
              <w:rPr>
                <w:rFonts w:ascii="Times New Roman" w:hAnsi="Times New Roman" w:cs="Times New Roman"/>
                <w:lang w:val="en-US"/>
              </w:rPr>
              <w:t xml:space="preserve"> weeks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3BF291E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1.23 (0.95-1.59)</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63D40DAD"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1.18 (1.01-1.38)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91D9FFB"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1.40 (1.15-1.71)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08F3CDE"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1.81 (1.39-2.35)</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21F04E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2.02 (1.49-2.73)</w:t>
            </w:r>
          </w:p>
        </w:tc>
      </w:tr>
      <w:tr w:rsidR="008D230A" w:rsidRPr="003575A2" w14:paraId="04F853D4"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3693F580"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Spontaneous</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653DEF7D"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1.27 (0.95-1.69)</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4196CE6"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1.08 (0.90-1.31)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E7368E8"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1.32 (1.04-1.67)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C8C4C59"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b/>
                <w:bCs/>
                <w:color w:val="000000"/>
                <w:lang w:val="en-US"/>
              </w:rPr>
              <w:t>1.58 (1.15-2.17)</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4D59B16C"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2.04 (1.44-2.88)</w:t>
            </w:r>
          </w:p>
        </w:tc>
      </w:tr>
      <w:tr w:rsidR="008D230A" w:rsidRPr="003575A2" w14:paraId="2D88D646"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45B4AC74"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          Provider-initiated</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3F48C013" w14:textId="77777777" w:rsidR="008D230A" w:rsidRPr="003575A2" w:rsidRDefault="008D230A" w:rsidP="00950459">
            <w:pPr>
              <w:bidi w:val="0"/>
              <w:spacing w:after="0"/>
              <w:jc w:val="center"/>
              <w:rPr>
                <w:rFonts w:ascii="Times New Roman" w:hAnsi="Times New Roman" w:cs="Times New Roman"/>
                <w:lang w:val="en-US"/>
              </w:rPr>
            </w:pPr>
            <w:r w:rsidRPr="003575A2">
              <w:rPr>
                <w:rFonts w:ascii="Times New Roman" w:hAnsi="Times New Roman" w:cs="Times New Roman"/>
                <w:color w:val="000000"/>
                <w:lang w:val="en-US"/>
              </w:rPr>
              <w:t>1.09 (0.62-1.90)</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64FD5BE3"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1.49 (1.10-2.02)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6BAFC23"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1.67 (1.14-2.46)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E67C167"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2.55 (1.6-4.06)</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5D735B77" w14:textId="77777777" w:rsidR="008D230A" w:rsidRPr="003575A2" w:rsidRDefault="008D230A" w:rsidP="00950459">
            <w:pPr>
              <w:bidi w:val="0"/>
              <w:spacing w:after="0"/>
              <w:jc w:val="center"/>
              <w:rPr>
                <w:rFonts w:ascii="Times New Roman" w:hAnsi="Times New Roman" w:cs="Times New Roman"/>
                <w:b/>
                <w:bCs/>
                <w:lang w:val="en-US"/>
              </w:rPr>
            </w:pPr>
            <w:r w:rsidRPr="003575A2">
              <w:rPr>
                <w:rFonts w:ascii="Times New Roman" w:hAnsi="Times New Roman" w:cs="Times New Roman"/>
                <w:b/>
                <w:bCs/>
                <w:color w:val="000000"/>
                <w:lang w:val="en-US"/>
              </w:rPr>
              <w:t>1.98 (1.06-3.69)</w:t>
            </w:r>
          </w:p>
        </w:tc>
      </w:tr>
      <w:tr w:rsidR="008D230A" w:rsidRPr="003575A2" w14:paraId="6896810B"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75910070"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Placental abruption </w:t>
            </w:r>
          </w:p>
        </w:tc>
        <w:tc>
          <w:tcPr>
            <w:tcW w:w="2225" w:type="dxa"/>
            <w:tcBorders>
              <w:top w:val="single" w:sz="4" w:space="0" w:color="auto"/>
              <w:left w:val="single" w:sz="4" w:space="0" w:color="auto"/>
              <w:bottom w:val="single" w:sz="4" w:space="0" w:color="auto"/>
              <w:right w:val="single" w:sz="4" w:space="0" w:color="auto"/>
            </w:tcBorders>
            <w:shd w:val="clear" w:color="auto" w:fill="auto"/>
          </w:tcPr>
          <w:p w14:paraId="56CAADB1"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1.18 (1.05-1.33)</w:t>
            </w: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3876337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0.88 (0.81-0.95)</w:t>
            </w: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29A0759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0.74 (0.66-0.83)</w:t>
            </w: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0BCB8E7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0.7 (0.59-0.84)</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B24A9E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0.63 (0.50-0.79)</w:t>
            </w:r>
          </w:p>
        </w:tc>
      </w:tr>
      <w:tr w:rsidR="008D230A" w:rsidRPr="003575A2" w14:paraId="131E34D0"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70E16E71"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Cesarean delivery</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1356D10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0.86 (0.84-0.88)</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049DA348"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1.27 (1.25-1.28)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E8DBB4D"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1.49 (1.47-1.51)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E575104"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1.69 (1.65-1.72)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46CBCA5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1.89 (1.85-1.93)</w:t>
            </w:r>
          </w:p>
        </w:tc>
      </w:tr>
      <w:tr w:rsidR="008D230A" w:rsidRPr="003575A2" w14:paraId="264218D5"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08DCD4CD"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Shoulder dystocia</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1ADC69A8"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0.66 (0.59-0.73)</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14CE19D1"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1.21 (1.15-1.27)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1C11ADA"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1.28 (1.2-1.37)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82FF251"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1.5 (1.37-1.64)</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526FCE1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1.5 (1.34-1.67)</w:t>
            </w:r>
          </w:p>
        </w:tc>
      </w:tr>
      <w:tr w:rsidR="008D230A" w:rsidRPr="003575A2" w14:paraId="5A42FA1E"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50BF5A00"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Anal sphincter injury grade 3/4</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57EC9BCC"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b/>
                <w:bCs/>
                <w:color w:val="000000"/>
                <w:lang w:val="en-US"/>
              </w:rPr>
              <w:t>1.08 (1.01-1.15)</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2B21CD3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0.87 (0.83-0.91)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ACB2E6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0.74 (0.69-0.79)</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FBFA9F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0.66 (0.59-0.73)</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26E92BD3"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0.63 (0.55-0.72)</w:t>
            </w:r>
          </w:p>
        </w:tc>
      </w:tr>
      <w:tr w:rsidR="008D230A" w:rsidRPr="003575A2" w14:paraId="72B032E2"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56824124"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Postpartum hemorrhage</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5E09DFA9"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0.92 (0.85-0.99)</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BD65194"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0.96 (0.92-1.00)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80465EC"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1.04 (0.98-1.10)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BC6C954"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0.97 (0.89-1.07)</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24267701"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0.87 (0.77-0.98)</w:t>
            </w:r>
          </w:p>
        </w:tc>
      </w:tr>
      <w:tr w:rsidR="008D230A" w:rsidRPr="003575A2" w14:paraId="55E5347B"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6C9CF9EA"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Abdominal wound complications</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5D2C82E9"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0.84 (0.56-1.26)</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0FA71D0F"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1.17 (0.97-1.41)</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91277F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1.53 (1.23-1.90)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490AB9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2.13 (1.66-2.75)</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6D14E6C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2.03 (1.51-2.72)</w:t>
            </w:r>
          </w:p>
        </w:tc>
      </w:tr>
      <w:tr w:rsidR="008D230A" w:rsidRPr="003575A2" w14:paraId="024E56E7"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551B3FB4" w14:textId="77777777" w:rsidR="008D230A" w:rsidRPr="003575A2" w:rsidRDefault="008D230A" w:rsidP="00950459">
            <w:pPr>
              <w:bidi w:val="0"/>
              <w:spacing w:after="0" w:line="240" w:lineRule="auto"/>
              <w:contextualSpacing/>
              <w:rPr>
                <w:rFonts w:ascii="Times New Roman" w:hAnsi="Times New Roman" w:cs="Times New Roman"/>
                <w:b/>
                <w:bCs/>
                <w:i/>
                <w:iCs/>
                <w:lang w:val="en-US"/>
              </w:rPr>
            </w:pPr>
          </w:p>
          <w:p w14:paraId="1167C13F" w14:textId="77777777" w:rsidR="008D230A" w:rsidRPr="003575A2" w:rsidRDefault="008D230A" w:rsidP="00950459">
            <w:pPr>
              <w:bidi w:val="0"/>
              <w:spacing w:after="0" w:line="240" w:lineRule="auto"/>
              <w:contextualSpacing/>
              <w:rPr>
                <w:rFonts w:ascii="Times New Roman" w:hAnsi="Times New Roman" w:cs="Times New Roman"/>
                <w:b/>
                <w:bCs/>
                <w:i/>
                <w:iCs/>
                <w:lang w:val="en-US"/>
              </w:rPr>
            </w:pPr>
            <w:r w:rsidRPr="003575A2">
              <w:rPr>
                <w:rFonts w:ascii="Times New Roman" w:hAnsi="Times New Roman" w:cs="Times New Roman"/>
                <w:b/>
                <w:bCs/>
                <w:i/>
                <w:iCs/>
                <w:lang w:val="en-US"/>
              </w:rPr>
              <w:t>Neonatal outcomes</w:t>
            </w:r>
          </w:p>
        </w:tc>
        <w:tc>
          <w:tcPr>
            <w:tcW w:w="2225" w:type="dxa"/>
            <w:tcBorders>
              <w:top w:val="single" w:sz="4" w:space="0" w:color="auto"/>
              <w:left w:val="single" w:sz="4" w:space="0" w:color="auto"/>
              <w:bottom w:val="single" w:sz="4" w:space="0" w:color="auto"/>
              <w:right w:val="single" w:sz="4" w:space="0" w:color="auto"/>
            </w:tcBorders>
            <w:shd w:val="clear" w:color="auto" w:fill="auto"/>
          </w:tcPr>
          <w:p w14:paraId="546D5418" w14:textId="77777777" w:rsidR="008D230A" w:rsidRPr="003575A2" w:rsidRDefault="008D230A" w:rsidP="00950459">
            <w:pPr>
              <w:bidi w:val="0"/>
              <w:spacing w:after="0" w:line="240" w:lineRule="auto"/>
              <w:jc w:val="center"/>
              <w:rPr>
                <w:rFonts w:ascii="Times New Roman" w:hAnsi="Times New Roman" w:cs="Times New Roman"/>
                <w:lang w:val="en-US"/>
              </w:rPr>
            </w:pPr>
          </w:p>
        </w:tc>
        <w:tc>
          <w:tcPr>
            <w:tcW w:w="2472" w:type="dxa"/>
            <w:tcBorders>
              <w:top w:val="single" w:sz="4" w:space="0" w:color="auto"/>
              <w:left w:val="single" w:sz="4" w:space="0" w:color="auto"/>
              <w:bottom w:val="single" w:sz="4" w:space="0" w:color="auto"/>
              <w:right w:val="single" w:sz="4" w:space="0" w:color="auto"/>
            </w:tcBorders>
            <w:shd w:val="clear" w:color="auto" w:fill="auto"/>
          </w:tcPr>
          <w:p w14:paraId="013FFE21"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0F04F090"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4B8D7D1C"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057461" w14:textId="77777777" w:rsidR="008D230A" w:rsidRPr="003575A2" w:rsidRDefault="008D230A" w:rsidP="00950459">
            <w:pPr>
              <w:bidi w:val="0"/>
              <w:spacing w:after="0" w:line="240" w:lineRule="auto"/>
              <w:jc w:val="center"/>
              <w:rPr>
                <w:rFonts w:ascii="Times New Roman" w:hAnsi="Times New Roman" w:cs="Times New Roman"/>
                <w:color w:val="FF0000"/>
                <w:lang w:val="en-US"/>
              </w:rPr>
            </w:pPr>
          </w:p>
        </w:tc>
      </w:tr>
      <w:tr w:rsidR="008D230A" w:rsidRPr="003575A2" w14:paraId="6E935ED8"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tcPr>
          <w:p w14:paraId="12688F19"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Neonatal composite outcome </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504667E2"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1.04 (1.00-1.07)</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80C239E"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1.15 (1.13-1.17)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4BF280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1.3 (1.27-1.33)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470A21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1.41 (1.36-1.45)</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2008042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1.52 (1.46-1.58)</w:t>
            </w:r>
          </w:p>
        </w:tc>
      </w:tr>
      <w:tr w:rsidR="008D230A" w:rsidRPr="003575A2" w14:paraId="24A91C5E"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26AA8426"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Stillbirth</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769C6D0F"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1.05 (0.83-1.33)</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6A10CEAF"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1.15 (1.00-1.32)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1D601B1"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1.34 (1.13-1.60)</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2A0BAF48"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1.74 (1.39-2.18)</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1D5017AD"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1.87 (1.43-2.44)</w:t>
            </w:r>
          </w:p>
        </w:tc>
      </w:tr>
      <w:tr w:rsidR="008D230A" w:rsidRPr="003575A2" w14:paraId="47289B81"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06B217CC"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Neonatal mortality</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794791D2"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0.93 (0.61-1.42)</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49B225A4"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 (0.95-1.52)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25AE443"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1.14 (0.82-1.57)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3F3B676"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1.29 (0.83-2.02)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37AB715C"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0.98 (0.53-1.80)</w:t>
            </w:r>
          </w:p>
        </w:tc>
      </w:tr>
      <w:tr w:rsidR="008D230A" w:rsidRPr="003575A2" w14:paraId="63353433"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7BE28FD5"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Birth weight &gt;90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3DB4D4C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0.51 (0.48-0.54)</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5D533CBE"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1.6 (1.56-1.63)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D4E212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2.09 (2.04-2.15)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95BF1F3"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2.60 (2.52-2.69)</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75DC40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2.80 (2.70-2.91)</w:t>
            </w:r>
          </w:p>
        </w:tc>
      </w:tr>
      <w:tr w:rsidR="008D230A" w:rsidRPr="003575A2" w14:paraId="54CA921A"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0B2080A4"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lastRenderedPageBreak/>
              <w:t>Birth weight &lt;10</w:t>
            </w:r>
            <w:r w:rsidRPr="003575A2">
              <w:rPr>
                <w:rFonts w:ascii="Times New Roman" w:hAnsi="Times New Roman" w:cs="Times New Roman"/>
                <w:vertAlign w:val="superscript"/>
                <w:lang w:val="en-US"/>
              </w:rPr>
              <w:t>th</w:t>
            </w:r>
            <w:r w:rsidRPr="003575A2">
              <w:rPr>
                <w:rFonts w:ascii="Times New Roman" w:hAnsi="Times New Roman" w:cs="Times New Roman"/>
                <w:lang w:val="en-US"/>
              </w:rPr>
              <w:t xml:space="preserve"> centile </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78F3CD9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1.57 (1.52-1.61)</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C224A8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0.77 (0.75-0.79)</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A91296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0.67 (0.65-0.69)</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DEF306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0.63 (0.6-0.66)</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5C200E1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0.57 (0.53-0.61)</w:t>
            </w:r>
          </w:p>
        </w:tc>
      </w:tr>
      <w:tr w:rsidR="008D230A" w:rsidRPr="003575A2" w14:paraId="590B912F"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7A53DD49"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5-Minutes Apgar &lt; 7</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7E5D44A8"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0.94 (0.86-1.03)</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5B1FED1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1.19 (1.13-1.25)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2D6B81B"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1.43 (1.34-1.53)</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3261EB94"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1.63 (1.49-1.78)</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1976BB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1.70 (1.53-1.89)</w:t>
            </w:r>
          </w:p>
        </w:tc>
      </w:tr>
      <w:tr w:rsidR="008D230A" w:rsidRPr="003575A2" w14:paraId="7C8E9E76"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2BCDAC4A"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Umbilical Artery pH &lt;7.1</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0C576229"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0.82 (0.77-0.88)</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0F5D791E"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1.14 (1.1-1.18)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FFC2C8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1.28 (1.22-1.34)</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5845B69F"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1.47 (1.38-1.57)</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057BE1B5"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1.57 (1.46-1.70)</w:t>
            </w:r>
          </w:p>
        </w:tc>
      </w:tr>
      <w:tr w:rsidR="008D230A" w:rsidRPr="003575A2" w14:paraId="5CDF2F0A"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0662208A"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NICU admission</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7D86F16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1.06 (1.03-1.1)</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CE8AB47"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1.16 (1.14-1.18)</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44FFA420"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1.32 (1.29-1.35)</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1E483798"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1.41 (1.36-1.46)</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53897F22"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1.58 (1.51-1.64)</w:t>
            </w:r>
          </w:p>
        </w:tc>
      </w:tr>
      <w:tr w:rsidR="008D230A" w:rsidRPr="003575A2" w14:paraId="76ABA294"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791C7DDA"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Respiratory morbidity </w:t>
            </w:r>
            <w:r w:rsidRPr="003575A2">
              <w:rPr>
                <w:rFonts w:ascii="Arial" w:hAnsi="Arial" w:cs="Arial"/>
                <w:sz w:val="24"/>
                <w:szCs w:val="24"/>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551511A0"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lang w:val="en-US"/>
              </w:rPr>
              <w:t>0.96 (0.91-1.01)</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245203AA"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1.15 (1.12-1.19)</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96350BE"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1.33 (1.28-1.37)</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21D8DDE"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1.44 (1.37-1.52)</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72D87FC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lang w:val="en-US"/>
              </w:rPr>
              <w:t>1.54 (1.45-1.63)</w:t>
            </w:r>
          </w:p>
        </w:tc>
      </w:tr>
      <w:tr w:rsidR="008D230A" w:rsidRPr="003575A2" w14:paraId="0125E142" w14:textId="77777777" w:rsidTr="00950459">
        <w:trPr>
          <w:trHeight w:val="288"/>
        </w:trPr>
        <w:tc>
          <w:tcPr>
            <w:tcW w:w="3441" w:type="dxa"/>
            <w:tcBorders>
              <w:top w:val="single" w:sz="4" w:space="0" w:color="auto"/>
              <w:left w:val="single" w:sz="4" w:space="0" w:color="auto"/>
              <w:bottom w:val="single" w:sz="4" w:space="0" w:color="auto"/>
              <w:right w:val="single" w:sz="4" w:space="0" w:color="auto"/>
            </w:tcBorders>
            <w:hideMark/>
          </w:tcPr>
          <w:p w14:paraId="3188F024" w14:textId="77777777" w:rsidR="008D230A" w:rsidRPr="003575A2" w:rsidRDefault="008D230A" w:rsidP="00950459">
            <w:pPr>
              <w:bidi w:val="0"/>
              <w:spacing w:after="0" w:line="240" w:lineRule="auto"/>
              <w:contextualSpacing/>
              <w:rPr>
                <w:rFonts w:ascii="Times New Roman" w:hAnsi="Times New Roman" w:cs="Times New Roman"/>
                <w:lang w:val="en-US"/>
              </w:rPr>
            </w:pPr>
            <w:r w:rsidRPr="003575A2">
              <w:rPr>
                <w:rFonts w:ascii="Times New Roman" w:hAnsi="Times New Roman" w:cs="Times New Roman"/>
                <w:lang w:val="en-US"/>
              </w:rPr>
              <w:t xml:space="preserve">Birth trauma </w:t>
            </w:r>
            <w:r w:rsidRPr="003575A2">
              <w:rPr>
                <w:rFonts w:ascii="Times New Roman" w:hAnsi="Times New Roman" w:cs="Times New Roman"/>
                <w:vertAlign w:val="superscript"/>
                <w:lang w:val="en-US"/>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bottom"/>
          </w:tcPr>
          <w:p w14:paraId="6D716FF7" w14:textId="77777777" w:rsidR="008D230A" w:rsidRPr="003575A2" w:rsidRDefault="008D230A" w:rsidP="00950459">
            <w:pPr>
              <w:bidi w:val="0"/>
              <w:spacing w:after="0" w:line="240" w:lineRule="auto"/>
              <w:jc w:val="center"/>
              <w:rPr>
                <w:rFonts w:ascii="Times New Roman" w:hAnsi="Times New Roman" w:cs="Times New Roman"/>
                <w:lang w:val="en-US"/>
              </w:rPr>
            </w:pPr>
            <w:r w:rsidRPr="003575A2">
              <w:rPr>
                <w:rFonts w:ascii="Times New Roman" w:hAnsi="Times New Roman" w:cs="Times New Roman"/>
                <w:color w:val="000000"/>
                <w:lang w:val="en-US"/>
              </w:rPr>
              <w:t>0.73 (0.51-1.06)</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bottom"/>
          </w:tcPr>
          <w:p w14:paraId="33E13D3C"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1.27 (1.06-1.52)</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62F6ECDA"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1.57 (1.25-1.96)</w:t>
            </w:r>
          </w:p>
        </w:tc>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35E96108"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2.19 (1.64-2.93)</w:t>
            </w:r>
          </w:p>
        </w:tc>
        <w:tc>
          <w:tcPr>
            <w:tcW w:w="2337" w:type="dxa"/>
            <w:tcBorders>
              <w:top w:val="single" w:sz="4" w:space="0" w:color="auto"/>
              <w:left w:val="single" w:sz="4" w:space="0" w:color="auto"/>
              <w:bottom w:val="single" w:sz="4" w:space="0" w:color="auto"/>
              <w:right w:val="single" w:sz="4" w:space="0" w:color="auto"/>
            </w:tcBorders>
            <w:shd w:val="clear" w:color="auto" w:fill="auto"/>
            <w:vAlign w:val="bottom"/>
          </w:tcPr>
          <w:p w14:paraId="553C30B8" w14:textId="77777777" w:rsidR="008D230A" w:rsidRPr="003575A2" w:rsidRDefault="008D230A" w:rsidP="00950459">
            <w:pPr>
              <w:bidi w:val="0"/>
              <w:spacing w:after="0" w:line="240" w:lineRule="auto"/>
              <w:jc w:val="center"/>
              <w:rPr>
                <w:rFonts w:ascii="Times New Roman" w:hAnsi="Times New Roman" w:cs="Times New Roman"/>
                <w:b/>
                <w:bCs/>
                <w:lang w:val="en-US"/>
              </w:rPr>
            </w:pPr>
            <w:r w:rsidRPr="003575A2">
              <w:rPr>
                <w:rFonts w:ascii="Times New Roman" w:hAnsi="Times New Roman" w:cs="Times New Roman"/>
                <w:b/>
                <w:bCs/>
                <w:color w:val="000000"/>
                <w:lang w:val="en-US"/>
              </w:rPr>
              <w:t>2.9 (2.14-3.92)</w:t>
            </w:r>
          </w:p>
        </w:tc>
      </w:tr>
    </w:tbl>
    <w:p w14:paraId="253F4F5C" w14:textId="77777777" w:rsidR="008D230A" w:rsidRPr="003575A2" w:rsidRDefault="008D230A" w:rsidP="008D230A">
      <w:pPr>
        <w:bidi w:val="0"/>
        <w:spacing w:after="0" w:line="24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 </w:t>
      </w:r>
    </w:p>
    <w:p w14:paraId="08D4409D" w14:textId="77777777" w:rsidR="008D230A" w:rsidRPr="003575A2" w:rsidRDefault="008D230A" w:rsidP="008D230A">
      <w:pPr>
        <w:bidi w:val="0"/>
        <w:spacing w:after="0" w:line="240" w:lineRule="auto"/>
        <w:rPr>
          <w:rFonts w:ascii="Times New Roman" w:hAnsi="Times New Roman" w:cs="Times New Roman"/>
          <w:b/>
          <w:bCs/>
          <w:sz w:val="24"/>
          <w:szCs w:val="24"/>
          <w:lang w:val="en-US"/>
        </w:rPr>
      </w:pPr>
    </w:p>
    <w:p w14:paraId="51BF6AE3"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 xml:space="preserve">BMI, body mass index; NICU, neonatal intensive care unit. </w:t>
      </w:r>
    </w:p>
    <w:p w14:paraId="3774703A"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Values reflect the results of multivariable modified Poisson regression analysis while adjusting for the following variables: maternal age, nulliparity, smoking</w:t>
      </w:r>
      <w:r w:rsidRPr="003575A2">
        <w:rPr>
          <w:rFonts w:ascii="Times New Roman" w:hAnsi="Times New Roman" w:cs="Times New Roman"/>
          <w:color w:val="FF0000"/>
          <w:sz w:val="24"/>
          <w:szCs w:val="24"/>
          <w:lang w:val="en-US"/>
        </w:rPr>
        <w:t xml:space="preserve">, </w:t>
      </w:r>
      <w:r w:rsidRPr="003575A2">
        <w:rPr>
          <w:rFonts w:ascii="Times New Roman" w:hAnsi="Times New Roman" w:cs="Times New Roman"/>
          <w:sz w:val="24"/>
          <w:szCs w:val="24"/>
          <w:lang w:val="en-US"/>
        </w:rPr>
        <w:t xml:space="preserve">previous preterm birth and fetal sex (for neonatal outcomes). </w:t>
      </w:r>
    </w:p>
    <w:p w14:paraId="0902367E"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lang w:val="en-US"/>
        </w:rPr>
        <w:t>Significant associations are emphasized in bold font.</w:t>
      </w:r>
      <w:r w:rsidRPr="003575A2">
        <w:rPr>
          <w:rFonts w:ascii="Times New Roman" w:hAnsi="Times New Roman" w:cs="Times New Roman"/>
          <w:sz w:val="24"/>
          <w:szCs w:val="24"/>
          <w:lang w:val="en-US"/>
        </w:rPr>
        <w:br/>
      </w:r>
      <w:r w:rsidRPr="003575A2">
        <w:rPr>
          <w:rFonts w:ascii="Times New Roman" w:hAnsi="Times New Roman" w:cs="Times New Roman"/>
          <w:sz w:val="24"/>
          <w:szCs w:val="24"/>
          <w:vertAlign w:val="superscript"/>
          <w:lang w:val="en-US"/>
        </w:rPr>
        <w:t>*</w:t>
      </w:r>
      <w:r w:rsidRPr="003575A2">
        <w:rPr>
          <w:rFonts w:ascii="Times New Roman" w:hAnsi="Times New Roman" w:cs="Times New Roman"/>
          <w:sz w:val="24"/>
          <w:szCs w:val="24"/>
          <w:lang w:val="en-US"/>
        </w:rPr>
        <w:t xml:space="preserve"> Defined as preeclampsia, gestational diabetes or preterm birth before 32 weeks.</w:t>
      </w:r>
    </w:p>
    <w:p w14:paraId="34F135F3"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 xml:space="preserve">† </w:t>
      </w:r>
      <w:r w:rsidRPr="003575A2">
        <w:rPr>
          <w:rFonts w:ascii="Times New Roman" w:hAnsi="Times New Roman" w:cs="Times New Roman"/>
          <w:sz w:val="24"/>
          <w:szCs w:val="24"/>
          <w:lang w:val="en-US"/>
        </w:rPr>
        <w:t>Defined as a live birth with a gestational age at delivery &lt; 37</w:t>
      </w:r>
      <w:r w:rsidRPr="003575A2">
        <w:rPr>
          <w:rFonts w:ascii="Times New Roman" w:hAnsi="Times New Roman" w:cs="Times New Roman"/>
          <w:sz w:val="24"/>
          <w:szCs w:val="24"/>
          <w:vertAlign w:val="superscript"/>
          <w:lang w:val="en-US"/>
        </w:rPr>
        <w:t>0/7</w:t>
      </w:r>
      <w:r w:rsidRPr="003575A2">
        <w:rPr>
          <w:rFonts w:ascii="Times New Roman" w:hAnsi="Times New Roman" w:cs="Times New Roman"/>
          <w:sz w:val="24"/>
          <w:szCs w:val="24"/>
          <w:lang w:val="en-US"/>
        </w:rPr>
        <w:t xml:space="preserve"> weeks. Provider-initiated preterm birth was defined as preterm birth following labor induction or cesarean delivery without ruptured membranes or conditions indicating prior onset of labor. All other preterm births were defined as spontaneous preterm births.</w:t>
      </w:r>
    </w:p>
    <w:p w14:paraId="24AF6B45"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For abdominal wound complications the denominator is reflective of women who underwent cesarean section.</w:t>
      </w:r>
    </w:p>
    <w:p w14:paraId="78B2EE2F"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Times New Roman" w:hAnsi="Times New Roman" w:cs="Times New Roman"/>
          <w:sz w:val="24"/>
          <w:szCs w:val="24"/>
          <w:vertAlign w:val="superscript"/>
          <w:lang w:val="en-US"/>
        </w:rPr>
        <w:t>§</w:t>
      </w:r>
      <w:r w:rsidRPr="003575A2">
        <w:rPr>
          <w:rFonts w:ascii="Arial" w:hAnsi="Arial" w:cs="Arial"/>
          <w:sz w:val="24"/>
          <w:szCs w:val="24"/>
          <w:vertAlign w:val="superscript"/>
          <w:lang w:val="en-US"/>
        </w:rPr>
        <w:t xml:space="preserve"> </w:t>
      </w:r>
      <w:r w:rsidRPr="003575A2">
        <w:rPr>
          <w:rFonts w:ascii="Times New Roman" w:hAnsi="Times New Roman" w:cs="Times New Roman"/>
          <w:sz w:val="24"/>
          <w:szCs w:val="24"/>
          <w:lang w:val="en-US"/>
        </w:rPr>
        <w:t>Defined as any of the following: perinatal mortality, 5-min Apgar score&lt;7, Umbilical Artery pH &lt;7.1, admission to NICU, birth trauma or neonatal respiratory</w:t>
      </w:r>
    </w:p>
    <w:p w14:paraId="03688327"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Based on Canadian birth weight reference</w:t>
      </w:r>
      <w:r w:rsidRPr="003575A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&lt;EndNote&gt;&lt;Cite&gt;&lt;Author&gt;Kramer&lt;/Author&gt;&lt;Year&gt;2001&lt;/Year&gt;&lt;RecNum&gt;95&lt;/RecNum&gt;&lt;DisplayText&gt;(59)&lt;/DisplayText&gt;&lt;record&gt;&lt;rec-number&gt;95&lt;/rec-number&gt;&lt;foreign-keys&gt;&lt;key app="EN" db-id="dpr2dfrvzxsd0nepz5g5p52m0r2fws9fd2ps" timestamp="1476241562"&gt;95&lt;/key&gt;&lt;/foreign-keys&gt;&lt;ref-type name="Journal Article"&gt;17&lt;/ref-type&gt;&lt;contributors&gt;&lt;authors&gt;&lt;author&gt;Kramer, M. S.&lt;/author&gt;&lt;author&gt;Platt, R. W.&lt;/author&gt;&lt;author&gt;Wen, S. W.&lt;/author&gt;&lt;author&gt;Joseph, K. S.&lt;/author&gt;&lt;author&gt;Allen, A.&lt;/author&gt;&lt;author&gt;Abrahamowicz, M.&lt;/author&gt;&lt;author&gt;Blondel, B.&lt;/author&gt;&lt;author&gt;Breart, G.&lt;/author&gt;&lt;author&gt;Fetal/Infant Health Study Group of the Canadian Perinatal Surveillance, System&lt;/author&gt;&lt;/authors&gt;&lt;/contributors&gt;&lt;auth-address&gt;Department of Pediatrics, McGill University Faculty of Medicine, Montreal, Canada. michael.kramer@mcgill.ca&lt;/auth-address&gt;&lt;titles&gt;&lt;title&gt;A new and improved population-based Canadian reference for birth weight for gestational age&lt;/title&gt;&lt;secondary-title&gt;Pediatrics&lt;/secondary-title&gt;&lt;/titles&gt;&lt;periodical&gt;&lt;full-title&gt;Pediatrics&lt;/full-title&gt;&lt;/periodical&gt;&lt;pages&gt;E35&lt;/pages&gt;&lt;volume&gt;108&lt;/volume&gt;&lt;number&gt;2&lt;/number&gt;&lt;keywords&gt;&lt;keyword&gt;*Algorithms&lt;/keyword&gt;&lt;keyword&gt;*Birth Weight/physiology&lt;/keyword&gt;&lt;keyword&gt;Canada&lt;/keyword&gt;&lt;keyword&gt;Female&lt;/keyword&gt;&lt;keyword&gt;*Gestational Age&lt;/keyword&gt;&lt;keyword&gt;Humans&lt;/keyword&gt;&lt;keyword&gt;Infant, Newborn&lt;/keyword&gt;&lt;keyword&gt;Infant, Premature/physiology&lt;/keyword&gt;&lt;keyword&gt;Infant, Small for Gestational Age/physiology&lt;/keyword&gt;&lt;keyword&gt;Male&lt;/keyword&gt;&lt;keyword&gt;Pregnancy&lt;/keyword&gt;&lt;keyword&gt;Reference Values&lt;/keyword&gt;&lt;keyword&gt;Sex Distribution&lt;/keyword&gt;&lt;keyword&gt;United States&lt;/keyword&gt;&lt;/keywords&gt;&lt;dates&gt;&lt;year&gt;2001&lt;/year&gt;&lt;pub-dates&gt;&lt;date&gt;Aug&lt;/date&gt;&lt;/pub-dates&gt;&lt;/dates&gt;&lt;isbn&gt;1098-4275 (Electronic)&amp;#xD;0031-4005 (Linking)&lt;/isbn&gt;&lt;accession-num&gt;11483845&lt;/accession-num&gt;&lt;urls&gt;&lt;related-urls&gt;&lt;url&gt;http://www.ncbi.nlm.nih.gov/pubmed/11483845&lt;/url&gt;&lt;/related-urls&gt;&lt;/urls&gt;&lt;/record&gt;&lt;/Cite&gt;&lt;/EndNote&gt;</w:instrText>
      </w:r>
      <w:r w:rsidRPr="003575A2">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(59)</w:t>
      </w:r>
      <w:r w:rsidRPr="003575A2">
        <w:rPr>
          <w:rFonts w:ascii="Times New Roman" w:hAnsi="Times New Roman" w:cs="Times New Roman"/>
          <w:sz w:val="24"/>
          <w:szCs w:val="24"/>
          <w:lang w:val="en-US"/>
        </w:rPr>
        <w:fldChar w:fldCharType="end"/>
      </w:r>
      <w:r w:rsidRPr="003575A2">
        <w:rPr>
          <w:rFonts w:ascii="Times New Roman" w:hAnsi="Times New Roman" w:cs="Times New Roman"/>
          <w:sz w:val="24"/>
          <w:szCs w:val="24"/>
          <w:lang w:val="en-US"/>
        </w:rPr>
        <w:t xml:space="preserve"> </w:t>
      </w:r>
    </w:p>
    <w:p w14:paraId="5B7C2F3B" w14:textId="77777777" w:rsidR="008D230A" w:rsidRPr="003575A2" w:rsidRDefault="008D230A" w:rsidP="008D230A">
      <w:pPr>
        <w:bidi w:val="0"/>
        <w:spacing w:after="0" w:line="480" w:lineRule="auto"/>
        <w:rPr>
          <w:rFonts w:ascii="Times New Roman" w:hAnsi="Times New Roman" w:cs="Times New Roman"/>
          <w:sz w:val="24"/>
          <w:szCs w:val="24"/>
          <w:lang w:val="en-US"/>
        </w:rPr>
      </w:pP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any of the following: need for respiratory support in the form of continuous positive airway pressure or mechanical ventilation, a diagnosis of transient tachypnea of the newborn or respiratory distress syndrome.</w:t>
      </w:r>
      <w:r w:rsidRPr="003575A2">
        <w:rPr>
          <w:rFonts w:ascii="Times New Roman" w:hAnsi="Times New Roman" w:cs="Times New Roman"/>
          <w:sz w:val="24"/>
          <w:szCs w:val="24"/>
          <w:lang w:val="en-US"/>
        </w:rPr>
        <w:br/>
      </w:r>
      <w:r w:rsidRPr="003575A2">
        <w:rPr>
          <w:rFonts w:ascii="Arial" w:hAnsi="Arial" w:cs="Arial"/>
          <w:sz w:val="24"/>
          <w:szCs w:val="24"/>
          <w:vertAlign w:val="superscript"/>
          <w:lang w:val="en-US"/>
        </w:rPr>
        <w:t>**</w:t>
      </w:r>
      <w:r w:rsidRPr="003575A2">
        <w:rPr>
          <w:rFonts w:ascii="Times New Roman" w:hAnsi="Times New Roman" w:cs="Times New Roman"/>
          <w:sz w:val="24"/>
          <w:szCs w:val="24"/>
          <w:lang w:val="en-US"/>
        </w:rPr>
        <w:t xml:space="preserve"> Defined as long-bone fracture, nerve injury at 72 hours of age or at discharge, or intracerebral hemorrhage</w:t>
      </w:r>
      <w:bookmarkStart w:id="0" w:name="_GoBack"/>
      <w:bookmarkEnd w:id="0"/>
    </w:p>
    <w:sectPr w:rsidR="008D230A" w:rsidRPr="003575A2" w:rsidSect="0040271D">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DAwtTQ0MLQ0NjIAspV0lIJTi4sz8/NACgxrARzYx9gsAAAA"/>
  </w:docVars>
  <w:rsids>
    <w:rsidRoot w:val="0040271D"/>
    <w:rsid w:val="001841C2"/>
    <w:rsid w:val="0040271D"/>
    <w:rsid w:val="008D230A"/>
    <w:rsid w:val="00F60175"/>
    <w:rsid w:val="00F87CA0"/>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3FD31"/>
  <w15:chartTrackingRefBased/>
  <w15:docId w15:val="{642B13F5-8CF7-42D9-9119-7913EE1D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71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Weiner</dc:creator>
  <cp:keywords/>
  <dc:description/>
  <cp:lastModifiedBy>Maya Weiner</cp:lastModifiedBy>
  <cp:revision>2</cp:revision>
  <dcterms:created xsi:type="dcterms:W3CDTF">2018-11-30T13:50:00Z</dcterms:created>
  <dcterms:modified xsi:type="dcterms:W3CDTF">2018-11-30T13:50:00Z</dcterms:modified>
</cp:coreProperties>
</file>