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B06614" w14:textId="1BE467E1" w:rsidR="00ED0989" w:rsidRDefault="008E4C44" w:rsidP="00ED0989">
      <w:r>
        <w:rPr>
          <w:noProof/>
        </w:rPr>
        <w:drawing>
          <wp:inline distT="0" distB="0" distL="0" distR="0" wp14:anchorId="4BDB189B" wp14:editId="57B53F2F">
            <wp:extent cx="5934974" cy="3919432"/>
            <wp:effectExtent l="0" t="0" r="889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798" cy="39239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F561E8" w14:textId="1BE24BFC" w:rsidR="007939F8" w:rsidRPr="007939F8" w:rsidRDefault="007939F8" w:rsidP="008E4C44">
      <w:pPr>
        <w:pStyle w:val="Heading1"/>
        <w:jc w:val="both"/>
      </w:pPr>
      <w:r w:rsidRPr="00702019">
        <w:rPr>
          <w:b/>
        </w:rPr>
        <w:t>Supplementary Figure S</w:t>
      </w:r>
      <w:r w:rsidR="00404AC5">
        <w:rPr>
          <w:b/>
        </w:rPr>
        <w:t>1</w:t>
      </w:r>
      <w:bookmarkStart w:id="0" w:name="_GoBack"/>
      <w:bookmarkEnd w:id="0"/>
      <w:r w:rsidRPr="00702019">
        <w:rPr>
          <w:b/>
        </w:rPr>
        <w:t xml:space="preserve">. </w:t>
      </w:r>
      <w:r w:rsidR="008E4C44">
        <w:t xml:space="preserve">(A, B) </w:t>
      </w:r>
      <w:r w:rsidR="008E4C44" w:rsidRPr="008E4C44">
        <w:t>Representative images illustrating need to quench autofluorescence when immunostaining formalin-fixed placentae. Placenta section subjected to antigen retrieval, blocked with 3% goat serum and then incubated in 1.5% goat serum in TBST only - no primary or secondary antibodies applied. Section was then mounted without DAPI staining or treatment with Vector TrueVIEW Autofluorescence Quenching Kit​. Therefore, all fluorescence seen is autofluorescence.</w:t>
      </w:r>
      <w:r w:rsidR="008E4C44">
        <w:t xml:space="preserve"> (C, D) </w:t>
      </w:r>
      <w:r w:rsidR="008E4C44" w:rsidRPr="008E4C44">
        <w:t>Negative control of immunofluorescent staining. Placenta section taken through full staining protocol as described, except with primary antibody incubation omitted. Staining shows DAPI (blue) but no evidence of non-specific staining by secondary antibody (green).</w:t>
      </w:r>
    </w:p>
    <w:sectPr w:rsidR="007939F8" w:rsidRPr="007939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Tahoma Bold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8A6"/>
    <w:rsid w:val="001949AF"/>
    <w:rsid w:val="002E62A8"/>
    <w:rsid w:val="00404AC5"/>
    <w:rsid w:val="005A2C3F"/>
    <w:rsid w:val="00702019"/>
    <w:rsid w:val="007939F8"/>
    <w:rsid w:val="008E4C44"/>
    <w:rsid w:val="009E78A6"/>
    <w:rsid w:val="00A81A0E"/>
    <w:rsid w:val="00AE0170"/>
    <w:rsid w:val="00BF41ED"/>
    <w:rsid w:val="00D466DA"/>
    <w:rsid w:val="00D52301"/>
    <w:rsid w:val="00ED0989"/>
    <w:rsid w:val="00FF3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9E82EF"/>
  <w15:chartTrackingRefBased/>
  <w15:docId w15:val="{A138F82E-5D19-4BF2-9E23-DAE4C80D2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E78A6"/>
  </w:style>
  <w:style w:type="paragraph" w:styleId="Heading1">
    <w:name w:val="heading 1"/>
    <w:basedOn w:val="Normal"/>
    <w:next w:val="Normal"/>
    <w:link w:val="Heading1Char"/>
    <w:uiPriority w:val="9"/>
    <w:qFormat/>
    <w:rsid w:val="00AE0170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78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78A6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AE0170"/>
    <w:rPr>
      <w:rFonts w:ascii="Times New Roman" w:eastAsiaTheme="majorEastAsia" w:hAnsi="Times New Roman" w:cstheme="majorBidi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Mucci</dc:creator>
  <cp:keywords/>
  <dc:description/>
  <cp:lastModifiedBy>Daniela Mucci</cp:lastModifiedBy>
  <cp:revision>3</cp:revision>
  <dcterms:created xsi:type="dcterms:W3CDTF">2019-10-13T00:32:00Z</dcterms:created>
  <dcterms:modified xsi:type="dcterms:W3CDTF">2019-10-13T00:38:00Z</dcterms:modified>
</cp:coreProperties>
</file>