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10E83" w14:textId="7E5C8CF5" w:rsidR="00694F98" w:rsidRPr="00694F98" w:rsidRDefault="00694F98" w:rsidP="00694F98">
      <w:pPr>
        <w:keepNext/>
        <w:spacing w:before="120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bookmarkStart w:id="0" w:name="_Ref34643081"/>
      <w:bookmarkStart w:id="1" w:name="_Hlk41988010"/>
      <w:bookmarkStart w:id="2" w:name="_Hlk34810533"/>
      <w:bookmarkStart w:id="3" w:name="_Hlk38643499"/>
      <w:bookmarkStart w:id="4" w:name="_Hlk43731705"/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Supplementary Table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4</w:t>
      </w:r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Outcome risk change associated with median 13% weight loss starting at BMI 35.0 kg/m</w:t>
      </w:r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2</w:t>
      </w:r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, 40.0 kg/m</w:t>
      </w:r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2</w:t>
      </w:r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and 45.0 kg/m</w:t>
      </w:r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 xml:space="preserve">2 </w:t>
      </w:r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relative to the corresponding stable</w:t>
      </w:r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 xml:space="preserve"> </w:t>
      </w:r>
      <w:r w:rsidRPr="00694F9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lower BMI (objective 2; Figure 4).</w:t>
      </w:r>
      <w:bookmarkEnd w:id="1"/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2379"/>
        <w:gridCol w:w="1363"/>
        <w:gridCol w:w="13"/>
        <w:gridCol w:w="1352"/>
        <w:gridCol w:w="1803"/>
        <w:gridCol w:w="2106"/>
      </w:tblGrid>
      <w:tr w:rsidR="00694F98" w:rsidRPr="00694F98" w14:paraId="7C92A8BA" w14:textId="77777777" w:rsidTr="00422D95">
        <w:trPr>
          <w:trHeight w:val="110"/>
        </w:trPr>
        <w:tc>
          <w:tcPr>
            <w:tcW w:w="1319" w:type="pct"/>
            <w:vMerge w:val="restart"/>
          </w:tcPr>
          <w:bookmarkEnd w:id="2"/>
          <w:bookmarkEnd w:id="3"/>
          <w:p w14:paraId="15B68D03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Outcome </w:t>
            </w:r>
          </w:p>
        </w:tc>
        <w:tc>
          <w:tcPr>
            <w:tcW w:w="756" w:type="pct"/>
            <w:vMerge w:val="restart"/>
          </w:tcPr>
          <w:p w14:paraId="174C624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>BMI before weight loss (kg/m</w:t>
            </w:r>
            <w:r w:rsidRPr="00694F9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757" w:type="pct"/>
            <w:gridSpan w:val="2"/>
            <w:vMerge w:val="restart"/>
          </w:tcPr>
          <w:p w14:paraId="68628AB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>BMI after weight loss (kg/m</w:t>
            </w:r>
            <w:r w:rsidRPr="00694F9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2</w:t>
            </w: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168" w:type="pct"/>
            <w:gridSpan w:val="2"/>
          </w:tcPr>
          <w:p w14:paraId="276F86C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HRs relative to corresponding stable lower </w:t>
            </w:r>
            <w:proofErr w:type="spellStart"/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>BMI</w:t>
            </w:r>
            <w:r w:rsidRPr="00694F98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694F98" w:rsidRPr="00694F98" w14:paraId="66388E34" w14:textId="77777777" w:rsidTr="00422D95">
        <w:trPr>
          <w:trHeight w:val="110"/>
        </w:trPr>
        <w:tc>
          <w:tcPr>
            <w:tcW w:w="1319" w:type="pct"/>
            <w:vMerge/>
          </w:tcPr>
          <w:p w14:paraId="215FF45D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pct"/>
            <w:vMerge/>
          </w:tcPr>
          <w:p w14:paraId="792E52F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pct"/>
            <w:gridSpan w:val="2"/>
            <w:vMerge/>
          </w:tcPr>
          <w:p w14:paraId="013112D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0" w:type="pct"/>
          </w:tcPr>
          <w:p w14:paraId="52AC7E9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>Risk before weight loss, HR (95% CI)</w:t>
            </w:r>
          </w:p>
        </w:tc>
        <w:tc>
          <w:tcPr>
            <w:tcW w:w="1168" w:type="pct"/>
          </w:tcPr>
          <w:p w14:paraId="3E80974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>Risk after weight loss, HR (95% CI)</w:t>
            </w:r>
          </w:p>
        </w:tc>
      </w:tr>
      <w:tr w:rsidR="00694F98" w:rsidRPr="00694F98" w14:paraId="44BC6865" w14:textId="77777777" w:rsidTr="00422D95">
        <w:trPr>
          <w:trHeight w:val="249"/>
        </w:trPr>
        <w:tc>
          <w:tcPr>
            <w:tcW w:w="1319" w:type="pct"/>
          </w:tcPr>
          <w:p w14:paraId="22B4540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>T2D</w:t>
            </w:r>
          </w:p>
        </w:tc>
        <w:tc>
          <w:tcPr>
            <w:tcW w:w="756" w:type="pct"/>
          </w:tcPr>
          <w:p w14:paraId="7B097DE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7" w:type="pct"/>
            <w:gridSpan w:val="2"/>
          </w:tcPr>
          <w:p w14:paraId="362F87B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58775DD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1.84 (1.82–1.86)</w:t>
            </w:r>
          </w:p>
        </w:tc>
        <w:tc>
          <w:tcPr>
            <w:tcW w:w="1168" w:type="pct"/>
          </w:tcPr>
          <w:p w14:paraId="7658B8F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1.11 (1.06–1.17)</w:t>
            </w:r>
          </w:p>
        </w:tc>
      </w:tr>
      <w:tr w:rsidR="00694F98" w:rsidRPr="00694F98" w14:paraId="758A8751" w14:textId="77777777" w:rsidTr="00422D95">
        <w:trPr>
          <w:trHeight w:val="249"/>
        </w:trPr>
        <w:tc>
          <w:tcPr>
            <w:tcW w:w="1319" w:type="pct"/>
          </w:tcPr>
          <w:p w14:paraId="0AFDB8F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6" w:type="pct"/>
          </w:tcPr>
          <w:p w14:paraId="42AEBAF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7" w:type="pct"/>
            <w:gridSpan w:val="2"/>
          </w:tcPr>
          <w:p w14:paraId="4448907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2EDC1308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1.58 (1.56–1.60)</w:t>
            </w:r>
          </w:p>
        </w:tc>
        <w:tc>
          <w:tcPr>
            <w:tcW w:w="1168" w:type="pct"/>
          </w:tcPr>
          <w:p w14:paraId="4BD2EAE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0.93 (0.89–0.98)</w:t>
            </w:r>
          </w:p>
        </w:tc>
      </w:tr>
      <w:tr w:rsidR="00694F98" w:rsidRPr="00694F98" w14:paraId="6BEA134C" w14:textId="77777777" w:rsidTr="00422D95">
        <w:trPr>
          <w:trHeight w:val="249"/>
        </w:trPr>
        <w:tc>
          <w:tcPr>
            <w:tcW w:w="1319" w:type="pct"/>
          </w:tcPr>
          <w:p w14:paraId="5E7621BD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6" w:type="pct"/>
          </w:tcPr>
          <w:p w14:paraId="74F93E7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7" w:type="pct"/>
            <w:gridSpan w:val="2"/>
          </w:tcPr>
          <w:p w14:paraId="18DEC0F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349D73E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1.28 (1.25–1.32)</w:t>
            </w:r>
          </w:p>
        </w:tc>
        <w:tc>
          <w:tcPr>
            <w:tcW w:w="1168" w:type="pct"/>
          </w:tcPr>
          <w:p w14:paraId="1774839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0.78 (0.73–0.84)</w:t>
            </w:r>
          </w:p>
        </w:tc>
      </w:tr>
      <w:tr w:rsidR="00694F98" w:rsidRPr="00694F98" w14:paraId="0E1CF5A8" w14:textId="77777777" w:rsidTr="00422D95">
        <w:trPr>
          <w:trHeight w:val="249"/>
        </w:trPr>
        <w:tc>
          <w:tcPr>
            <w:tcW w:w="1319" w:type="pct"/>
          </w:tcPr>
          <w:p w14:paraId="0DF32EB8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Asthma </w:t>
            </w:r>
          </w:p>
        </w:tc>
        <w:tc>
          <w:tcPr>
            <w:tcW w:w="763" w:type="pct"/>
            <w:gridSpan w:val="2"/>
          </w:tcPr>
          <w:p w14:paraId="4553EFB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0" w:type="pct"/>
          </w:tcPr>
          <w:p w14:paraId="4020BD30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4306B5A0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1.19 (1.17–1.22)</w:t>
            </w:r>
          </w:p>
        </w:tc>
        <w:tc>
          <w:tcPr>
            <w:tcW w:w="1168" w:type="pct"/>
          </w:tcPr>
          <w:p w14:paraId="7372972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0.94 (0.87–1.02)</w:t>
            </w:r>
          </w:p>
        </w:tc>
      </w:tr>
      <w:tr w:rsidR="00694F98" w:rsidRPr="00694F98" w14:paraId="01FB7859" w14:textId="77777777" w:rsidTr="00422D95">
        <w:trPr>
          <w:trHeight w:val="249"/>
        </w:trPr>
        <w:tc>
          <w:tcPr>
            <w:tcW w:w="1319" w:type="pct"/>
          </w:tcPr>
          <w:p w14:paraId="0808DCB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5708122D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0" w:type="pct"/>
          </w:tcPr>
          <w:p w14:paraId="6BAE1CF0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1199262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1.12 (1.09–1.15)</w:t>
            </w:r>
          </w:p>
        </w:tc>
        <w:tc>
          <w:tcPr>
            <w:tcW w:w="1168" w:type="pct"/>
          </w:tcPr>
          <w:p w14:paraId="3B59E03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0.92 (0.84–1.00)</w:t>
            </w:r>
          </w:p>
        </w:tc>
      </w:tr>
      <w:tr w:rsidR="00694F98" w:rsidRPr="00694F98" w14:paraId="18EBCB16" w14:textId="77777777" w:rsidTr="00422D95">
        <w:trPr>
          <w:trHeight w:val="249"/>
        </w:trPr>
        <w:tc>
          <w:tcPr>
            <w:tcW w:w="1319" w:type="pct"/>
          </w:tcPr>
          <w:p w14:paraId="2744A40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0F568FF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0" w:type="pct"/>
          </w:tcPr>
          <w:p w14:paraId="06DEEB2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30EEFB0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1.03 (0.97–1.09)</w:t>
            </w:r>
          </w:p>
        </w:tc>
        <w:tc>
          <w:tcPr>
            <w:tcW w:w="1168" w:type="pct"/>
          </w:tcPr>
          <w:p w14:paraId="5B20EB3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0.90 (0.79–1.02)</w:t>
            </w:r>
          </w:p>
        </w:tc>
      </w:tr>
      <w:tr w:rsidR="00694F98" w:rsidRPr="00694F98" w14:paraId="58C6E0BD" w14:textId="77777777" w:rsidTr="00422D95">
        <w:trPr>
          <w:trHeight w:val="249"/>
        </w:trPr>
        <w:tc>
          <w:tcPr>
            <w:tcW w:w="1319" w:type="pct"/>
          </w:tcPr>
          <w:p w14:paraId="28DAD06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Sleep apnoea </w:t>
            </w:r>
          </w:p>
        </w:tc>
        <w:tc>
          <w:tcPr>
            <w:tcW w:w="763" w:type="pct"/>
            <w:gridSpan w:val="2"/>
          </w:tcPr>
          <w:p w14:paraId="6D78D45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0" w:type="pct"/>
          </w:tcPr>
          <w:p w14:paraId="4F778CF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38679468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2.11 (2.06–2.17)</w:t>
            </w:r>
          </w:p>
        </w:tc>
        <w:tc>
          <w:tcPr>
            <w:tcW w:w="1168" w:type="pct"/>
          </w:tcPr>
          <w:p w14:paraId="78B527D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1.21 (1.09–1.34)</w:t>
            </w:r>
          </w:p>
        </w:tc>
      </w:tr>
      <w:tr w:rsidR="00694F98" w:rsidRPr="00694F98" w14:paraId="3204B06E" w14:textId="77777777" w:rsidTr="00422D95">
        <w:trPr>
          <w:trHeight w:val="249"/>
        </w:trPr>
        <w:tc>
          <w:tcPr>
            <w:tcW w:w="1319" w:type="pct"/>
          </w:tcPr>
          <w:p w14:paraId="60A886F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3C4E25B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0" w:type="pct"/>
          </w:tcPr>
          <w:p w14:paraId="1D0AC178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40ACCB1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1.96 (1.92–2.01)</w:t>
            </w:r>
          </w:p>
        </w:tc>
        <w:tc>
          <w:tcPr>
            <w:tcW w:w="1168" w:type="pct"/>
          </w:tcPr>
          <w:p w14:paraId="3FF841E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1.19 (1.10–1.29)</w:t>
            </w:r>
          </w:p>
        </w:tc>
      </w:tr>
      <w:tr w:rsidR="00694F98" w:rsidRPr="00694F98" w14:paraId="510940DA" w14:textId="77777777" w:rsidTr="00422D95">
        <w:trPr>
          <w:trHeight w:val="249"/>
        </w:trPr>
        <w:tc>
          <w:tcPr>
            <w:tcW w:w="1319" w:type="pct"/>
          </w:tcPr>
          <w:p w14:paraId="78F13550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58973798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0" w:type="pct"/>
          </w:tcPr>
          <w:p w14:paraId="3C3CB40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7FD393B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1.75 (1.67–1.83)</w:t>
            </w:r>
          </w:p>
        </w:tc>
        <w:tc>
          <w:tcPr>
            <w:tcW w:w="1168" w:type="pct"/>
          </w:tcPr>
          <w:p w14:paraId="72D784A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1.16 (1.06–1.28)</w:t>
            </w:r>
          </w:p>
        </w:tc>
      </w:tr>
      <w:tr w:rsidR="00694F98" w:rsidRPr="00694F98" w14:paraId="2FC57516" w14:textId="77777777" w:rsidTr="00422D95">
        <w:trPr>
          <w:trHeight w:val="249"/>
        </w:trPr>
        <w:tc>
          <w:tcPr>
            <w:tcW w:w="1319" w:type="pct"/>
          </w:tcPr>
          <w:p w14:paraId="6B09D5F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Hip/knee osteoarthritis </w:t>
            </w:r>
          </w:p>
        </w:tc>
        <w:tc>
          <w:tcPr>
            <w:tcW w:w="763" w:type="pct"/>
            <w:gridSpan w:val="2"/>
          </w:tcPr>
          <w:p w14:paraId="73625EB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0" w:type="pct"/>
          </w:tcPr>
          <w:p w14:paraId="1FD8613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4B16EAAD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1.37 (1.35–1.39)</w:t>
            </w:r>
          </w:p>
        </w:tc>
        <w:tc>
          <w:tcPr>
            <w:tcW w:w="1168" w:type="pct"/>
          </w:tcPr>
          <w:p w14:paraId="4935CB4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1.19 (1.13–1.25)</w:t>
            </w:r>
          </w:p>
        </w:tc>
      </w:tr>
      <w:tr w:rsidR="00694F98" w:rsidRPr="00694F98" w14:paraId="3F6C9827" w14:textId="77777777" w:rsidTr="00422D95">
        <w:trPr>
          <w:trHeight w:val="249"/>
        </w:trPr>
        <w:tc>
          <w:tcPr>
            <w:tcW w:w="1319" w:type="pct"/>
          </w:tcPr>
          <w:p w14:paraId="4529893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65829E2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0" w:type="pct"/>
          </w:tcPr>
          <w:p w14:paraId="5EF9684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212325A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1.28 (1.26–1.31)</w:t>
            </w:r>
          </w:p>
        </w:tc>
        <w:tc>
          <w:tcPr>
            <w:tcW w:w="1168" w:type="pct"/>
          </w:tcPr>
          <w:p w14:paraId="5C68E6D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1.17 (1.11–1.23)</w:t>
            </w:r>
          </w:p>
        </w:tc>
      </w:tr>
      <w:tr w:rsidR="00694F98" w:rsidRPr="00694F98" w14:paraId="0FAF36D1" w14:textId="77777777" w:rsidTr="00422D95">
        <w:trPr>
          <w:trHeight w:val="249"/>
        </w:trPr>
        <w:tc>
          <w:tcPr>
            <w:tcW w:w="1319" w:type="pct"/>
          </w:tcPr>
          <w:p w14:paraId="4415E60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1726C74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0" w:type="pct"/>
          </w:tcPr>
          <w:p w14:paraId="45B6D63D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1245C2E5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1.17 (1.13–1.22)</w:t>
            </w:r>
          </w:p>
        </w:tc>
        <w:tc>
          <w:tcPr>
            <w:tcW w:w="1168" w:type="pct"/>
          </w:tcPr>
          <w:p w14:paraId="195291C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1.15 (1.07–1.24)</w:t>
            </w:r>
          </w:p>
        </w:tc>
      </w:tr>
      <w:tr w:rsidR="00694F98" w:rsidRPr="00694F98" w14:paraId="3C75699B" w14:textId="77777777" w:rsidTr="00422D95">
        <w:trPr>
          <w:trHeight w:val="249"/>
        </w:trPr>
        <w:tc>
          <w:tcPr>
            <w:tcW w:w="1319" w:type="pct"/>
          </w:tcPr>
          <w:p w14:paraId="4FD6BA4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Heart failure </w:t>
            </w:r>
          </w:p>
        </w:tc>
        <w:tc>
          <w:tcPr>
            <w:tcW w:w="763" w:type="pct"/>
            <w:gridSpan w:val="2"/>
          </w:tcPr>
          <w:p w14:paraId="7BB430A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0" w:type="pct"/>
          </w:tcPr>
          <w:p w14:paraId="4ABB0C6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04D7729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1.39 (1.36–1.42)</w:t>
            </w:r>
          </w:p>
        </w:tc>
        <w:tc>
          <w:tcPr>
            <w:tcW w:w="1168" w:type="pct"/>
          </w:tcPr>
          <w:p w14:paraId="58547E1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1.50 (1.40–1.60)</w:t>
            </w:r>
          </w:p>
        </w:tc>
      </w:tr>
      <w:tr w:rsidR="00694F98" w:rsidRPr="00694F98" w14:paraId="0D08E3CE" w14:textId="77777777" w:rsidTr="00422D95">
        <w:trPr>
          <w:trHeight w:val="249"/>
        </w:trPr>
        <w:tc>
          <w:tcPr>
            <w:tcW w:w="1319" w:type="pct"/>
          </w:tcPr>
          <w:p w14:paraId="7F613CD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5067122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0" w:type="pct"/>
          </w:tcPr>
          <w:p w14:paraId="1D2FBE6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4BA9432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1.41 (1.38–1.45)</w:t>
            </w:r>
          </w:p>
        </w:tc>
        <w:tc>
          <w:tcPr>
            <w:tcW w:w="1168" w:type="pct"/>
          </w:tcPr>
          <w:p w14:paraId="3781E3B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1.40 (1.31–1.50)</w:t>
            </w:r>
          </w:p>
        </w:tc>
      </w:tr>
      <w:tr w:rsidR="00694F98" w:rsidRPr="00694F98" w14:paraId="56E424DD" w14:textId="77777777" w:rsidTr="00422D95">
        <w:trPr>
          <w:trHeight w:val="249"/>
        </w:trPr>
        <w:tc>
          <w:tcPr>
            <w:tcW w:w="1319" w:type="pct"/>
          </w:tcPr>
          <w:p w14:paraId="29181BE5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1CF2F3A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0" w:type="pct"/>
          </w:tcPr>
          <w:p w14:paraId="2F7A819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09C99C7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1.43 (1.35–1.51)</w:t>
            </w:r>
          </w:p>
        </w:tc>
        <w:tc>
          <w:tcPr>
            <w:tcW w:w="1168" w:type="pct"/>
          </w:tcPr>
          <w:p w14:paraId="1683BC8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1.32 (1.19–1.45)</w:t>
            </w:r>
          </w:p>
        </w:tc>
      </w:tr>
      <w:tr w:rsidR="00694F98" w:rsidRPr="00694F98" w14:paraId="0854E2AD" w14:textId="77777777" w:rsidTr="00422D95">
        <w:trPr>
          <w:trHeight w:val="249"/>
        </w:trPr>
        <w:tc>
          <w:tcPr>
            <w:tcW w:w="1319" w:type="pct"/>
          </w:tcPr>
          <w:p w14:paraId="0967175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>CKD</w:t>
            </w:r>
          </w:p>
        </w:tc>
        <w:tc>
          <w:tcPr>
            <w:tcW w:w="763" w:type="pct"/>
            <w:gridSpan w:val="2"/>
          </w:tcPr>
          <w:p w14:paraId="52F825E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0" w:type="pct"/>
          </w:tcPr>
          <w:p w14:paraId="14D2BD9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73C076A3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1.09 (1.08–1.11)</w:t>
            </w:r>
          </w:p>
        </w:tc>
        <w:tc>
          <w:tcPr>
            <w:tcW w:w="1168" w:type="pct"/>
          </w:tcPr>
          <w:p w14:paraId="3994462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0.98 (0.94–1.02)</w:t>
            </w:r>
          </w:p>
        </w:tc>
      </w:tr>
      <w:tr w:rsidR="00694F98" w:rsidRPr="00694F98" w14:paraId="23ABD9B9" w14:textId="77777777" w:rsidTr="00422D95">
        <w:trPr>
          <w:trHeight w:val="249"/>
        </w:trPr>
        <w:tc>
          <w:tcPr>
            <w:tcW w:w="1319" w:type="pct"/>
          </w:tcPr>
          <w:p w14:paraId="3B88AE6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0597C86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0" w:type="pct"/>
          </w:tcPr>
          <w:p w14:paraId="2AEF5A6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3B6CE6F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1.09 (1.07–1.11)</w:t>
            </w:r>
          </w:p>
        </w:tc>
        <w:tc>
          <w:tcPr>
            <w:tcW w:w="1168" w:type="pct"/>
          </w:tcPr>
          <w:p w14:paraId="5BE60DC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0.94 (0.90–0.99)</w:t>
            </w:r>
          </w:p>
        </w:tc>
      </w:tr>
      <w:tr w:rsidR="00694F98" w:rsidRPr="00694F98" w14:paraId="268858C6" w14:textId="77777777" w:rsidTr="00422D95">
        <w:trPr>
          <w:trHeight w:val="249"/>
        </w:trPr>
        <w:tc>
          <w:tcPr>
            <w:tcW w:w="1319" w:type="pct"/>
          </w:tcPr>
          <w:p w14:paraId="12CC51C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436AAC7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0" w:type="pct"/>
          </w:tcPr>
          <w:p w14:paraId="6E6640C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63CF979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1.07 (1.03–1.11)</w:t>
            </w:r>
          </w:p>
        </w:tc>
        <w:tc>
          <w:tcPr>
            <w:tcW w:w="1168" w:type="pct"/>
          </w:tcPr>
          <w:p w14:paraId="2DF837F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0.91 (0.85–0.98)</w:t>
            </w:r>
          </w:p>
        </w:tc>
      </w:tr>
      <w:tr w:rsidR="00694F98" w:rsidRPr="00694F98" w14:paraId="4A9816C7" w14:textId="77777777" w:rsidTr="00422D95">
        <w:trPr>
          <w:trHeight w:val="249"/>
        </w:trPr>
        <w:tc>
          <w:tcPr>
            <w:tcW w:w="1319" w:type="pct"/>
          </w:tcPr>
          <w:p w14:paraId="57C26D6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Hypertension </w:t>
            </w:r>
          </w:p>
        </w:tc>
        <w:tc>
          <w:tcPr>
            <w:tcW w:w="763" w:type="pct"/>
            <w:gridSpan w:val="2"/>
          </w:tcPr>
          <w:p w14:paraId="58ED1C6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0" w:type="pct"/>
          </w:tcPr>
          <w:p w14:paraId="1B689163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159E4C3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1.27 (1.26–1.28)</w:t>
            </w:r>
          </w:p>
        </w:tc>
        <w:tc>
          <w:tcPr>
            <w:tcW w:w="1168" w:type="pct"/>
          </w:tcPr>
          <w:p w14:paraId="74DFD91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0.98 (0.95–1.02)</w:t>
            </w:r>
          </w:p>
        </w:tc>
      </w:tr>
      <w:tr w:rsidR="00694F98" w:rsidRPr="00694F98" w14:paraId="525C90A8" w14:textId="77777777" w:rsidTr="00422D95">
        <w:trPr>
          <w:trHeight w:val="249"/>
        </w:trPr>
        <w:tc>
          <w:tcPr>
            <w:tcW w:w="1319" w:type="pct"/>
          </w:tcPr>
          <w:p w14:paraId="47AEBED0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15DB0855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0" w:type="pct"/>
          </w:tcPr>
          <w:p w14:paraId="0EDB6565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11CD963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1.21 (1.19–1.23)</w:t>
            </w:r>
          </w:p>
        </w:tc>
        <w:tc>
          <w:tcPr>
            <w:tcW w:w="1168" w:type="pct"/>
          </w:tcPr>
          <w:p w14:paraId="1709144D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0.95 (0.91–0.99)</w:t>
            </w:r>
          </w:p>
        </w:tc>
      </w:tr>
      <w:tr w:rsidR="00694F98" w:rsidRPr="00694F98" w14:paraId="5E3C7BD4" w14:textId="77777777" w:rsidTr="00422D95">
        <w:trPr>
          <w:trHeight w:val="249"/>
        </w:trPr>
        <w:tc>
          <w:tcPr>
            <w:tcW w:w="1319" w:type="pct"/>
          </w:tcPr>
          <w:p w14:paraId="4426703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11AB0EF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0" w:type="pct"/>
          </w:tcPr>
          <w:p w14:paraId="6A6A340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075A0A7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1.13 (1.10–1.16)</w:t>
            </w:r>
          </w:p>
        </w:tc>
        <w:tc>
          <w:tcPr>
            <w:tcW w:w="1168" w:type="pct"/>
          </w:tcPr>
          <w:p w14:paraId="24514E7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0.92 (0.87–0.98)</w:t>
            </w:r>
          </w:p>
        </w:tc>
      </w:tr>
      <w:tr w:rsidR="00694F98" w:rsidRPr="00694F98" w14:paraId="29A1F2D3" w14:textId="77777777" w:rsidTr="00422D95">
        <w:trPr>
          <w:trHeight w:val="249"/>
        </w:trPr>
        <w:tc>
          <w:tcPr>
            <w:tcW w:w="1319" w:type="pct"/>
          </w:tcPr>
          <w:p w14:paraId="5167683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Dyslipidaemia </w:t>
            </w:r>
          </w:p>
        </w:tc>
        <w:tc>
          <w:tcPr>
            <w:tcW w:w="763" w:type="pct"/>
            <w:gridSpan w:val="2"/>
          </w:tcPr>
          <w:p w14:paraId="07166EB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0" w:type="pct"/>
          </w:tcPr>
          <w:p w14:paraId="02A1F65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1A74204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1.14 (1.14–1.15)</w:t>
            </w:r>
          </w:p>
        </w:tc>
        <w:tc>
          <w:tcPr>
            <w:tcW w:w="1168" w:type="pct"/>
          </w:tcPr>
          <w:p w14:paraId="74061D60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0.93 (0.90–0.96)</w:t>
            </w:r>
          </w:p>
        </w:tc>
      </w:tr>
      <w:tr w:rsidR="00694F98" w:rsidRPr="00694F98" w14:paraId="70892701" w14:textId="77777777" w:rsidTr="00422D95">
        <w:trPr>
          <w:trHeight w:val="249"/>
        </w:trPr>
        <w:tc>
          <w:tcPr>
            <w:tcW w:w="1319" w:type="pct"/>
          </w:tcPr>
          <w:p w14:paraId="44ED4160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5CF1C69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0" w:type="pct"/>
          </w:tcPr>
          <w:p w14:paraId="425D142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07DA1E7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1.09 (1.07–1.10)</w:t>
            </w:r>
          </w:p>
        </w:tc>
        <w:tc>
          <w:tcPr>
            <w:tcW w:w="1168" w:type="pct"/>
          </w:tcPr>
          <w:p w14:paraId="55CE9078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0.88 (0.85–0.91)</w:t>
            </w:r>
          </w:p>
        </w:tc>
      </w:tr>
      <w:tr w:rsidR="00694F98" w:rsidRPr="00694F98" w14:paraId="1DA191C7" w14:textId="77777777" w:rsidTr="00422D95">
        <w:trPr>
          <w:trHeight w:val="249"/>
        </w:trPr>
        <w:tc>
          <w:tcPr>
            <w:tcW w:w="1319" w:type="pct"/>
          </w:tcPr>
          <w:p w14:paraId="58AA424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16BD93C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0" w:type="pct"/>
          </w:tcPr>
          <w:p w14:paraId="01DC22E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75339BF5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1.01 (0.99–1.04)</w:t>
            </w:r>
          </w:p>
        </w:tc>
        <w:tc>
          <w:tcPr>
            <w:tcW w:w="1168" w:type="pct"/>
          </w:tcPr>
          <w:p w14:paraId="57F2EE01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0.83 (0.79–0.88)</w:t>
            </w:r>
          </w:p>
        </w:tc>
      </w:tr>
      <w:tr w:rsidR="00694F98" w:rsidRPr="00694F98" w14:paraId="077A0C2B" w14:textId="77777777" w:rsidTr="00422D95">
        <w:trPr>
          <w:trHeight w:val="249"/>
        </w:trPr>
        <w:tc>
          <w:tcPr>
            <w:tcW w:w="1319" w:type="pct"/>
          </w:tcPr>
          <w:p w14:paraId="5A624AF8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Atrial fibrillation </w:t>
            </w:r>
          </w:p>
        </w:tc>
        <w:tc>
          <w:tcPr>
            <w:tcW w:w="763" w:type="pct"/>
            <w:gridSpan w:val="2"/>
          </w:tcPr>
          <w:p w14:paraId="07E2F778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0" w:type="pct"/>
          </w:tcPr>
          <w:p w14:paraId="293C753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0F6A52F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1.38 (1.35–1.40)</w:t>
            </w:r>
          </w:p>
        </w:tc>
        <w:tc>
          <w:tcPr>
            <w:tcW w:w="1168" w:type="pct"/>
          </w:tcPr>
          <w:p w14:paraId="7CFCC0B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1.46 (1.38–1.55)</w:t>
            </w:r>
          </w:p>
        </w:tc>
      </w:tr>
      <w:tr w:rsidR="00694F98" w:rsidRPr="00694F98" w14:paraId="75331548" w14:textId="77777777" w:rsidTr="00422D95">
        <w:trPr>
          <w:trHeight w:val="249"/>
        </w:trPr>
        <w:tc>
          <w:tcPr>
            <w:tcW w:w="1319" w:type="pct"/>
          </w:tcPr>
          <w:p w14:paraId="70317F7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35F3309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0" w:type="pct"/>
          </w:tcPr>
          <w:p w14:paraId="4D9C44E8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7F0C64A0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1.44 (1.41–1.47)</w:t>
            </w:r>
          </w:p>
        </w:tc>
        <w:tc>
          <w:tcPr>
            <w:tcW w:w="1168" w:type="pct"/>
          </w:tcPr>
          <w:p w14:paraId="197D40F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1.41 (1.33–1.50)</w:t>
            </w:r>
          </w:p>
        </w:tc>
      </w:tr>
      <w:tr w:rsidR="00694F98" w:rsidRPr="00694F98" w14:paraId="04920A24" w14:textId="77777777" w:rsidTr="00422D95">
        <w:trPr>
          <w:trHeight w:val="249"/>
        </w:trPr>
        <w:tc>
          <w:tcPr>
            <w:tcW w:w="1319" w:type="pct"/>
          </w:tcPr>
          <w:p w14:paraId="43C4502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5D44090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0" w:type="pct"/>
          </w:tcPr>
          <w:p w14:paraId="161B9DCD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3C817AC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1.50 (1.43–1.57)</w:t>
            </w:r>
          </w:p>
        </w:tc>
        <w:tc>
          <w:tcPr>
            <w:tcW w:w="1168" w:type="pct"/>
          </w:tcPr>
          <w:p w14:paraId="4E5095DC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1.37 (1.26–1.49)</w:t>
            </w:r>
          </w:p>
        </w:tc>
      </w:tr>
      <w:tr w:rsidR="00694F98" w:rsidRPr="00694F98" w14:paraId="3CF0E9D5" w14:textId="77777777" w:rsidTr="00422D95">
        <w:trPr>
          <w:trHeight w:val="249"/>
        </w:trPr>
        <w:tc>
          <w:tcPr>
            <w:tcW w:w="1319" w:type="pct"/>
          </w:tcPr>
          <w:p w14:paraId="719BCC29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Unstable angina/MI </w:t>
            </w:r>
          </w:p>
        </w:tc>
        <w:tc>
          <w:tcPr>
            <w:tcW w:w="763" w:type="pct"/>
            <w:gridSpan w:val="2"/>
          </w:tcPr>
          <w:p w14:paraId="00F42CD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50" w:type="pct"/>
          </w:tcPr>
          <w:p w14:paraId="326A10B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30.5</w:t>
            </w:r>
          </w:p>
        </w:tc>
        <w:tc>
          <w:tcPr>
            <w:tcW w:w="1000" w:type="pct"/>
          </w:tcPr>
          <w:p w14:paraId="2A114FE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1.06 (1.04–1.09)</w:t>
            </w:r>
          </w:p>
        </w:tc>
        <w:tc>
          <w:tcPr>
            <w:tcW w:w="1168" w:type="pct"/>
          </w:tcPr>
          <w:p w14:paraId="7532E7B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0.99 (0.92–1.07)</w:t>
            </w:r>
          </w:p>
        </w:tc>
      </w:tr>
      <w:tr w:rsidR="00694F98" w:rsidRPr="00694F98" w14:paraId="71790556" w14:textId="77777777" w:rsidTr="00422D95">
        <w:trPr>
          <w:trHeight w:val="249"/>
        </w:trPr>
        <w:tc>
          <w:tcPr>
            <w:tcW w:w="1319" w:type="pct"/>
          </w:tcPr>
          <w:p w14:paraId="01475A0A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2955D3F4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50" w:type="pct"/>
          </w:tcPr>
          <w:p w14:paraId="5CB0F27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000" w:type="pct"/>
          </w:tcPr>
          <w:p w14:paraId="0B526E6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1.03 (1.00–1.07)</w:t>
            </w:r>
          </w:p>
        </w:tc>
        <w:tc>
          <w:tcPr>
            <w:tcW w:w="1168" w:type="pct"/>
          </w:tcPr>
          <w:p w14:paraId="746212D2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1.05 (0.97–1.14)</w:t>
            </w:r>
          </w:p>
        </w:tc>
      </w:tr>
      <w:tr w:rsidR="00694F98" w:rsidRPr="00694F98" w14:paraId="5A3F2691" w14:textId="77777777" w:rsidTr="00422D95">
        <w:trPr>
          <w:trHeight w:val="249"/>
        </w:trPr>
        <w:tc>
          <w:tcPr>
            <w:tcW w:w="1319" w:type="pct"/>
          </w:tcPr>
          <w:p w14:paraId="4ACEA89B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3" w:type="pct"/>
            <w:gridSpan w:val="2"/>
          </w:tcPr>
          <w:p w14:paraId="75271F97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50" w:type="pct"/>
          </w:tcPr>
          <w:p w14:paraId="78F3E986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1000" w:type="pct"/>
          </w:tcPr>
          <w:p w14:paraId="4052BBAE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0.99 (0.93–1.06)</w:t>
            </w:r>
          </w:p>
        </w:tc>
        <w:tc>
          <w:tcPr>
            <w:tcW w:w="1168" w:type="pct"/>
          </w:tcPr>
          <w:p w14:paraId="40F6E1BF" w14:textId="77777777" w:rsidR="00694F98" w:rsidRPr="00694F98" w:rsidRDefault="00694F98" w:rsidP="00694F98">
            <w:pPr>
              <w:autoSpaceDE w:val="0"/>
              <w:autoSpaceDN w:val="0"/>
              <w:adjustRightInd w:val="0"/>
              <w:spacing w:before="4" w:after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F98">
              <w:rPr>
                <w:rFonts w:ascii="Times New Roman" w:hAnsi="Times New Roman" w:cs="Times New Roman"/>
                <w:color w:val="000000"/>
              </w:rPr>
              <w:t>1.12 (1.00–1.26)</w:t>
            </w:r>
          </w:p>
        </w:tc>
      </w:tr>
    </w:tbl>
    <w:bookmarkEnd w:id="4"/>
    <w:p w14:paraId="43B75BC5" w14:textId="77777777" w:rsidR="00694F98" w:rsidRPr="00694F98" w:rsidRDefault="00694F98" w:rsidP="00694F9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proofErr w:type="spellStart"/>
      <w:r w:rsidRPr="00694F9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a</w:t>
      </w:r>
      <w:r w:rsidRPr="00694F98">
        <w:rPr>
          <w:rFonts w:ascii="Times New Roman" w:eastAsia="Times New Roman" w:hAnsi="Times New Roman" w:cs="Times New Roman"/>
          <w:sz w:val="20"/>
          <w:szCs w:val="20"/>
          <w:lang w:eastAsia="en-GB"/>
        </w:rPr>
        <w:t>HRs</w:t>
      </w:r>
      <w:proofErr w:type="spellEnd"/>
      <w:r w:rsidRPr="00694F9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are presented relative to individuals with stable BMI of 30.5 kg/m</w:t>
      </w:r>
      <w:r w:rsidRPr="00694F9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2</w:t>
      </w:r>
      <w:r w:rsidRPr="00694F98">
        <w:rPr>
          <w:rFonts w:ascii="Times New Roman" w:eastAsia="Times New Roman" w:hAnsi="Times New Roman" w:cs="Times New Roman"/>
          <w:sz w:val="20"/>
          <w:szCs w:val="20"/>
          <w:lang w:eastAsia="en-GB"/>
        </w:rPr>
        <w:t>, 34.8 kg/m</w:t>
      </w:r>
      <w:r w:rsidRPr="00694F9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2</w:t>
      </w:r>
      <w:r w:rsidRPr="00694F9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or 39.2 kg/m</w:t>
      </w:r>
      <w:r w:rsidRPr="00694F9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2</w:t>
      </w:r>
      <w:r w:rsidRPr="00694F9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respectively (HR = 1.0 [ref]). </w:t>
      </w:r>
    </w:p>
    <w:p w14:paraId="15993D99" w14:textId="0FFB9DC0" w:rsidR="00B71C0B" w:rsidRPr="00694F98" w:rsidRDefault="00694F98" w:rsidP="00694F98">
      <w:pPr>
        <w:rPr>
          <w:sz w:val="20"/>
          <w:szCs w:val="20"/>
        </w:rPr>
      </w:pPr>
      <w:r w:rsidRPr="00694F98">
        <w:rPr>
          <w:rFonts w:ascii="Times New Roman" w:eastAsia="Times New Roman" w:hAnsi="Times New Roman" w:cs="Times New Roman"/>
          <w:sz w:val="20"/>
          <w:szCs w:val="20"/>
          <w:lang w:eastAsia="en-GB"/>
        </w:rPr>
        <w:t>BMI, body mass index; CI, confidence interval; CKD, chronic kidney disease; HR, hazard ratio; MI, myocardial infarction; T2D, type 2 diabetes</w:t>
      </w:r>
      <w:r w:rsidR="00934EED" w:rsidRPr="00694F98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sectPr w:rsidR="00B71C0B" w:rsidRPr="00694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88396" w14:textId="77777777" w:rsidR="00A02B0D" w:rsidRDefault="00A02B0D" w:rsidP="00A02B0D">
      <w:pPr>
        <w:spacing w:after="0" w:line="240" w:lineRule="auto"/>
      </w:pPr>
      <w:r>
        <w:separator/>
      </w:r>
    </w:p>
  </w:endnote>
  <w:endnote w:type="continuationSeparator" w:id="0">
    <w:p w14:paraId="2AFBDA54" w14:textId="77777777" w:rsidR="00A02B0D" w:rsidRDefault="00A02B0D" w:rsidP="00A0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38D8C" w14:textId="77777777" w:rsidR="00A02B0D" w:rsidRDefault="00A02B0D" w:rsidP="00A02B0D">
      <w:pPr>
        <w:spacing w:after="0" w:line="240" w:lineRule="auto"/>
      </w:pPr>
      <w:r>
        <w:separator/>
      </w:r>
    </w:p>
  </w:footnote>
  <w:footnote w:type="continuationSeparator" w:id="0">
    <w:p w14:paraId="03D582F5" w14:textId="77777777" w:rsidR="00A02B0D" w:rsidRDefault="00A02B0D" w:rsidP="00A02B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A2"/>
    <w:rsid w:val="00124835"/>
    <w:rsid w:val="001A5FA2"/>
    <w:rsid w:val="00225617"/>
    <w:rsid w:val="00265DAB"/>
    <w:rsid w:val="002A6835"/>
    <w:rsid w:val="002C1C12"/>
    <w:rsid w:val="00327F21"/>
    <w:rsid w:val="0039431B"/>
    <w:rsid w:val="00535FAB"/>
    <w:rsid w:val="005420AC"/>
    <w:rsid w:val="005F5AE4"/>
    <w:rsid w:val="0066695D"/>
    <w:rsid w:val="00694F98"/>
    <w:rsid w:val="006E61A8"/>
    <w:rsid w:val="008303DF"/>
    <w:rsid w:val="00934EED"/>
    <w:rsid w:val="00A02B0D"/>
    <w:rsid w:val="00AF58BF"/>
    <w:rsid w:val="00B35C7E"/>
    <w:rsid w:val="00B71C0B"/>
    <w:rsid w:val="00C41A3D"/>
    <w:rsid w:val="00C8611E"/>
    <w:rsid w:val="00CD3B9C"/>
    <w:rsid w:val="00D81D79"/>
    <w:rsid w:val="00E74B6C"/>
    <w:rsid w:val="00F37D9F"/>
    <w:rsid w:val="00F6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24387"/>
  <w15:chartTrackingRefBased/>
  <w15:docId w15:val="{2089DFFC-ADC9-4A9D-959E-1AAF1BE7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FA2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34EED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94F98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2B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B0D"/>
  </w:style>
  <w:style w:type="paragraph" w:styleId="Footer">
    <w:name w:val="footer"/>
    <w:basedOn w:val="Normal"/>
    <w:link w:val="FooterChar"/>
    <w:uiPriority w:val="99"/>
    <w:unhideWhenUsed/>
    <w:rsid w:val="00A02B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John Findlay</cp:lastModifiedBy>
  <cp:revision>2</cp:revision>
  <dcterms:created xsi:type="dcterms:W3CDTF">2020-07-16T15:43:00Z</dcterms:created>
  <dcterms:modified xsi:type="dcterms:W3CDTF">2020-07-16T15:44:00Z</dcterms:modified>
</cp:coreProperties>
</file>