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5313" w14:textId="7A4139D2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  <w:r w:rsidRPr="005C3C4C">
        <w:rPr>
          <w:rFonts w:ascii="Times New Roman" w:hAnsi="Times New Roman" w:cs="Times New Roman"/>
          <w:b/>
          <w:bCs/>
        </w:rPr>
        <w:t xml:space="preserve">Supplementary Figure </w:t>
      </w:r>
      <w:r w:rsidR="00C72D2C" w:rsidRPr="005C3C4C">
        <w:rPr>
          <w:rFonts w:ascii="Times New Roman" w:hAnsi="Times New Roman" w:cs="Times New Roman"/>
          <w:b/>
          <w:bCs/>
        </w:rPr>
        <w:t xml:space="preserve">and Table </w:t>
      </w:r>
      <w:r w:rsidRPr="005C3C4C">
        <w:rPr>
          <w:rFonts w:ascii="Times New Roman" w:hAnsi="Times New Roman" w:cs="Times New Roman"/>
          <w:b/>
          <w:bCs/>
        </w:rPr>
        <w:t>Legends</w:t>
      </w:r>
    </w:p>
    <w:p w14:paraId="07E1D6AC" w14:textId="26043BA2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  <w:r w:rsidRPr="00D761AA">
        <w:rPr>
          <w:rFonts w:ascii="Times New Roman" w:hAnsi="Times New Roman" w:cs="Times New Roman"/>
          <w:b/>
          <w:bCs/>
        </w:rPr>
        <w:t>Supplementary Figure</w:t>
      </w:r>
      <w:r w:rsidR="006A6FF8" w:rsidRPr="00D761AA">
        <w:rPr>
          <w:rFonts w:ascii="Times New Roman" w:hAnsi="Times New Roman" w:cs="Times New Roman"/>
          <w:b/>
          <w:bCs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1</w:t>
      </w:r>
      <w:r w:rsidR="00FA78C9" w:rsidRPr="00D761AA">
        <w:rPr>
          <w:rFonts w:ascii="Times New Roman" w:hAnsi="Times New Roman" w:cs="Times New Roman"/>
          <w:b/>
          <w:bCs/>
        </w:rPr>
        <w:t>.</w:t>
      </w:r>
      <w:r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(a)</w:t>
      </w:r>
      <w:r w:rsidRPr="00D761AA">
        <w:rPr>
          <w:rFonts w:ascii="Times New Roman" w:hAnsi="Times New Roman" w:cs="Times New Roman"/>
        </w:rPr>
        <w:t xml:space="preserve"> Lipedema patients</w:t>
      </w:r>
      <w:r w:rsidR="006A6FF8" w:rsidRPr="00D761AA">
        <w:rPr>
          <w:rFonts w:ascii="Times New Roman" w:hAnsi="Times New Roman" w:cs="Times New Roman"/>
        </w:rPr>
        <w:t>,</w:t>
      </w:r>
      <w:r w:rsidRPr="00D761AA">
        <w:rPr>
          <w:rFonts w:ascii="Times New Roman" w:hAnsi="Times New Roman" w:cs="Times New Roman"/>
        </w:rPr>
        <w:t xml:space="preserve"> stages I-IV. </w:t>
      </w:r>
      <w:r w:rsidRPr="00D761AA">
        <w:rPr>
          <w:rFonts w:ascii="Times New Roman" w:hAnsi="Times New Roman" w:cs="Times New Roman"/>
          <w:b/>
          <w:bCs/>
        </w:rPr>
        <w:t>(b)</w:t>
      </w:r>
      <w:r w:rsidRPr="00D761AA">
        <w:rPr>
          <w:rFonts w:ascii="Times New Roman" w:hAnsi="Times New Roman" w:cs="Times New Roman"/>
        </w:rPr>
        <w:t xml:space="preserve"> </w:t>
      </w:r>
      <w:r w:rsidR="002B457E" w:rsidRPr="00D761AA">
        <w:rPr>
          <w:rFonts w:ascii="Times New Roman" w:hAnsi="Times New Roman" w:cs="Times New Roman"/>
        </w:rPr>
        <w:t>Multi-dimensional scaling</w:t>
      </w:r>
      <w:r w:rsidR="00025FDA">
        <w:rPr>
          <w:rFonts w:ascii="Times New Roman" w:hAnsi="Times New Roman" w:cs="Times New Roman"/>
        </w:rPr>
        <w:t xml:space="preserve"> </w:t>
      </w:r>
      <w:r w:rsidR="002B457E" w:rsidRPr="00D761AA">
        <w:rPr>
          <w:rFonts w:ascii="Times New Roman" w:hAnsi="Times New Roman" w:cs="Times New Roman"/>
        </w:rPr>
        <w:t>(</w:t>
      </w:r>
      <w:proofErr w:type="spellStart"/>
      <w:r w:rsidR="002B457E" w:rsidRPr="00D761AA">
        <w:rPr>
          <w:rFonts w:ascii="Times New Roman" w:hAnsi="Times New Roman" w:cs="Times New Roman"/>
        </w:rPr>
        <w:t>plotMDS</w:t>
      </w:r>
      <w:proofErr w:type="spellEnd"/>
      <w:r w:rsidR="002B457E" w:rsidRPr="00D761AA">
        <w:rPr>
          <w:rFonts w:ascii="Times New Roman" w:hAnsi="Times New Roman" w:cs="Times New Roman"/>
        </w:rPr>
        <w:t xml:space="preserve"> from </w:t>
      </w:r>
      <w:proofErr w:type="spellStart"/>
      <w:r w:rsidR="002B457E" w:rsidRPr="00D761AA">
        <w:rPr>
          <w:rFonts w:ascii="Times New Roman" w:hAnsi="Times New Roman" w:cs="Times New Roman"/>
        </w:rPr>
        <w:t>limma</w:t>
      </w:r>
      <w:proofErr w:type="spellEnd"/>
      <w:r w:rsidR="002B457E" w:rsidRPr="00D761AA">
        <w:rPr>
          <w:rFonts w:ascii="Times New Roman" w:hAnsi="Times New Roman" w:cs="Times New Roman"/>
        </w:rPr>
        <w:t xml:space="preserve">) </w:t>
      </w:r>
      <w:r w:rsidR="00025FDA" w:rsidRPr="00D761AA">
        <w:rPr>
          <w:rFonts w:ascii="Times New Roman" w:hAnsi="Times New Roman" w:cs="Times New Roman"/>
        </w:rPr>
        <w:t xml:space="preserve">performed </w:t>
      </w:r>
      <w:r w:rsidR="002B457E" w:rsidRPr="00D761AA">
        <w:rPr>
          <w:rFonts w:ascii="Times New Roman" w:hAnsi="Times New Roman" w:cs="Times New Roman"/>
        </w:rPr>
        <w:t xml:space="preserve">from the transcriptomic profiles </w:t>
      </w:r>
      <w:r w:rsidRPr="00D761AA">
        <w:rPr>
          <w:rFonts w:ascii="Times New Roman" w:hAnsi="Times New Roman" w:cs="Times New Roman"/>
        </w:rPr>
        <w:t>of adipose</w:t>
      </w:r>
      <w:r w:rsidRPr="00D761AA">
        <w:rPr>
          <w:rFonts w:ascii="Times New Roman" w:hAnsi="Times New Roman" w:cs="Times New Roman"/>
          <w:u w:val="single"/>
        </w:rPr>
        <w:t xml:space="preserve"> </w:t>
      </w:r>
      <w:r w:rsidRPr="00D761AA">
        <w:rPr>
          <w:rFonts w:ascii="Times New Roman" w:hAnsi="Times New Roman" w:cs="Times New Roman"/>
        </w:rPr>
        <w:t xml:space="preserve">tissue from 8 lipedema (LED18,19,25,26,27,28,31,32) and 4 non-lipedema (non-LED 3,8,10,12) patients indicates differences between lipedema and non-lipedema signatures. </w:t>
      </w:r>
      <w:r w:rsidRPr="00D761AA">
        <w:rPr>
          <w:rFonts w:ascii="Times New Roman" w:hAnsi="Times New Roman" w:cs="Times New Roman"/>
          <w:b/>
          <w:bCs/>
        </w:rPr>
        <w:t>(c)</w:t>
      </w:r>
      <w:r w:rsidRPr="00D761AA">
        <w:rPr>
          <w:rFonts w:ascii="Times New Roman" w:hAnsi="Times New Roman" w:cs="Times New Roman"/>
        </w:rPr>
        <w:t xml:space="preserve"> Functional enrichment analysis of highly </w:t>
      </w:r>
      <w:r w:rsidR="006A6FF8" w:rsidRPr="00D761AA">
        <w:rPr>
          <w:rFonts w:ascii="Times New Roman" w:hAnsi="Times New Roman" w:cs="Times New Roman"/>
        </w:rPr>
        <w:t xml:space="preserve">differentially </w:t>
      </w:r>
      <w:r w:rsidRPr="00D761AA">
        <w:rPr>
          <w:rFonts w:ascii="Times New Roman" w:hAnsi="Times New Roman" w:cs="Times New Roman"/>
        </w:rPr>
        <w:t>regulated genes. Distribution of differentially expressed genes between lipedema and non-lipedema adipose tissues w</w:t>
      </w:r>
      <w:r w:rsidR="00DE5D45" w:rsidRPr="00D761AA">
        <w:rPr>
          <w:rFonts w:ascii="Times New Roman" w:hAnsi="Times New Roman" w:cs="Times New Roman"/>
        </w:rPr>
        <w:t>as</w:t>
      </w:r>
      <w:r w:rsidRPr="00D761AA">
        <w:rPr>
          <w:rFonts w:ascii="Times New Roman" w:hAnsi="Times New Roman" w:cs="Times New Roman"/>
        </w:rPr>
        <w:t xml:space="preserve"> annotated in Gene ontology (GO) and Cell signalling pathways. Top GO/cell signalling pathways </w:t>
      </w:r>
      <w:r w:rsidR="00DE5D45" w:rsidRPr="00D761AA">
        <w:rPr>
          <w:rFonts w:ascii="Times New Roman" w:hAnsi="Times New Roman" w:cs="Times New Roman"/>
        </w:rPr>
        <w:t xml:space="preserve">were </w:t>
      </w:r>
      <w:r w:rsidRPr="00D761AA">
        <w:rPr>
          <w:rFonts w:ascii="Times New Roman" w:hAnsi="Times New Roman" w:cs="Times New Roman"/>
        </w:rPr>
        <w:t xml:space="preserve">categorised according to </w:t>
      </w:r>
      <w:proofErr w:type="spellStart"/>
      <w:r w:rsidRPr="00D761AA">
        <w:rPr>
          <w:rFonts w:ascii="Times New Roman" w:hAnsi="Times New Roman" w:cs="Times New Roman"/>
        </w:rPr>
        <w:t>logFold</w:t>
      </w:r>
      <w:proofErr w:type="spellEnd"/>
      <w:r w:rsidRPr="00D761AA">
        <w:rPr>
          <w:rFonts w:ascii="Times New Roman" w:hAnsi="Times New Roman" w:cs="Times New Roman"/>
        </w:rPr>
        <w:t xml:space="preserve"> change and </w:t>
      </w:r>
      <w:proofErr w:type="spellStart"/>
      <w:r w:rsidRPr="00D761AA">
        <w:rPr>
          <w:rFonts w:ascii="Times New Roman" w:hAnsi="Times New Roman" w:cs="Times New Roman"/>
        </w:rPr>
        <w:t>pValue</w:t>
      </w:r>
      <w:proofErr w:type="spellEnd"/>
      <w:r w:rsidRPr="00D761AA">
        <w:rPr>
          <w:rFonts w:ascii="Times New Roman" w:hAnsi="Times New Roman" w:cs="Times New Roman"/>
        </w:rPr>
        <w:t xml:space="preserve"> significance (-log10(</w:t>
      </w:r>
      <w:proofErr w:type="spellStart"/>
      <w:proofErr w:type="gramStart"/>
      <w:r w:rsidRPr="00D761AA">
        <w:rPr>
          <w:rFonts w:ascii="Times New Roman" w:hAnsi="Times New Roman" w:cs="Times New Roman"/>
        </w:rPr>
        <w:t>adj.P</w:t>
      </w:r>
      <w:proofErr w:type="spellEnd"/>
      <w:proofErr w:type="gramEnd"/>
      <w:r w:rsidRPr="00D761AA">
        <w:rPr>
          <w:rFonts w:ascii="Times New Roman" w:hAnsi="Times New Roman" w:cs="Times New Roman"/>
        </w:rPr>
        <w:t xml:space="preserve">)). </w:t>
      </w:r>
      <w:r w:rsidRPr="00D761AA">
        <w:rPr>
          <w:rFonts w:ascii="Times New Roman" w:hAnsi="Times New Roman" w:cs="Times New Roman"/>
          <w:b/>
          <w:bCs/>
        </w:rPr>
        <w:t>(d)</w:t>
      </w:r>
      <w:r w:rsidRPr="00D761AA">
        <w:rPr>
          <w:rFonts w:ascii="Times New Roman" w:hAnsi="Times New Roman" w:cs="Times New Roman"/>
        </w:rPr>
        <w:t xml:space="preserve"> Heatmap</w:t>
      </w:r>
      <w:r w:rsidR="006A6FF8" w:rsidRPr="00D761AA">
        <w:rPr>
          <w:rFonts w:ascii="Times New Roman" w:hAnsi="Times New Roman" w:cs="Times New Roman"/>
        </w:rPr>
        <w:t>s</w:t>
      </w:r>
      <w:r w:rsidRPr="00D761AA">
        <w:rPr>
          <w:rFonts w:ascii="Times New Roman" w:hAnsi="Times New Roman" w:cs="Times New Roman"/>
        </w:rPr>
        <w:t xml:space="preserve"> of differential</w:t>
      </w:r>
      <w:r w:rsidR="006A6FF8" w:rsidRPr="00D761AA">
        <w:rPr>
          <w:rFonts w:ascii="Times New Roman" w:hAnsi="Times New Roman" w:cs="Times New Roman"/>
        </w:rPr>
        <w:t>ly</w:t>
      </w:r>
      <w:r w:rsidRPr="00D761AA">
        <w:rPr>
          <w:rFonts w:ascii="Times New Roman" w:hAnsi="Times New Roman" w:cs="Times New Roman"/>
        </w:rPr>
        <w:t xml:space="preserve"> express</w:t>
      </w:r>
      <w:r w:rsidR="006A6FF8" w:rsidRPr="00D761AA">
        <w:rPr>
          <w:rFonts w:ascii="Times New Roman" w:hAnsi="Times New Roman" w:cs="Times New Roman"/>
        </w:rPr>
        <w:t>ed</w:t>
      </w:r>
      <w:r w:rsidRPr="00D761AA">
        <w:rPr>
          <w:rFonts w:ascii="Times New Roman" w:hAnsi="Times New Roman" w:cs="Times New Roman"/>
        </w:rPr>
        <w:t xml:space="preserve"> genes involved in Immune response, Lipid phosphorylation, Cell adhesion and Inflammatory response. </w:t>
      </w:r>
      <w:r w:rsidRPr="00D761AA">
        <w:rPr>
          <w:rFonts w:ascii="Times New Roman" w:hAnsi="Times New Roman" w:cs="Times New Roman"/>
          <w:b/>
          <w:bCs/>
        </w:rPr>
        <w:t>(e)</w:t>
      </w:r>
      <w:r w:rsidRPr="00D761AA">
        <w:rPr>
          <w:rFonts w:ascii="Times New Roman" w:hAnsi="Times New Roman" w:cs="Times New Roman"/>
        </w:rPr>
        <w:t xml:space="preserve"> Heatmaps of differentially expressed genes involved in proliferation, cell adhesion, adipogenesis and estrogen response.</w:t>
      </w:r>
    </w:p>
    <w:p w14:paraId="7DF544FF" w14:textId="77777777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</w:p>
    <w:p w14:paraId="4564D389" w14:textId="2217E935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  <w:r w:rsidRPr="00D761AA">
        <w:rPr>
          <w:rFonts w:ascii="Times New Roman" w:hAnsi="Times New Roman" w:cs="Times New Roman"/>
          <w:b/>
          <w:bCs/>
        </w:rPr>
        <w:t>Supplementary Figure</w:t>
      </w:r>
      <w:r w:rsidR="006A6FF8" w:rsidRPr="00D761AA">
        <w:rPr>
          <w:rFonts w:ascii="Times New Roman" w:hAnsi="Times New Roman" w:cs="Times New Roman"/>
          <w:b/>
          <w:bCs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2</w:t>
      </w:r>
      <w:r w:rsidR="00FA78C9" w:rsidRPr="00D761AA">
        <w:rPr>
          <w:rFonts w:ascii="Times New Roman" w:hAnsi="Times New Roman" w:cs="Times New Roman"/>
          <w:b/>
          <w:bCs/>
        </w:rPr>
        <w:t>.</w:t>
      </w:r>
      <w:r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(a)</w:t>
      </w:r>
      <w:r w:rsidRPr="00D761AA">
        <w:rPr>
          <w:rFonts w:ascii="Times New Roman" w:hAnsi="Times New Roman" w:cs="Times New Roman"/>
        </w:rPr>
        <w:t xml:space="preserve"> ADSCs </w:t>
      </w:r>
      <w:r w:rsidR="006A6FF8" w:rsidRPr="00D761AA">
        <w:rPr>
          <w:rFonts w:ascii="Times New Roman" w:hAnsi="Times New Roman" w:cs="Times New Roman"/>
        </w:rPr>
        <w:t xml:space="preserve">were </w:t>
      </w:r>
      <w:r w:rsidRPr="00D761AA">
        <w:rPr>
          <w:rFonts w:ascii="Times New Roman" w:hAnsi="Times New Roman" w:cs="Times New Roman"/>
        </w:rPr>
        <w:t>isolated f</w:t>
      </w:r>
      <w:r w:rsidR="006A6FF8" w:rsidRPr="00D761AA">
        <w:rPr>
          <w:rFonts w:ascii="Times New Roman" w:hAnsi="Times New Roman" w:cs="Times New Roman"/>
        </w:rPr>
        <w:t>ro</w:t>
      </w:r>
      <w:r w:rsidRPr="00D761AA">
        <w:rPr>
          <w:rFonts w:ascii="Times New Roman" w:hAnsi="Times New Roman" w:cs="Times New Roman"/>
        </w:rPr>
        <w:t xml:space="preserve">m lipedema (LED) and non-lipedema (non-LED) adipose tissues and grown in monolayer culture. The cells (passage 0) </w:t>
      </w:r>
      <w:r w:rsidR="006A6FF8" w:rsidRPr="00D761AA">
        <w:rPr>
          <w:rFonts w:ascii="Times New Roman" w:hAnsi="Times New Roman" w:cs="Times New Roman"/>
        </w:rPr>
        <w:t>were</w:t>
      </w:r>
      <w:r w:rsidRPr="00D761AA">
        <w:rPr>
          <w:rFonts w:ascii="Times New Roman" w:hAnsi="Times New Roman" w:cs="Times New Roman"/>
        </w:rPr>
        <w:t xml:space="preserve"> seeded to allow cell-cell contacts</w:t>
      </w:r>
      <w:r w:rsidR="006A6FF8" w:rsidRPr="00D761AA">
        <w:rPr>
          <w:rFonts w:ascii="Times New Roman" w:hAnsi="Times New Roman" w:cs="Times New Roman"/>
        </w:rPr>
        <w:t xml:space="preserve"> to form,</w:t>
      </w:r>
      <w:r w:rsidRPr="00D761AA">
        <w:rPr>
          <w:rFonts w:ascii="Times New Roman" w:hAnsi="Times New Roman" w:cs="Times New Roman"/>
        </w:rPr>
        <w:t xml:space="preserve"> and cells beg</w:t>
      </w:r>
      <w:r w:rsidR="006A6FF8" w:rsidRPr="00D761AA">
        <w:rPr>
          <w:rFonts w:ascii="Times New Roman" w:hAnsi="Times New Roman" w:cs="Times New Roman"/>
        </w:rPr>
        <w:t>a</w:t>
      </w:r>
      <w:r w:rsidRPr="00D761AA">
        <w:rPr>
          <w:rFonts w:ascii="Times New Roman" w:hAnsi="Times New Roman" w:cs="Times New Roman"/>
        </w:rPr>
        <w:t xml:space="preserve">n to </w:t>
      </w:r>
      <w:r w:rsidR="006A6FF8" w:rsidRPr="00D761AA">
        <w:rPr>
          <w:rFonts w:ascii="Times New Roman" w:hAnsi="Times New Roman" w:cs="Times New Roman"/>
        </w:rPr>
        <w:t>adopt</w:t>
      </w:r>
      <w:r w:rsidRPr="00D761AA">
        <w:rPr>
          <w:rFonts w:ascii="Times New Roman" w:hAnsi="Times New Roman" w:cs="Times New Roman"/>
        </w:rPr>
        <w:t xml:space="preserve"> characteristic spindle</w:t>
      </w:r>
      <w:r w:rsidR="006A6FF8" w:rsidRPr="00D761AA">
        <w:rPr>
          <w:rFonts w:ascii="Times New Roman" w:hAnsi="Times New Roman" w:cs="Times New Roman"/>
        </w:rPr>
        <w:t>-</w:t>
      </w:r>
      <w:r w:rsidRPr="00D761AA">
        <w:rPr>
          <w:rFonts w:ascii="Times New Roman" w:hAnsi="Times New Roman" w:cs="Times New Roman"/>
        </w:rPr>
        <w:t>shaped structures. Magnification x10, scale bar represents 50</w:t>
      </w:r>
      <w:r w:rsidR="006A6FF8" w:rsidRPr="00D761AA">
        <w:rPr>
          <w:rFonts w:ascii="Times New Roman" w:hAnsi="Times New Roman" w:cs="Times New Roman"/>
        </w:rPr>
        <w:t xml:space="preserve"> mm</w:t>
      </w:r>
      <w:r w:rsidRPr="00D761AA">
        <w:rPr>
          <w:rFonts w:ascii="Times New Roman" w:hAnsi="Times New Roman" w:cs="Times New Roman"/>
        </w:rPr>
        <w:t xml:space="preserve">. </w:t>
      </w:r>
      <w:r w:rsidRPr="00D761AA">
        <w:rPr>
          <w:rFonts w:ascii="Times New Roman" w:hAnsi="Times New Roman" w:cs="Times New Roman"/>
          <w:b/>
          <w:bCs/>
        </w:rPr>
        <w:t>(b)</w:t>
      </w:r>
      <w:r w:rsidRPr="00D761AA">
        <w:rPr>
          <w:rFonts w:ascii="Times New Roman" w:eastAsia="Calibri" w:hAnsi="Times New Roman" w:cs="Times New Roman"/>
          <w:color w:val="000000" w:themeColor="text1"/>
          <w:kern w:val="24"/>
          <w:sz w:val="36"/>
          <w:szCs w:val="36"/>
        </w:rPr>
        <w:t xml:space="preserve"> </w:t>
      </w:r>
      <w:r w:rsidRPr="00D761AA">
        <w:rPr>
          <w:rFonts w:ascii="Times New Roman" w:hAnsi="Times New Roman" w:cs="Times New Roman"/>
        </w:rPr>
        <w:t>Mesenchymal cell surface marker profiles of ADSCs w</w:t>
      </w:r>
      <w:r w:rsidR="00226EF9" w:rsidRPr="00D761AA">
        <w:rPr>
          <w:rFonts w:ascii="Times New Roman" w:hAnsi="Times New Roman" w:cs="Times New Roman"/>
        </w:rPr>
        <w:t>ere</w:t>
      </w:r>
      <w:r w:rsidRPr="00D761AA">
        <w:rPr>
          <w:rFonts w:ascii="Times New Roman" w:hAnsi="Times New Roman" w:cs="Times New Roman"/>
        </w:rPr>
        <w:t xml:space="preserve"> analysed by flow</w:t>
      </w:r>
      <w:r w:rsidR="006A6FF8"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</w:rPr>
        <w:t>cytometry. Lipedema ADSCs were stained with CD105-APC/CD73-PE and CD90-APC/CD44-PE. The percentage of double positive CD105/CD73 (88.6%) and CD90/CD73 (89.2%) ADSCs</w:t>
      </w:r>
      <w:r w:rsidR="006A6FF8" w:rsidRPr="00D761AA">
        <w:rPr>
          <w:rFonts w:ascii="Times New Roman" w:hAnsi="Times New Roman" w:cs="Times New Roman"/>
        </w:rPr>
        <w:t xml:space="preserve"> was determined</w:t>
      </w:r>
      <w:r w:rsidRPr="00D761AA">
        <w:rPr>
          <w:rFonts w:ascii="Times New Roman" w:hAnsi="Times New Roman" w:cs="Times New Roman"/>
        </w:rPr>
        <w:t xml:space="preserve">. </w:t>
      </w:r>
      <w:r w:rsidRPr="00D761AA">
        <w:rPr>
          <w:rFonts w:ascii="Times New Roman" w:hAnsi="Times New Roman" w:cs="Times New Roman"/>
          <w:b/>
          <w:bCs/>
        </w:rPr>
        <w:t>(c)</w:t>
      </w:r>
      <w:r w:rsidRPr="00D761AA">
        <w:rPr>
          <w:rFonts w:ascii="Times New Roman" w:hAnsi="Times New Roman" w:cs="Times New Roman"/>
        </w:rPr>
        <w:t xml:space="preserve"> Mesenchymal cell surface marker profiles of ADSCs were analysed by RT-qPCR. </w:t>
      </w:r>
    </w:p>
    <w:p w14:paraId="481413FF" w14:textId="77777777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</w:p>
    <w:p w14:paraId="705BCEBE" w14:textId="50CA8484" w:rsidR="00D761AA" w:rsidRPr="00D761AA" w:rsidRDefault="006B139B" w:rsidP="00595A88">
      <w:pPr>
        <w:spacing w:line="48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AU"/>
        </w:rPr>
      </w:pPr>
      <w:r w:rsidRPr="00D761AA">
        <w:rPr>
          <w:rFonts w:ascii="Times New Roman" w:hAnsi="Times New Roman" w:cs="Times New Roman"/>
          <w:b/>
          <w:bCs/>
        </w:rPr>
        <w:t>Supplementary Figure</w:t>
      </w:r>
      <w:r w:rsidR="00FA78C9" w:rsidRPr="00D761AA">
        <w:rPr>
          <w:rFonts w:ascii="Times New Roman" w:hAnsi="Times New Roman" w:cs="Times New Roman"/>
          <w:b/>
          <w:bCs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3</w:t>
      </w:r>
      <w:r w:rsidR="00FA78C9" w:rsidRPr="00D761AA">
        <w:rPr>
          <w:rFonts w:ascii="Times New Roman" w:hAnsi="Times New Roman" w:cs="Times New Roman"/>
          <w:b/>
          <w:bCs/>
        </w:rPr>
        <w:t>.</w:t>
      </w:r>
      <w:r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(a)</w:t>
      </w:r>
      <w:r w:rsidRPr="00D761AA">
        <w:rPr>
          <w:rFonts w:ascii="Times New Roman" w:hAnsi="Times New Roman" w:cs="Times New Roman"/>
        </w:rPr>
        <w:t xml:space="preserve"> Non-supervised principal component analysis (PCA) plots from lipedema (n=4) and non-lipedema (n=4) adipocytes showed clustering of both groups. </w:t>
      </w:r>
      <w:r w:rsidRPr="00D761AA">
        <w:rPr>
          <w:rFonts w:ascii="Times New Roman" w:hAnsi="Times New Roman" w:cs="Times New Roman"/>
          <w:b/>
          <w:bCs/>
        </w:rPr>
        <w:t>(b)</w:t>
      </w:r>
      <w:r w:rsidRPr="00D761AA">
        <w:rPr>
          <w:rFonts w:ascii="Times New Roman" w:hAnsi="Times New Roman" w:cs="Times New Roman"/>
        </w:rPr>
        <w:t xml:space="preserve"> Variable importance in project (VIP) score analysis to rank the lipids with differences in </w:t>
      </w:r>
      <w:r w:rsidRPr="00D761AA">
        <w:rPr>
          <w:rFonts w:ascii="Times New Roman" w:hAnsi="Times New Roman" w:cs="Times New Roman"/>
        </w:rPr>
        <w:lastRenderedPageBreak/>
        <w:t>abundance between the lipedema and non-lipedema study groups.</w:t>
      </w:r>
      <w:r w:rsidRPr="00D761AA">
        <w:rPr>
          <w:rFonts w:ascii="Times New Roman" w:hAnsi="Times New Roman" w:cs="Times New Roman"/>
          <w:b/>
          <w:bCs/>
        </w:rPr>
        <w:t xml:space="preserve"> (c)</w:t>
      </w:r>
      <w:r w:rsidRPr="00D761AA">
        <w:rPr>
          <w:rFonts w:ascii="Times New Roman" w:hAnsi="Times New Roman" w:cs="Times New Roman"/>
        </w:rPr>
        <w:t xml:space="preserve">  Distribution of lipid molecules shows top classes were Glycerophospholipids (466 molecules), Sphingolipids (72 molecules), Fatty acid</w:t>
      </w:r>
      <w:r w:rsidR="000D1241" w:rsidRPr="00D761AA">
        <w:rPr>
          <w:rFonts w:ascii="Times New Roman" w:hAnsi="Times New Roman" w:cs="Times New Roman"/>
        </w:rPr>
        <w:t>s</w:t>
      </w:r>
      <w:r w:rsidRPr="00D761AA">
        <w:rPr>
          <w:rFonts w:ascii="Times New Roman" w:hAnsi="Times New Roman" w:cs="Times New Roman"/>
        </w:rPr>
        <w:t xml:space="preserve"> (72 molecules) and </w:t>
      </w:r>
      <w:proofErr w:type="spellStart"/>
      <w:r w:rsidRPr="00D761AA">
        <w:rPr>
          <w:rFonts w:ascii="Times New Roman" w:hAnsi="Times New Roman" w:cs="Times New Roman"/>
        </w:rPr>
        <w:t>Glycerolipids</w:t>
      </w:r>
      <w:proofErr w:type="spellEnd"/>
      <w:r w:rsidRPr="00D761AA">
        <w:rPr>
          <w:rFonts w:ascii="Times New Roman" w:hAnsi="Times New Roman" w:cs="Times New Roman"/>
        </w:rPr>
        <w:t xml:space="preserve"> (51 molecules).</w:t>
      </w:r>
      <w:r w:rsidR="002A6124" w:rsidRPr="00D761AA">
        <w:rPr>
          <w:rFonts w:ascii="Times New Roman" w:hAnsi="Times New Roman" w:cs="Times New Roman"/>
        </w:rPr>
        <w:t xml:space="preserve"> </w:t>
      </w:r>
      <w:r w:rsidR="002A6124" w:rsidRPr="00D761AA">
        <w:rPr>
          <w:rFonts w:ascii="Times New Roman" w:hAnsi="Times New Roman" w:cs="Times New Roman"/>
          <w:b/>
          <w:bCs/>
        </w:rPr>
        <w:t>(d)</w:t>
      </w:r>
      <w:r w:rsidR="00F515A2" w:rsidRPr="00D761AA">
        <w:rPr>
          <w:rFonts w:ascii="Times New Roman" w:hAnsi="Times New Roman" w:cs="Times New Roman"/>
          <w:b/>
          <w:bCs/>
        </w:rPr>
        <w:t xml:space="preserve"> </w:t>
      </w:r>
      <w:r w:rsidR="00D761AA" w:rsidRPr="00D761AA">
        <w:rPr>
          <w:rFonts w:ascii="Times New Roman" w:hAnsi="Times New Roman" w:cs="Times New Roman"/>
        </w:rPr>
        <w:t>Heatmap</w:t>
      </w:r>
      <w:r w:rsidR="00971EFE">
        <w:rPr>
          <w:rFonts w:ascii="Times New Roman" w:hAnsi="Times New Roman" w:cs="Times New Roman"/>
        </w:rPr>
        <w:t>s showing</w:t>
      </w:r>
      <w:r w:rsidR="00D761AA" w:rsidRPr="00D761AA">
        <w:rPr>
          <w:rFonts w:ascii="Times New Roman" w:hAnsi="Times New Roman" w:cs="Times New Roman"/>
        </w:rPr>
        <w:t xml:space="preserve"> fold</w:t>
      </w:r>
      <w:r w:rsidR="00971EFE">
        <w:rPr>
          <w:rFonts w:ascii="Times New Roman" w:hAnsi="Times New Roman" w:cs="Times New Roman"/>
        </w:rPr>
        <w:t>-</w:t>
      </w:r>
      <w:r w:rsidR="00D761AA" w:rsidRPr="00D761AA">
        <w:rPr>
          <w:rFonts w:ascii="Times New Roman" w:hAnsi="Times New Roman" w:cs="Times New Roman"/>
        </w:rPr>
        <w:t xml:space="preserve">changes </w:t>
      </w:r>
      <w:r w:rsidR="004F01F8">
        <w:rPr>
          <w:rFonts w:ascii="Times New Roman" w:hAnsi="Times New Roman" w:cs="Times New Roman"/>
        </w:rPr>
        <w:t>in abundance of</w:t>
      </w:r>
      <w:r w:rsidR="00D761AA" w:rsidRPr="00D761AA">
        <w:rPr>
          <w:rFonts w:ascii="Times New Roman" w:hAnsi="Times New Roman" w:cs="Times New Roman"/>
        </w:rPr>
        <w:t xml:space="preserve"> lipid</w:t>
      </w:r>
      <w:r w:rsidR="004F01F8">
        <w:rPr>
          <w:rFonts w:ascii="Times New Roman" w:hAnsi="Times New Roman" w:cs="Times New Roman"/>
        </w:rPr>
        <w:t>s, sorted by lipid</w:t>
      </w:r>
      <w:r w:rsidR="00D761AA" w:rsidRPr="00D761AA">
        <w:rPr>
          <w:rFonts w:ascii="Times New Roman" w:hAnsi="Times New Roman" w:cs="Times New Roman"/>
        </w:rPr>
        <w:t xml:space="preserve"> class</w:t>
      </w:r>
      <w:r w:rsidR="00FF7A40">
        <w:rPr>
          <w:rFonts w:ascii="Times New Roman" w:hAnsi="Times New Roman" w:cs="Times New Roman"/>
        </w:rPr>
        <w:t xml:space="preserve">, </w:t>
      </w:r>
      <w:r w:rsidR="00D761AA" w:rsidRPr="00D761AA">
        <w:rPr>
          <w:rFonts w:ascii="Times New Roman" w:hAnsi="Times New Roman" w:cs="Times New Roman"/>
        </w:rPr>
        <w:t>in </w:t>
      </w:r>
      <w:r w:rsidR="00D761AA">
        <w:rPr>
          <w:rFonts w:ascii="Times New Roman" w:hAnsi="Times New Roman" w:cs="Times New Roman"/>
        </w:rPr>
        <w:t>adipocytes</w:t>
      </w:r>
      <w:r w:rsidR="00D761AA" w:rsidRPr="00D761AA">
        <w:rPr>
          <w:rFonts w:ascii="Times New Roman" w:hAnsi="Times New Roman" w:cs="Times New Roman"/>
        </w:rPr>
        <w:t xml:space="preserve"> derived from </w:t>
      </w:r>
      <w:r w:rsidR="002241D9">
        <w:rPr>
          <w:rFonts w:ascii="Times New Roman" w:hAnsi="Times New Roman" w:cs="Times New Roman"/>
        </w:rPr>
        <w:t>LED</w:t>
      </w:r>
      <w:r w:rsidR="00D761AA" w:rsidRPr="00D761AA">
        <w:rPr>
          <w:rFonts w:ascii="Times New Roman" w:hAnsi="Times New Roman" w:cs="Times New Roman"/>
        </w:rPr>
        <w:t xml:space="preserve"> patients compared to non-</w:t>
      </w:r>
      <w:r w:rsidR="002241D9">
        <w:rPr>
          <w:rFonts w:ascii="Times New Roman" w:hAnsi="Times New Roman" w:cs="Times New Roman"/>
        </w:rPr>
        <w:t>LED</w:t>
      </w:r>
      <w:r w:rsidR="00D761AA" w:rsidRPr="00D761AA">
        <w:rPr>
          <w:rFonts w:ascii="Times New Roman" w:hAnsi="Times New Roman" w:cs="Times New Roman"/>
        </w:rPr>
        <w:t xml:space="preserve"> patients. Data w</w:t>
      </w:r>
      <w:r w:rsidR="00066E83">
        <w:rPr>
          <w:rFonts w:ascii="Times New Roman" w:hAnsi="Times New Roman" w:cs="Times New Roman"/>
        </w:rPr>
        <w:t>ere</w:t>
      </w:r>
      <w:r w:rsidR="00D761AA" w:rsidRPr="00D761AA">
        <w:rPr>
          <w:rFonts w:ascii="Times New Roman" w:hAnsi="Times New Roman" w:cs="Times New Roman"/>
        </w:rPr>
        <w:t xml:space="preserve"> normalised by total signal before fold</w:t>
      </w:r>
      <w:r w:rsidR="001D6117">
        <w:rPr>
          <w:rFonts w:ascii="Times New Roman" w:hAnsi="Times New Roman" w:cs="Times New Roman"/>
        </w:rPr>
        <w:t>-</w:t>
      </w:r>
      <w:r w:rsidR="00D761AA" w:rsidRPr="00D761AA">
        <w:rPr>
          <w:rFonts w:ascii="Times New Roman" w:hAnsi="Times New Roman" w:cs="Times New Roman"/>
        </w:rPr>
        <w:t>changes</w:t>
      </w:r>
      <w:r w:rsidR="001D6117" w:rsidRPr="001D6117">
        <w:rPr>
          <w:rFonts w:ascii="Times New Roman" w:hAnsi="Times New Roman" w:cs="Times New Roman"/>
        </w:rPr>
        <w:t xml:space="preserve"> </w:t>
      </w:r>
      <w:r w:rsidR="00B67291">
        <w:rPr>
          <w:rFonts w:ascii="Times New Roman" w:hAnsi="Times New Roman" w:cs="Times New Roman"/>
        </w:rPr>
        <w:t xml:space="preserve">were </w:t>
      </w:r>
      <w:r w:rsidR="001D6117" w:rsidRPr="00D761AA">
        <w:rPr>
          <w:rFonts w:ascii="Times New Roman" w:hAnsi="Times New Roman" w:cs="Times New Roman"/>
        </w:rPr>
        <w:t>calculat</w:t>
      </w:r>
      <w:r w:rsidR="00B67291">
        <w:rPr>
          <w:rFonts w:ascii="Times New Roman" w:hAnsi="Times New Roman" w:cs="Times New Roman"/>
        </w:rPr>
        <w:t>ed.</w:t>
      </w:r>
    </w:p>
    <w:p w14:paraId="2A1D5ABE" w14:textId="0D172FD6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</w:p>
    <w:p w14:paraId="432EE578" w14:textId="15FB30A2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  <w:r w:rsidRPr="00D761AA">
        <w:rPr>
          <w:rFonts w:ascii="Times New Roman" w:hAnsi="Times New Roman" w:cs="Times New Roman"/>
          <w:b/>
          <w:bCs/>
        </w:rPr>
        <w:t>Supplementary Figure</w:t>
      </w:r>
      <w:r w:rsidR="00FA78C9" w:rsidRPr="00D761AA">
        <w:rPr>
          <w:rFonts w:ascii="Times New Roman" w:hAnsi="Times New Roman" w:cs="Times New Roman"/>
          <w:b/>
          <w:bCs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4</w:t>
      </w:r>
      <w:r w:rsidR="00FA78C9" w:rsidRPr="00D761AA">
        <w:rPr>
          <w:rFonts w:ascii="Times New Roman" w:hAnsi="Times New Roman" w:cs="Times New Roman"/>
          <w:b/>
          <w:bCs/>
        </w:rPr>
        <w:t>.</w:t>
      </w:r>
      <w:r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(a)</w:t>
      </w:r>
      <w:r w:rsidRPr="00D761AA">
        <w:rPr>
          <w:rFonts w:ascii="Times New Roman" w:hAnsi="Times New Roman" w:cs="Times New Roman"/>
        </w:rPr>
        <w:t xml:space="preserve"> PCA plot of 4 biological replicates from lipedema and non-lipedema adipocytes showing clear separation of two different classes of metabolites. </w:t>
      </w:r>
      <w:r w:rsidRPr="00D761AA">
        <w:rPr>
          <w:rFonts w:ascii="Times New Roman" w:hAnsi="Times New Roman" w:cs="Times New Roman"/>
          <w:b/>
          <w:bCs/>
        </w:rPr>
        <w:t>(b)</w:t>
      </w:r>
      <w:r w:rsidRPr="00D761AA">
        <w:rPr>
          <w:rFonts w:ascii="Times New Roman" w:hAnsi="Times New Roman" w:cs="Times New Roman"/>
        </w:rPr>
        <w:t xml:space="preserve"> Distribution of the metabolites by metabolite class analysis shows top classes were amino acid metabolism (89 metabolites), Lipids: Fatty Acyls (87 metabolites), Lipids: Glycerophospholipids (84 metabolites), Carbohydrate metabolism (46 metabolites) and Lipid metabolism (20 metabolites)</w:t>
      </w:r>
      <w:r w:rsidR="00BD787E" w:rsidRPr="00D761AA">
        <w:rPr>
          <w:rFonts w:ascii="Times New Roman" w:hAnsi="Times New Roman" w:cs="Times New Roman"/>
        </w:rPr>
        <w:t>.</w:t>
      </w:r>
      <w:r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(c)</w:t>
      </w:r>
      <w:r w:rsidRPr="00D761AA">
        <w:rPr>
          <w:rFonts w:ascii="Times New Roman" w:hAnsi="Times New Roman" w:cs="Times New Roman"/>
        </w:rPr>
        <w:t xml:space="preserve"> Heatmap of top 50 metabolites which show</w:t>
      </w:r>
      <w:r w:rsidR="00BD787E" w:rsidRPr="00D761AA">
        <w:rPr>
          <w:rFonts w:ascii="Times New Roman" w:hAnsi="Times New Roman" w:cs="Times New Roman"/>
        </w:rPr>
        <w:t>s</w:t>
      </w:r>
      <w:r w:rsidRPr="00D761AA">
        <w:rPr>
          <w:rFonts w:ascii="Times New Roman" w:hAnsi="Times New Roman" w:cs="Times New Roman"/>
        </w:rPr>
        <w:t xml:space="preserve"> differences between lipedema and non-lipedema adipocytes</w:t>
      </w:r>
      <w:r w:rsidR="00BD787E" w:rsidRPr="00D761AA">
        <w:rPr>
          <w:rFonts w:ascii="Times New Roman" w:hAnsi="Times New Roman" w:cs="Times New Roman"/>
        </w:rPr>
        <w:t>.</w:t>
      </w:r>
      <w:r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(d)</w:t>
      </w:r>
      <w:r w:rsidRPr="00D761AA">
        <w:rPr>
          <w:rFonts w:ascii="Times New Roman" w:hAnsi="Times New Roman" w:cs="Times New Roman"/>
        </w:rPr>
        <w:t xml:space="preserve"> </w:t>
      </w:r>
      <w:r w:rsidR="004B33C9" w:rsidRPr="00D761AA">
        <w:rPr>
          <w:rFonts w:ascii="Times New Roman" w:hAnsi="Times New Roman" w:cs="Times New Roman"/>
        </w:rPr>
        <w:t xml:space="preserve">Volcano </w:t>
      </w:r>
      <w:r w:rsidRPr="00D761AA">
        <w:rPr>
          <w:rFonts w:ascii="Times New Roman" w:hAnsi="Times New Roman" w:cs="Times New Roman"/>
        </w:rPr>
        <w:t>plot showing highly differentially expressed metabolites.</w:t>
      </w:r>
      <w:r w:rsidR="004D111E" w:rsidRPr="00D761AA">
        <w:rPr>
          <w:rFonts w:ascii="Times New Roman" w:hAnsi="Times New Roman" w:cs="Times New Roman"/>
        </w:rPr>
        <w:t xml:space="preserve"> </w:t>
      </w:r>
      <w:r w:rsidR="004D111E" w:rsidRPr="00D761AA">
        <w:rPr>
          <w:rFonts w:ascii="Times New Roman" w:hAnsi="Times New Roman" w:cs="Times New Roman"/>
          <w:b/>
          <w:bCs/>
        </w:rPr>
        <w:t>(e)</w:t>
      </w:r>
      <w:r w:rsidR="004D111E" w:rsidRPr="00D761AA">
        <w:rPr>
          <w:rFonts w:ascii="Times New Roman" w:hAnsi="Times New Roman" w:cs="Times New Roman"/>
        </w:rPr>
        <w:t xml:space="preserve"> VIP score analysis to rank the </w:t>
      </w:r>
      <w:r w:rsidR="001E57E7" w:rsidRPr="00D761AA">
        <w:rPr>
          <w:rFonts w:ascii="Times New Roman" w:hAnsi="Times New Roman" w:cs="Times New Roman"/>
        </w:rPr>
        <w:t>metabolites</w:t>
      </w:r>
      <w:r w:rsidR="004D111E" w:rsidRPr="00D761AA">
        <w:rPr>
          <w:rFonts w:ascii="Times New Roman" w:hAnsi="Times New Roman" w:cs="Times New Roman"/>
        </w:rPr>
        <w:t xml:space="preserve"> with differences in abundance between the lipedema and non-lipedema study groups</w:t>
      </w:r>
    </w:p>
    <w:p w14:paraId="7925FA24" w14:textId="77777777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</w:p>
    <w:p w14:paraId="40FA3735" w14:textId="11B5BF0C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  <w:r w:rsidRPr="00D761AA">
        <w:rPr>
          <w:rFonts w:ascii="Times New Roman" w:hAnsi="Times New Roman" w:cs="Times New Roman"/>
          <w:b/>
          <w:bCs/>
        </w:rPr>
        <w:t>Supplementary Figure</w:t>
      </w:r>
      <w:r w:rsidR="00FA78C9" w:rsidRPr="00D761AA">
        <w:rPr>
          <w:rFonts w:ascii="Times New Roman" w:hAnsi="Times New Roman" w:cs="Times New Roman"/>
          <w:b/>
          <w:bCs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5</w:t>
      </w:r>
      <w:r w:rsidR="00FA78C9" w:rsidRPr="00D761AA">
        <w:rPr>
          <w:rFonts w:ascii="Times New Roman" w:hAnsi="Times New Roman" w:cs="Times New Roman"/>
          <w:b/>
          <w:bCs/>
        </w:rPr>
        <w:t>.</w:t>
      </w:r>
      <w:r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(a)</w:t>
      </w:r>
      <w:r w:rsidRPr="00D761AA">
        <w:rPr>
          <w:rFonts w:ascii="Times New Roman" w:hAnsi="Times New Roman" w:cs="Times New Roman"/>
        </w:rPr>
        <w:t xml:space="preserve"> </w:t>
      </w:r>
      <w:r w:rsidR="00485DDE" w:rsidRPr="00D761AA">
        <w:rPr>
          <w:rFonts w:ascii="Times New Roman" w:hAnsi="Times New Roman" w:cs="Times New Roman"/>
        </w:rPr>
        <w:t>Multi-dimensional scaling was</w:t>
      </w:r>
      <w:r w:rsidR="0060212B">
        <w:rPr>
          <w:rFonts w:ascii="Times New Roman" w:hAnsi="Times New Roman" w:cs="Times New Roman"/>
        </w:rPr>
        <w:t xml:space="preserve"> </w:t>
      </w:r>
      <w:r w:rsidR="00485DDE" w:rsidRPr="00D761AA">
        <w:rPr>
          <w:rFonts w:ascii="Times New Roman" w:hAnsi="Times New Roman" w:cs="Times New Roman"/>
        </w:rPr>
        <w:t>(</w:t>
      </w:r>
      <w:proofErr w:type="spellStart"/>
      <w:r w:rsidR="00485DDE" w:rsidRPr="00D761AA">
        <w:rPr>
          <w:rFonts w:ascii="Times New Roman" w:hAnsi="Times New Roman" w:cs="Times New Roman"/>
        </w:rPr>
        <w:t>plotMDS</w:t>
      </w:r>
      <w:proofErr w:type="spellEnd"/>
      <w:r w:rsidR="00485DDE" w:rsidRPr="00D761AA">
        <w:rPr>
          <w:rFonts w:ascii="Times New Roman" w:hAnsi="Times New Roman" w:cs="Times New Roman"/>
        </w:rPr>
        <w:t xml:space="preserve"> from </w:t>
      </w:r>
      <w:proofErr w:type="spellStart"/>
      <w:r w:rsidR="00485DDE" w:rsidRPr="00D761AA">
        <w:rPr>
          <w:rFonts w:ascii="Times New Roman" w:hAnsi="Times New Roman" w:cs="Times New Roman"/>
        </w:rPr>
        <w:t>limma</w:t>
      </w:r>
      <w:proofErr w:type="spellEnd"/>
      <w:r w:rsidR="00485DDE" w:rsidRPr="00D761AA">
        <w:rPr>
          <w:rFonts w:ascii="Times New Roman" w:hAnsi="Times New Roman" w:cs="Times New Roman"/>
        </w:rPr>
        <w:t xml:space="preserve">) </w:t>
      </w:r>
      <w:r w:rsidR="0060212B" w:rsidRPr="00D761AA">
        <w:rPr>
          <w:rFonts w:ascii="Times New Roman" w:hAnsi="Times New Roman" w:cs="Times New Roman"/>
        </w:rPr>
        <w:t xml:space="preserve">performed </w:t>
      </w:r>
      <w:r w:rsidR="00485DDE" w:rsidRPr="00D761AA">
        <w:rPr>
          <w:rFonts w:ascii="Times New Roman" w:hAnsi="Times New Roman" w:cs="Times New Roman"/>
        </w:rPr>
        <w:t xml:space="preserve">from the transcriptomic profiles </w:t>
      </w:r>
      <w:r w:rsidRPr="00D761AA">
        <w:rPr>
          <w:rFonts w:ascii="Times New Roman" w:hAnsi="Times New Roman" w:cs="Times New Roman"/>
        </w:rPr>
        <w:t>of lipedema (LED) ADSCs from seven patients (LED21,23,25,27,28,32,34) and of non-lipedema (non-LED) ADSCs from three patients (non-LED10,12,14) indicat</w:t>
      </w:r>
      <w:r w:rsidR="001412DC" w:rsidRPr="00D761AA">
        <w:rPr>
          <w:rFonts w:ascii="Times New Roman" w:hAnsi="Times New Roman" w:cs="Times New Roman"/>
        </w:rPr>
        <w:t>ing</w:t>
      </w:r>
      <w:r w:rsidRPr="00D761AA">
        <w:rPr>
          <w:rFonts w:ascii="Times New Roman" w:hAnsi="Times New Roman" w:cs="Times New Roman"/>
        </w:rPr>
        <w:t xml:space="preserve"> differences between lipedema ADSC and non-lipedema ADSC gene expression signatures. </w:t>
      </w:r>
      <w:r w:rsidRPr="00D761AA">
        <w:rPr>
          <w:rFonts w:ascii="Times New Roman" w:hAnsi="Times New Roman" w:cs="Times New Roman"/>
          <w:b/>
          <w:bCs/>
        </w:rPr>
        <w:t>(b)</w:t>
      </w:r>
      <w:r w:rsidRPr="00D761AA">
        <w:rPr>
          <w:rFonts w:ascii="Times New Roman" w:hAnsi="Times New Roman" w:cs="Times New Roman"/>
        </w:rPr>
        <w:t xml:space="preserve"> Functional annotation of differentially expressed genes in lipedema versus non-lipedema ADSCs shows top gene ontology pathways involved. Genes ranked by </w:t>
      </w:r>
      <w:proofErr w:type="spellStart"/>
      <w:r w:rsidRPr="00D761AA">
        <w:rPr>
          <w:rFonts w:ascii="Times New Roman" w:hAnsi="Times New Roman" w:cs="Times New Roman"/>
        </w:rPr>
        <w:t>LogFC</w:t>
      </w:r>
      <w:proofErr w:type="spellEnd"/>
      <w:r w:rsidRPr="00D761AA">
        <w:rPr>
          <w:rFonts w:ascii="Times New Roman" w:hAnsi="Times New Roman" w:cs="Times New Roman"/>
        </w:rPr>
        <w:t>*(-log10(</w:t>
      </w:r>
      <w:proofErr w:type="spellStart"/>
      <w:proofErr w:type="gramStart"/>
      <w:r w:rsidRPr="00D761AA">
        <w:rPr>
          <w:rFonts w:ascii="Times New Roman" w:hAnsi="Times New Roman" w:cs="Times New Roman"/>
        </w:rPr>
        <w:t>adj.P</w:t>
      </w:r>
      <w:proofErr w:type="spellEnd"/>
      <w:proofErr w:type="gramEnd"/>
      <w:r w:rsidRPr="00D761AA">
        <w:rPr>
          <w:rFonts w:ascii="Times New Roman" w:hAnsi="Times New Roman" w:cs="Times New Roman"/>
        </w:rPr>
        <w:t>)</w:t>
      </w:r>
      <w:r w:rsidR="00D41EBD" w:rsidRPr="00D761AA">
        <w:rPr>
          <w:rFonts w:ascii="Times New Roman" w:hAnsi="Times New Roman" w:cs="Times New Roman"/>
        </w:rPr>
        <w:t>).</w:t>
      </w:r>
      <w:r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(c)</w:t>
      </w:r>
      <w:r w:rsidRPr="00D761AA">
        <w:rPr>
          <w:rFonts w:ascii="Times New Roman" w:hAnsi="Times New Roman" w:cs="Times New Roman"/>
        </w:rPr>
        <w:t xml:space="preserve"> </w:t>
      </w:r>
      <w:r w:rsidR="00180F5D" w:rsidRPr="00D761AA">
        <w:rPr>
          <w:rFonts w:ascii="Times New Roman" w:hAnsi="Times New Roman" w:cs="Times New Roman"/>
        </w:rPr>
        <w:t>Heatmap of</w:t>
      </w:r>
      <w:r w:rsidR="0029223D"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</w:rPr>
        <w:t>differentially expressed genes between lipedema and non-lipedema ADSCs w</w:t>
      </w:r>
      <w:r w:rsidR="001412DC" w:rsidRPr="00D761AA">
        <w:rPr>
          <w:rFonts w:ascii="Times New Roman" w:hAnsi="Times New Roman" w:cs="Times New Roman"/>
        </w:rPr>
        <w:t>as</w:t>
      </w:r>
      <w:r w:rsidRPr="00D761AA">
        <w:rPr>
          <w:rFonts w:ascii="Times New Roman" w:hAnsi="Times New Roman" w:cs="Times New Roman"/>
        </w:rPr>
        <w:t xml:space="preserve"> annotated in Gene ontology and molecular function pathways. Top</w:t>
      </w:r>
      <w:r w:rsidR="0029223D" w:rsidRPr="00D761AA">
        <w:rPr>
          <w:rFonts w:ascii="Times New Roman" w:hAnsi="Times New Roman" w:cs="Times New Roman"/>
        </w:rPr>
        <w:t xml:space="preserve"> </w:t>
      </w:r>
      <w:r w:rsidR="0029223D" w:rsidRPr="00D761AA">
        <w:rPr>
          <w:rFonts w:ascii="Times New Roman" w:hAnsi="Times New Roman" w:cs="Times New Roman"/>
        </w:rPr>
        <w:lastRenderedPageBreak/>
        <w:t>differentially expressed</w:t>
      </w:r>
      <w:r w:rsidRPr="00D761AA">
        <w:rPr>
          <w:rFonts w:ascii="Times New Roman" w:hAnsi="Times New Roman" w:cs="Times New Roman"/>
        </w:rPr>
        <w:t xml:space="preserve"> pathways involving cell cycle and proliferation genes are shown in heatmap. </w:t>
      </w:r>
      <w:r w:rsidRPr="00D761AA">
        <w:rPr>
          <w:rFonts w:ascii="Times New Roman" w:hAnsi="Times New Roman" w:cs="Times New Roman"/>
          <w:b/>
          <w:bCs/>
        </w:rPr>
        <w:t>(d)</w:t>
      </w:r>
      <w:r w:rsidRPr="00D761AA">
        <w:rPr>
          <w:rFonts w:ascii="Times New Roman" w:hAnsi="Times New Roman" w:cs="Times New Roman"/>
        </w:rPr>
        <w:t xml:space="preserve"> Cell cycle pathway showing differentially expressed genes (</w:t>
      </w:r>
      <w:proofErr w:type="spellStart"/>
      <w:proofErr w:type="gramStart"/>
      <w:r w:rsidRPr="00D761AA">
        <w:rPr>
          <w:rFonts w:ascii="Times New Roman" w:hAnsi="Times New Roman" w:cs="Times New Roman"/>
        </w:rPr>
        <w:t>Red:Up</w:t>
      </w:r>
      <w:proofErr w:type="gramEnd"/>
      <w:r w:rsidRPr="00D761AA">
        <w:rPr>
          <w:rFonts w:ascii="Times New Roman" w:hAnsi="Times New Roman" w:cs="Times New Roman"/>
        </w:rPr>
        <w:t>-regulated</w:t>
      </w:r>
      <w:proofErr w:type="spellEnd"/>
      <w:r w:rsidRPr="00D761AA">
        <w:rPr>
          <w:rFonts w:ascii="Times New Roman" w:hAnsi="Times New Roman" w:cs="Times New Roman"/>
        </w:rPr>
        <w:t xml:space="preserve">, </w:t>
      </w:r>
      <w:proofErr w:type="spellStart"/>
      <w:r w:rsidRPr="00D761AA">
        <w:rPr>
          <w:rFonts w:ascii="Times New Roman" w:hAnsi="Times New Roman" w:cs="Times New Roman"/>
        </w:rPr>
        <w:t>Blue:Down-regulated</w:t>
      </w:r>
      <w:proofErr w:type="spellEnd"/>
      <w:r w:rsidRPr="00D761AA">
        <w:rPr>
          <w:rFonts w:ascii="Times New Roman" w:hAnsi="Times New Roman" w:cs="Times New Roman"/>
        </w:rPr>
        <w:t>) involved in regulating different phases</w:t>
      </w:r>
      <w:r w:rsidR="00D41EBD" w:rsidRPr="00D761AA">
        <w:rPr>
          <w:rFonts w:ascii="Times New Roman" w:hAnsi="Times New Roman" w:cs="Times New Roman"/>
        </w:rPr>
        <w:t xml:space="preserve"> of the cell cycle</w:t>
      </w:r>
      <w:r w:rsidRPr="00D761AA">
        <w:rPr>
          <w:rFonts w:ascii="Times New Roman" w:hAnsi="Times New Roman" w:cs="Times New Roman"/>
        </w:rPr>
        <w:t xml:space="preserve"> (G1, S, G2 and M)</w:t>
      </w:r>
      <w:r w:rsidR="00D41EBD" w:rsidRPr="00D761AA">
        <w:rPr>
          <w:rFonts w:ascii="Times New Roman" w:hAnsi="Times New Roman" w:cs="Times New Roman"/>
        </w:rPr>
        <w:t>.</w:t>
      </w:r>
      <w:r w:rsidRPr="00D761AA">
        <w:rPr>
          <w:rFonts w:ascii="Times New Roman" w:hAnsi="Times New Roman" w:cs="Times New Roman"/>
        </w:rPr>
        <w:t xml:space="preserve">  </w:t>
      </w:r>
    </w:p>
    <w:p w14:paraId="5A24B71B" w14:textId="77777777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</w:p>
    <w:p w14:paraId="5FD91395" w14:textId="5E37F936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  <w:r w:rsidRPr="00D761AA">
        <w:rPr>
          <w:rFonts w:ascii="Times New Roman" w:hAnsi="Times New Roman" w:cs="Times New Roman"/>
          <w:b/>
          <w:bCs/>
        </w:rPr>
        <w:t>Supplementary Figure</w:t>
      </w:r>
      <w:r w:rsidR="00FA78C9" w:rsidRPr="00D761AA">
        <w:rPr>
          <w:rFonts w:ascii="Times New Roman" w:hAnsi="Times New Roman" w:cs="Times New Roman"/>
          <w:b/>
          <w:bCs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6</w:t>
      </w:r>
      <w:r w:rsidR="00FA78C9" w:rsidRPr="00D761AA">
        <w:rPr>
          <w:rFonts w:ascii="Times New Roman" w:hAnsi="Times New Roman" w:cs="Times New Roman"/>
        </w:rPr>
        <w:t>.</w:t>
      </w:r>
      <w:r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  <w:b/>
          <w:bCs/>
        </w:rPr>
        <w:t>(a)</w:t>
      </w:r>
      <w:r w:rsidRPr="00D761AA">
        <w:rPr>
          <w:rFonts w:ascii="Times New Roman" w:hAnsi="Times New Roman" w:cs="Times New Roman"/>
        </w:rPr>
        <w:t xml:space="preserve"> Phase contrast images of cell cycle assay. Cells were pre-treated with 2OH-BNPP1 (25</w:t>
      </w:r>
      <w:r w:rsidR="004E62D9"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</w:rPr>
        <w:sym w:font="Symbol" w:char="F06D"/>
      </w:r>
      <w:r w:rsidRPr="00D761AA">
        <w:rPr>
          <w:rFonts w:ascii="Times New Roman" w:hAnsi="Times New Roman" w:cs="Times New Roman"/>
        </w:rPr>
        <w:t>M) or DMSO control for 24</w:t>
      </w:r>
      <w:r w:rsidR="004E62D9"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</w:rPr>
        <w:t>h. After 24</w:t>
      </w:r>
      <w:r w:rsidR="004E62D9" w:rsidRPr="00D761AA">
        <w:rPr>
          <w:rFonts w:ascii="Times New Roman" w:hAnsi="Times New Roman" w:cs="Times New Roman"/>
        </w:rPr>
        <w:t xml:space="preserve"> </w:t>
      </w:r>
      <w:r w:rsidRPr="00D761AA">
        <w:rPr>
          <w:rFonts w:ascii="Times New Roman" w:hAnsi="Times New Roman" w:cs="Times New Roman"/>
        </w:rPr>
        <w:t>h</w:t>
      </w:r>
      <w:r w:rsidR="00627A2A" w:rsidRPr="00D761AA">
        <w:rPr>
          <w:rFonts w:ascii="Times New Roman" w:hAnsi="Times New Roman" w:cs="Times New Roman"/>
        </w:rPr>
        <w:t>,</w:t>
      </w:r>
      <w:r w:rsidRPr="00D761AA">
        <w:rPr>
          <w:rFonts w:ascii="Times New Roman" w:hAnsi="Times New Roman" w:cs="Times New Roman"/>
        </w:rPr>
        <w:t xml:space="preserve"> cells were stained with Cell-Clock Cell Cycle Assay kit. </w:t>
      </w:r>
      <w:r w:rsidR="00627A2A" w:rsidRPr="00D761AA">
        <w:rPr>
          <w:rFonts w:ascii="Times New Roman" w:hAnsi="Times New Roman" w:cs="Times New Roman"/>
        </w:rPr>
        <w:t xml:space="preserve">Cells in </w:t>
      </w:r>
      <w:r w:rsidRPr="00D761AA">
        <w:rPr>
          <w:rFonts w:ascii="Times New Roman" w:hAnsi="Times New Roman" w:cs="Times New Roman"/>
        </w:rPr>
        <w:t xml:space="preserve">G0/G1, G1/S, S and G2/M are stained yellow, yellow/green, green, and dark blue, respectively. </w:t>
      </w:r>
      <w:r w:rsidRPr="00D761AA">
        <w:rPr>
          <w:rFonts w:ascii="Times New Roman" w:hAnsi="Times New Roman" w:cs="Times New Roman"/>
          <w:b/>
          <w:bCs/>
          <w:lang w:val="en-US"/>
        </w:rPr>
        <w:t>(b)</w:t>
      </w:r>
      <w:r w:rsidRPr="00D761AA">
        <w:rPr>
          <w:rFonts w:ascii="Times New Roman" w:hAnsi="Times New Roman" w:cs="Times New Roman"/>
          <w:lang w:val="en-US"/>
        </w:rPr>
        <w:t xml:space="preserve"> Cell cycle distribution was determined by ImageJ. </w:t>
      </w:r>
      <w:r w:rsidR="004E62D9" w:rsidRPr="00D761AA">
        <w:rPr>
          <w:rFonts w:ascii="Times New Roman" w:hAnsi="Times New Roman" w:cs="Times New Roman"/>
          <w:lang w:val="en-US"/>
        </w:rPr>
        <w:t xml:space="preserve">Cell numbers in </w:t>
      </w:r>
      <w:r w:rsidRPr="00D761AA">
        <w:rPr>
          <w:rFonts w:ascii="Times New Roman" w:hAnsi="Times New Roman" w:cs="Times New Roman"/>
          <w:lang w:val="en-US"/>
        </w:rPr>
        <w:t xml:space="preserve">G0/G1, G1/S, S and G2/M phase </w:t>
      </w:r>
      <w:r w:rsidR="004E62D9" w:rsidRPr="00D761AA">
        <w:rPr>
          <w:rFonts w:ascii="Times New Roman" w:hAnsi="Times New Roman" w:cs="Times New Roman"/>
          <w:lang w:val="en-US"/>
        </w:rPr>
        <w:t>are</w:t>
      </w:r>
      <w:r w:rsidRPr="00D761AA">
        <w:rPr>
          <w:rFonts w:ascii="Times New Roman" w:hAnsi="Times New Roman" w:cs="Times New Roman"/>
          <w:lang w:val="en-US"/>
        </w:rPr>
        <w:t xml:space="preserve"> indicated (mean </w:t>
      </w:r>
      <w:r w:rsidR="00092912">
        <w:rPr>
          <w:rFonts w:ascii="Times New Roman" w:hAnsi="Times New Roman" w:cs="Times New Roman"/>
        </w:rPr>
        <w:t>±</w:t>
      </w:r>
      <w:r w:rsidRPr="00D761AA">
        <w:rPr>
          <w:rFonts w:ascii="Times New Roman" w:hAnsi="Times New Roman" w:cs="Times New Roman"/>
          <w:lang w:val="en-US"/>
        </w:rPr>
        <w:t xml:space="preserve"> SE of three independent experiments)</w:t>
      </w:r>
      <w:r w:rsidR="004E62D9" w:rsidRPr="00D761AA">
        <w:rPr>
          <w:rFonts w:ascii="Times New Roman" w:hAnsi="Times New Roman" w:cs="Times New Roman"/>
          <w:lang w:val="en-US"/>
        </w:rPr>
        <w:t>.</w:t>
      </w:r>
    </w:p>
    <w:p w14:paraId="7B9E81AD" w14:textId="77777777" w:rsidR="006B7776" w:rsidRDefault="006B7776" w:rsidP="006B777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7BD6345" w14:textId="0173D9A7" w:rsidR="006B7776" w:rsidRPr="005C3C4C" w:rsidRDefault="006B7776" w:rsidP="00C51303">
      <w:pPr>
        <w:spacing w:line="480" w:lineRule="auto"/>
        <w:jc w:val="both"/>
        <w:rPr>
          <w:rFonts w:ascii="Times New Roman" w:hAnsi="Times New Roman" w:cs="Times New Roman"/>
        </w:rPr>
      </w:pPr>
      <w:r w:rsidRPr="005C3C4C">
        <w:rPr>
          <w:rFonts w:ascii="Times New Roman" w:hAnsi="Times New Roman" w:cs="Times New Roman"/>
          <w:b/>
          <w:bCs/>
        </w:rPr>
        <w:t>Supplementary Table Legends</w:t>
      </w:r>
    </w:p>
    <w:p w14:paraId="3AF46F61" w14:textId="5E340D56" w:rsidR="00595A88" w:rsidRPr="005C3C4C" w:rsidRDefault="00595A88" w:rsidP="00C51303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  <w:r w:rsidRPr="005C3C4C">
        <w:rPr>
          <w:rFonts w:ascii="Times New Roman" w:eastAsia="Times New Roman" w:hAnsi="Times New Roman" w:cs="Times New Roman"/>
          <w:b/>
          <w:bCs/>
          <w:color w:val="201F1E"/>
          <w:shd w:val="clear" w:color="auto" w:fill="FFFFFF"/>
          <w:lang w:eastAsia="en-AU"/>
        </w:rPr>
        <w:t>Supplementary Table 1</w:t>
      </w:r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 xml:space="preserve">. Characteristics of lipedema and non-lipedema control patients. </w:t>
      </w:r>
    </w:p>
    <w:p w14:paraId="4E61BC98" w14:textId="77777777" w:rsidR="00595A88" w:rsidRPr="005C3C4C" w:rsidRDefault="00595A88" w:rsidP="00C51303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</w:p>
    <w:p w14:paraId="09967AE2" w14:textId="77777777" w:rsidR="00B93973" w:rsidRPr="005C3C4C" w:rsidRDefault="00B93973" w:rsidP="00014B1C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  <w:r w:rsidRPr="005C3C4C">
        <w:rPr>
          <w:rFonts w:ascii="Times New Roman" w:eastAsia="Times New Roman" w:hAnsi="Times New Roman" w:cs="Times New Roman"/>
          <w:b/>
          <w:bCs/>
          <w:color w:val="201F1E"/>
          <w:shd w:val="clear" w:color="auto" w:fill="FFFFFF"/>
          <w:lang w:eastAsia="en-AU"/>
        </w:rPr>
        <w:t>Supplementary Table 2</w:t>
      </w:r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>. Differentially expressed genes in lipedema and non-lipedema adipose tissues. RNA-seq analysis of RNA from these tissues identified 4,391 differentially expressed genes (</w:t>
      </w:r>
      <w:proofErr w:type="spellStart"/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>logFold</w:t>
      </w:r>
      <w:proofErr w:type="spellEnd"/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 xml:space="preserve"> change &gt;1, adjusted p value &lt;0.05). Gene symbols and entrez gene IDs are shown.</w:t>
      </w:r>
    </w:p>
    <w:p w14:paraId="3AD34311" w14:textId="77777777" w:rsidR="00595A88" w:rsidRPr="005C3C4C" w:rsidRDefault="00595A88" w:rsidP="00C51303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 xml:space="preserve"> </w:t>
      </w:r>
    </w:p>
    <w:p w14:paraId="77A5DFA1" w14:textId="77777777" w:rsidR="00126825" w:rsidRPr="005C3C4C" w:rsidRDefault="00126825" w:rsidP="00014B1C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  <w:r w:rsidRPr="005C3C4C">
        <w:rPr>
          <w:rFonts w:ascii="Times New Roman" w:eastAsia="Times New Roman" w:hAnsi="Times New Roman" w:cs="Times New Roman"/>
          <w:b/>
          <w:bCs/>
          <w:color w:val="201F1E"/>
          <w:shd w:val="clear" w:color="auto" w:fill="FFFFFF"/>
          <w:lang w:eastAsia="en-AU"/>
        </w:rPr>
        <w:t>Supplementary Table 3</w:t>
      </w:r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>. Comparison of lipids in lipedema versus non-lipedema adipocytes. More than 200 lipid species which were present at different levels in adipocytes from lipedema (n=4) compared to non-lipedema (n=4) patients are listed (p value &lt;0.05). The ID and formulae of putative metabolites are also shown.</w:t>
      </w:r>
    </w:p>
    <w:p w14:paraId="5B853221" w14:textId="77777777" w:rsidR="00595A88" w:rsidRPr="005C3C4C" w:rsidRDefault="00595A88" w:rsidP="00C51303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</w:p>
    <w:p w14:paraId="67118FF1" w14:textId="77777777" w:rsidR="000E3F88" w:rsidRPr="005C3C4C" w:rsidRDefault="000E3F88" w:rsidP="00C51303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  <w:r w:rsidRPr="005C3C4C">
        <w:rPr>
          <w:rFonts w:ascii="Times New Roman" w:eastAsia="Times New Roman" w:hAnsi="Times New Roman" w:cs="Times New Roman"/>
          <w:b/>
          <w:bCs/>
          <w:color w:val="201F1E"/>
          <w:shd w:val="clear" w:color="auto" w:fill="FFFFFF"/>
          <w:lang w:eastAsia="en-AU"/>
        </w:rPr>
        <w:lastRenderedPageBreak/>
        <w:t>Supplementary Table 4</w:t>
      </w:r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>. Comparison of metabolites in lipedema versus non-lipedema adipocytes. More than 150 metabolites are listed which exhibited significant differences (p value &lt;0.05) in levels between adipocytes of lipedema (n=4) and non-lipedema (n=4) patients. The mass values, formulae and names of putative metabolites are shown.</w:t>
      </w:r>
    </w:p>
    <w:p w14:paraId="3D801D30" w14:textId="77777777" w:rsidR="00CF0512" w:rsidRPr="005C3C4C" w:rsidRDefault="00CF0512" w:rsidP="00014B1C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</w:p>
    <w:p w14:paraId="0C7379EE" w14:textId="492553F3" w:rsidR="00CF0512" w:rsidRPr="005C3C4C" w:rsidRDefault="0011594C" w:rsidP="00C51303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  <w:r w:rsidRPr="005C3C4C">
        <w:rPr>
          <w:rFonts w:ascii="Times New Roman" w:eastAsia="Times New Roman" w:hAnsi="Times New Roman" w:cs="Times New Roman"/>
          <w:b/>
          <w:bCs/>
          <w:color w:val="201F1E"/>
          <w:shd w:val="clear" w:color="auto" w:fill="FFFFFF"/>
          <w:lang w:eastAsia="en-AU"/>
        </w:rPr>
        <w:t>Supplementary Table 5</w:t>
      </w:r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>. Differentially expressed genes in lipedema versus non-lipedema ADSCs. RNA-seq analysis of RNA from these cells identified 3,429 differentially expressed genes (</w:t>
      </w:r>
      <w:proofErr w:type="spellStart"/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>logFold</w:t>
      </w:r>
      <w:proofErr w:type="spellEnd"/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 xml:space="preserve"> change &gt;1, adjusted p value &lt;0.05). Gene symbols and entrez gene IDs are shown.</w:t>
      </w:r>
    </w:p>
    <w:p w14:paraId="38127D40" w14:textId="77777777" w:rsidR="00C51303" w:rsidRPr="005C3C4C" w:rsidRDefault="00C51303" w:rsidP="00C51303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</w:p>
    <w:p w14:paraId="3BFADADF" w14:textId="3139AB75" w:rsidR="00A7231C" w:rsidRPr="005C3C4C" w:rsidRDefault="00A7231C" w:rsidP="00C51303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  <w:r w:rsidRPr="005C3C4C">
        <w:rPr>
          <w:rFonts w:ascii="Times New Roman" w:eastAsia="Times New Roman" w:hAnsi="Times New Roman" w:cs="Times New Roman"/>
          <w:b/>
          <w:bCs/>
          <w:color w:val="201F1E"/>
          <w:shd w:val="clear" w:color="auto" w:fill="FFFFFF"/>
          <w:lang w:eastAsia="en-AU"/>
        </w:rPr>
        <w:t>Supplementary Table 6</w:t>
      </w:r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 xml:space="preserve">. Antibodies used in this study. </w:t>
      </w:r>
    </w:p>
    <w:p w14:paraId="0BF5D3ED" w14:textId="77777777" w:rsidR="00595A88" w:rsidRPr="005C3C4C" w:rsidRDefault="00595A88" w:rsidP="00C51303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</w:p>
    <w:p w14:paraId="220E2D2C" w14:textId="77777777" w:rsidR="00CF0512" w:rsidRPr="000B2235" w:rsidRDefault="00CF0512" w:rsidP="00014B1C">
      <w:pPr>
        <w:spacing w:line="480" w:lineRule="auto"/>
        <w:jc w:val="both"/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</w:pPr>
      <w:r w:rsidRPr="005C3C4C">
        <w:rPr>
          <w:rFonts w:ascii="Times New Roman" w:eastAsia="Times New Roman" w:hAnsi="Times New Roman" w:cs="Times New Roman"/>
          <w:b/>
          <w:bCs/>
          <w:color w:val="201F1E"/>
          <w:shd w:val="clear" w:color="auto" w:fill="FFFFFF"/>
          <w:lang w:eastAsia="en-AU"/>
        </w:rPr>
        <w:t>Supplementary Table 7</w:t>
      </w:r>
      <w:r w:rsidRPr="005C3C4C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>.  Oligonucleotide primers used in this study. Sequences of forward and reverse primers are shown.</w:t>
      </w:r>
      <w:r w:rsidRPr="000B2235">
        <w:rPr>
          <w:rFonts w:ascii="Times New Roman" w:eastAsia="Times New Roman" w:hAnsi="Times New Roman" w:cs="Times New Roman"/>
          <w:color w:val="201F1E"/>
          <w:shd w:val="clear" w:color="auto" w:fill="FFFFFF"/>
          <w:lang w:eastAsia="en-AU"/>
        </w:rPr>
        <w:t xml:space="preserve"> </w:t>
      </w:r>
    </w:p>
    <w:p w14:paraId="25D13184" w14:textId="77777777" w:rsidR="006B139B" w:rsidRPr="00D761AA" w:rsidRDefault="006B139B" w:rsidP="00C51303">
      <w:pPr>
        <w:spacing w:line="480" w:lineRule="auto"/>
        <w:jc w:val="both"/>
        <w:rPr>
          <w:rFonts w:ascii="Times New Roman" w:hAnsi="Times New Roman" w:cs="Times New Roman"/>
        </w:rPr>
      </w:pPr>
    </w:p>
    <w:p w14:paraId="5F47F934" w14:textId="77777777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</w:p>
    <w:p w14:paraId="673019A7" w14:textId="77777777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</w:p>
    <w:p w14:paraId="3B550CBC" w14:textId="77777777" w:rsidR="006B139B" w:rsidRPr="00D761AA" w:rsidRDefault="006B139B" w:rsidP="00595A88">
      <w:pPr>
        <w:spacing w:line="480" w:lineRule="auto"/>
        <w:jc w:val="both"/>
        <w:rPr>
          <w:rFonts w:ascii="Times New Roman" w:hAnsi="Times New Roman" w:cs="Times New Roman"/>
        </w:rPr>
      </w:pPr>
    </w:p>
    <w:p w14:paraId="1DE9F899" w14:textId="77777777" w:rsidR="00927FB1" w:rsidRPr="00D761AA" w:rsidRDefault="00927FB1" w:rsidP="00595A88">
      <w:pPr>
        <w:spacing w:line="480" w:lineRule="auto"/>
        <w:jc w:val="both"/>
        <w:rPr>
          <w:rFonts w:ascii="Times New Roman" w:hAnsi="Times New Roman" w:cs="Times New Roman"/>
        </w:rPr>
      </w:pPr>
    </w:p>
    <w:sectPr w:rsidR="00927FB1" w:rsidRPr="00D761AA" w:rsidSect="005C3C4C">
      <w:footerReference w:type="default" r:id="rId7"/>
      <w:pgSz w:w="11900" w:h="16840"/>
      <w:pgMar w:top="1440" w:right="1440" w:bottom="1440" w:left="1440" w:header="708" w:footer="708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39AE4" w14:textId="77777777" w:rsidR="00F14ADC" w:rsidRDefault="00F14ADC">
      <w:r>
        <w:separator/>
      </w:r>
    </w:p>
  </w:endnote>
  <w:endnote w:type="continuationSeparator" w:id="0">
    <w:p w14:paraId="3EA36D39" w14:textId="77777777" w:rsidR="00F14ADC" w:rsidRDefault="00F1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65CF" w14:textId="77777777" w:rsidR="00B40853" w:rsidRDefault="006B139B">
    <w:pPr>
      <w:tabs>
        <w:tab w:val="right" w:pos="9000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B1482" w14:textId="77777777" w:rsidR="00F14ADC" w:rsidRDefault="00F14ADC">
      <w:r>
        <w:separator/>
      </w:r>
    </w:p>
  </w:footnote>
  <w:footnote w:type="continuationSeparator" w:id="0">
    <w:p w14:paraId="74968B28" w14:textId="77777777" w:rsidR="00F14ADC" w:rsidRDefault="00F14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9B"/>
    <w:rsid w:val="00014B1C"/>
    <w:rsid w:val="00014DE2"/>
    <w:rsid w:val="00020E7C"/>
    <w:rsid w:val="00025FDA"/>
    <w:rsid w:val="000503B3"/>
    <w:rsid w:val="00051044"/>
    <w:rsid w:val="00066E83"/>
    <w:rsid w:val="00092912"/>
    <w:rsid w:val="000D1241"/>
    <w:rsid w:val="000E3F88"/>
    <w:rsid w:val="000F7350"/>
    <w:rsid w:val="0011594C"/>
    <w:rsid w:val="00126825"/>
    <w:rsid w:val="001412DC"/>
    <w:rsid w:val="00180F5D"/>
    <w:rsid w:val="0018613E"/>
    <w:rsid w:val="00192C9B"/>
    <w:rsid w:val="001A1E25"/>
    <w:rsid w:val="001C648C"/>
    <w:rsid w:val="001D6117"/>
    <w:rsid w:val="001E57E7"/>
    <w:rsid w:val="002241D9"/>
    <w:rsid w:val="00225B1A"/>
    <w:rsid w:val="00226EF9"/>
    <w:rsid w:val="0029223D"/>
    <w:rsid w:val="002A6124"/>
    <w:rsid w:val="002B457E"/>
    <w:rsid w:val="002E705E"/>
    <w:rsid w:val="002F317D"/>
    <w:rsid w:val="00313392"/>
    <w:rsid w:val="00327904"/>
    <w:rsid w:val="003925B1"/>
    <w:rsid w:val="003B04DF"/>
    <w:rsid w:val="00485DDE"/>
    <w:rsid w:val="004B33C9"/>
    <w:rsid w:val="004D111E"/>
    <w:rsid w:val="004E62D9"/>
    <w:rsid w:val="004F01F8"/>
    <w:rsid w:val="005058B6"/>
    <w:rsid w:val="00536DD3"/>
    <w:rsid w:val="00552CAA"/>
    <w:rsid w:val="00582E36"/>
    <w:rsid w:val="00595A88"/>
    <w:rsid w:val="005C2544"/>
    <w:rsid w:val="005C3C4C"/>
    <w:rsid w:val="005C655C"/>
    <w:rsid w:val="005D03FE"/>
    <w:rsid w:val="005D2597"/>
    <w:rsid w:val="0060212B"/>
    <w:rsid w:val="00627A2A"/>
    <w:rsid w:val="006A6FF8"/>
    <w:rsid w:val="006B139B"/>
    <w:rsid w:val="006B7776"/>
    <w:rsid w:val="0071286E"/>
    <w:rsid w:val="007277D5"/>
    <w:rsid w:val="007476BC"/>
    <w:rsid w:val="00776856"/>
    <w:rsid w:val="00862235"/>
    <w:rsid w:val="008C2171"/>
    <w:rsid w:val="0090505B"/>
    <w:rsid w:val="00927FB1"/>
    <w:rsid w:val="00932A8C"/>
    <w:rsid w:val="0094625C"/>
    <w:rsid w:val="00971EFE"/>
    <w:rsid w:val="009932CF"/>
    <w:rsid w:val="00A42E8D"/>
    <w:rsid w:val="00A61090"/>
    <w:rsid w:val="00A71264"/>
    <w:rsid w:val="00A7231C"/>
    <w:rsid w:val="00AF4CDE"/>
    <w:rsid w:val="00B1561D"/>
    <w:rsid w:val="00B67291"/>
    <w:rsid w:val="00B912FE"/>
    <w:rsid w:val="00B93973"/>
    <w:rsid w:val="00BB2420"/>
    <w:rsid w:val="00BD787E"/>
    <w:rsid w:val="00C51303"/>
    <w:rsid w:val="00C551CB"/>
    <w:rsid w:val="00C72D2C"/>
    <w:rsid w:val="00CC5072"/>
    <w:rsid w:val="00CF0512"/>
    <w:rsid w:val="00CF43D8"/>
    <w:rsid w:val="00D00BDE"/>
    <w:rsid w:val="00D12B2E"/>
    <w:rsid w:val="00D41EBD"/>
    <w:rsid w:val="00D761AA"/>
    <w:rsid w:val="00D82E6D"/>
    <w:rsid w:val="00DE5D45"/>
    <w:rsid w:val="00DF6011"/>
    <w:rsid w:val="00E057BC"/>
    <w:rsid w:val="00E15892"/>
    <w:rsid w:val="00E2181A"/>
    <w:rsid w:val="00E257EA"/>
    <w:rsid w:val="00E33870"/>
    <w:rsid w:val="00F00480"/>
    <w:rsid w:val="00F11204"/>
    <w:rsid w:val="00F11629"/>
    <w:rsid w:val="00F14ADC"/>
    <w:rsid w:val="00F515A2"/>
    <w:rsid w:val="00F65D6B"/>
    <w:rsid w:val="00FA78C9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9F762"/>
  <w15:chartTrackingRefBased/>
  <w15:docId w15:val="{17200427-2966-44D1-B97F-7E94C00A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776"/>
    <w:pPr>
      <w:spacing w:after="0" w:line="240" w:lineRule="auto"/>
    </w:pPr>
    <w:rPr>
      <w:rFonts w:eastAsiaTheme="minorEastAsia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71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12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1264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264"/>
    <w:rPr>
      <w:rFonts w:eastAsiaTheme="minorEastAsia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116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629"/>
    <w:rPr>
      <w:rFonts w:eastAsiaTheme="minorEastAsia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16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629"/>
    <w:rPr>
      <w:rFonts w:eastAsiaTheme="minorEastAsia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5C3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AD6E6-B398-4AF1-AEBC-2B1F3E8D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Vincents Institute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Musarat Ishaq</dc:creator>
  <cp:keywords/>
  <dc:description/>
  <cp:lastModifiedBy>Musarat Ishaq</cp:lastModifiedBy>
  <cp:revision>24</cp:revision>
  <dcterms:created xsi:type="dcterms:W3CDTF">2021-07-20T07:12:00Z</dcterms:created>
  <dcterms:modified xsi:type="dcterms:W3CDTF">2021-09-29T23:45:00Z</dcterms:modified>
</cp:coreProperties>
</file>