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80" w:rightFromText="180" w:vertAnchor="page" w:horzAnchor="margin" w:tblpY="2329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994CF2" w:rsidRPr="00DE3FDB" w14:paraId="63BF4DFB" w14:textId="77777777" w:rsidTr="00284981">
        <w:tc>
          <w:tcPr>
            <w:tcW w:w="1925" w:type="dxa"/>
          </w:tcPr>
          <w:p w14:paraId="39D678B4" w14:textId="77777777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1925" w:type="dxa"/>
          </w:tcPr>
          <w:p w14:paraId="73E16708" w14:textId="25AE3182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dds Ratio (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6" w:type="dxa"/>
          </w:tcPr>
          <w:p w14:paraId="2B24D72A" w14:textId="12D16C12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Unadjusted p</w:t>
            </w:r>
          </w:p>
        </w:tc>
        <w:tc>
          <w:tcPr>
            <w:tcW w:w="1926" w:type="dxa"/>
          </w:tcPr>
          <w:p w14:paraId="293A8F59" w14:textId="65750604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Adjusted Odds Ratio (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6" w:type="dxa"/>
          </w:tcPr>
          <w:p w14:paraId="224FA024" w14:textId="77777777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Adjusted p</w:t>
            </w:r>
          </w:p>
        </w:tc>
      </w:tr>
      <w:tr w:rsidR="00994CF2" w:rsidRPr="00DE3FDB" w14:paraId="2EF46E12" w14:textId="77777777" w:rsidTr="00284981">
        <w:tc>
          <w:tcPr>
            <w:tcW w:w="1925" w:type="dxa"/>
          </w:tcPr>
          <w:p w14:paraId="3D1F8C45" w14:textId="77777777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925" w:type="dxa"/>
          </w:tcPr>
          <w:p w14:paraId="7E551718" w14:textId="6E97BB13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0.9-1.4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6" w:type="dxa"/>
          </w:tcPr>
          <w:p w14:paraId="410E9494" w14:textId="072BB700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926" w:type="dxa"/>
          </w:tcPr>
          <w:p w14:paraId="2163E05E" w14:textId="5A3C240D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9)</w:t>
            </w:r>
          </w:p>
        </w:tc>
        <w:tc>
          <w:tcPr>
            <w:tcW w:w="1926" w:type="dxa"/>
          </w:tcPr>
          <w:p w14:paraId="03B41774" w14:textId="77777777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</w:tr>
      <w:tr w:rsidR="00994CF2" w:rsidRPr="00DE3FDB" w14:paraId="71D349A0" w14:textId="77777777" w:rsidTr="00284981">
        <w:tc>
          <w:tcPr>
            <w:tcW w:w="1925" w:type="dxa"/>
          </w:tcPr>
          <w:p w14:paraId="722F7377" w14:textId="77777777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Z-score BMI</w:t>
            </w:r>
          </w:p>
        </w:tc>
        <w:tc>
          <w:tcPr>
            <w:tcW w:w="1925" w:type="dxa"/>
          </w:tcPr>
          <w:p w14:paraId="216D8EA6" w14:textId="05E10995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0.5-2.4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6" w:type="dxa"/>
          </w:tcPr>
          <w:p w14:paraId="6C253BEB" w14:textId="331820EA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926" w:type="dxa"/>
          </w:tcPr>
          <w:p w14:paraId="030637DF" w14:textId="55ACFE18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0.4-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1926" w:type="dxa"/>
          </w:tcPr>
          <w:p w14:paraId="5271C65A" w14:textId="77777777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</w:tr>
      <w:tr w:rsidR="00994CF2" w:rsidRPr="00DE3FDB" w14:paraId="7715C2DD" w14:textId="77777777" w:rsidTr="00284981">
        <w:tc>
          <w:tcPr>
            <w:tcW w:w="1925" w:type="dxa"/>
          </w:tcPr>
          <w:p w14:paraId="51BC84A5" w14:textId="77777777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1925" w:type="dxa"/>
          </w:tcPr>
          <w:p w14:paraId="4839A228" w14:textId="2EB5D5AF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0.3-1.9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6" w:type="dxa"/>
          </w:tcPr>
          <w:p w14:paraId="0EF44338" w14:textId="3FB38767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926" w:type="dxa"/>
          </w:tcPr>
          <w:p w14:paraId="660EA7CE" w14:textId="5C0DD707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 (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1926" w:type="dxa"/>
          </w:tcPr>
          <w:p w14:paraId="042769E2" w14:textId="77777777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</w:tr>
      <w:tr w:rsidR="00994CF2" w:rsidRPr="00DE3FDB" w14:paraId="22BAE4C5" w14:textId="77777777" w:rsidTr="00284981">
        <w:tc>
          <w:tcPr>
            <w:tcW w:w="1925" w:type="dxa"/>
          </w:tcPr>
          <w:p w14:paraId="18E1883B" w14:textId="77777777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Tanner stage</w:t>
            </w:r>
          </w:p>
        </w:tc>
        <w:tc>
          <w:tcPr>
            <w:tcW w:w="1925" w:type="dxa"/>
          </w:tcPr>
          <w:p w14:paraId="1F34014C" w14:textId="5F6BFDC1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0.4-3.3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6" w:type="dxa"/>
          </w:tcPr>
          <w:p w14:paraId="23A1BE69" w14:textId="655E3E73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926" w:type="dxa"/>
          </w:tcPr>
          <w:p w14:paraId="29228D7D" w14:textId="72545F6C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(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</w:tc>
        <w:tc>
          <w:tcPr>
            <w:tcW w:w="1926" w:type="dxa"/>
          </w:tcPr>
          <w:p w14:paraId="233E2916" w14:textId="77777777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994CF2" w:rsidRPr="00DE3FDB" w14:paraId="2BAC3FCA" w14:textId="77777777" w:rsidTr="00284981">
        <w:tc>
          <w:tcPr>
            <w:tcW w:w="1925" w:type="dxa"/>
          </w:tcPr>
          <w:p w14:paraId="76E720BF" w14:textId="77777777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 xml:space="preserve">OSA severity </w:t>
            </w:r>
          </w:p>
        </w:tc>
        <w:tc>
          <w:tcPr>
            <w:tcW w:w="1925" w:type="dxa"/>
          </w:tcPr>
          <w:p w14:paraId="1BE02EA8" w14:textId="618659E7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E3FDB">
              <w:rPr>
                <w:rFonts w:ascii="Times New Roman" w:hAnsi="Times New Roman" w:cs="Times New Roman"/>
                <w:sz w:val="24"/>
                <w:szCs w:val="24"/>
              </w:rPr>
              <w:t>1.6-23.4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6" w:type="dxa"/>
          </w:tcPr>
          <w:p w14:paraId="563C3822" w14:textId="6B8EBF48" w:rsidR="00994CF2" w:rsidRPr="00994CF2" w:rsidRDefault="00994CF2" w:rsidP="00994C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4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0.007</w:t>
            </w:r>
          </w:p>
        </w:tc>
        <w:tc>
          <w:tcPr>
            <w:tcW w:w="1926" w:type="dxa"/>
          </w:tcPr>
          <w:p w14:paraId="026AB2D5" w14:textId="7F340488" w:rsidR="00994CF2" w:rsidRPr="00DE3FDB" w:rsidRDefault="00994CF2" w:rsidP="0099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 (2.4-53.7)</w:t>
            </w:r>
          </w:p>
        </w:tc>
        <w:tc>
          <w:tcPr>
            <w:tcW w:w="1926" w:type="dxa"/>
          </w:tcPr>
          <w:p w14:paraId="15990D9F" w14:textId="77777777" w:rsidR="00994CF2" w:rsidRPr="00994CF2" w:rsidRDefault="00994CF2" w:rsidP="00994C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4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0.002</w:t>
            </w:r>
          </w:p>
        </w:tc>
      </w:tr>
    </w:tbl>
    <w:p w14:paraId="5E5D61A1" w14:textId="6A430CD6" w:rsidR="00700A23" w:rsidRDefault="00DE3FDB">
      <w:pPr>
        <w:rPr>
          <w:rFonts w:ascii="Times New Roman" w:hAnsi="Times New Roman" w:cs="Times New Roman"/>
          <w:sz w:val="24"/>
          <w:szCs w:val="24"/>
        </w:rPr>
      </w:pPr>
      <w:r w:rsidRPr="004E2DBC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994CF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C47AF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94CF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E2D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2DBC">
        <w:rPr>
          <w:rFonts w:ascii="Times New Roman" w:hAnsi="Times New Roman" w:cs="Times New Roman"/>
          <w:sz w:val="24"/>
          <w:szCs w:val="24"/>
        </w:rPr>
        <w:t>Logistic regression analysis for risk of showing elevated 1-hour plasma glucose</w:t>
      </w:r>
      <w:r w:rsidR="00D25652">
        <w:rPr>
          <w:rFonts w:ascii="Times New Roman" w:hAnsi="Times New Roman" w:cs="Times New Roman"/>
          <w:sz w:val="24"/>
          <w:szCs w:val="24"/>
        </w:rPr>
        <w:t xml:space="preserve"> in the 2-hour OGTT group</w:t>
      </w:r>
    </w:p>
    <w:p w14:paraId="4DCB0B23" w14:textId="017712B0" w:rsidR="009607AA" w:rsidRDefault="009607AA">
      <w:pPr>
        <w:rPr>
          <w:rFonts w:ascii="Times New Roman" w:hAnsi="Times New Roman" w:cs="Times New Roman"/>
          <w:sz w:val="24"/>
          <w:szCs w:val="24"/>
        </w:rPr>
      </w:pPr>
    </w:p>
    <w:p w14:paraId="687C7DEA" w14:textId="4EFF9F50" w:rsidR="009607AA" w:rsidRPr="003B6806" w:rsidRDefault="00D25652" w:rsidP="009607A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The odd of showing elevated 1-hour plasma glucose is higher in children and adolescents with moderate and severe OSA compared to those with mild OSA independent of confounders. </w:t>
      </w:r>
      <w:r w:rsidR="00994CF2">
        <w:rPr>
          <w:rFonts w:ascii="Times New Roman" w:hAnsi="Times New Roman" w:cs="Times New Roman"/>
          <w:sz w:val="24"/>
          <w:szCs w:val="24"/>
        </w:rPr>
        <w:t xml:space="preserve">Unadjusted and adjusted odds ratio, 95% confidence intervals, and p level of significance are displayed. </w:t>
      </w:r>
      <w:proofErr w:type="gramStart"/>
      <w:r w:rsidR="00994CF2">
        <w:rPr>
          <w:rFonts w:ascii="Times New Roman" w:hAnsi="Times New Roman" w:cs="Times New Roman"/>
          <w:sz w:val="24"/>
          <w:szCs w:val="24"/>
        </w:rPr>
        <w:t>Statistical</w:t>
      </w:r>
      <w:proofErr w:type="gramEnd"/>
      <w:r w:rsidR="00994CF2">
        <w:rPr>
          <w:rFonts w:ascii="Times New Roman" w:hAnsi="Times New Roman" w:cs="Times New Roman"/>
          <w:sz w:val="24"/>
          <w:szCs w:val="24"/>
        </w:rPr>
        <w:t xml:space="preserve"> significant levels are reported in bold. </w:t>
      </w:r>
      <w:r w:rsidR="009607AA">
        <w:rPr>
          <w:rFonts w:ascii="Times New Roman" w:hAnsi="Times New Roman" w:cs="Times New Roman"/>
          <w:sz w:val="24"/>
          <w:szCs w:val="24"/>
        </w:rPr>
        <w:t xml:space="preserve">Legend: </w:t>
      </w:r>
      <w:r w:rsidR="00333157">
        <w:rPr>
          <w:rFonts w:ascii="Times New Roman" w:hAnsi="Times New Roman" w:cs="Times New Roman"/>
          <w:sz w:val="24"/>
          <w:szCs w:val="24"/>
        </w:rPr>
        <w:t xml:space="preserve">OSA: </w:t>
      </w:r>
      <w:bookmarkStart w:id="0" w:name="_Hlk119347201"/>
      <w:r w:rsidR="00333157">
        <w:rPr>
          <w:rFonts w:ascii="Times New Roman" w:hAnsi="Times New Roman" w:cs="Times New Roman"/>
          <w:sz w:val="24"/>
          <w:szCs w:val="24"/>
        </w:rPr>
        <w:t xml:space="preserve">obstructive sleep apnea. </w:t>
      </w:r>
      <w:r w:rsidR="009607AA" w:rsidRPr="00AB5B4E">
        <w:rPr>
          <w:rFonts w:ascii="Times New Roman" w:hAnsi="Times New Roman" w:cs="Times New Roman"/>
        </w:rPr>
        <w:t>Pubertal status was defined according to Tanner stage evaluating breast development in girls and testicular volume and genitalia development in boys: prepubertal boys and girls were defined as Tanner I, post-pubertal boys and girls were defined as Tanner III.</w:t>
      </w:r>
      <w:bookmarkEnd w:id="0"/>
    </w:p>
    <w:p w14:paraId="50149CAA" w14:textId="0AF75653" w:rsidR="009607AA" w:rsidRPr="00DE3FDB" w:rsidRDefault="009607AA">
      <w:pPr>
        <w:rPr>
          <w:rFonts w:ascii="Times New Roman" w:hAnsi="Times New Roman" w:cs="Times New Roman"/>
          <w:sz w:val="24"/>
          <w:szCs w:val="24"/>
        </w:rPr>
      </w:pPr>
    </w:p>
    <w:sectPr w:rsidR="009607AA" w:rsidRPr="00DE3FDB" w:rsidSect="003239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FDB"/>
    <w:rsid w:val="002C30E4"/>
    <w:rsid w:val="002E0A09"/>
    <w:rsid w:val="00323991"/>
    <w:rsid w:val="00333157"/>
    <w:rsid w:val="004E2DBC"/>
    <w:rsid w:val="006D3289"/>
    <w:rsid w:val="00700A23"/>
    <w:rsid w:val="0078474F"/>
    <w:rsid w:val="0081437D"/>
    <w:rsid w:val="0086092F"/>
    <w:rsid w:val="009607AA"/>
    <w:rsid w:val="00994CF2"/>
    <w:rsid w:val="00C47AFF"/>
    <w:rsid w:val="00D25652"/>
    <w:rsid w:val="00DE3FDB"/>
    <w:rsid w:val="00F7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36659"/>
  <w15:chartTrackingRefBased/>
  <w15:docId w15:val="{F4B97E82-8CBF-4277-A2E2-10A0765A7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E3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936</Characters>
  <Application>Microsoft Office Word</Application>
  <DocSecurity>0</DocSecurity>
  <Lines>25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Rosaria Umano</dc:creator>
  <cp:keywords/>
  <dc:description/>
  <cp:lastModifiedBy>Giuseppina Rosaria Umano</cp:lastModifiedBy>
  <cp:revision>3</cp:revision>
  <dcterms:created xsi:type="dcterms:W3CDTF">2022-11-22T22:15:00Z</dcterms:created>
  <dcterms:modified xsi:type="dcterms:W3CDTF">2022-11-22T22:20:00Z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4b760f36-fd76-427e-9a6c-ef20fa70dc15</vt:lpwstr>
  </property>
  <property fmtid="{D5CDD505-2E9C-101B-9397-08002B2CF9AE}" pid="3" name="FileId">
    <vt:lpwstr>1918769</vt:lpwstr>
  </property>
  <property fmtid="{D5CDD505-2E9C-101B-9397-08002B2CF9AE}" pid="4" name="InsertAsFootnote">
    <vt:lpwstr>False</vt:lpwstr>
  </property>
  <property fmtid="{D5CDD505-2E9C-101B-9397-08002B2CF9AE}" pid="5" name="ProjectId">
    <vt:lpwstr>0</vt:lpwstr>
  </property>
  <property fmtid="{D5CDD505-2E9C-101B-9397-08002B2CF9AE}" pid="6" name="StyleId">
    <vt:lpwstr>http://www.zotero.org/styles/vancouver</vt:lpwstr>
  </property>
</Properties>
</file>