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A3A41" w14:textId="4DD43E15" w:rsidR="005C5B9C" w:rsidRPr="005C5B9C" w:rsidRDefault="005C5B9C" w:rsidP="005C5B9C">
      <w:pPr>
        <w:spacing w:after="0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</w:rPr>
      </w:pPr>
      <w:r w:rsidRPr="00C144F3">
        <w:rPr>
          <w:rFonts w:ascii="Times New Roman" w:hAnsi="Times New Roman" w:cs="Times New Roman"/>
          <w:b/>
          <w:bCs/>
          <w:sz w:val="24"/>
          <w:szCs w:val="24"/>
        </w:rPr>
        <w:t>Supplementary Figure 1.</w:t>
      </w:r>
    </w:p>
    <w:p w14:paraId="62098FD3" w14:textId="77777777" w:rsidR="005C5B9C" w:rsidRPr="00C144F3" w:rsidRDefault="005C5B9C" w:rsidP="005C5B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44F3">
        <w:rPr>
          <w:rFonts w:ascii="Times New Roman" w:hAnsi="Times New Roman" w:cs="Times New Roman"/>
          <w:sz w:val="24"/>
          <w:szCs w:val="24"/>
        </w:rPr>
        <w:t xml:space="preserve">Flowchart showing the strategy used to identify new BMI loci in American Indians that also have some effect in the </w:t>
      </w:r>
      <w:r w:rsidRPr="00C144F3">
        <w:rPr>
          <w:rFonts w:ascii="Times New Roman" w:hAnsi="Times New Roman" w:cs="Times New Roman"/>
          <w:color w:val="000000" w:themeColor="text1"/>
          <w:sz w:val="24"/>
          <w:szCs w:val="24"/>
        </w:rPr>
        <w:t>GIANT</w:t>
      </w:r>
      <w:r w:rsidRPr="00C144F3">
        <w:rPr>
          <w:rFonts w:ascii="Times New Roman" w:hAnsi="Times New Roman" w:cs="Times New Roman"/>
          <w:color w:val="00B0F0"/>
          <w:sz w:val="24"/>
          <w:szCs w:val="24"/>
        </w:rPr>
        <w:t xml:space="preserve"> </w:t>
      </w:r>
      <w:r w:rsidRPr="00C144F3">
        <w:rPr>
          <w:rFonts w:ascii="Times New Roman" w:hAnsi="Times New Roman" w:cs="Times New Roman"/>
          <w:sz w:val="24"/>
          <w:szCs w:val="24"/>
        </w:rPr>
        <w:t xml:space="preserve">consortium dataset. </w:t>
      </w:r>
    </w:p>
    <w:p w14:paraId="24850BE4" w14:textId="77777777" w:rsidR="00C144F3" w:rsidRDefault="00C144F3"/>
    <w:p w14:paraId="78865353" w14:textId="670C25BE" w:rsidR="00640100" w:rsidRDefault="00E37938">
      <w:r>
        <w:rPr>
          <w:noProof/>
        </w:rPr>
        <w:drawing>
          <wp:inline distT="0" distB="0" distL="0" distR="0" wp14:anchorId="4322F6B3" wp14:editId="1C95B4DB">
            <wp:extent cx="3410413" cy="5083629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810" cy="50886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40100">
        <w:br w:type="page"/>
      </w:r>
    </w:p>
    <w:p w14:paraId="36EB0867" w14:textId="77777777" w:rsidR="00C144F3" w:rsidRDefault="00C144F3" w:rsidP="00C144F3">
      <w:pPr>
        <w:rPr>
          <w:rFonts w:ascii="Times New Roman" w:hAnsi="Times New Roman" w:cs="Times New Roman"/>
          <w:sz w:val="24"/>
          <w:szCs w:val="24"/>
        </w:rPr>
        <w:sectPr w:rsidR="00C144F3" w:rsidSect="00640100">
          <w:foot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F690584" w14:textId="250A3077" w:rsidR="005C5B9C" w:rsidRPr="00C144F3" w:rsidRDefault="005C5B9C" w:rsidP="005C5B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44F3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2.</w:t>
      </w:r>
    </w:p>
    <w:p w14:paraId="7B059A33" w14:textId="3220A683" w:rsidR="005C5B9C" w:rsidRPr="00C144F3" w:rsidRDefault="005C5B9C" w:rsidP="005C5B9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C144F3">
        <w:rPr>
          <w:rFonts w:ascii="Times New Roman" w:hAnsi="Times New Roman" w:cs="Times New Roman"/>
          <w:sz w:val="24"/>
        </w:rPr>
        <w:t xml:space="preserve">Figure showing the variants in the </w:t>
      </w:r>
      <w:r w:rsidRPr="00C144F3">
        <w:rPr>
          <w:rFonts w:ascii="Times New Roman" w:hAnsi="Times New Roman" w:cs="Times New Roman"/>
          <w:i/>
          <w:iCs/>
          <w:sz w:val="24"/>
          <w:szCs w:val="24"/>
        </w:rPr>
        <w:t>NFIA-AS2</w:t>
      </w:r>
      <w:r w:rsidRPr="00C144F3">
        <w:rPr>
          <w:rFonts w:ascii="Times New Roman" w:hAnsi="Times New Roman" w:cs="Times New Roman"/>
          <w:sz w:val="24"/>
          <w:szCs w:val="24"/>
        </w:rPr>
        <w:t xml:space="preserve"> region significantly associated with BMI in the combined American Indian + GIANT analysis. </w:t>
      </w:r>
      <w:r w:rsidR="00BD01BB">
        <w:rPr>
          <w:rFonts w:ascii="Times New Roman" w:hAnsi="Times New Roman" w:cs="Times New Roman"/>
          <w:sz w:val="24"/>
          <w:szCs w:val="24"/>
        </w:rPr>
        <w:t>NFIA-AS2 transcript isoforms V1, V2 and V3 are</w:t>
      </w:r>
      <w:r w:rsidR="00BD01BB" w:rsidRPr="00BD01BB">
        <w:rPr>
          <w:rFonts w:ascii="Times New Roman" w:hAnsi="Times New Roman" w:cs="Times New Roman"/>
          <w:sz w:val="24"/>
          <w:szCs w:val="24"/>
        </w:rPr>
        <w:t xml:space="preserve"> </w:t>
      </w:r>
      <w:r w:rsidR="003F384B">
        <w:rPr>
          <w:rFonts w:ascii="Times New Roman" w:hAnsi="Times New Roman" w:cs="Times New Roman"/>
          <w:sz w:val="24"/>
          <w:szCs w:val="24"/>
        </w:rPr>
        <w:t>indicated</w:t>
      </w:r>
      <w:r w:rsidR="00BD01BB">
        <w:rPr>
          <w:rFonts w:ascii="Times New Roman" w:hAnsi="Times New Roman" w:cs="Times New Roman"/>
          <w:sz w:val="24"/>
          <w:szCs w:val="24"/>
        </w:rPr>
        <w:t xml:space="preserve">. </w:t>
      </w:r>
      <w:r w:rsidR="00616984">
        <w:rPr>
          <w:rFonts w:ascii="Times New Roman" w:hAnsi="Times New Roman" w:cs="Times New Roman"/>
          <w:sz w:val="24"/>
          <w:szCs w:val="24"/>
        </w:rPr>
        <w:t xml:space="preserve">The element harboring rs1777538 </w:t>
      </w:r>
      <w:r w:rsidR="00614126">
        <w:rPr>
          <w:rFonts w:ascii="Times New Roman" w:hAnsi="Times New Roman" w:cs="Times New Roman"/>
          <w:sz w:val="24"/>
          <w:szCs w:val="24"/>
        </w:rPr>
        <w:t>shows</w:t>
      </w:r>
      <w:r w:rsidR="009535B5">
        <w:rPr>
          <w:rFonts w:ascii="Times New Roman" w:hAnsi="Times New Roman" w:cs="Times New Roman"/>
          <w:sz w:val="24"/>
          <w:szCs w:val="24"/>
        </w:rPr>
        <w:t xml:space="preserve"> histone marks characteristic of gene enhancers and </w:t>
      </w:r>
      <w:r w:rsidR="00614126">
        <w:rPr>
          <w:rFonts w:ascii="Times New Roman" w:hAnsi="Times New Roman" w:cs="Times New Roman"/>
          <w:sz w:val="24"/>
          <w:szCs w:val="24"/>
        </w:rPr>
        <w:t>features</w:t>
      </w:r>
      <w:r w:rsidR="009535B5">
        <w:rPr>
          <w:rFonts w:ascii="Times New Roman" w:hAnsi="Times New Roman" w:cs="Times New Roman"/>
          <w:sz w:val="24"/>
          <w:szCs w:val="24"/>
        </w:rPr>
        <w:t xml:space="preserve"> chromatin </w:t>
      </w:r>
      <w:r w:rsidR="00616984">
        <w:rPr>
          <w:rFonts w:ascii="Times New Roman" w:hAnsi="Times New Roman" w:cs="Times New Roman"/>
          <w:sz w:val="24"/>
          <w:szCs w:val="24"/>
        </w:rPr>
        <w:t>interact</w:t>
      </w:r>
      <w:r w:rsidR="009535B5">
        <w:rPr>
          <w:rFonts w:ascii="Times New Roman" w:hAnsi="Times New Roman" w:cs="Times New Roman"/>
          <w:sz w:val="24"/>
          <w:szCs w:val="24"/>
        </w:rPr>
        <w:t>ion</w:t>
      </w:r>
      <w:r w:rsidR="00616984">
        <w:rPr>
          <w:rFonts w:ascii="Times New Roman" w:hAnsi="Times New Roman" w:cs="Times New Roman"/>
          <w:sz w:val="24"/>
          <w:szCs w:val="24"/>
        </w:rPr>
        <w:t xml:space="preserve"> with the promoter</w:t>
      </w:r>
      <w:r w:rsidR="00140B0A">
        <w:rPr>
          <w:rFonts w:ascii="Times New Roman" w:hAnsi="Times New Roman" w:cs="Times New Roman"/>
          <w:sz w:val="24"/>
          <w:szCs w:val="24"/>
        </w:rPr>
        <w:t>s</w:t>
      </w:r>
      <w:r w:rsidR="00616984">
        <w:rPr>
          <w:rFonts w:ascii="Times New Roman" w:hAnsi="Times New Roman" w:cs="Times New Roman"/>
          <w:sz w:val="24"/>
          <w:szCs w:val="24"/>
        </w:rPr>
        <w:t xml:space="preserve"> of </w:t>
      </w:r>
      <w:r w:rsidR="00616984" w:rsidRPr="00616984">
        <w:rPr>
          <w:rFonts w:ascii="Times New Roman" w:hAnsi="Times New Roman" w:cs="Times New Roman"/>
          <w:i/>
          <w:iCs/>
          <w:sz w:val="24"/>
          <w:szCs w:val="24"/>
        </w:rPr>
        <w:t>NFIA-AS2</w:t>
      </w:r>
      <w:r w:rsidR="00140B0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40B0A" w:rsidRPr="00140B0A">
        <w:rPr>
          <w:rFonts w:ascii="Times New Roman" w:hAnsi="Times New Roman" w:cs="Times New Roman"/>
          <w:sz w:val="24"/>
          <w:szCs w:val="24"/>
        </w:rPr>
        <w:t>and long isoform of</w:t>
      </w:r>
      <w:r w:rsidR="00140B0A">
        <w:rPr>
          <w:rFonts w:ascii="Times New Roman" w:hAnsi="Times New Roman" w:cs="Times New Roman"/>
          <w:i/>
          <w:iCs/>
          <w:sz w:val="24"/>
          <w:szCs w:val="24"/>
        </w:rPr>
        <w:t xml:space="preserve"> NFIA </w:t>
      </w:r>
      <w:r w:rsidR="00140B0A" w:rsidRPr="00140B0A">
        <w:rPr>
          <w:rFonts w:ascii="Times New Roman" w:hAnsi="Times New Roman" w:cs="Times New Roman"/>
          <w:sz w:val="24"/>
          <w:szCs w:val="24"/>
        </w:rPr>
        <w:t>(ENST00000371191.5)</w:t>
      </w:r>
      <w:r w:rsidR="009535B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6CA4850" w14:textId="29A0B4FA" w:rsidR="00C144F3" w:rsidRDefault="00140B0A" w:rsidP="00C14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29CAAE15" wp14:editId="1329F134">
            <wp:simplePos x="0" y="0"/>
            <wp:positionH relativeFrom="column">
              <wp:posOffset>-476250</wp:posOffset>
            </wp:positionH>
            <wp:positionV relativeFrom="paragraph">
              <wp:posOffset>191770</wp:posOffset>
            </wp:positionV>
            <wp:extent cx="9054465" cy="367665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4465" cy="3676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72DDF2" w14:textId="0A1EEA6C" w:rsidR="00C144F3" w:rsidRPr="00C144F3" w:rsidRDefault="00C144F3" w:rsidP="00C144F3">
      <w:pPr>
        <w:rPr>
          <w:rFonts w:ascii="Times New Roman" w:hAnsi="Times New Roman" w:cs="Times New Roman"/>
          <w:sz w:val="24"/>
          <w:szCs w:val="24"/>
        </w:rPr>
      </w:pPr>
    </w:p>
    <w:p w14:paraId="30D358CC" w14:textId="4E5EA1C0" w:rsidR="00C144F3" w:rsidRDefault="00C144F3"/>
    <w:p w14:paraId="7BE2FE3B" w14:textId="77777777" w:rsidR="00616984" w:rsidRDefault="00616984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67A87026" w14:textId="4A32047D" w:rsidR="00E767D7" w:rsidRDefault="00E767D7" w:rsidP="00E767D7">
      <w:pPr>
        <w:tabs>
          <w:tab w:val="left" w:pos="1913"/>
        </w:tabs>
        <w:spacing w:after="0"/>
        <w:rPr>
          <w:rFonts w:ascii="Times New Roman" w:hAnsi="Times New Roman" w:cs="Times New Roman"/>
          <w:b/>
          <w:bCs/>
          <w:sz w:val="24"/>
        </w:rPr>
      </w:pPr>
      <w:r w:rsidRPr="00E767D7">
        <w:rPr>
          <w:rFonts w:ascii="Times New Roman" w:hAnsi="Times New Roman" w:cs="Times New Roman"/>
          <w:b/>
          <w:bCs/>
          <w:sz w:val="24"/>
        </w:rPr>
        <w:lastRenderedPageBreak/>
        <w:t>Supplementary Figure 3</w:t>
      </w:r>
      <w:r>
        <w:rPr>
          <w:rFonts w:ascii="Times New Roman" w:hAnsi="Times New Roman" w:cs="Times New Roman"/>
          <w:b/>
          <w:bCs/>
          <w:sz w:val="24"/>
        </w:rPr>
        <w:t>.</w:t>
      </w:r>
    </w:p>
    <w:p w14:paraId="24959D3C" w14:textId="75BF20CB" w:rsidR="00E767D7" w:rsidRPr="00E767D7" w:rsidRDefault="00E767D7" w:rsidP="00E767D7">
      <w:pPr>
        <w:tabs>
          <w:tab w:val="left" w:pos="1913"/>
        </w:tabs>
        <w:rPr>
          <w:rFonts w:ascii="Times New Roman" w:hAnsi="Times New Roman" w:cs="Times New Roman"/>
          <w:sz w:val="24"/>
        </w:rPr>
      </w:pPr>
      <w:r w:rsidRPr="00E767D7">
        <w:rPr>
          <w:rFonts w:ascii="Times New Roman" w:hAnsi="Times New Roman" w:cs="Times New Roman"/>
          <w:sz w:val="24"/>
        </w:rPr>
        <w:t xml:space="preserve">Poly(A) RNA sequencing data in brown and white adipose tissue of mouse was deduced from ENCODE v97 and was visualized in UCSC genome browser. </w:t>
      </w:r>
      <w:r w:rsidRPr="00E767D7">
        <w:rPr>
          <w:rFonts w:ascii="Times New Roman" w:hAnsi="Times New Roman" w:cs="Times New Roman"/>
          <w:i/>
          <w:iCs/>
          <w:sz w:val="24"/>
        </w:rPr>
        <w:t>NFIA-AS2</w:t>
      </w:r>
      <w:r>
        <w:rPr>
          <w:rFonts w:ascii="Times New Roman" w:hAnsi="Times New Roman" w:cs="Times New Roman"/>
          <w:sz w:val="24"/>
        </w:rPr>
        <w:t xml:space="preserve"> does not exist in m</w:t>
      </w:r>
      <w:r w:rsidRPr="00E767D7">
        <w:rPr>
          <w:rFonts w:ascii="Times New Roman" w:hAnsi="Times New Roman" w:cs="Times New Roman"/>
          <w:sz w:val="24"/>
        </w:rPr>
        <w:t>ouse.</w:t>
      </w:r>
    </w:p>
    <w:p w14:paraId="1C257996" w14:textId="5C78075F" w:rsidR="00E767D7" w:rsidRDefault="00E767D7" w:rsidP="00E767D7">
      <w:pPr>
        <w:tabs>
          <w:tab w:val="left" w:pos="1913"/>
        </w:tabs>
        <w:rPr>
          <w:rFonts w:ascii="Times New Roman" w:hAnsi="Times New Roman" w:cs="Times New Roman"/>
          <w:sz w:val="28"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1E245BB" wp14:editId="2B2F3ACC">
            <wp:simplePos x="0" y="0"/>
            <wp:positionH relativeFrom="column">
              <wp:posOffset>168910</wp:posOffset>
            </wp:positionH>
            <wp:positionV relativeFrom="paragraph">
              <wp:posOffset>321945</wp:posOffset>
            </wp:positionV>
            <wp:extent cx="7366000" cy="2200275"/>
            <wp:effectExtent l="0" t="0" r="6350" b="9525"/>
            <wp:wrapTopAndBottom/>
            <wp:docPr id="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CE6FBE8-0FD4-4D05-8C42-19032775DB0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5CE6FBE8-0FD4-4D05-8C42-19032775DB0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0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B62434" w14:textId="77777777" w:rsidR="00E767D7" w:rsidRDefault="00E767D7" w:rsidP="00E767D7">
      <w:pPr>
        <w:tabs>
          <w:tab w:val="left" w:pos="1913"/>
        </w:tabs>
        <w:rPr>
          <w:noProof/>
        </w:rPr>
      </w:pPr>
    </w:p>
    <w:p w14:paraId="6B38ECD3" w14:textId="77777777" w:rsidR="00E767D7" w:rsidRPr="00951011" w:rsidRDefault="00E767D7" w:rsidP="00E767D7">
      <w:pPr>
        <w:rPr>
          <w:noProof/>
          <w:sz w:val="20"/>
          <w:szCs w:val="20"/>
        </w:rPr>
      </w:pPr>
    </w:p>
    <w:p w14:paraId="291E0DB6" w14:textId="77777777" w:rsidR="00E767D7" w:rsidRDefault="00E767D7" w:rsidP="005C5B9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4E40AF8" w14:textId="77777777" w:rsidR="00E767D7" w:rsidRDefault="00E767D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555E25FB" w14:textId="658FB5EA" w:rsidR="005C5B9C" w:rsidRPr="00C144F3" w:rsidRDefault="005C5B9C" w:rsidP="005C5B9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144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Figure </w:t>
      </w:r>
      <w:r w:rsidR="00E767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C144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14:paraId="17E3F19E" w14:textId="3218E77C" w:rsidR="005C5B9C" w:rsidRPr="00C144F3" w:rsidRDefault="005C5B9C" w:rsidP="005C5B9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44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Secondary structures for the </w:t>
      </w:r>
      <w:r w:rsidRPr="00C144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NFIA-AS2</w:t>
      </w:r>
      <w:r w:rsidRPr="00C144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transcripts containing either the rs1777538 T or C allele. The rs1777538 T&gt;C variant does not significantly alter RNA secondary structure. Black arrows indicate the rs1777538 T and C nucleotides. The T to C substitution produces only a small change in the H-bonding of the flanking bases. </w:t>
      </w:r>
      <w:r w:rsidRPr="00C144F3">
        <w:rPr>
          <w:rFonts w:ascii="Times New Roman" w:hAnsi="Times New Roman" w:cs="Times New Roman"/>
          <w:sz w:val="24"/>
          <w:szCs w:val="24"/>
        </w:rPr>
        <w:t xml:space="preserve">The secondary structures were predicted using </w:t>
      </w:r>
      <w:proofErr w:type="spellStart"/>
      <w:r w:rsidRPr="00C144F3">
        <w:rPr>
          <w:rFonts w:ascii="Times New Roman" w:hAnsi="Times New Roman" w:cs="Times New Roman"/>
          <w:sz w:val="24"/>
          <w:szCs w:val="24"/>
        </w:rPr>
        <w:t>SNPfold</w:t>
      </w:r>
      <w:proofErr w:type="spellEnd"/>
      <w:r w:rsidRPr="00C144F3">
        <w:rPr>
          <w:rFonts w:ascii="Times New Roman" w:hAnsi="Times New Roman" w:cs="Times New Roman"/>
          <w:sz w:val="24"/>
          <w:szCs w:val="24"/>
        </w:rPr>
        <w:t>.</w:t>
      </w:r>
    </w:p>
    <w:p w14:paraId="3F7FA6DC" w14:textId="194556DC" w:rsidR="00C144F3" w:rsidRDefault="00C144F3" w:rsidP="006401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914F92B" wp14:editId="6D97BBAB">
            <wp:extent cx="5346700" cy="4798060"/>
            <wp:effectExtent l="0" t="0" r="6350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0" cy="4798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03C8DB" w14:textId="0D07B6E4" w:rsidR="00C144F3" w:rsidRDefault="00C144F3" w:rsidP="0064010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26E252" w14:textId="7F2297D0" w:rsidR="005C5B9C" w:rsidRPr="00C144F3" w:rsidRDefault="005C5B9C" w:rsidP="005C5B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44F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Figure </w:t>
      </w:r>
      <w:r w:rsidR="00E767D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144F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4C53F0E" w14:textId="50A41C37" w:rsidR="005C5B9C" w:rsidRPr="00A947AF" w:rsidRDefault="005C5B9C" w:rsidP="005C5B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44F3">
        <w:rPr>
          <w:rFonts w:ascii="Times New Roman" w:hAnsi="Times New Roman" w:cs="Times New Roman"/>
          <w:sz w:val="24"/>
          <w:szCs w:val="24"/>
        </w:rPr>
        <w:t xml:space="preserve">Expression of </w:t>
      </w:r>
      <w:r>
        <w:rPr>
          <w:rFonts w:ascii="Times New Roman" w:hAnsi="Times New Roman" w:cs="Times New Roman"/>
          <w:sz w:val="24"/>
          <w:szCs w:val="24"/>
        </w:rPr>
        <w:t xml:space="preserve">neighboring genes of </w:t>
      </w:r>
      <w:r w:rsidRPr="00A947AF">
        <w:rPr>
          <w:rFonts w:ascii="Times New Roman" w:hAnsi="Times New Roman" w:cs="Times New Roman"/>
          <w:i/>
          <w:iCs/>
          <w:sz w:val="24"/>
          <w:szCs w:val="24"/>
        </w:rPr>
        <w:t>NFIA-AS2</w:t>
      </w:r>
      <w:r>
        <w:rPr>
          <w:rFonts w:ascii="Times New Roman" w:hAnsi="Times New Roman" w:cs="Times New Roman"/>
          <w:sz w:val="24"/>
          <w:szCs w:val="24"/>
        </w:rPr>
        <w:t xml:space="preserve"> after treatment with miR6754-5p and miR4270 in HEK293 cells. </w:t>
      </w:r>
      <w:r w:rsidRPr="00C144F3">
        <w:rPr>
          <w:rFonts w:ascii="Times New Roman" w:hAnsi="Times New Roman" w:cs="Times New Roman"/>
          <w:sz w:val="24"/>
          <w:szCs w:val="24"/>
        </w:rPr>
        <w:t xml:space="preserve">Expression levels for each gene were normalized with </w:t>
      </w:r>
      <w:r w:rsidRPr="00C144F3">
        <w:rPr>
          <w:rFonts w:ascii="Times New Roman" w:hAnsi="Times New Roman" w:cs="Times New Roman"/>
          <w:i/>
          <w:iCs/>
          <w:sz w:val="24"/>
          <w:szCs w:val="24"/>
        </w:rPr>
        <w:t>TBP</w:t>
      </w:r>
      <w:r w:rsidRPr="00C144F3">
        <w:rPr>
          <w:rFonts w:ascii="Times New Roman" w:hAnsi="Times New Roman" w:cs="Times New Roman"/>
          <w:sz w:val="24"/>
          <w:szCs w:val="24"/>
        </w:rPr>
        <w:t xml:space="preserve"> and are shown relative to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C144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 miRNA control</w:t>
      </w:r>
      <w:r w:rsidRPr="00C144F3">
        <w:rPr>
          <w:rFonts w:ascii="Times New Roman" w:hAnsi="Times New Roman" w:cs="Times New Roman"/>
          <w:sz w:val="24"/>
          <w:szCs w:val="24"/>
        </w:rPr>
        <w:t>. Data is presented as mean + SE. The experiments were repeated on three separate days and done in triplicate per experiment.</w:t>
      </w:r>
    </w:p>
    <w:p w14:paraId="4C8CEE5E" w14:textId="021FF7E8" w:rsidR="005855F8" w:rsidRDefault="00DA6DE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D1E635E" wp14:editId="59976AAA">
            <wp:simplePos x="0" y="0"/>
            <wp:positionH relativeFrom="column">
              <wp:posOffset>-22225</wp:posOffset>
            </wp:positionH>
            <wp:positionV relativeFrom="paragraph">
              <wp:posOffset>360045</wp:posOffset>
            </wp:positionV>
            <wp:extent cx="7819390" cy="3296285"/>
            <wp:effectExtent l="0" t="0" r="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9390" cy="329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55F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C8A2B99" w14:textId="0BC88FB6" w:rsidR="005C5B9C" w:rsidRPr="00C144F3" w:rsidRDefault="005C5B9C" w:rsidP="005C5B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44F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Figure </w:t>
      </w:r>
      <w:r w:rsidR="00E767D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144F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BB76227" w14:textId="42DB4B2A" w:rsidR="005C5B9C" w:rsidRPr="00C144F3" w:rsidRDefault="005C5B9C" w:rsidP="005C5B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44F3">
        <w:rPr>
          <w:rFonts w:ascii="Times New Roman" w:hAnsi="Times New Roman" w:cs="Times New Roman"/>
          <w:sz w:val="24"/>
          <w:szCs w:val="24"/>
        </w:rPr>
        <w:t xml:space="preserve">Expression of different marker genes during differentiation of brown preadipocytes. Expression levels for each gene were normalized with </w:t>
      </w:r>
      <w:r w:rsidRPr="00C144F3">
        <w:rPr>
          <w:rFonts w:ascii="Times New Roman" w:hAnsi="Times New Roman" w:cs="Times New Roman"/>
          <w:i/>
          <w:iCs/>
          <w:sz w:val="24"/>
          <w:szCs w:val="24"/>
        </w:rPr>
        <w:t>TBP</w:t>
      </w:r>
      <w:r w:rsidRPr="00C144F3">
        <w:rPr>
          <w:rFonts w:ascii="Times New Roman" w:hAnsi="Times New Roman" w:cs="Times New Roman"/>
          <w:sz w:val="24"/>
          <w:szCs w:val="24"/>
        </w:rPr>
        <w:t xml:space="preserve"> and are shown relative to preadipocytes. Data is presented as mean + SE. The experiments were repeated on three separate days and done in triplicate per experiment. </w:t>
      </w:r>
      <w:proofErr w:type="spellStart"/>
      <w:r w:rsidRPr="00C144F3">
        <w:rPr>
          <w:rFonts w:ascii="Times New Roman" w:hAnsi="Times New Roman" w:cs="Times New Roman"/>
          <w:sz w:val="24"/>
          <w:szCs w:val="24"/>
        </w:rPr>
        <w:t>Preadipo</w:t>
      </w:r>
      <w:proofErr w:type="spellEnd"/>
      <w:r w:rsidRPr="00C144F3">
        <w:rPr>
          <w:rFonts w:ascii="Times New Roman" w:hAnsi="Times New Roman" w:cs="Times New Roman"/>
          <w:sz w:val="24"/>
          <w:szCs w:val="24"/>
        </w:rPr>
        <w:t>, preadipocytes.</w:t>
      </w:r>
    </w:p>
    <w:p w14:paraId="5D5B8933" w14:textId="1BA75AD1" w:rsidR="00C144F3" w:rsidRDefault="005855F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ECDB86" wp14:editId="697F2882">
            <wp:extent cx="5631180" cy="512826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614" cy="5128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86E63D" w14:textId="285D0253" w:rsidR="00B575F4" w:rsidRPr="00C144F3" w:rsidRDefault="00B575F4" w:rsidP="00B575F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44F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144F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6CDAF96" w14:textId="0D168336" w:rsidR="00B575F4" w:rsidRPr="00B575F4" w:rsidRDefault="00B575F4" w:rsidP="00B575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4AE9AB74" wp14:editId="29743944">
            <wp:simplePos x="0" y="0"/>
            <wp:positionH relativeFrom="column">
              <wp:posOffset>44450</wp:posOffset>
            </wp:positionH>
            <wp:positionV relativeFrom="paragraph">
              <wp:posOffset>1221740</wp:posOffset>
            </wp:positionV>
            <wp:extent cx="3441700" cy="3501390"/>
            <wp:effectExtent l="0" t="0" r="635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0" cy="3501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602C">
        <w:rPr>
          <w:rFonts w:ascii="Times New Roman" w:hAnsi="Times New Roman" w:cs="Times New Roman"/>
          <w:sz w:val="24"/>
          <w:szCs w:val="24"/>
        </w:rPr>
        <w:t>E</w:t>
      </w:r>
      <w:r w:rsidRPr="00B575F4">
        <w:rPr>
          <w:rFonts w:ascii="Times New Roman" w:hAnsi="Times New Roman" w:cs="Times New Roman"/>
          <w:sz w:val="24"/>
          <w:szCs w:val="24"/>
        </w:rPr>
        <w:t xml:space="preserve">QTL association data from </w:t>
      </w:r>
      <w:proofErr w:type="spellStart"/>
      <w:r w:rsidRPr="00B575F4">
        <w:rPr>
          <w:rFonts w:ascii="Times New Roman" w:hAnsi="Times New Roman" w:cs="Times New Roman"/>
          <w:sz w:val="24"/>
          <w:szCs w:val="24"/>
        </w:rPr>
        <w:t>GTEx</w:t>
      </w:r>
      <w:proofErr w:type="spellEnd"/>
      <w:r w:rsidRPr="00B575F4">
        <w:rPr>
          <w:rFonts w:ascii="Times New Roman" w:hAnsi="Times New Roman" w:cs="Times New Roman"/>
          <w:sz w:val="24"/>
          <w:szCs w:val="24"/>
        </w:rPr>
        <w:t xml:space="preserve"> database (version 8) </w:t>
      </w:r>
      <w:r w:rsidR="000F0931">
        <w:rPr>
          <w:rFonts w:ascii="Times New Roman" w:hAnsi="Times New Roman" w:cs="Times New Roman"/>
          <w:sz w:val="24"/>
          <w:szCs w:val="24"/>
        </w:rPr>
        <w:t>showing</w:t>
      </w:r>
      <w:r w:rsidRPr="00B575F4">
        <w:rPr>
          <w:rFonts w:ascii="Times New Roman" w:hAnsi="Times New Roman" w:cs="Times New Roman"/>
          <w:sz w:val="24"/>
          <w:szCs w:val="24"/>
        </w:rPr>
        <w:t xml:space="preserve"> that </w:t>
      </w:r>
      <w:r w:rsidR="000F0931">
        <w:rPr>
          <w:rFonts w:ascii="Times New Roman" w:hAnsi="Times New Roman" w:cs="Times New Roman"/>
          <w:sz w:val="24"/>
          <w:szCs w:val="24"/>
        </w:rPr>
        <w:t xml:space="preserve">TT genotype </w:t>
      </w:r>
      <w:r w:rsidRPr="00B575F4">
        <w:rPr>
          <w:rFonts w:ascii="Times New Roman" w:hAnsi="Times New Roman" w:cs="Times New Roman"/>
          <w:sz w:val="24"/>
          <w:szCs w:val="24"/>
        </w:rPr>
        <w:t xml:space="preserve">of </w:t>
      </w:r>
      <w:r w:rsidR="000F0931">
        <w:rPr>
          <w:rFonts w:ascii="Times New Roman" w:hAnsi="Times New Roman" w:cs="Times New Roman"/>
          <w:sz w:val="24"/>
          <w:szCs w:val="24"/>
        </w:rPr>
        <w:t>rs1777538</w:t>
      </w:r>
      <w:r w:rsidRPr="00B575F4">
        <w:rPr>
          <w:rFonts w:ascii="Times New Roman" w:hAnsi="Times New Roman" w:cs="Times New Roman"/>
          <w:sz w:val="24"/>
          <w:szCs w:val="24"/>
        </w:rPr>
        <w:t xml:space="preserve"> </w:t>
      </w:r>
      <w:r w:rsidR="000F0931">
        <w:rPr>
          <w:rFonts w:ascii="Times New Roman" w:hAnsi="Times New Roman" w:cs="Times New Roman"/>
          <w:sz w:val="24"/>
          <w:szCs w:val="24"/>
        </w:rPr>
        <w:t xml:space="preserve">is associated with lower </w:t>
      </w:r>
      <w:r w:rsidR="000F0931" w:rsidRPr="000F0931">
        <w:rPr>
          <w:rFonts w:ascii="Times New Roman" w:hAnsi="Times New Roman" w:cs="Times New Roman"/>
          <w:i/>
          <w:iCs/>
          <w:sz w:val="24"/>
          <w:szCs w:val="24"/>
        </w:rPr>
        <w:t>NFIA-AS2</w:t>
      </w:r>
      <w:r w:rsidR="000F0931">
        <w:rPr>
          <w:rFonts w:ascii="Times New Roman" w:hAnsi="Times New Roman" w:cs="Times New Roman"/>
          <w:sz w:val="24"/>
          <w:szCs w:val="24"/>
        </w:rPr>
        <w:t xml:space="preserve"> expression in tibial nerve tissue. </w:t>
      </w:r>
      <w:r w:rsidRPr="00B575F4">
        <w:rPr>
          <w:rFonts w:ascii="Times New Roman" w:hAnsi="Times New Roman" w:cs="Times New Roman"/>
          <w:sz w:val="24"/>
          <w:szCs w:val="24"/>
        </w:rPr>
        <w:t xml:space="preserve">The violin plot depicts the density of gene expression levels in each genotype and the bar denotes the median values. P = Nominal p value generated for variant-gene pair by testing whether that the slope of a linear regression model between genotype and expression deviates from 0. </w:t>
      </w:r>
    </w:p>
    <w:sectPr w:rsidR="00B575F4" w:rsidRPr="00B575F4" w:rsidSect="00C144F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A8B57" w14:textId="77777777" w:rsidR="0041601F" w:rsidRDefault="0041601F" w:rsidP="00EB0DCF">
      <w:pPr>
        <w:spacing w:after="0" w:line="240" w:lineRule="auto"/>
      </w:pPr>
      <w:r>
        <w:separator/>
      </w:r>
    </w:p>
  </w:endnote>
  <w:endnote w:type="continuationSeparator" w:id="0">
    <w:p w14:paraId="60D39040" w14:textId="77777777" w:rsidR="0041601F" w:rsidRDefault="0041601F" w:rsidP="00EB0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30039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4BBD4D" w14:textId="1128425D" w:rsidR="0041601F" w:rsidRDefault="004160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EFBA38" w14:textId="77777777" w:rsidR="0041601F" w:rsidRDefault="004160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0B339" w14:textId="77777777" w:rsidR="0041601F" w:rsidRDefault="0041601F" w:rsidP="00EB0DCF">
      <w:pPr>
        <w:spacing w:after="0" w:line="240" w:lineRule="auto"/>
      </w:pPr>
      <w:r>
        <w:separator/>
      </w:r>
    </w:p>
  </w:footnote>
  <w:footnote w:type="continuationSeparator" w:id="0">
    <w:p w14:paraId="11E1E783" w14:textId="77777777" w:rsidR="0041601F" w:rsidRDefault="0041601F" w:rsidP="00EB0D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C0MDa2tDQyMDEwMDVU0lEKTi0uzszPAykwMqoFAIH8hPItAAAA"/>
  </w:docVars>
  <w:rsids>
    <w:rsidRoot w:val="00640100"/>
    <w:rsid w:val="000163B4"/>
    <w:rsid w:val="000F0931"/>
    <w:rsid w:val="00140B0A"/>
    <w:rsid w:val="001C47A6"/>
    <w:rsid w:val="00212701"/>
    <w:rsid w:val="002C147A"/>
    <w:rsid w:val="002C602C"/>
    <w:rsid w:val="0033752A"/>
    <w:rsid w:val="00397C6E"/>
    <w:rsid w:val="003F384B"/>
    <w:rsid w:val="0041601F"/>
    <w:rsid w:val="004B72CD"/>
    <w:rsid w:val="00560253"/>
    <w:rsid w:val="005855F8"/>
    <w:rsid w:val="005C5B9C"/>
    <w:rsid w:val="005D1525"/>
    <w:rsid w:val="00614126"/>
    <w:rsid w:val="00616984"/>
    <w:rsid w:val="00640100"/>
    <w:rsid w:val="007313B5"/>
    <w:rsid w:val="0074206A"/>
    <w:rsid w:val="008F1D97"/>
    <w:rsid w:val="009535B5"/>
    <w:rsid w:val="00A947AF"/>
    <w:rsid w:val="00AC519A"/>
    <w:rsid w:val="00B575F4"/>
    <w:rsid w:val="00BD01BB"/>
    <w:rsid w:val="00BF0CE6"/>
    <w:rsid w:val="00C144F3"/>
    <w:rsid w:val="00C86683"/>
    <w:rsid w:val="00CF6B01"/>
    <w:rsid w:val="00DA6DE2"/>
    <w:rsid w:val="00E371FC"/>
    <w:rsid w:val="00E37938"/>
    <w:rsid w:val="00E767D7"/>
    <w:rsid w:val="00EB0DCF"/>
    <w:rsid w:val="00EF3F8E"/>
    <w:rsid w:val="00F90E01"/>
    <w:rsid w:val="00F9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0E98407E"/>
  <w15:chartTrackingRefBased/>
  <w15:docId w15:val="{96102B04-36D4-4AB8-AE80-D38450156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0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0D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DCF"/>
  </w:style>
  <w:style w:type="paragraph" w:styleId="Footer">
    <w:name w:val="footer"/>
    <w:basedOn w:val="Normal"/>
    <w:link w:val="FooterChar"/>
    <w:uiPriority w:val="99"/>
    <w:unhideWhenUsed/>
    <w:rsid w:val="00EB0D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D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7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Bandesh, Khushdeep (NIH/NIDDK) [F]</dc:creator>
  <cp:keywords/>
  <dc:description/>
  <cp:lastModifiedBy>Bandesh, Khushdeep (NIH/NIDDK) [F]</cp:lastModifiedBy>
  <cp:revision>26</cp:revision>
  <dcterms:created xsi:type="dcterms:W3CDTF">2021-12-29T21:35:00Z</dcterms:created>
  <dcterms:modified xsi:type="dcterms:W3CDTF">2023-01-20T19:53:00Z</dcterms:modified>
</cp:coreProperties>
</file>