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40E75F4" w14:textId="77777777" w:rsidR="00BA22A1" w:rsidRPr="00AA5006" w:rsidRDefault="00BA22A1" w:rsidP="00BA22A1">
      <w:pPr>
        <w:spacing w:before="2" w:line="240" w:lineRule="auto"/>
        <w:rPr>
          <w:rFonts w:ascii="Times New Roman" w:hAnsi="Times New Roman" w:cs="Times New Roman"/>
          <w:sz w:val="24"/>
          <w:szCs w:val="24"/>
        </w:rPr>
      </w:pPr>
      <w:r w:rsidRPr="00E60AE5">
        <w:rPr>
          <w:rFonts w:ascii="Times New Roman" w:hAnsi="Times New Roman" w:cs="Times New Roman"/>
          <w:b/>
          <w:bCs/>
          <w:sz w:val="24"/>
          <w:szCs w:val="24"/>
        </w:rPr>
        <w:t xml:space="preserve">Supplemental </w:t>
      </w:r>
      <w:r w:rsidRPr="00AA5006">
        <w:rPr>
          <w:rFonts w:ascii="Times New Roman" w:hAnsi="Times New Roman" w:cs="Times New Roman"/>
          <w:b/>
          <w:bCs/>
          <w:sz w:val="24"/>
          <w:szCs w:val="24"/>
        </w:rPr>
        <w:t xml:space="preserve">Table 1. </w:t>
      </w:r>
      <w:r w:rsidRPr="00AA5006">
        <w:rPr>
          <w:rFonts w:ascii="Times New Roman" w:hAnsi="Times New Roman" w:cs="Times New Roman"/>
          <w:sz w:val="24"/>
          <w:szCs w:val="24"/>
        </w:rPr>
        <w:t>Prescribed and reported energy and macronutrient intakes.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82"/>
        <w:gridCol w:w="2762"/>
        <w:gridCol w:w="2762"/>
      </w:tblGrid>
      <w:tr w:rsidR="00BA22A1" w:rsidRPr="00AA5006" w14:paraId="2640DB20" w14:textId="77777777" w:rsidTr="00A37410">
        <w:trPr>
          <w:trHeight w:val="416"/>
        </w:trPr>
        <w:tc>
          <w:tcPr>
            <w:tcW w:w="2952" w:type="dxa"/>
            <w:tcBorders>
              <w:top w:val="single" w:sz="4" w:space="0" w:color="auto"/>
              <w:bottom w:val="single" w:sz="4" w:space="0" w:color="auto"/>
            </w:tcBorders>
          </w:tcPr>
          <w:p w14:paraId="09CFD90D" w14:textId="77777777" w:rsidR="00BA22A1" w:rsidRPr="00AA5006" w:rsidRDefault="00BA22A1" w:rsidP="00A374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single" w:sz="4" w:space="0" w:color="auto"/>
              <w:bottom w:val="single" w:sz="4" w:space="0" w:color="auto"/>
            </w:tcBorders>
          </w:tcPr>
          <w:p w14:paraId="05C67F2C" w14:textId="77777777" w:rsidR="00BA22A1" w:rsidRPr="00AA5006" w:rsidRDefault="00BA22A1" w:rsidP="00A37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006">
              <w:rPr>
                <w:rFonts w:ascii="Times New Roman" w:hAnsi="Times New Roman" w:cs="Times New Roman"/>
                <w:sz w:val="24"/>
                <w:szCs w:val="24"/>
              </w:rPr>
              <w:t xml:space="preserve">Kanaan </w:t>
            </w:r>
            <w:r w:rsidRPr="00AA500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et al., </w:t>
            </w:r>
            <w:r w:rsidRPr="00AA5006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952" w:type="dxa"/>
            <w:tcBorders>
              <w:top w:val="single" w:sz="4" w:space="0" w:color="auto"/>
              <w:bottom w:val="single" w:sz="4" w:space="0" w:color="auto"/>
            </w:tcBorders>
          </w:tcPr>
          <w:p w14:paraId="2B097E59" w14:textId="77777777" w:rsidR="00BA22A1" w:rsidRPr="00AA5006" w:rsidRDefault="00BA22A1" w:rsidP="00A37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5006">
              <w:rPr>
                <w:rFonts w:ascii="Times New Roman" w:hAnsi="Times New Roman" w:cs="Times New Roman"/>
                <w:sz w:val="24"/>
                <w:szCs w:val="24"/>
              </w:rPr>
              <w:t>Nait</w:t>
            </w:r>
            <w:proofErr w:type="spellEnd"/>
            <w:r w:rsidRPr="00AA5006">
              <w:rPr>
                <w:rFonts w:ascii="Times New Roman" w:hAnsi="Times New Roman" w:cs="Times New Roman"/>
                <w:sz w:val="24"/>
                <w:szCs w:val="24"/>
              </w:rPr>
              <w:t xml:space="preserve">-Yahia </w:t>
            </w:r>
            <w:r w:rsidRPr="00AA500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et al.,</w:t>
            </w:r>
            <w:r w:rsidRPr="00AA5006">
              <w:rPr>
                <w:rFonts w:ascii="Times New Roman" w:hAnsi="Times New Roman" w:cs="Times New Roman"/>
                <w:sz w:val="24"/>
                <w:szCs w:val="24"/>
              </w:rPr>
              <w:t xml:space="preserve"> 2026</w:t>
            </w:r>
          </w:p>
        </w:tc>
      </w:tr>
      <w:tr w:rsidR="00BA22A1" w:rsidRPr="00AA5006" w14:paraId="2119486A" w14:textId="77777777" w:rsidTr="00A37410">
        <w:tc>
          <w:tcPr>
            <w:tcW w:w="2952" w:type="dxa"/>
            <w:tcBorders>
              <w:top w:val="single" w:sz="4" w:space="0" w:color="auto"/>
            </w:tcBorders>
          </w:tcPr>
          <w:p w14:paraId="21231658" w14:textId="77777777" w:rsidR="00BA22A1" w:rsidRPr="00AA5006" w:rsidRDefault="00BA22A1" w:rsidP="00A374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5006">
              <w:rPr>
                <w:rFonts w:ascii="Times New Roman" w:hAnsi="Times New Roman" w:cs="Times New Roman"/>
                <w:sz w:val="24"/>
                <w:szCs w:val="24"/>
              </w:rPr>
              <w:t>EI, prescribed (kcal/d)</w:t>
            </w:r>
          </w:p>
        </w:tc>
        <w:tc>
          <w:tcPr>
            <w:tcW w:w="2952" w:type="dxa"/>
            <w:tcBorders>
              <w:top w:val="single" w:sz="4" w:space="0" w:color="auto"/>
            </w:tcBorders>
          </w:tcPr>
          <w:p w14:paraId="5A1CFEE4" w14:textId="77777777" w:rsidR="00BA22A1" w:rsidRPr="00AA5006" w:rsidRDefault="00BA22A1" w:rsidP="00A3741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006">
              <w:rPr>
                <w:rFonts w:ascii="Times New Roman" w:hAnsi="Times New Roman" w:cs="Times New Roman"/>
                <w:sz w:val="24"/>
                <w:szCs w:val="24"/>
              </w:rPr>
              <w:t>2057.43 ± 311.19</w:t>
            </w:r>
          </w:p>
        </w:tc>
        <w:tc>
          <w:tcPr>
            <w:tcW w:w="2952" w:type="dxa"/>
            <w:tcBorders>
              <w:top w:val="single" w:sz="4" w:space="0" w:color="auto"/>
            </w:tcBorders>
          </w:tcPr>
          <w:p w14:paraId="256B5143" w14:textId="77777777" w:rsidR="00BA22A1" w:rsidRPr="00AA5006" w:rsidRDefault="00BA22A1" w:rsidP="00A3741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006">
              <w:rPr>
                <w:rFonts w:ascii="Times New Roman" w:hAnsi="Times New Roman" w:cs="Times New Roman"/>
                <w:sz w:val="24"/>
                <w:szCs w:val="24"/>
              </w:rPr>
              <w:t>1785.19 ± 242.26</w:t>
            </w:r>
          </w:p>
        </w:tc>
      </w:tr>
      <w:tr w:rsidR="00BA22A1" w:rsidRPr="00AA5006" w14:paraId="5AE6A914" w14:textId="77777777" w:rsidTr="00A37410">
        <w:tc>
          <w:tcPr>
            <w:tcW w:w="2952" w:type="dxa"/>
          </w:tcPr>
          <w:p w14:paraId="61FBD283" w14:textId="77777777" w:rsidR="00BA22A1" w:rsidRPr="00AA5006" w:rsidRDefault="00BA22A1" w:rsidP="00A374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5006">
              <w:rPr>
                <w:rFonts w:ascii="Times New Roman" w:hAnsi="Times New Roman" w:cs="Times New Roman"/>
                <w:sz w:val="24"/>
                <w:szCs w:val="24"/>
              </w:rPr>
              <w:t>EI, reported (kcal/d)</w:t>
            </w:r>
          </w:p>
        </w:tc>
        <w:tc>
          <w:tcPr>
            <w:tcW w:w="2952" w:type="dxa"/>
          </w:tcPr>
          <w:p w14:paraId="14C7DAC9" w14:textId="77777777" w:rsidR="00BA22A1" w:rsidRPr="00AA5006" w:rsidRDefault="00BA22A1" w:rsidP="00A3741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006">
              <w:rPr>
                <w:rFonts w:ascii="Times New Roman" w:hAnsi="Times New Roman" w:cs="Times New Roman"/>
                <w:sz w:val="24"/>
                <w:szCs w:val="24"/>
              </w:rPr>
              <w:t>1992.42 ± 336.4</w:t>
            </w:r>
          </w:p>
        </w:tc>
        <w:tc>
          <w:tcPr>
            <w:tcW w:w="2952" w:type="dxa"/>
          </w:tcPr>
          <w:p w14:paraId="522119C6" w14:textId="77777777" w:rsidR="00BA22A1" w:rsidRPr="00AA5006" w:rsidRDefault="00BA22A1" w:rsidP="00A3741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006">
              <w:rPr>
                <w:rFonts w:ascii="Times New Roman" w:hAnsi="Times New Roman" w:cs="Times New Roman"/>
                <w:sz w:val="24"/>
                <w:szCs w:val="24"/>
              </w:rPr>
              <w:t>1768.39 ± 248.24</w:t>
            </w:r>
          </w:p>
        </w:tc>
      </w:tr>
      <w:tr w:rsidR="00BA22A1" w:rsidRPr="00AA5006" w14:paraId="43FE9C02" w14:textId="77777777" w:rsidTr="00A37410">
        <w:tc>
          <w:tcPr>
            <w:tcW w:w="2952" w:type="dxa"/>
          </w:tcPr>
          <w:p w14:paraId="5DF15089" w14:textId="77777777" w:rsidR="00BA22A1" w:rsidRPr="00AA5006" w:rsidRDefault="00BA22A1" w:rsidP="00A374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5006">
              <w:rPr>
                <w:rFonts w:ascii="Times New Roman" w:hAnsi="Times New Roman" w:cs="Times New Roman"/>
                <w:sz w:val="24"/>
                <w:szCs w:val="24"/>
              </w:rPr>
              <w:t>Protein, prescribed (g/d)</w:t>
            </w:r>
          </w:p>
        </w:tc>
        <w:tc>
          <w:tcPr>
            <w:tcW w:w="2952" w:type="dxa"/>
          </w:tcPr>
          <w:p w14:paraId="0DAB83AB" w14:textId="77777777" w:rsidR="00BA22A1" w:rsidRPr="00AA5006" w:rsidRDefault="00BA22A1" w:rsidP="00A3741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006">
              <w:rPr>
                <w:rFonts w:ascii="Times New Roman" w:hAnsi="Times New Roman" w:cs="Times New Roman"/>
                <w:sz w:val="24"/>
                <w:szCs w:val="24"/>
              </w:rPr>
              <w:t>123.04 ± 30.47</w:t>
            </w:r>
          </w:p>
        </w:tc>
        <w:tc>
          <w:tcPr>
            <w:tcW w:w="2952" w:type="dxa"/>
          </w:tcPr>
          <w:p w14:paraId="07E7002E" w14:textId="77777777" w:rsidR="00BA22A1" w:rsidRPr="00AA5006" w:rsidRDefault="00BA22A1" w:rsidP="00A3741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006">
              <w:rPr>
                <w:rFonts w:ascii="Times New Roman" w:hAnsi="Times New Roman" w:cs="Times New Roman"/>
                <w:sz w:val="24"/>
                <w:szCs w:val="24"/>
              </w:rPr>
              <w:t>197.44 ± 23.67</w:t>
            </w:r>
          </w:p>
        </w:tc>
      </w:tr>
      <w:tr w:rsidR="00BA22A1" w:rsidRPr="00AA5006" w14:paraId="0274C5B5" w14:textId="77777777" w:rsidTr="00A37410">
        <w:tc>
          <w:tcPr>
            <w:tcW w:w="2952" w:type="dxa"/>
          </w:tcPr>
          <w:p w14:paraId="19B3D484" w14:textId="77777777" w:rsidR="00BA22A1" w:rsidRPr="00AA5006" w:rsidRDefault="00BA22A1" w:rsidP="00A374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5006">
              <w:rPr>
                <w:rFonts w:ascii="Times New Roman" w:hAnsi="Times New Roman" w:cs="Times New Roman"/>
                <w:sz w:val="24"/>
                <w:szCs w:val="24"/>
              </w:rPr>
              <w:t>Protein, reported (g/d)</w:t>
            </w:r>
          </w:p>
        </w:tc>
        <w:tc>
          <w:tcPr>
            <w:tcW w:w="2952" w:type="dxa"/>
          </w:tcPr>
          <w:p w14:paraId="22EC92FD" w14:textId="77777777" w:rsidR="00BA22A1" w:rsidRPr="00AA5006" w:rsidRDefault="00BA22A1" w:rsidP="00A3741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006">
              <w:rPr>
                <w:rFonts w:ascii="Times New Roman" w:hAnsi="Times New Roman" w:cs="Times New Roman"/>
                <w:sz w:val="24"/>
                <w:szCs w:val="24"/>
              </w:rPr>
              <w:t>121.83 ± 32.04</w:t>
            </w:r>
          </w:p>
        </w:tc>
        <w:tc>
          <w:tcPr>
            <w:tcW w:w="2952" w:type="dxa"/>
          </w:tcPr>
          <w:p w14:paraId="68CFAEE0" w14:textId="77777777" w:rsidR="00BA22A1" w:rsidRPr="00AA5006" w:rsidRDefault="00BA22A1" w:rsidP="00A3741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006">
              <w:rPr>
                <w:rFonts w:ascii="Times New Roman" w:hAnsi="Times New Roman" w:cs="Times New Roman"/>
                <w:sz w:val="24"/>
                <w:szCs w:val="24"/>
              </w:rPr>
              <w:t>189.84 ± 33.38</w:t>
            </w:r>
          </w:p>
        </w:tc>
      </w:tr>
      <w:tr w:rsidR="00BA22A1" w:rsidRPr="00AA5006" w14:paraId="18353A9A" w14:textId="77777777" w:rsidTr="00A37410">
        <w:tc>
          <w:tcPr>
            <w:tcW w:w="2952" w:type="dxa"/>
          </w:tcPr>
          <w:p w14:paraId="54D16DAB" w14:textId="77777777" w:rsidR="00BA22A1" w:rsidRPr="00AA5006" w:rsidRDefault="00BA22A1" w:rsidP="00A374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5006">
              <w:rPr>
                <w:rFonts w:ascii="Times New Roman" w:hAnsi="Times New Roman" w:cs="Times New Roman"/>
                <w:sz w:val="24"/>
                <w:szCs w:val="24"/>
              </w:rPr>
              <w:t>CHO, prescribed (g/d)</w:t>
            </w:r>
          </w:p>
        </w:tc>
        <w:tc>
          <w:tcPr>
            <w:tcW w:w="2952" w:type="dxa"/>
          </w:tcPr>
          <w:p w14:paraId="01692CD1" w14:textId="77777777" w:rsidR="00BA22A1" w:rsidRPr="00AA5006" w:rsidRDefault="00BA22A1" w:rsidP="00A3741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006">
              <w:rPr>
                <w:rFonts w:ascii="Times New Roman" w:hAnsi="Times New Roman" w:cs="Times New Roman"/>
                <w:sz w:val="24"/>
                <w:szCs w:val="24"/>
              </w:rPr>
              <w:t>218.08 ± 47.35</w:t>
            </w:r>
          </w:p>
        </w:tc>
        <w:tc>
          <w:tcPr>
            <w:tcW w:w="2952" w:type="dxa"/>
          </w:tcPr>
          <w:p w14:paraId="3AE9036D" w14:textId="77777777" w:rsidR="00BA22A1" w:rsidRPr="00AA5006" w:rsidRDefault="00BA22A1" w:rsidP="00A3741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006">
              <w:rPr>
                <w:rFonts w:ascii="Times New Roman" w:hAnsi="Times New Roman" w:cs="Times New Roman"/>
                <w:sz w:val="24"/>
                <w:szCs w:val="24"/>
              </w:rPr>
              <w:t>157.42 ± 47.85</w:t>
            </w:r>
          </w:p>
        </w:tc>
      </w:tr>
      <w:tr w:rsidR="00BA22A1" w:rsidRPr="00AA5006" w14:paraId="3A80E2DC" w14:textId="77777777" w:rsidTr="00A37410">
        <w:trPr>
          <w:trHeight w:val="67"/>
        </w:trPr>
        <w:tc>
          <w:tcPr>
            <w:tcW w:w="2952" w:type="dxa"/>
          </w:tcPr>
          <w:p w14:paraId="4D15E842" w14:textId="77777777" w:rsidR="00BA22A1" w:rsidRPr="00AA5006" w:rsidRDefault="00BA22A1" w:rsidP="00A374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5006">
              <w:rPr>
                <w:rFonts w:ascii="Times New Roman" w:hAnsi="Times New Roman" w:cs="Times New Roman"/>
                <w:sz w:val="24"/>
                <w:szCs w:val="24"/>
              </w:rPr>
              <w:t>CHO, reported (g/d)</w:t>
            </w:r>
          </w:p>
        </w:tc>
        <w:tc>
          <w:tcPr>
            <w:tcW w:w="2952" w:type="dxa"/>
          </w:tcPr>
          <w:p w14:paraId="5C7BFC4C" w14:textId="77777777" w:rsidR="00BA22A1" w:rsidRPr="00AA5006" w:rsidRDefault="00BA22A1" w:rsidP="00A3741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006">
              <w:rPr>
                <w:rFonts w:ascii="Times New Roman" w:hAnsi="Times New Roman" w:cs="Times New Roman"/>
                <w:sz w:val="24"/>
                <w:szCs w:val="24"/>
              </w:rPr>
              <w:t>208.02 ± 51.45</w:t>
            </w:r>
          </w:p>
        </w:tc>
        <w:tc>
          <w:tcPr>
            <w:tcW w:w="2952" w:type="dxa"/>
          </w:tcPr>
          <w:p w14:paraId="1B8AE506" w14:textId="77777777" w:rsidR="00BA22A1" w:rsidRPr="00AA5006" w:rsidRDefault="00BA22A1" w:rsidP="00A3741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006">
              <w:rPr>
                <w:rFonts w:ascii="Times New Roman" w:hAnsi="Times New Roman" w:cs="Times New Roman"/>
                <w:sz w:val="24"/>
                <w:szCs w:val="24"/>
              </w:rPr>
              <w:t>151.07 ± 44.75</w:t>
            </w:r>
          </w:p>
        </w:tc>
      </w:tr>
      <w:tr w:rsidR="00BA22A1" w:rsidRPr="00AA5006" w14:paraId="7AF3161C" w14:textId="77777777" w:rsidTr="00A37410">
        <w:trPr>
          <w:trHeight w:val="67"/>
        </w:trPr>
        <w:tc>
          <w:tcPr>
            <w:tcW w:w="2952" w:type="dxa"/>
          </w:tcPr>
          <w:p w14:paraId="7D8BD6ED" w14:textId="77777777" w:rsidR="00BA22A1" w:rsidRPr="00AA5006" w:rsidRDefault="00BA22A1" w:rsidP="00A374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5006">
              <w:rPr>
                <w:rFonts w:ascii="Times New Roman" w:hAnsi="Times New Roman" w:cs="Times New Roman"/>
                <w:sz w:val="24"/>
                <w:szCs w:val="24"/>
              </w:rPr>
              <w:t>Fat, prescribed (g/d)</w:t>
            </w:r>
          </w:p>
        </w:tc>
        <w:tc>
          <w:tcPr>
            <w:tcW w:w="2952" w:type="dxa"/>
          </w:tcPr>
          <w:p w14:paraId="78C14D76" w14:textId="77777777" w:rsidR="00BA22A1" w:rsidRPr="00AA5006" w:rsidRDefault="00BA22A1" w:rsidP="00A3741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006">
              <w:rPr>
                <w:rFonts w:ascii="Times New Roman" w:hAnsi="Times New Roman" w:cs="Times New Roman"/>
                <w:sz w:val="24"/>
                <w:szCs w:val="24"/>
              </w:rPr>
              <w:t>76.92 ± 12.75</w:t>
            </w:r>
          </w:p>
        </w:tc>
        <w:tc>
          <w:tcPr>
            <w:tcW w:w="2952" w:type="dxa"/>
          </w:tcPr>
          <w:p w14:paraId="2AC5A260" w14:textId="77777777" w:rsidR="00BA22A1" w:rsidRPr="00AA5006" w:rsidRDefault="00BA22A1" w:rsidP="00A3741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006">
              <w:rPr>
                <w:rFonts w:ascii="Times New Roman" w:hAnsi="Times New Roman" w:cs="Times New Roman"/>
                <w:sz w:val="24"/>
                <w:szCs w:val="24"/>
              </w:rPr>
              <w:t>39.51 ± 6.48</w:t>
            </w:r>
          </w:p>
        </w:tc>
      </w:tr>
      <w:tr w:rsidR="00BA22A1" w:rsidRPr="00AA5006" w14:paraId="7446C025" w14:textId="77777777" w:rsidTr="00A37410">
        <w:trPr>
          <w:trHeight w:val="67"/>
        </w:trPr>
        <w:tc>
          <w:tcPr>
            <w:tcW w:w="2952" w:type="dxa"/>
            <w:tcBorders>
              <w:bottom w:val="single" w:sz="4" w:space="0" w:color="auto"/>
            </w:tcBorders>
          </w:tcPr>
          <w:p w14:paraId="5AA43D30" w14:textId="77777777" w:rsidR="00BA22A1" w:rsidRPr="00AA5006" w:rsidRDefault="00BA22A1" w:rsidP="00A374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5006">
              <w:rPr>
                <w:rFonts w:ascii="Times New Roman" w:hAnsi="Times New Roman" w:cs="Times New Roman"/>
                <w:sz w:val="24"/>
                <w:szCs w:val="24"/>
              </w:rPr>
              <w:t>Fat, reported (g/d)</w:t>
            </w:r>
          </w:p>
        </w:tc>
        <w:tc>
          <w:tcPr>
            <w:tcW w:w="2952" w:type="dxa"/>
            <w:tcBorders>
              <w:bottom w:val="single" w:sz="4" w:space="0" w:color="auto"/>
            </w:tcBorders>
          </w:tcPr>
          <w:p w14:paraId="69CC2E6E" w14:textId="77777777" w:rsidR="00BA22A1" w:rsidRPr="00AA5006" w:rsidRDefault="00BA22A1" w:rsidP="00A3741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006">
              <w:rPr>
                <w:rFonts w:ascii="Times New Roman" w:hAnsi="Times New Roman" w:cs="Times New Roman"/>
                <w:sz w:val="24"/>
                <w:szCs w:val="24"/>
              </w:rPr>
              <w:t>74.77 ± 13.99</w:t>
            </w:r>
          </w:p>
        </w:tc>
        <w:tc>
          <w:tcPr>
            <w:tcW w:w="2952" w:type="dxa"/>
            <w:tcBorders>
              <w:bottom w:val="single" w:sz="4" w:space="0" w:color="auto"/>
            </w:tcBorders>
          </w:tcPr>
          <w:p w14:paraId="591E238D" w14:textId="77777777" w:rsidR="00BA22A1" w:rsidRPr="00AA5006" w:rsidRDefault="00BA22A1" w:rsidP="00A3741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006">
              <w:rPr>
                <w:rFonts w:ascii="Times New Roman" w:hAnsi="Times New Roman" w:cs="Times New Roman"/>
                <w:sz w:val="24"/>
                <w:szCs w:val="24"/>
              </w:rPr>
              <w:t>44.4 ± 12.89</w:t>
            </w:r>
          </w:p>
        </w:tc>
      </w:tr>
    </w:tbl>
    <w:p w14:paraId="5946492B" w14:textId="77777777" w:rsidR="00BA22A1" w:rsidRPr="00AA5006" w:rsidRDefault="00BA22A1" w:rsidP="00BA22A1">
      <w:pPr>
        <w:spacing w:before="2" w:line="240" w:lineRule="auto"/>
        <w:rPr>
          <w:rFonts w:ascii="Times New Roman" w:hAnsi="Times New Roman" w:cs="Times New Roman"/>
          <w:sz w:val="20"/>
          <w:szCs w:val="20"/>
        </w:rPr>
      </w:pPr>
      <w:r w:rsidRPr="00AA5006">
        <w:rPr>
          <w:rFonts w:asciiTheme="majorBidi" w:hAnsiTheme="majorBidi" w:cstheme="majorBidi"/>
          <w:sz w:val="20"/>
          <w:szCs w:val="20"/>
        </w:rPr>
        <w:t xml:space="preserve">Data presented as mean </w:t>
      </w:r>
      <w:r w:rsidRPr="00AA5006">
        <w:rPr>
          <w:rFonts w:ascii="Times New Roman" w:hAnsi="Times New Roman" w:cs="Times New Roman"/>
          <w:sz w:val="20"/>
          <w:szCs w:val="20"/>
        </w:rPr>
        <w:t xml:space="preserve">± SD for the whole sample of study 1 (Kanaan </w:t>
      </w:r>
      <w:r w:rsidRPr="00AA5006">
        <w:rPr>
          <w:rFonts w:ascii="Times New Roman" w:hAnsi="Times New Roman" w:cs="Times New Roman"/>
          <w:i/>
          <w:iCs/>
          <w:sz w:val="20"/>
          <w:szCs w:val="20"/>
        </w:rPr>
        <w:t>et al</w:t>
      </w:r>
      <w:r w:rsidRPr="00AA5006">
        <w:rPr>
          <w:rFonts w:ascii="Times New Roman" w:hAnsi="Times New Roman" w:cs="Times New Roman"/>
          <w:sz w:val="20"/>
          <w:szCs w:val="20"/>
        </w:rPr>
        <w:t>., 2025) and study 2 (</w:t>
      </w:r>
      <w:proofErr w:type="spellStart"/>
      <w:r w:rsidRPr="00AA5006">
        <w:rPr>
          <w:rFonts w:ascii="Times New Roman" w:hAnsi="Times New Roman" w:cs="Times New Roman"/>
          <w:sz w:val="20"/>
          <w:szCs w:val="20"/>
        </w:rPr>
        <w:t>Nait</w:t>
      </w:r>
      <w:proofErr w:type="spellEnd"/>
      <w:r w:rsidRPr="00AA5006">
        <w:rPr>
          <w:rFonts w:ascii="Times New Roman" w:hAnsi="Times New Roman" w:cs="Times New Roman"/>
          <w:sz w:val="20"/>
          <w:szCs w:val="20"/>
        </w:rPr>
        <w:t xml:space="preserve">-Yahia </w:t>
      </w:r>
      <w:r w:rsidRPr="00AA5006">
        <w:rPr>
          <w:rFonts w:ascii="Times New Roman" w:hAnsi="Times New Roman" w:cs="Times New Roman"/>
          <w:i/>
          <w:iCs/>
          <w:sz w:val="20"/>
          <w:szCs w:val="20"/>
        </w:rPr>
        <w:t>et al</w:t>
      </w:r>
      <w:r w:rsidRPr="00AA5006">
        <w:rPr>
          <w:rFonts w:ascii="Times New Roman" w:hAnsi="Times New Roman" w:cs="Times New Roman"/>
          <w:sz w:val="20"/>
          <w:szCs w:val="20"/>
        </w:rPr>
        <w:t>., 2026). Energy intake and macronutrient intake by condition of each study are presented in the original articles. EI = Energy Intake, kcal/d = kilocalorie per day, g/d = grams per day, CHO = carbohydrates.</w:t>
      </w:r>
    </w:p>
    <w:p w14:paraId="414A4883" w14:textId="77777777" w:rsidR="00BA22A1" w:rsidRDefault="00BA22A1"/>
    <w:sectPr w:rsidR="00BA22A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2A1"/>
    <w:rsid w:val="008104DC"/>
    <w:rsid w:val="00BA2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726B91A"/>
  <w15:chartTrackingRefBased/>
  <w15:docId w15:val="{29DB3B78-1DE1-684F-B311-33281C9A2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22A1"/>
    <w:pPr>
      <w:spacing w:line="259" w:lineRule="auto"/>
    </w:pPr>
    <w:rPr>
      <w:kern w:val="0"/>
      <w:sz w:val="22"/>
      <w:szCs w:val="22"/>
      <w:lang w:val="en-CA"/>
    </w:rPr>
  </w:style>
  <w:style w:type="paragraph" w:styleId="Titre1">
    <w:name w:val="heading 1"/>
    <w:basedOn w:val="Normal"/>
    <w:next w:val="Normal"/>
    <w:link w:val="Titre1Car"/>
    <w:uiPriority w:val="9"/>
    <w:qFormat/>
    <w:rsid w:val="00BA22A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fr-CA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BA22A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fr-CA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BA22A1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fr-CA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BA22A1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fr-CA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BA22A1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fr-CA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BA22A1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fr-CA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BA22A1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fr-CA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BA22A1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fr-CA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BA22A1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fr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BA22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BA22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BA22A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BA22A1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BA22A1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BA22A1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BA22A1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BA22A1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BA22A1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BA22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fr-CA"/>
    </w:rPr>
  </w:style>
  <w:style w:type="character" w:customStyle="1" w:styleId="TitreCar">
    <w:name w:val="Titre Car"/>
    <w:basedOn w:val="Policepardfaut"/>
    <w:link w:val="Titre"/>
    <w:uiPriority w:val="10"/>
    <w:rsid w:val="00BA22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BA22A1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fr-CA"/>
    </w:rPr>
  </w:style>
  <w:style w:type="character" w:customStyle="1" w:styleId="Sous-titreCar">
    <w:name w:val="Sous-titre Car"/>
    <w:basedOn w:val="Policepardfaut"/>
    <w:link w:val="Sous-titre"/>
    <w:uiPriority w:val="11"/>
    <w:rsid w:val="00BA22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BA22A1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fr-CA"/>
    </w:rPr>
  </w:style>
  <w:style w:type="character" w:customStyle="1" w:styleId="CitationCar">
    <w:name w:val="Citation Car"/>
    <w:basedOn w:val="Policepardfaut"/>
    <w:link w:val="Citation"/>
    <w:uiPriority w:val="29"/>
    <w:rsid w:val="00BA22A1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BA22A1"/>
    <w:pPr>
      <w:spacing w:line="278" w:lineRule="auto"/>
      <w:ind w:left="720"/>
      <w:contextualSpacing/>
    </w:pPr>
    <w:rPr>
      <w:kern w:val="2"/>
      <w:sz w:val="24"/>
      <w:szCs w:val="24"/>
      <w:lang w:val="fr-CA"/>
    </w:rPr>
  </w:style>
  <w:style w:type="character" w:styleId="Accentuationintense">
    <w:name w:val="Intense Emphasis"/>
    <w:basedOn w:val="Policepardfaut"/>
    <w:uiPriority w:val="21"/>
    <w:qFormat/>
    <w:rsid w:val="00BA22A1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BA22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fr-CA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BA22A1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BA22A1"/>
    <w:rPr>
      <w:b/>
      <w:bCs/>
      <w:smallCaps/>
      <w:color w:val="0F4761" w:themeColor="accent1" w:themeShade="BF"/>
      <w:spacing w:val="5"/>
    </w:rPr>
  </w:style>
  <w:style w:type="table" w:styleId="Grilledutableau">
    <w:name w:val="Table Grid"/>
    <w:basedOn w:val="TableauNormal"/>
    <w:uiPriority w:val="59"/>
    <w:rsid w:val="00BA22A1"/>
    <w:pPr>
      <w:spacing w:after="0" w:line="240" w:lineRule="auto"/>
    </w:pPr>
    <w:rPr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</Words>
  <Characters>741</Characters>
  <Application>Microsoft Office Word</Application>
  <DocSecurity>0</DocSecurity>
  <Lines>6</Lines>
  <Paragraphs>1</Paragraphs>
  <ScaleCrop>false</ScaleCrop>
  <Company/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Éric Doucet</dc:creator>
  <cp:keywords/>
  <dc:description/>
  <cp:lastModifiedBy>Éric Doucet</cp:lastModifiedBy>
  <cp:revision>1</cp:revision>
  <dcterms:created xsi:type="dcterms:W3CDTF">2026-07-01T15:27:00Z</dcterms:created>
  <dcterms:modified xsi:type="dcterms:W3CDTF">2026-07-01T15:27:00Z</dcterms:modified>
</cp:coreProperties>
</file>