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CD6B0F">
      <w:pPr>
        <w:spacing w:after="240" w:line="480" w:lineRule="auto"/>
        <w:jc w:val="both"/>
        <w:rPr>
          <w:rFonts w:ascii="宋体" w:hAnsi="宋体" w:eastAsia="宋体" w:cs="宋体"/>
          <w:b/>
          <w:bCs/>
          <w:color w:val="auto"/>
          <w:sz w:val="40"/>
          <w:szCs w:val="40"/>
        </w:rPr>
      </w:pPr>
      <w:bookmarkStart w:id="1" w:name="_GoBack"/>
      <w:r>
        <w:rPr>
          <w:b/>
          <w:bCs/>
          <w:color w:val="auto"/>
          <w:sz w:val="40"/>
          <w:szCs w:val="40"/>
        </w:rPr>
        <w:t>Supplemental materials</w:t>
      </w:r>
    </w:p>
    <w:p w14:paraId="4890E3FC">
      <w:pPr>
        <w:spacing w:after="240" w:line="480" w:lineRule="auto"/>
        <w:jc w:val="both"/>
        <w:rPr>
          <w:color w:val="auto"/>
          <w:lang w:val="en-US"/>
        </w:rPr>
      </w:pPr>
      <w:bookmarkStart w:id="0" w:name="OLE_LINK10"/>
      <w:r>
        <w:rPr>
          <w:b/>
          <w:bCs/>
          <w:color w:val="auto"/>
          <w:lang w:val="en-US"/>
        </w:rPr>
        <w:t xml:space="preserve">Supplementary Note S1. </w:t>
      </w:r>
      <w:r>
        <w:rPr>
          <w:color w:val="auto"/>
          <w:lang w:val="en-US"/>
        </w:rPr>
        <w:t>Exploratory machine learning regression analyses.</w:t>
      </w:r>
    </w:p>
    <w:p w14:paraId="79870399">
      <w:pPr>
        <w:spacing w:after="240" w:line="480" w:lineRule="auto"/>
        <w:jc w:val="both"/>
        <w:rPr>
          <w:color w:val="auto"/>
          <w:lang w:val="en-US"/>
        </w:rPr>
      </w:pPr>
      <w:r>
        <w:rPr>
          <w:color w:val="auto"/>
          <w:lang w:val="en-US"/>
        </w:rPr>
        <w:t>As exploratory analyses complementing the primary partial correlation and normative modeling approaches (Sections 2.5–2.6, 3.5–3.6), we evaluated three machine learning methods for individual-level prediction of AUC-DD from neuroanatomical features. All models showed limited predictive performance (Table S1), suggesting that individual differences in delay discounting cannot be reliably predicted from structural brain features alone.</w:t>
      </w:r>
    </w:p>
    <w:p w14:paraId="4BA2089B">
      <w:pPr>
        <w:spacing w:after="240" w:line="480" w:lineRule="auto"/>
        <w:jc w:val="both"/>
        <w:rPr>
          <w:color w:val="auto"/>
          <w:lang w:val="en-US"/>
        </w:rPr>
      </w:pPr>
      <w:r>
        <w:rPr>
          <w:color w:val="auto"/>
          <w:lang w:val="en-US"/>
        </w:rPr>
        <w:t>Random forest regression (randomForest and ranger implementations in R) using the 15 SVM-selected features yielded test-set correlations of r = 0.04–0.05 and negative R² values after strict cross-validation. XGBoost regression using the same 15 features yielded r = 0.02 (R² &lt; 0). Expanding the feature set to all 152 available neuroanatomical features in XGBoost marginally improved the correlation to r = 0.16 but R² remained negative, indicating performance no better than the sample mean.</w:t>
      </w:r>
    </w:p>
    <w:p w14:paraId="2230FE19">
      <w:pPr>
        <w:spacing w:after="240" w:line="480" w:lineRule="auto"/>
        <w:jc w:val="both"/>
        <w:rPr>
          <w:color w:val="auto"/>
          <w:lang w:val="en-US"/>
        </w:rPr>
      </w:pPr>
      <w:r>
        <w:rPr>
          <w:color w:val="auto"/>
          <w:lang w:val="en-US"/>
        </w:rPr>
        <w:t>Generalized additive models (GAMs, mgcv package in R) were fitted with penalized thin-plate regression splines (k = 5) for each of the 15 SVM-selected features, separately for obesity and healthy-weight groups, adjusting for age and sex. Seven of the 15 smooth terms reached FDR-corrected significance in the healthy-weight group, with six showing effective degrees of freedom (EDF) &gt; 1.5 indicative of nonlinear associations (Table S2). The right entorhinal cortex exhibited the strongest nonlinearity (EDF = 2.80, pFDR = 0.003). However, a multi-feature GAM incorporating the seven FDR-significant features achieved only marginally higher explained variance (adjusted R² = 0.075) compared to a purely linear model (adjusted R² = 0.068), and a model comparison F-test indicated statistically significant but practically modest improvement (p = 0.018).</w:t>
      </w:r>
    </w:p>
    <w:p w14:paraId="69F355DD">
      <w:pPr>
        <w:spacing w:after="240" w:line="480" w:lineRule="auto"/>
        <w:jc w:val="both"/>
        <w:rPr>
          <w:color w:val="auto"/>
          <w:lang w:val="en-US"/>
        </w:rPr>
      </w:pPr>
      <w:r>
        <w:rPr>
          <w:color w:val="auto"/>
          <w:lang w:val="en-US"/>
        </w:rPr>
        <w:t>These negative results suggest that the neuroanatomical features that successfully discriminate obesity at the group level (SVM AUC = 0.648) and show robust population-level associations with delay discounting (partial correlations, 10/15 FDR significant) are insufficient for precise individual-level behavioral phenotyping. This dissociation — between group-level discrimination and individual-level prediction — is consistent with broader observations in population neuroimaging and provides indirect support for the normative modeling finding (Section 3.6): the obesity group's elevated delay discounting may reflect factors beyond what is captured by regional brain structural measures.</w:t>
      </w:r>
      <w:bookmarkEnd w:id="0"/>
    </w:p>
    <w:tbl>
      <w:tblPr>
        <w:tblStyle w:val="7"/>
        <w:tblpPr w:leftFromText="180" w:rightFromText="180" w:vertAnchor="text" w:horzAnchor="page" w:tblpX="1515" w:tblpY="257"/>
        <w:tblOverlap w:val="never"/>
        <w:tblW w:w="9377" w:type="dxa"/>
        <w:tblInd w:w="0" w:type="dxa"/>
        <w:tblBorders>
          <w:top w:val="single" w:color="000000" w:sz="12" w:space="0"/>
          <w:left w:val="none" w:color="auto" w:sz="0" w:space="0"/>
          <w:bottom w:val="single" w:color="000000" w:sz="12" w:space="0"/>
          <w:right w:val="none" w:color="auto" w:sz="0" w:space="0"/>
          <w:insideH w:val="none" w:color="auto" w:sz="0" w:space="0"/>
          <w:insideV w:val="none" w:color="auto" w:sz="0" w:space="0"/>
        </w:tblBorders>
        <w:tblLayout w:type="autofit"/>
        <w:tblCellMar>
          <w:top w:w="15" w:type="dxa"/>
          <w:left w:w="15" w:type="dxa"/>
          <w:bottom w:w="15" w:type="dxa"/>
          <w:right w:w="15" w:type="dxa"/>
        </w:tblCellMar>
      </w:tblPr>
      <w:tblGrid>
        <w:gridCol w:w="2108"/>
        <w:gridCol w:w="1757"/>
        <w:gridCol w:w="930"/>
        <w:gridCol w:w="1438"/>
        <w:gridCol w:w="1671"/>
        <w:gridCol w:w="1473"/>
      </w:tblGrid>
      <w:tr w14:paraId="642D8A43">
        <w:trPr>
          <w:trHeight w:val="23" w:hRule="atLeast"/>
        </w:trPr>
        <w:tc>
          <w:tcPr>
            <w:tcW w:w="9377" w:type="dxa"/>
            <w:gridSpan w:val="6"/>
            <w:tcBorders>
              <w:top w:val="nil"/>
              <w:left w:val="nil"/>
              <w:bottom w:val="single" w:color="000000" w:sz="4" w:space="0"/>
            </w:tcBorders>
            <w:shd w:val="clear" w:color="auto" w:fill="FFFFFF"/>
            <w:tcMar>
              <w:top w:w="53" w:type="dxa"/>
              <w:left w:w="84" w:type="dxa"/>
              <w:bottom w:w="53" w:type="dxa"/>
              <w:right w:w="53" w:type="dxa"/>
            </w:tcMar>
            <w:vAlign w:val="center"/>
          </w:tcPr>
          <w:p w14:paraId="489701D1">
            <w:pPr>
              <w:jc w:val="both"/>
              <w:rPr>
                <w:rFonts w:eastAsia="宋体"/>
                <w:bCs/>
                <w:color w:val="auto"/>
                <w:sz w:val="21"/>
                <w:szCs w:val="21"/>
                <w:lang w:val="en-US" w:bidi="ar"/>
              </w:rPr>
            </w:pPr>
            <w:r>
              <w:rPr>
                <w:rFonts w:ascii="Times New Roman Bold" w:hAnsi="Times New Roman Bold" w:cs="Times New Roman Bold"/>
                <w:b/>
                <w:bCs/>
                <w:color w:val="auto"/>
              </w:rPr>
              <w:t>Table S</w:t>
            </w:r>
            <w:r>
              <w:rPr>
                <w:rFonts w:hint="eastAsia" w:ascii="Times New Roman Bold" w:hAnsi="Times New Roman Bold" w:cs="Times New Roman Bold"/>
                <w:b/>
                <w:bCs/>
                <w:color w:val="auto"/>
              </w:rPr>
              <w:t>1</w:t>
            </w:r>
            <w:r>
              <w:rPr>
                <w:rFonts w:hint="eastAsia" w:ascii="Times New Roman Bold" w:hAnsi="Times New Roman Bold" w:cs="Times New Roman Bold"/>
                <w:b/>
                <w:bCs/>
                <w:color w:val="auto"/>
                <w:lang w:val="en-US"/>
              </w:rPr>
              <w:t xml:space="preserve"> :</w:t>
            </w:r>
            <w:r>
              <w:rPr>
                <w:color w:val="auto"/>
                <w:lang w:val="en-US"/>
              </w:rPr>
              <w:t xml:space="preserve"> Exploratory machine learning models for individual-level prediction of AUC-DD from neuroanatomical features.</w:t>
            </w:r>
          </w:p>
        </w:tc>
      </w:tr>
      <w:tr w14:paraId="0234C798">
        <w:trPr>
          <w:trHeight w:val="23" w:hRule="atLeast"/>
        </w:trPr>
        <w:tc>
          <w:tcPr>
            <w:tcW w:w="2108" w:type="dxa"/>
            <w:tcBorders>
              <w:top w:val="single" w:color="000000" w:sz="12" w:space="0"/>
              <w:left w:val="nil"/>
              <w:bottom w:val="single" w:color="000000" w:sz="4" w:space="0"/>
            </w:tcBorders>
            <w:shd w:val="clear" w:color="auto" w:fill="FFFFFF"/>
            <w:tcMar>
              <w:top w:w="53" w:type="dxa"/>
              <w:left w:w="84" w:type="dxa"/>
              <w:bottom w:w="53" w:type="dxa"/>
              <w:right w:w="53" w:type="dxa"/>
            </w:tcMar>
            <w:vAlign w:val="center"/>
          </w:tcPr>
          <w:p w14:paraId="3731FD9D">
            <w:pPr>
              <w:spacing w:line="480" w:lineRule="auto"/>
              <w:jc w:val="both"/>
              <w:rPr>
                <w:bCs/>
                <w:color w:val="auto"/>
                <w:sz w:val="21"/>
                <w:szCs w:val="21"/>
                <w:lang w:val="en-US"/>
              </w:rPr>
            </w:pPr>
            <w:r>
              <w:rPr>
                <w:rFonts w:eastAsia="宋体"/>
                <w:bCs/>
                <w:color w:val="auto"/>
                <w:sz w:val="21"/>
                <w:szCs w:val="21"/>
                <w:lang w:val="en-US" w:bidi="ar"/>
              </w:rPr>
              <w:t>Model</w:t>
            </w:r>
          </w:p>
        </w:tc>
        <w:tc>
          <w:tcPr>
            <w:tcW w:w="1757" w:type="dxa"/>
            <w:tcBorders>
              <w:top w:val="single" w:color="000000" w:sz="12" w:space="0"/>
              <w:bottom w:val="single" w:color="000000" w:sz="4" w:space="0"/>
            </w:tcBorders>
            <w:shd w:val="clear" w:color="auto" w:fill="FFFFFF"/>
            <w:tcMar>
              <w:top w:w="53" w:type="dxa"/>
              <w:left w:w="84" w:type="dxa"/>
              <w:bottom w:w="53" w:type="dxa"/>
              <w:right w:w="53" w:type="dxa"/>
            </w:tcMar>
            <w:vAlign w:val="center"/>
          </w:tcPr>
          <w:p w14:paraId="13DB5351">
            <w:pPr>
              <w:spacing w:line="480" w:lineRule="auto"/>
              <w:jc w:val="both"/>
              <w:rPr>
                <w:bCs/>
                <w:color w:val="auto"/>
                <w:sz w:val="21"/>
                <w:szCs w:val="21"/>
              </w:rPr>
            </w:pPr>
            <w:r>
              <w:rPr>
                <w:rFonts w:eastAsia="宋体"/>
                <w:bCs/>
                <w:color w:val="auto"/>
                <w:sz w:val="21"/>
                <w:szCs w:val="21"/>
                <w:lang w:val="en-US" w:bidi="ar"/>
              </w:rPr>
              <w:t>F</w:t>
            </w:r>
            <w:r>
              <w:rPr>
                <w:rFonts w:hint="eastAsia" w:eastAsia="宋体"/>
                <w:bCs/>
                <w:color w:val="auto"/>
                <w:sz w:val="21"/>
                <w:szCs w:val="21"/>
                <w:lang w:val="en-US" w:bidi="ar"/>
              </w:rPr>
              <w:t>eatures</w:t>
            </w:r>
          </w:p>
        </w:tc>
        <w:tc>
          <w:tcPr>
            <w:tcW w:w="930" w:type="dxa"/>
            <w:tcBorders>
              <w:top w:val="single" w:color="000000" w:sz="12" w:space="0"/>
              <w:bottom w:val="single" w:color="000000" w:sz="4" w:space="0"/>
            </w:tcBorders>
            <w:shd w:val="clear" w:color="auto" w:fill="FFFFFF"/>
            <w:tcMar>
              <w:top w:w="53" w:type="dxa"/>
              <w:left w:w="84" w:type="dxa"/>
              <w:bottom w:w="53" w:type="dxa"/>
              <w:right w:w="53" w:type="dxa"/>
            </w:tcMar>
            <w:vAlign w:val="center"/>
          </w:tcPr>
          <w:p w14:paraId="601817C0">
            <w:pPr>
              <w:spacing w:line="480" w:lineRule="auto"/>
              <w:jc w:val="both"/>
              <w:rPr>
                <w:bCs/>
                <w:color w:val="auto"/>
                <w:sz w:val="21"/>
                <w:szCs w:val="21"/>
              </w:rPr>
            </w:pPr>
            <w:r>
              <w:rPr>
                <w:rFonts w:eastAsia="宋体"/>
                <w:bCs/>
                <w:color w:val="auto"/>
                <w:sz w:val="21"/>
                <w:szCs w:val="21"/>
                <w:lang w:val="en-US" w:bidi="ar"/>
              </w:rPr>
              <w:t>R</w:t>
            </w:r>
          </w:p>
        </w:tc>
        <w:tc>
          <w:tcPr>
            <w:tcW w:w="1438" w:type="dxa"/>
            <w:tcBorders>
              <w:top w:val="single" w:color="000000" w:sz="12" w:space="0"/>
              <w:bottom w:val="single" w:color="000000" w:sz="4" w:space="0"/>
            </w:tcBorders>
            <w:shd w:val="clear" w:color="auto" w:fill="FFFFFF"/>
            <w:tcMar>
              <w:top w:w="53" w:type="dxa"/>
              <w:left w:w="84" w:type="dxa"/>
              <w:bottom w:w="53" w:type="dxa"/>
              <w:right w:w="53" w:type="dxa"/>
            </w:tcMar>
            <w:vAlign w:val="center"/>
          </w:tcPr>
          <w:p w14:paraId="17540BFA">
            <w:pPr>
              <w:spacing w:line="480" w:lineRule="auto"/>
              <w:jc w:val="both"/>
              <w:rPr>
                <w:bCs/>
                <w:color w:val="auto"/>
                <w:sz w:val="21"/>
                <w:szCs w:val="21"/>
              </w:rPr>
            </w:pPr>
            <w:r>
              <w:rPr>
                <w:rFonts w:eastAsia="宋体"/>
                <w:bCs/>
                <w:color w:val="auto"/>
                <w:sz w:val="21"/>
                <w:szCs w:val="21"/>
                <w:lang w:val="en-US" w:bidi="ar"/>
              </w:rPr>
              <w:t>R²</w:t>
            </w:r>
          </w:p>
        </w:tc>
        <w:tc>
          <w:tcPr>
            <w:tcW w:w="1671" w:type="dxa"/>
            <w:tcBorders>
              <w:top w:val="single" w:color="000000" w:sz="12" w:space="0"/>
              <w:bottom w:val="single" w:color="000000" w:sz="4" w:space="0"/>
            </w:tcBorders>
            <w:shd w:val="clear" w:color="auto" w:fill="FFFFFF"/>
            <w:tcMar>
              <w:top w:w="53" w:type="dxa"/>
              <w:left w:w="84" w:type="dxa"/>
              <w:bottom w:w="53" w:type="dxa"/>
              <w:right w:w="53" w:type="dxa"/>
            </w:tcMar>
            <w:vAlign w:val="center"/>
          </w:tcPr>
          <w:p w14:paraId="0E5C2687">
            <w:pPr>
              <w:spacing w:line="480" w:lineRule="auto"/>
              <w:jc w:val="both"/>
              <w:rPr>
                <w:bCs/>
                <w:color w:val="auto"/>
                <w:sz w:val="21"/>
                <w:szCs w:val="21"/>
              </w:rPr>
            </w:pPr>
            <w:r>
              <w:rPr>
                <w:rFonts w:eastAsia="宋体"/>
                <w:bCs/>
                <w:color w:val="auto"/>
                <w:sz w:val="21"/>
                <w:szCs w:val="21"/>
                <w:lang w:val="en-US" w:bidi="ar"/>
              </w:rPr>
              <w:t>RMSE</w:t>
            </w:r>
          </w:p>
        </w:tc>
        <w:tc>
          <w:tcPr>
            <w:tcW w:w="1473" w:type="dxa"/>
            <w:tcBorders>
              <w:top w:val="single" w:color="000000" w:sz="12" w:space="0"/>
              <w:bottom w:val="single" w:color="000000" w:sz="4" w:space="0"/>
            </w:tcBorders>
            <w:shd w:val="clear" w:color="auto" w:fill="FFFFFF"/>
            <w:tcMar>
              <w:top w:w="53" w:type="dxa"/>
              <w:left w:w="84" w:type="dxa"/>
              <w:bottom w:w="53" w:type="dxa"/>
              <w:right w:w="53" w:type="dxa"/>
            </w:tcMar>
            <w:vAlign w:val="center"/>
          </w:tcPr>
          <w:p w14:paraId="003EBF12">
            <w:pPr>
              <w:spacing w:line="480" w:lineRule="auto"/>
              <w:jc w:val="both"/>
              <w:rPr>
                <w:bCs/>
                <w:color w:val="auto"/>
                <w:sz w:val="21"/>
                <w:szCs w:val="21"/>
              </w:rPr>
            </w:pPr>
            <w:r>
              <w:rPr>
                <w:rFonts w:eastAsia="宋体"/>
                <w:bCs/>
                <w:color w:val="auto"/>
                <w:sz w:val="21"/>
                <w:szCs w:val="21"/>
                <w:lang w:val="en-US" w:bidi="ar"/>
              </w:rPr>
              <w:t>MAE</w:t>
            </w:r>
          </w:p>
        </w:tc>
      </w:tr>
      <w:tr w14:paraId="7469DFD2">
        <w:trPr>
          <w:trHeight w:val="23" w:hRule="atLeast"/>
        </w:trPr>
        <w:tc>
          <w:tcPr>
            <w:tcW w:w="2108" w:type="dxa"/>
            <w:tcBorders>
              <w:top w:val="single" w:color="000000" w:sz="4" w:space="0"/>
              <w:left w:val="nil"/>
              <w:tl2br w:val="nil"/>
              <w:tr2bl w:val="nil"/>
            </w:tcBorders>
            <w:shd w:val="clear" w:color="auto" w:fill="FFFFFF"/>
            <w:tcMar>
              <w:top w:w="53" w:type="dxa"/>
              <w:left w:w="84" w:type="dxa"/>
              <w:bottom w:w="53" w:type="dxa"/>
              <w:right w:w="53" w:type="dxa"/>
            </w:tcMar>
            <w:vAlign w:val="center"/>
          </w:tcPr>
          <w:p w14:paraId="3DD9D296">
            <w:pPr>
              <w:spacing w:line="480" w:lineRule="auto"/>
              <w:jc w:val="both"/>
              <w:textAlignment w:val="top"/>
              <w:rPr>
                <w:color w:val="auto"/>
                <w:sz w:val="21"/>
                <w:szCs w:val="21"/>
              </w:rPr>
            </w:pPr>
            <w:r>
              <w:rPr>
                <w:rFonts w:eastAsia="宋体"/>
                <w:color w:val="auto"/>
                <w:sz w:val="21"/>
                <w:szCs w:val="21"/>
                <w:lang w:val="en-US" w:bidi="ar"/>
              </w:rPr>
              <w:t>RF (randomForest)</w:t>
            </w:r>
          </w:p>
        </w:tc>
        <w:tc>
          <w:tcPr>
            <w:tcW w:w="1757" w:type="dxa"/>
            <w:tcBorders>
              <w:top w:val="single" w:color="000000" w:sz="4" w:space="0"/>
              <w:tl2br w:val="nil"/>
              <w:tr2bl w:val="nil"/>
            </w:tcBorders>
            <w:shd w:val="clear" w:color="auto" w:fill="FFFFFF"/>
            <w:tcMar>
              <w:top w:w="53" w:type="dxa"/>
              <w:left w:w="84" w:type="dxa"/>
              <w:bottom w:w="53" w:type="dxa"/>
              <w:right w:w="53" w:type="dxa"/>
            </w:tcMar>
            <w:vAlign w:val="center"/>
          </w:tcPr>
          <w:p w14:paraId="68708777">
            <w:pPr>
              <w:spacing w:line="480" w:lineRule="auto"/>
              <w:jc w:val="both"/>
              <w:textAlignment w:val="top"/>
              <w:rPr>
                <w:color w:val="auto"/>
                <w:sz w:val="21"/>
                <w:szCs w:val="21"/>
              </w:rPr>
            </w:pPr>
            <w:r>
              <w:rPr>
                <w:rFonts w:eastAsia="宋体"/>
                <w:color w:val="auto"/>
                <w:sz w:val="21"/>
                <w:szCs w:val="21"/>
                <w:lang w:val="en-US" w:bidi="ar"/>
              </w:rPr>
              <w:t>15 SVM</w:t>
            </w:r>
          </w:p>
        </w:tc>
        <w:tc>
          <w:tcPr>
            <w:tcW w:w="930" w:type="dxa"/>
            <w:tcBorders>
              <w:top w:val="single" w:color="000000" w:sz="4" w:space="0"/>
              <w:tl2br w:val="nil"/>
              <w:tr2bl w:val="nil"/>
            </w:tcBorders>
            <w:shd w:val="clear" w:color="auto" w:fill="FFFFFF"/>
            <w:tcMar>
              <w:top w:w="53" w:type="dxa"/>
              <w:left w:w="84" w:type="dxa"/>
              <w:bottom w:w="53" w:type="dxa"/>
              <w:right w:w="53" w:type="dxa"/>
            </w:tcMar>
            <w:vAlign w:val="center"/>
          </w:tcPr>
          <w:p w14:paraId="4009C8FB">
            <w:pPr>
              <w:spacing w:line="480" w:lineRule="auto"/>
              <w:jc w:val="both"/>
              <w:textAlignment w:val="top"/>
              <w:rPr>
                <w:color w:val="auto"/>
                <w:sz w:val="21"/>
                <w:szCs w:val="21"/>
              </w:rPr>
            </w:pPr>
            <w:r>
              <w:rPr>
                <w:rFonts w:eastAsia="宋体"/>
                <w:color w:val="auto"/>
                <w:sz w:val="21"/>
                <w:szCs w:val="21"/>
                <w:lang w:val="en-US" w:bidi="ar"/>
              </w:rPr>
              <w:t>0.052</w:t>
            </w:r>
          </w:p>
        </w:tc>
        <w:tc>
          <w:tcPr>
            <w:tcW w:w="1438" w:type="dxa"/>
            <w:tcBorders>
              <w:top w:val="single" w:color="000000" w:sz="4" w:space="0"/>
              <w:tl2br w:val="nil"/>
              <w:tr2bl w:val="nil"/>
            </w:tcBorders>
            <w:shd w:val="clear" w:color="auto" w:fill="FFFFFF"/>
            <w:tcMar>
              <w:top w:w="53" w:type="dxa"/>
              <w:left w:w="84" w:type="dxa"/>
              <w:bottom w:w="53" w:type="dxa"/>
              <w:right w:w="53" w:type="dxa"/>
            </w:tcMar>
            <w:vAlign w:val="center"/>
          </w:tcPr>
          <w:p w14:paraId="52701C79">
            <w:pPr>
              <w:spacing w:line="480" w:lineRule="auto"/>
              <w:jc w:val="both"/>
              <w:textAlignment w:val="top"/>
              <w:rPr>
                <w:color w:val="auto"/>
                <w:sz w:val="21"/>
                <w:szCs w:val="21"/>
              </w:rPr>
            </w:pPr>
            <w:r>
              <w:rPr>
                <w:rFonts w:eastAsia="宋体"/>
                <w:color w:val="auto"/>
                <w:sz w:val="21"/>
                <w:szCs w:val="21"/>
                <w:lang w:val="en-US" w:bidi="ar"/>
              </w:rPr>
              <w:t>−0.088</w:t>
            </w:r>
          </w:p>
        </w:tc>
        <w:tc>
          <w:tcPr>
            <w:tcW w:w="1671" w:type="dxa"/>
            <w:tcBorders>
              <w:top w:val="single" w:color="000000" w:sz="4" w:space="0"/>
              <w:tl2br w:val="nil"/>
              <w:tr2bl w:val="nil"/>
            </w:tcBorders>
            <w:shd w:val="clear" w:color="auto" w:fill="FFFFFF"/>
            <w:tcMar>
              <w:top w:w="53" w:type="dxa"/>
              <w:left w:w="84" w:type="dxa"/>
              <w:bottom w:w="53" w:type="dxa"/>
              <w:right w:w="53" w:type="dxa"/>
            </w:tcMar>
            <w:vAlign w:val="center"/>
          </w:tcPr>
          <w:p w14:paraId="32013F40">
            <w:pPr>
              <w:spacing w:line="480" w:lineRule="auto"/>
              <w:jc w:val="both"/>
              <w:textAlignment w:val="top"/>
              <w:rPr>
                <w:color w:val="auto"/>
                <w:sz w:val="21"/>
                <w:szCs w:val="21"/>
              </w:rPr>
            </w:pPr>
            <w:r>
              <w:rPr>
                <w:rFonts w:eastAsia="宋体"/>
                <w:color w:val="auto"/>
                <w:sz w:val="21"/>
                <w:szCs w:val="21"/>
                <w:lang w:val="en-US" w:bidi="ar"/>
              </w:rPr>
              <w:t>0.200</w:t>
            </w:r>
          </w:p>
        </w:tc>
        <w:tc>
          <w:tcPr>
            <w:tcW w:w="1473" w:type="dxa"/>
            <w:tcBorders>
              <w:top w:val="single" w:color="000000" w:sz="4" w:space="0"/>
              <w:tl2br w:val="nil"/>
              <w:tr2bl w:val="nil"/>
            </w:tcBorders>
            <w:shd w:val="clear" w:color="auto" w:fill="FFFFFF"/>
            <w:tcMar>
              <w:top w:w="53" w:type="dxa"/>
              <w:left w:w="84" w:type="dxa"/>
              <w:bottom w:w="53" w:type="dxa"/>
              <w:right w:w="53" w:type="dxa"/>
            </w:tcMar>
            <w:vAlign w:val="center"/>
          </w:tcPr>
          <w:p w14:paraId="74E4464D">
            <w:pPr>
              <w:spacing w:line="480" w:lineRule="auto"/>
              <w:jc w:val="both"/>
              <w:textAlignment w:val="top"/>
              <w:rPr>
                <w:color w:val="auto"/>
                <w:sz w:val="21"/>
                <w:szCs w:val="21"/>
              </w:rPr>
            </w:pPr>
            <w:r>
              <w:rPr>
                <w:rFonts w:eastAsia="宋体"/>
                <w:color w:val="auto"/>
                <w:sz w:val="21"/>
                <w:szCs w:val="21"/>
                <w:lang w:val="en-US" w:bidi="ar"/>
              </w:rPr>
              <w:t>0.170</w:t>
            </w:r>
          </w:p>
        </w:tc>
      </w:tr>
      <w:tr w14:paraId="633726FE">
        <w:trPr>
          <w:trHeight w:val="23" w:hRule="atLeast"/>
        </w:trPr>
        <w:tc>
          <w:tcPr>
            <w:tcW w:w="2108" w:type="dxa"/>
            <w:tcBorders>
              <w:left w:val="nil"/>
              <w:tl2br w:val="nil"/>
              <w:tr2bl w:val="nil"/>
            </w:tcBorders>
            <w:shd w:val="clear" w:color="auto" w:fill="FFFFFF"/>
            <w:tcMar>
              <w:top w:w="53" w:type="dxa"/>
              <w:left w:w="84" w:type="dxa"/>
              <w:bottom w:w="53" w:type="dxa"/>
              <w:right w:w="53" w:type="dxa"/>
            </w:tcMar>
            <w:vAlign w:val="center"/>
          </w:tcPr>
          <w:p w14:paraId="1CBC720E">
            <w:pPr>
              <w:spacing w:line="480" w:lineRule="auto"/>
              <w:jc w:val="both"/>
              <w:textAlignment w:val="top"/>
              <w:rPr>
                <w:color w:val="auto"/>
                <w:sz w:val="21"/>
                <w:szCs w:val="21"/>
              </w:rPr>
            </w:pPr>
            <w:r>
              <w:rPr>
                <w:rFonts w:eastAsia="宋体"/>
                <w:color w:val="auto"/>
                <w:sz w:val="21"/>
                <w:szCs w:val="21"/>
                <w:lang w:val="en-US" w:bidi="ar"/>
              </w:rPr>
              <w:t>RF (ranger)</w:t>
            </w:r>
          </w:p>
        </w:tc>
        <w:tc>
          <w:tcPr>
            <w:tcW w:w="1757" w:type="dxa"/>
            <w:tcBorders>
              <w:tl2br w:val="nil"/>
              <w:tr2bl w:val="nil"/>
            </w:tcBorders>
            <w:shd w:val="clear" w:color="auto" w:fill="FFFFFF"/>
            <w:tcMar>
              <w:top w:w="53" w:type="dxa"/>
              <w:left w:w="84" w:type="dxa"/>
              <w:bottom w:w="53" w:type="dxa"/>
              <w:right w:w="53" w:type="dxa"/>
            </w:tcMar>
            <w:vAlign w:val="center"/>
          </w:tcPr>
          <w:p w14:paraId="047032D2">
            <w:pPr>
              <w:spacing w:line="480" w:lineRule="auto"/>
              <w:jc w:val="both"/>
              <w:textAlignment w:val="top"/>
              <w:rPr>
                <w:color w:val="auto"/>
                <w:sz w:val="21"/>
                <w:szCs w:val="21"/>
              </w:rPr>
            </w:pPr>
            <w:r>
              <w:rPr>
                <w:rFonts w:eastAsia="宋体"/>
                <w:color w:val="auto"/>
                <w:sz w:val="21"/>
                <w:szCs w:val="21"/>
                <w:lang w:val="en-US" w:bidi="ar"/>
              </w:rPr>
              <w:t>15 SVM</w:t>
            </w:r>
          </w:p>
        </w:tc>
        <w:tc>
          <w:tcPr>
            <w:tcW w:w="930" w:type="dxa"/>
            <w:tcBorders>
              <w:tl2br w:val="nil"/>
              <w:tr2bl w:val="nil"/>
            </w:tcBorders>
            <w:shd w:val="clear" w:color="auto" w:fill="FFFFFF"/>
            <w:tcMar>
              <w:top w:w="53" w:type="dxa"/>
              <w:left w:w="84" w:type="dxa"/>
              <w:bottom w:w="53" w:type="dxa"/>
              <w:right w:w="53" w:type="dxa"/>
            </w:tcMar>
            <w:vAlign w:val="center"/>
          </w:tcPr>
          <w:p w14:paraId="5F5A4A73">
            <w:pPr>
              <w:spacing w:line="480" w:lineRule="auto"/>
              <w:jc w:val="both"/>
              <w:textAlignment w:val="top"/>
              <w:rPr>
                <w:color w:val="auto"/>
                <w:sz w:val="21"/>
                <w:szCs w:val="21"/>
              </w:rPr>
            </w:pPr>
            <w:r>
              <w:rPr>
                <w:rFonts w:eastAsia="宋体"/>
                <w:color w:val="auto"/>
                <w:sz w:val="21"/>
                <w:szCs w:val="21"/>
                <w:lang w:val="en-US" w:bidi="ar"/>
              </w:rPr>
              <w:t>0.041</w:t>
            </w:r>
          </w:p>
        </w:tc>
        <w:tc>
          <w:tcPr>
            <w:tcW w:w="1438" w:type="dxa"/>
            <w:tcBorders>
              <w:tl2br w:val="nil"/>
              <w:tr2bl w:val="nil"/>
            </w:tcBorders>
            <w:shd w:val="clear" w:color="auto" w:fill="FFFFFF"/>
            <w:tcMar>
              <w:top w:w="53" w:type="dxa"/>
              <w:left w:w="84" w:type="dxa"/>
              <w:bottom w:w="53" w:type="dxa"/>
              <w:right w:w="53" w:type="dxa"/>
            </w:tcMar>
            <w:vAlign w:val="center"/>
          </w:tcPr>
          <w:p w14:paraId="25E70568">
            <w:pPr>
              <w:spacing w:line="480" w:lineRule="auto"/>
              <w:jc w:val="both"/>
              <w:textAlignment w:val="top"/>
              <w:rPr>
                <w:color w:val="auto"/>
                <w:sz w:val="21"/>
                <w:szCs w:val="21"/>
              </w:rPr>
            </w:pPr>
            <w:r>
              <w:rPr>
                <w:rFonts w:eastAsia="宋体"/>
                <w:color w:val="auto"/>
                <w:sz w:val="21"/>
                <w:szCs w:val="21"/>
                <w:lang w:val="en-US" w:bidi="ar"/>
              </w:rPr>
              <w:t>−0.100</w:t>
            </w:r>
          </w:p>
        </w:tc>
        <w:tc>
          <w:tcPr>
            <w:tcW w:w="1671" w:type="dxa"/>
            <w:tcBorders>
              <w:tl2br w:val="nil"/>
              <w:tr2bl w:val="nil"/>
            </w:tcBorders>
            <w:shd w:val="clear" w:color="auto" w:fill="FFFFFF"/>
            <w:tcMar>
              <w:top w:w="53" w:type="dxa"/>
              <w:left w:w="84" w:type="dxa"/>
              <w:bottom w:w="53" w:type="dxa"/>
              <w:right w:w="53" w:type="dxa"/>
            </w:tcMar>
            <w:vAlign w:val="center"/>
          </w:tcPr>
          <w:p w14:paraId="2AC72247">
            <w:pPr>
              <w:spacing w:line="480" w:lineRule="auto"/>
              <w:jc w:val="both"/>
              <w:textAlignment w:val="top"/>
              <w:rPr>
                <w:color w:val="auto"/>
                <w:sz w:val="21"/>
                <w:szCs w:val="21"/>
              </w:rPr>
            </w:pPr>
            <w:r>
              <w:rPr>
                <w:rFonts w:eastAsia="宋体"/>
                <w:color w:val="auto"/>
                <w:sz w:val="21"/>
                <w:szCs w:val="21"/>
                <w:lang w:val="en-US" w:bidi="ar"/>
              </w:rPr>
              <w:t>0.201</w:t>
            </w:r>
          </w:p>
        </w:tc>
        <w:tc>
          <w:tcPr>
            <w:tcW w:w="1473" w:type="dxa"/>
            <w:tcBorders>
              <w:tl2br w:val="nil"/>
              <w:tr2bl w:val="nil"/>
            </w:tcBorders>
            <w:shd w:val="clear" w:color="auto" w:fill="FFFFFF"/>
            <w:tcMar>
              <w:top w:w="53" w:type="dxa"/>
              <w:left w:w="84" w:type="dxa"/>
              <w:bottom w:w="53" w:type="dxa"/>
              <w:right w:w="53" w:type="dxa"/>
            </w:tcMar>
            <w:vAlign w:val="center"/>
          </w:tcPr>
          <w:p w14:paraId="347AB9D0">
            <w:pPr>
              <w:spacing w:line="480" w:lineRule="auto"/>
              <w:jc w:val="both"/>
              <w:textAlignment w:val="top"/>
              <w:rPr>
                <w:color w:val="auto"/>
                <w:sz w:val="21"/>
                <w:szCs w:val="21"/>
              </w:rPr>
            </w:pPr>
            <w:r>
              <w:rPr>
                <w:rFonts w:eastAsia="宋体"/>
                <w:color w:val="auto"/>
                <w:sz w:val="21"/>
                <w:szCs w:val="21"/>
                <w:lang w:val="en-US" w:bidi="ar"/>
              </w:rPr>
              <w:t>0.170</w:t>
            </w:r>
          </w:p>
        </w:tc>
      </w:tr>
      <w:tr w14:paraId="4A21CDC5">
        <w:trPr>
          <w:trHeight w:val="23" w:hRule="atLeast"/>
        </w:trPr>
        <w:tc>
          <w:tcPr>
            <w:tcW w:w="2108" w:type="dxa"/>
            <w:tcBorders>
              <w:left w:val="nil"/>
              <w:tl2br w:val="nil"/>
              <w:tr2bl w:val="nil"/>
            </w:tcBorders>
            <w:shd w:val="clear" w:color="auto" w:fill="FFFFFF"/>
            <w:tcMar>
              <w:top w:w="53" w:type="dxa"/>
              <w:left w:w="84" w:type="dxa"/>
              <w:bottom w:w="53" w:type="dxa"/>
              <w:right w:w="53" w:type="dxa"/>
            </w:tcMar>
            <w:vAlign w:val="center"/>
          </w:tcPr>
          <w:p w14:paraId="55DFD496">
            <w:pPr>
              <w:spacing w:line="480" w:lineRule="auto"/>
              <w:jc w:val="both"/>
              <w:textAlignment w:val="top"/>
              <w:rPr>
                <w:color w:val="auto"/>
                <w:sz w:val="21"/>
                <w:szCs w:val="21"/>
              </w:rPr>
            </w:pPr>
            <w:r>
              <w:rPr>
                <w:rFonts w:eastAsia="宋体"/>
                <w:color w:val="auto"/>
                <w:sz w:val="21"/>
                <w:szCs w:val="21"/>
                <w:lang w:val="en-US" w:bidi="ar"/>
              </w:rPr>
              <w:t>XGBoost</w:t>
            </w:r>
          </w:p>
        </w:tc>
        <w:tc>
          <w:tcPr>
            <w:tcW w:w="1757" w:type="dxa"/>
            <w:tcBorders>
              <w:tl2br w:val="nil"/>
              <w:tr2bl w:val="nil"/>
            </w:tcBorders>
            <w:shd w:val="clear" w:color="auto" w:fill="FFFFFF"/>
            <w:tcMar>
              <w:top w:w="53" w:type="dxa"/>
              <w:left w:w="84" w:type="dxa"/>
              <w:bottom w:w="53" w:type="dxa"/>
              <w:right w:w="53" w:type="dxa"/>
            </w:tcMar>
            <w:vAlign w:val="center"/>
          </w:tcPr>
          <w:p w14:paraId="06EB5111">
            <w:pPr>
              <w:spacing w:line="480" w:lineRule="auto"/>
              <w:jc w:val="both"/>
              <w:textAlignment w:val="top"/>
              <w:rPr>
                <w:color w:val="auto"/>
                <w:sz w:val="21"/>
                <w:szCs w:val="21"/>
              </w:rPr>
            </w:pPr>
            <w:r>
              <w:rPr>
                <w:rFonts w:eastAsia="宋体"/>
                <w:color w:val="auto"/>
                <w:sz w:val="21"/>
                <w:szCs w:val="21"/>
                <w:lang w:val="en-US" w:bidi="ar"/>
              </w:rPr>
              <w:t>15 SVM</w:t>
            </w:r>
          </w:p>
        </w:tc>
        <w:tc>
          <w:tcPr>
            <w:tcW w:w="930" w:type="dxa"/>
            <w:tcBorders>
              <w:tl2br w:val="nil"/>
              <w:tr2bl w:val="nil"/>
            </w:tcBorders>
            <w:shd w:val="clear" w:color="auto" w:fill="FFFFFF"/>
            <w:tcMar>
              <w:top w:w="53" w:type="dxa"/>
              <w:left w:w="84" w:type="dxa"/>
              <w:bottom w:w="53" w:type="dxa"/>
              <w:right w:w="53" w:type="dxa"/>
            </w:tcMar>
            <w:vAlign w:val="center"/>
          </w:tcPr>
          <w:p w14:paraId="0C91B319">
            <w:pPr>
              <w:spacing w:line="480" w:lineRule="auto"/>
              <w:jc w:val="both"/>
              <w:textAlignment w:val="top"/>
              <w:rPr>
                <w:color w:val="auto"/>
                <w:sz w:val="21"/>
                <w:szCs w:val="21"/>
              </w:rPr>
            </w:pPr>
            <w:r>
              <w:rPr>
                <w:rFonts w:eastAsia="宋体"/>
                <w:color w:val="auto"/>
                <w:sz w:val="21"/>
                <w:szCs w:val="21"/>
                <w:lang w:val="en-US" w:bidi="ar"/>
              </w:rPr>
              <w:t>0.023</w:t>
            </w:r>
          </w:p>
        </w:tc>
        <w:tc>
          <w:tcPr>
            <w:tcW w:w="1438" w:type="dxa"/>
            <w:tcBorders>
              <w:tl2br w:val="nil"/>
              <w:tr2bl w:val="nil"/>
            </w:tcBorders>
            <w:shd w:val="clear" w:color="auto" w:fill="FFFFFF"/>
            <w:tcMar>
              <w:top w:w="53" w:type="dxa"/>
              <w:left w:w="84" w:type="dxa"/>
              <w:bottom w:w="53" w:type="dxa"/>
              <w:right w:w="53" w:type="dxa"/>
            </w:tcMar>
            <w:vAlign w:val="center"/>
          </w:tcPr>
          <w:p w14:paraId="4C908938">
            <w:pPr>
              <w:spacing w:line="480" w:lineRule="auto"/>
              <w:jc w:val="both"/>
              <w:textAlignment w:val="top"/>
              <w:rPr>
                <w:color w:val="auto"/>
                <w:sz w:val="21"/>
                <w:szCs w:val="21"/>
              </w:rPr>
            </w:pPr>
            <w:r>
              <w:rPr>
                <w:rFonts w:eastAsia="宋体"/>
                <w:color w:val="auto"/>
                <w:sz w:val="21"/>
                <w:szCs w:val="21"/>
                <w:lang w:val="en-US" w:bidi="ar"/>
              </w:rPr>
              <w:t>−0.366</w:t>
            </w:r>
          </w:p>
        </w:tc>
        <w:tc>
          <w:tcPr>
            <w:tcW w:w="1671" w:type="dxa"/>
            <w:tcBorders>
              <w:tl2br w:val="nil"/>
              <w:tr2bl w:val="nil"/>
            </w:tcBorders>
            <w:shd w:val="clear" w:color="auto" w:fill="FFFFFF"/>
            <w:tcMar>
              <w:top w:w="53" w:type="dxa"/>
              <w:left w:w="84" w:type="dxa"/>
              <w:bottom w:w="53" w:type="dxa"/>
              <w:right w:w="53" w:type="dxa"/>
            </w:tcMar>
            <w:vAlign w:val="center"/>
          </w:tcPr>
          <w:p w14:paraId="5FECF997">
            <w:pPr>
              <w:spacing w:line="480" w:lineRule="auto"/>
              <w:jc w:val="both"/>
              <w:textAlignment w:val="top"/>
              <w:rPr>
                <w:color w:val="auto"/>
                <w:sz w:val="21"/>
                <w:szCs w:val="21"/>
              </w:rPr>
            </w:pPr>
            <w:r>
              <w:rPr>
                <w:rFonts w:eastAsia="宋体"/>
                <w:color w:val="auto"/>
                <w:sz w:val="21"/>
                <w:szCs w:val="21"/>
                <w:lang w:val="en-US" w:bidi="ar"/>
              </w:rPr>
              <w:t>0.224</w:t>
            </w:r>
          </w:p>
        </w:tc>
        <w:tc>
          <w:tcPr>
            <w:tcW w:w="1473" w:type="dxa"/>
            <w:tcBorders>
              <w:tl2br w:val="nil"/>
              <w:tr2bl w:val="nil"/>
            </w:tcBorders>
            <w:shd w:val="clear" w:color="auto" w:fill="FFFFFF"/>
            <w:tcMar>
              <w:top w:w="53" w:type="dxa"/>
              <w:left w:w="84" w:type="dxa"/>
              <w:bottom w:w="53" w:type="dxa"/>
              <w:right w:w="53" w:type="dxa"/>
            </w:tcMar>
            <w:vAlign w:val="center"/>
          </w:tcPr>
          <w:p w14:paraId="2130044D">
            <w:pPr>
              <w:spacing w:line="480" w:lineRule="auto"/>
              <w:jc w:val="both"/>
              <w:textAlignment w:val="top"/>
              <w:rPr>
                <w:color w:val="auto"/>
                <w:sz w:val="21"/>
                <w:szCs w:val="21"/>
              </w:rPr>
            </w:pPr>
            <w:r>
              <w:rPr>
                <w:rFonts w:eastAsia="宋体"/>
                <w:color w:val="auto"/>
                <w:sz w:val="21"/>
                <w:szCs w:val="21"/>
                <w:lang w:val="en-US" w:bidi="ar"/>
              </w:rPr>
              <w:t>0.182</w:t>
            </w:r>
          </w:p>
        </w:tc>
      </w:tr>
      <w:tr w14:paraId="4E1B8DD9">
        <w:trPr>
          <w:trHeight w:val="23" w:hRule="atLeast"/>
        </w:trPr>
        <w:tc>
          <w:tcPr>
            <w:tcW w:w="2108" w:type="dxa"/>
            <w:tcBorders>
              <w:left w:val="nil"/>
              <w:bottom w:val="single" w:color="000000" w:sz="12" w:space="0"/>
              <w:tl2br w:val="nil"/>
              <w:tr2bl w:val="nil"/>
            </w:tcBorders>
            <w:shd w:val="clear" w:color="auto" w:fill="FFFFFF"/>
            <w:tcMar>
              <w:top w:w="53" w:type="dxa"/>
              <w:left w:w="84" w:type="dxa"/>
              <w:bottom w:w="53" w:type="dxa"/>
              <w:right w:w="53" w:type="dxa"/>
            </w:tcMar>
            <w:vAlign w:val="center"/>
          </w:tcPr>
          <w:p w14:paraId="0DDFE991">
            <w:pPr>
              <w:spacing w:line="480" w:lineRule="auto"/>
              <w:jc w:val="both"/>
              <w:textAlignment w:val="top"/>
              <w:rPr>
                <w:color w:val="auto"/>
                <w:sz w:val="21"/>
                <w:szCs w:val="21"/>
              </w:rPr>
            </w:pPr>
            <w:r>
              <w:rPr>
                <w:rFonts w:eastAsia="宋体"/>
                <w:color w:val="auto"/>
                <w:sz w:val="21"/>
                <w:szCs w:val="21"/>
                <w:lang w:val="en-US" w:bidi="ar"/>
              </w:rPr>
              <w:t>XGBoost</w:t>
            </w:r>
          </w:p>
        </w:tc>
        <w:tc>
          <w:tcPr>
            <w:tcW w:w="1757" w:type="dxa"/>
            <w:tcBorders>
              <w:bottom w:val="single" w:color="000000" w:sz="12" w:space="0"/>
              <w:tl2br w:val="nil"/>
              <w:tr2bl w:val="nil"/>
            </w:tcBorders>
            <w:shd w:val="clear" w:color="auto" w:fill="FFFFFF"/>
            <w:tcMar>
              <w:top w:w="53" w:type="dxa"/>
              <w:left w:w="84" w:type="dxa"/>
              <w:bottom w:w="53" w:type="dxa"/>
              <w:right w:w="53" w:type="dxa"/>
            </w:tcMar>
            <w:vAlign w:val="center"/>
          </w:tcPr>
          <w:p w14:paraId="621021D6">
            <w:pPr>
              <w:spacing w:line="480" w:lineRule="auto"/>
              <w:jc w:val="both"/>
              <w:textAlignment w:val="top"/>
              <w:rPr>
                <w:color w:val="auto"/>
                <w:sz w:val="21"/>
                <w:szCs w:val="21"/>
              </w:rPr>
            </w:pPr>
            <w:r>
              <w:rPr>
                <w:rFonts w:eastAsia="宋体"/>
                <w:color w:val="auto"/>
                <w:sz w:val="21"/>
                <w:szCs w:val="21"/>
                <w:lang w:val="en-US" w:bidi="ar"/>
              </w:rPr>
              <w:t>152 FS</w:t>
            </w:r>
          </w:p>
        </w:tc>
        <w:tc>
          <w:tcPr>
            <w:tcW w:w="930" w:type="dxa"/>
            <w:tcBorders>
              <w:bottom w:val="single" w:color="000000" w:sz="12" w:space="0"/>
              <w:tl2br w:val="nil"/>
              <w:tr2bl w:val="nil"/>
            </w:tcBorders>
            <w:shd w:val="clear" w:color="auto" w:fill="FFFFFF"/>
            <w:tcMar>
              <w:top w:w="53" w:type="dxa"/>
              <w:left w:w="84" w:type="dxa"/>
              <w:bottom w:w="53" w:type="dxa"/>
              <w:right w:w="53" w:type="dxa"/>
            </w:tcMar>
            <w:vAlign w:val="center"/>
          </w:tcPr>
          <w:p w14:paraId="1FEEF77F">
            <w:pPr>
              <w:spacing w:line="480" w:lineRule="auto"/>
              <w:jc w:val="both"/>
              <w:textAlignment w:val="top"/>
              <w:rPr>
                <w:color w:val="auto"/>
                <w:sz w:val="21"/>
                <w:szCs w:val="21"/>
              </w:rPr>
            </w:pPr>
            <w:r>
              <w:rPr>
                <w:rFonts w:eastAsia="宋体"/>
                <w:color w:val="auto"/>
                <w:sz w:val="21"/>
                <w:szCs w:val="21"/>
                <w:lang w:val="en-US" w:bidi="ar"/>
              </w:rPr>
              <w:t>0.157</w:t>
            </w:r>
          </w:p>
        </w:tc>
        <w:tc>
          <w:tcPr>
            <w:tcW w:w="1438" w:type="dxa"/>
            <w:tcBorders>
              <w:bottom w:val="single" w:color="000000" w:sz="12" w:space="0"/>
              <w:tl2br w:val="nil"/>
              <w:tr2bl w:val="nil"/>
            </w:tcBorders>
            <w:shd w:val="clear" w:color="auto" w:fill="FFFFFF"/>
            <w:tcMar>
              <w:top w:w="53" w:type="dxa"/>
              <w:left w:w="84" w:type="dxa"/>
              <w:bottom w:w="53" w:type="dxa"/>
              <w:right w:w="53" w:type="dxa"/>
            </w:tcMar>
            <w:vAlign w:val="center"/>
          </w:tcPr>
          <w:p w14:paraId="2D997411">
            <w:pPr>
              <w:spacing w:line="480" w:lineRule="auto"/>
              <w:jc w:val="both"/>
              <w:textAlignment w:val="top"/>
              <w:rPr>
                <w:color w:val="auto"/>
                <w:sz w:val="21"/>
                <w:szCs w:val="21"/>
              </w:rPr>
            </w:pPr>
            <w:r>
              <w:rPr>
                <w:rFonts w:eastAsia="宋体"/>
                <w:color w:val="auto"/>
                <w:sz w:val="21"/>
                <w:szCs w:val="21"/>
                <w:lang w:val="en-US" w:bidi="ar"/>
              </w:rPr>
              <w:t>−0.034</w:t>
            </w:r>
          </w:p>
        </w:tc>
        <w:tc>
          <w:tcPr>
            <w:tcW w:w="1671" w:type="dxa"/>
            <w:tcBorders>
              <w:bottom w:val="single" w:color="000000" w:sz="12" w:space="0"/>
              <w:tl2br w:val="nil"/>
              <w:tr2bl w:val="nil"/>
            </w:tcBorders>
            <w:shd w:val="clear" w:color="auto" w:fill="FFFFFF"/>
            <w:tcMar>
              <w:top w:w="53" w:type="dxa"/>
              <w:left w:w="84" w:type="dxa"/>
              <w:bottom w:w="53" w:type="dxa"/>
              <w:right w:w="53" w:type="dxa"/>
            </w:tcMar>
            <w:vAlign w:val="center"/>
          </w:tcPr>
          <w:p w14:paraId="73067B1A">
            <w:pPr>
              <w:spacing w:line="480" w:lineRule="auto"/>
              <w:jc w:val="both"/>
              <w:textAlignment w:val="top"/>
              <w:rPr>
                <w:color w:val="auto"/>
                <w:sz w:val="21"/>
                <w:szCs w:val="21"/>
              </w:rPr>
            </w:pPr>
            <w:r>
              <w:rPr>
                <w:rFonts w:eastAsia="宋体"/>
                <w:color w:val="auto"/>
                <w:sz w:val="21"/>
                <w:szCs w:val="21"/>
                <w:lang w:val="en-US" w:bidi="ar"/>
              </w:rPr>
              <w:t>0.195</w:t>
            </w:r>
          </w:p>
        </w:tc>
        <w:tc>
          <w:tcPr>
            <w:tcW w:w="1473" w:type="dxa"/>
            <w:tcBorders>
              <w:bottom w:val="single" w:color="000000" w:sz="12" w:space="0"/>
              <w:tl2br w:val="nil"/>
              <w:tr2bl w:val="nil"/>
            </w:tcBorders>
            <w:shd w:val="clear" w:color="auto" w:fill="FFFFFF"/>
            <w:tcMar>
              <w:top w:w="53" w:type="dxa"/>
              <w:left w:w="84" w:type="dxa"/>
              <w:bottom w:w="53" w:type="dxa"/>
              <w:right w:w="53" w:type="dxa"/>
            </w:tcMar>
            <w:vAlign w:val="center"/>
          </w:tcPr>
          <w:p w14:paraId="5AAD86DC">
            <w:pPr>
              <w:spacing w:line="480" w:lineRule="auto"/>
              <w:jc w:val="both"/>
              <w:textAlignment w:val="top"/>
              <w:rPr>
                <w:color w:val="auto"/>
                <w:sz w:val="21"/>
                <w:szCs w:val="21"/>
              </w:rPr>
            </w:pPr>
            <w:r>
              <w:rPr>
                <w:rFonts w:eastAsia="宋体"/>
                <w:color w:val="auto"/>
                <w:sz w:val="21"/>
                <w:szCs w:val="21"/>
                <w:lang w:val="en-US" w:bidi="ar"/>
              </w:rPr>
              <w:t>0.163</w:t>
            </w:r>
          </w:p>
        </w:tc>
      </w:tr>
      <w:tr w14:paraId="596AC579">
        <w:trPr>
          <w:trHeight w:val="23" w:hRule="atLeast"/>
        </w:trPr>
        <w:tc>
          <w:tcPr>
            <w:tcW w:w="9377" w:type="dxa"/>
            <w:gridSpan w:val="6"/>
            <w:tcBorders>
              <w:top w:val="single" w:color="000000" w:sz="12" w:space="0"/>
              <w:left w:val="nil"/>
              <w:bottom w:val="nil"/>
              <w:tl2br w:val="nil"/>
              <w:tr2bl w:val="nil"/>
            </w:tcBorders>
            <w:shd w:val="clear" w:color="auto" w:fill="FFFFFF"/>
            <w:tcMar>
              <w:top w:w="53" w:type="dxa"/>
              <w:left w:w="84" w:type="dxa"/>
              <w:bottom w:w="53" w:type="dxa"/>
              <w:right w:w="53" w:type="dxa"/>
            </w:tcMar>
            <w:vAlign w:val="center"/>
          </w:tcPr>
          <w:p w14:paraId="3FA0F3DD">
            <w:pPr>
              <w:jc w:val="both"/>
              <w:rPr>
                <w:b/>
                <w:bCs/>
                <w:color w:val="auto"/>
              </w:rPr>
            </w:pPr>
            <w:r>
              <w:rPr>
                <w:rFonts w:ascii="Times New Roman Bold" w:hAnsi="Times New Roman Bold" w:cs="Times New Roman Bold"/>
                <w:b/>
                <w:bCs/>
                <w:i/>
                <w:iCs/>
                <w:color w:val="auto"/>
                <w:lang w:val="en-US"/>
              </w:rPr>
              <w:t>N</w:t>
            </w:r>
            <w:r>
              <w:rPr>
                <w:rFonts w:ascii="Times New Roman Bold" w:hAnsi="Times New Roman Bold" w:cs="Times New Roman Bold"/>
                <w:b/>
                <w:bCs/>
                <w:i/>
                <w:iCs/>
                <w:color w:val="auto"/>
              </w:rPr>
              <w:t>ote</w:t>
            </w:r>
            <w:r>
              <w:rPr>
                <w:rFonts w:hint="eastAsia" w:ascii="宋体" w:hAnsi="宋体" w:eastAsia="宋体" w:cs="宋体"/>
                <w:b/>
                <w:bCs/>
                <w:i/>
                <w:iCs/>
                <w:color w:val="auto"/>
              </w:rPr>
              <w:t>：</w:t>
            </w:r>
            <w:r>
              <w:rPr>
                <w:color w:val="auto"/>
              </w:rPr>
              <w:t>All models trained on the obesity training set (N = 169) with hyperparameter tuning via 5-fold CV or OOB error, evaluated on the held-out test set (N = 72). Negative R² indicates performance worse than the mean baseline. FS = FreeSurfer-derived neuroanatomical features.</w:t>
            </w:r>
          </w:p>
          <w:p w14:paraId="68D54952">
            <w:pPr>
              <w:spacing w:line="480" w:lineRule="auto"/>
              <w:jc w:val="both"/>
              <w:textAlignment w:val="top"/>
              <w:rPr>
                <w:rFonts w:eastAsia="宋体"/>
                <w:color w:val="auto"/>
                <w:sz w:val="21"/>
                <w:szCs w:val="21"/>
                <w:lang w:val="en-US" w:bidi="ar"/>
              </w:rPr>
            </w:pPr>
          </w:p>
        </w:tc>
      </w:tr>
    </w:tbl>
    <w:p w14:paraId="121D9534">
      <w:pPr>
        <w:spacing w:line="480" w:lineRule="auto"/>
        <w:jc w:val="both"/>
        <w:rPr>
          <w:color w:val="auto"/>
        </w:rPr>
      </w:pPr>
    </w:p>
    <w:p w14:paraId="364AF888">
      <w:pPr>
        <w:spacing w:line="480" w:lineRule="auto"/>
        <w:jc w:val="both"/>
        <w:rPr>
          <w:b/>
          <w:bCs/>
          <w:color w:val="auto"/>
        </w:rPr>
      </w:pPr>
      <w:r>
        <w:rPr>
          <w:b/>
          <w:bCs/>
          <w:color w:val="auto"/>
        </w:rPr>
        <w:br w:type="page"/>
      </w:r>
    </w:p>
    <w:p w14:paraId="634792F1">
      <w:pPr>
        <w:spacing w:line="480" w:lineRule="auto"/>
        <w:jc w:val="both"/>
        <w:rPr>
          <w:rFonts w:eastAsia="宋体"/>
          <w:color w:val="auto"/>
          <w:lang w:val="en-US"/>
        </w:rPr>
      </w:pPr>
    </w:p>
    <w:tbl>
      <w:tblPr>
        <w:tblStyle w:val="7"/>
        <w:tblpPr w:leftFromText="180" w:rightFromText="180" w:vertAnchor="text" w:horzAnchor="page" w:tblpX="1618" w:tblpY="89"/>
        <w:tblOverlap w:val="never"/>
        <w:tblW w:w="9360" w:type="dxa"/>
        <w:tblInd w:w="0" w:type="dxa"/>
        <w:tblLayout w:type="autofit"/>
        <w:tblCellMar>
          <w:top w:w="0" w:type="dxa"/>
          <w:left w:w="108" w:type="dxa"/>
          <w:bottom w:w="0" w:type="dxa"/>
          <w:right w:w="108" w:type="dxa"/>
        </w:tblCellMar>
      </w:tblPr>
      <w:tblGrid>
        <w:gridCol w:w="1876"/>
        <w:gridCol w:w="810"/>
        <w:gridCol w:w="1017"/>
        <w:gridCol w:w="930"/>
        <w:gridCol w:w="1006"/>
        <w:gridCol w:w="1837"/>
        <w:gridCol w:w="1094"/>
        <w:gridCol w:w="1006"/>
      </w:tblGrid>
      <w:tr w14:paraId="038860C7">
        <w:trPr>
          <w:trHeight w:val="268" w:hRule="atLeast"/>
        </w:trPr>
        <w:tc>
          <w:tcPr>
            <w:tcW w:w="0" w:type="auto"/>
            <w:gridSpan w:val="8"/>
            <w:tcBorders>
              <w:left w:val="nil"/>
              <w:bottom w:val="single" w:color="auto" w:sz="4" w:space="0"/>
              <w:right w:val="nil"/>
            </w:tcBorders>
            <w:noWrap/>
            <w:vAlign w:val="center"/>
          </w:tcPr>
          <w:p w14:paraId="681EE01B">
            <w:pPr>
              <w:jc w:val="both"/>
              <w:textAlignment w:val="center"/>
              <w:rPr>
                <w:rFonts w:ascii="Times New Roman Italic" w:hAnsi="Times New Roman Italic" w:eastAsia="宋体" w:cs="Times New Roman Italic"/>
                <w:i/>
                <w:iCs/>
                <w:color w:val="auto"/>
                <w:sz w:val="22"/>
                <w:szCs w:val="22"/>
                <w:lang w:val="en-US" w:bidi="ar"/>
              </w:rPr>
            </w:pPr>
            <w:r>
              <w:rPr>
                <w:rFonts w:hint="eastAsia" w:eastAsia="宋体"/>
                <w:b/>
                <w:bCs/>
                <w:color w:val="auto"/>
                <w:lang w:val="en-US"/>
              </w:rPr>
              <w:t xml:space="preserve">Table S2: </w:t>
            </w:r>
            <w:r>
              <w:rPr>
                <w:rFonts w:hint="eastAsia" w:eastAsia="宋体"/>
                <w:color w:val="auto"/>
                <w:lang w:val="en-US"/>
              </w:rPr>
              <w:t>Results of Generalized Additive Models (GAM) Predicting Delay Discounting</w:t>
            </w:r>
            <w:r>
              <w:rPr>
                <w:rFonts w:eastAsia="宋体"/>
                <w:color w:val="auto"/>
                <w:lang w:val="en-US"/>
              </w:rPr>
              <w:t xml:space="preserve"> </w:t>
            </w:r>
            <w:r>
              <w:rPr>
                <w:rFonts w:hint="eastAsia" w:eastAsia="宋体"/>
                <w:color w:val="auto"/>
                <w:lang w:val="en-US"/>
              </w:rPr>
              <w:t>(AUC-DD) from Neuroanatomical Features</w:t>
            </w:r>
          </w:p>
        </w:tc>
      </w:tr>
      <w:tr w14:paraId="58F192F4">
        <w:trPr>
          <w:trHeight w:val="268" w:hRule="atLeast"/>
        </w:trPr>
        <w:tc>
          <w:tcPr>
            <w:tcW w:w="0" w:type="auto"/>
            <w:tcBorders>
              <w:top w:val="single" w:color="auto" w:sz="12" w:space="0"/>
              <w:left w:val="nil"/>
              <w:bottom w:val="single" w:color="auto" w:sz="4" w:space="0"/>
              <w:right w:val="nil"/>
            </w:tcBorders>
            <w:noWrap/>
            <w:vAlign w:val="center"/>
          </w:tcPr>
          <w:p w14:paraId="4BDD0F53">
            <w:pPr>
              <w:spacing w:line="480" w:lineRule="auto"/>
              <w:jc w:val="center"/>
              <w:textAlignment w:val="center"/>
              <w:rPr>
                <w:rFonts w:ascii="Times New Roman Regular" w:hAnsi="Times New Roman Regular" w:eastAsia="宋体" w:cs="Times New Roman Regular"/>
                <w:color w:val="auto"/>
                <w:sz w:val="22"/>
                <w:szCs w:val="22"/>
              </w:rPr>
            </w:pPr>
            <w:r>
              <w:rPr>
                <w:rFonts w:eastAsia="宋体"/>
                <w:color w:val="auto"/>
                <w:sz w:val="22"/>
                <w:szCs w:val="22"/>
              </w:rPr>
              <w:t>Brain Region</w:t>
            </w:r>
          </w:p>
        </w:tc>
        <w:tc>
          <w:tcPr>
            <w:tcW w:w="0" w:type="auto"/>
            <w:tcBorders>
              <w:top w:val="single" w:color="auto" w:sz="12" w:space="0"/>
              <w:left w:val="nil"/>
              <w:bottom w:val="single" w:color="auto" w:sz="4" w:space="0"/>
              <w:right w:val="nil"/>
            </w:tcBorders>
            <w:noWrap/>
            <w:vAlign w:val="center"/>
          </w:tcPr>
          <w:p w14:paraId="7AA1D2F1">
            <w:pPr>
              <w:spacing w:line="480" w:lineRule="auto"/>
              <w:jc w:val="center"/>
              <w:textAlignment w:val="center"/>
              <w:rPr>
                <w:rFonts w:ascii="Times New Roman Italic" w:hAnsi="Times New Roman Italic" w:eastAsia="宋体" w:cs="Times New Roman Italic"/>
                <w:i/>
                <w:iCs/>
                <w:color w:val="auto"/>
                <w:sz w:val="22"/>
                <w:szCs w:val="22"/>
              </w:rPr>
            </w:pPr>
            <w:r>
              <w:rPr>
                <w:rFonts w:ascii="Times New Roman Italic" w:hAnsi="Times New Roman Italic" w:eastAsia="宋体" w:cs="Times New Roman Italic"/>
                <w:i/>
                <w:iCs/>
                <w:color w:val="auto"/>
                <w:sz w:val="22"/>
                <w:szCs w:val="22"/>
                <w:lang w:val="en-US" w:bidi="ar"/>
              </w:rPr>
              <w:t>edf</w:t>
            </w:r>
          </w:p>
        </w:tc>
        <w:tc>
          <w:tcPr>
            <w:tcW w:w="0" w:type="auto"/>
            <w:tcBorders>
              <w:top w:val="single" w:color="auto" w:sz="12" w:space="0"/>
              <w:left w:val="nil"/>
              <w:bottom w:val="single" w:color="auto" w:sz="4" w:space="0"/>
              <w:right w:val="nil"/>
            </w:tcBorders>
            <w:noWrap/>
            <w:vAlign w:val="center"/>
          </w:tcPr>
          <w:p w14:paraId="2D26680E">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Italic" w:hAnsi="Times New Roman Italic" w:eastAsia="宋体" w:cs="Times New Roman Italic"/>
                <w:i/>
                <w:iCs/>
                <w:color w:val="auto"/>
                <w:sz w:val="22"/>
                <w:szCs w:val="22"/>
                <w:lang w:val="en-US" w:bidi="ar"/>
              </w:rPr>
              <w:t>Ref. df</w:t>
            </w:r>
          </w:p>
        </w:tc>
        <w:tc>
          <w:tcPr>
            <w:tcW w:w="0" w:type="auto"/>
            <w:tcBorders>
              <w:top w:val="single" w:color="auto" w:sz="12" w:space="0"/>
              <w:left w:val="nil"/>
              <w:bottom w:val="single" w:color="auto" w:sz="4" w:space="0"/>
              <w:right w:val="nil"/>
            </w:tcBorders>
            <w:noWrap/>
            <w:vAlign w:val="center"/>
          </w:tcPr>
          <w:p w14:paraId="3572A858">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Italic" w:hAnsi="Times New Roman Italic" w:eastAsia="宋体" w:cs="Times New Roman Italic"/>
                <w:i/>
                <w:iCs/>
                <w:color w:val="auto"/>
                <w:sz w:val="22"/>
                <w:szCs w:val="22"/>
                <w:lang w:val="en-US" w:bidi="ar"/>
              </w:rPr>
              <w:t>F</w:t>
            </w:r>
          </w:p>
        </w:tc>
        <w:tc>
          <w:tcPr>
            <w:tcW w:w="0" w:type="auto"/>
            <w:tcBorders>
              <w:top w:val="single" w:color="auto" w:sz="12" w:space="0"/>
              <w:left w:val="nil"/>
              <w:bottom w:val="single" w:color="auto" w:sz="4" w:space="0"/>
              <w:right w:val="nil"/>
            </w:tcBorders>
            <w:noWrap/>
            <w:vAlign w:val="center"/>
          </w:tcPr>
          <w:p w14:paraId="0AB107D9">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Italic" w:hAnsi="Times New Roman Italic" w:eastAsia="宋体" w:cs="Times New Roman Italic"/>
                <w:i/>
                <w:iCs/>
                <w:color w:val="auto"/>
                <w:sz w:val="22"/>
                <w:szCs w:val="22"/>
                <w:lang w:val="en-US" w:bidi="ar"/>
              </w:rPr>
              <w:t>p</w:t>
            </w:r>
          </w:p>
        </w:tc>
        <w:tc>
          <w:tcPr>
            <w:tcW w:w="0" w:type="auto"/>
            <w:tcBorders>
              <w:top w:val="single" w:color="auto" w:sz="12" w:space="0"/>
              <w:left w:val="nil"/>
              <w:bottom w:val="single" w:color="auto" w:sz="4" w:space="0"/>
              <w:right w:val="nil"/>
            </w:tcBorders>
            <w:noWrap/>
            <w:vAlign w:val="center"/>
          </w:tcPr>
          <w:p w14:paraId="4486B512">
            <w:pPr>
              <w:spacing w:line="480" w:lineRule="auto"/>
              <w:jc w:val="center"/>
              <w:textAlignment w:val="center"/>
              <w:rPr>
                <w:rFonts w:ascii="Times New Roman Regular" w:hAnsi="Times New Roman Regular" w:eastAsia="宋体" w:cs="Times New Roman Regular"/>
                <w:color w:val="auto"/>
                <w:sz w:val="22"/>
                <w:szCs w:val="22"/>
              </w:rPr>
            </w:pPr>
            <w:r>
              <w:rPr>
                <w:rFonts w:eastAsia="宋体"/>
                <w:color w:val="auto"/>
                <w:sz w:val="22"/>
                <w:szCs w:val="22"/>
                <w:lang w:val="en-US" w:bidi="ar"/>
              </w:rPr>
              <w:t>Dev. Expl. (%)</w:t>
            </w:r>
          </w:p>
        </w:tc>
        <w:tc>
          <w:tcPr>
            <w:tcW w:w="0" w:type="auto"/>
            <w:tcBorders>
              <w:top w:val="single" w:color="auto" w:sz="12" w:space="0"/>
              <w:left w:val="nil"/>
              <w:bottom w:val="single" w:color="auto" w:sz="4" w:space="0"/>
              <w:right w:val="nil"/>
            </w:tcBorders>
            <w:noWrap/>
            <w:vAlign w:val="center"/>
          </w:tcPr>
          <w:p w14:paraId="7EDD57F1">
            <w:pPr>
              <w:spacing w:line="480" w:lineRule="auto"/>
              <w:jc w:val="center"/>
              <w:textAlignment w:val="center"/>
              <w:rPr>
                <w:rFonts w:ascii="Times New Roman Regular" w:hAnsi="Times New Roman Regular" w:eastAsia="宋体" w:cs="Times New Roman Regular"/>
                <w:color w:val="auto"/>
                <w:sz w:val="22"/>
                <w:szCs w:val="22"/>
                <w:lang w:val="en-US"/>
              </w:rPr>
            </w:pPr>
            <w:r>
              <w:rPr>
                <w:rFonts w:hint="eastAsia" w:ascii="Times New Roman Regular" w:hAnsi="Times New Roman Regular" w:eastAsia="宋体" w:cs="Times New Roman Regular"/>
                <w:color w:val="auto"/>
                <w:sz w:val="22"/>
                <w:szCs w:val="22"/>
                <w:lang w:val="en-US" w:bidi="ar"/>
              </w:rPr>
              <w:t>A</w:t>
            </w:r>
            <w:r>
              <w:rPr>
                <w:rFonts w:ascii="Times New Roman Regular" w:hAnsi="Times New Roman Regular" w:eastAsia="宋体" w:cs="Times New Roman Regular"/>
                <w:color w:val="auto"/>
                <w:sz w:val="22"/>
                <w:szCs w:val="22"/>
                <w:lang w:val="en-US" w:bidi="ar"/>
              </w:rPr>
              <w:t xml:space="preserve">dj. </w:t>
            </w:r>
            <w:r>
              <w:rPr>
                <w:rFonts w:ascii="Times New Roman Italic" w:hAnsi="Times New Roman Italic" w:eastAsia="宋体" w:cs="Times New Roman Italic"/>
                <w:i/>
                <w:iCs/>
                <w:color w:val="auto"/>
                <w:sz w:val="22"/>
                <w:szCs w:val="22"/>
                <w:lang w:val="en-US" w:bidi="ar"/>
              </w:rPr>
              <w:t>R</w:t>
            </w:r>
            <w:r>
              <w:rPr>
                <w:rFonts w:ascii="Times New Roman Regular" w:hAnsi="Times New Roman Regular" w:eastAsia="宋体" w:cs="Times New Roman Regular"/>
                <w:color w:val="auto"/>
                <w:sz w:val="22"/>
                <w:szCs w:val="22"/>
                <w:vertAlign w:val="superscript"/>
                <w:lang w:val="en-US" w:bidi="ar"/>
              </w:rPr>
              <w:t>2</w:t>
            </w:r>
          </w:p>
        </w:tc>
        <w:tc>
          <w:tcPr>
            <w:tcW w:w="0" w:type="auto"/>
            <w:tcBorders>
              <w:top w:val="single" w:color="auto" w:sz="12" w:space="0"/>
              <w:left w:val="nil"/>
              <w:bottom w:val="single" w:color="auto" w:sz="4" w:space="0"/>
              <w:right w:val="nil"/>
            </w:tcBorders>
            <w:noWrap/>
            <w:vAlign w:val="center"/>
          </w:tcPr>
          <w:p w14:paraId="0C83A1AE">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Italic" w:hAnsi="Times New Roman Italic" w:eastAsia="宋体" w:cs="Times New Roman Italic"/>
                <w:i/>
                <w:iCs/>
                <w:color w:val="auto"/>
                <w:sz w:val="22"/>
                <w:szCs w:val="22"/>
                <w:lang w:val="en-US" w:bidi="ar"/>
              </w:rPr>
              <w:t>p</w:t>
            </w:r>
            <w:r>
              <w:rPr>
                <w:rFonts w:ascii="Times New Roman Bold" w:hAnsi="Times New Roman Bold" w:eastAsia="宋体" w:cs="Times New Roman Bold"/>
                <w:color w:val="auto"/>
                <w:sz w:val="22"/>
                <w:szCs w:val="22"/>
                <w:vertAlign w:val="subscript"/>
                <w:lang w:val="en-US" w:bidi="ar"/>
              </w:rPr>
              <w:t>FDR</w:t>
            </w:r>
          </w:p>
        </w:tc>
      </w:tr>
      <w:tr w14:paraId="42329C87">
        <w:trPr>
          <w:trHeight w:val="268" w:hRule="atLeast"/>
        </w:trPr>
        <w:tc>
          <w:tcPr>
            <w:tcW w:w="0" w:type="auto"/>
            <w:tcBorders>
              <w:top w:val="single" w:color="auto" w:sz="4" w:space="0"/>
              <w:left w:val="nil"/>
              <w:bottom w:val="nil"/>
              <w:right w:val="nil"/>
            </w:tcBorders>
            <w:noWrap/>
            <w:vAlign w:val="center"/>
          </w:tcPr>
          <w:p w14:paraId="469F8ACF">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R ITG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CSA</w:t>
            </w:r>
            <w:r>
              <w:rPr>
                <w:rFonts w:hint="eastAsia" w:ascii="Times New Roman Regular" w:hAnsi="Times New Roman Regular" w:eastAsia="宋体" w:cs="Times New Roman Regular"/>
                <w:color w:val="auto"/>
                <w:sz w:val="22"/>
                <w:szCs w:val="22"/>
                <w:lang w:val="en-US" w:bidi="ar"/>
              </w:rPr>
              <w:t>)</w:t>
            </w:r>
          </w:p>
        </w:tc>
        <w:tc>
          <w:tcPr>
            <w:tcW w:w="0" w:type="auto"/>
            <w:tcBorders>
              <w:top w:val="single" w:color="auto" w:sz="4" w:space="0"/>
              <w:left w:val="nil"/>
              <w:bottom w:val="nil"/>
              <w:right w:val="nil"/>
            </w:tcBorders>
            <w:noWrap/>
            <w:vAlign w:val="center"/>
          </w:tcPr>
          <w:p w14:paraId="719CFDD0">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1.00</w:t>
            </w:r>
          </w:p>
        </w:tc>
        <w:tc>
          <w:tcPr>
            <w:tcW w:w="0" w:type="auto"/>
            <w:tcBorders>
              <w:top w:val="single" w:color="auto" w:sz="4" w:space="0"/>
              <w:left w:val="nil"/>
              <w:bottom w:val="nil"/>
              <w:right w:val="nil"/>
            </w:tcBorders>
            <w:noWrap/>
            <w:vAlign w:val="center"/>
          </w:tcPr>
          <w:p w14:paraId="2EC213DE">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1.00</w:t>
            </w:r>
          </w:p>
        </w:tc>
        <w:tc>
          <w:tcPr>
            <w:tcW w:w="0" w:type="auto"/>
            <w:tcBorders>
              <w:top w:val="single" w:color="auto" w:sz="4" w:space="0"/>
              <w:left w:val="nil"/>
              <w:bottom w:val="nil"/>
              <w:right w:val="nil"/>
            </w:tcBorders>
            <w:noWrap/>
            <w:vAlign w:val="center"/>
          </w:tcPr>
          <w:p w14:paraId="6680F680">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19.87</w:t>
            </w:r>
          </w:p>
        </w:tc>
        <w:tc>
          <w:tcPr>
            <w:tcW w:w="0" w:type="auto"/>
            <w:tcBorders>
              <w:top w:val="single" w:color="auto" w:sz="4" w:space="0"/>
              <w:left w:val="nil"/>
              <w:bottom w:val="nil"/>
              <w:right w:val="nil"/>
            </w:tcBorders>
            <w:noWrap/>
            <w:vAlign w:val="center"/>
          </w:tcPr>
          <w:p w14:paraId="7C7D77F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rPr>
              <w:t>&lt; .001</w:t>
            </w:r>
          </w:p>
        </w:tc>
        <w:tc>
          <w:tcPr>
            <w:tcW w:w="0" w:type="auto"/>
            <w:tcBorders>
              <w:top w:val="single" w:color="auto" w:sz="4" w:space="0"/>
              <w:left w:val="nil"/>
              <w:bottom w:val="nil"/>
              <w:right w:val="nil"/>
            </w:tcBorders>
            <w:noWrap/>
            <w:vAlign w:val="center"/>
          </w:tcPr>
          <w:p w14:paraId="746F6AE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6.15</w:t>
            </w:r>
          </w:p>
        </w:tc>
        <w:tc>
          <w:tcPr>
            <w:tcW w:w="0" w:type="auto"/>
            <w:tcBorders>
              <w:top w:val="single" w:color="auto" w:sz="4" w:space="0"/>
              <w:left w:val="nil"/>
              <w:bottom w:val="nil"/>
              <w:right w:val="nil"/>
            </w:tcBorders>
            <w:noWrap/>
            <w:vAlign w:val="center"/>
          </w:tcPr>
          <w:p w14:paraId="7164568F">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.054</w:t>
            </w:r>
          </w:p>
        </w:tc>
        <w:tc>
          <w:tcPr>
            <w:tcW w:w="0" w:type="auto"/>
            <w:tcBorders>
              <w:top w:val="single" w:color="auto" w:sz="4" w:space="0"/>
              <w:left w:val="nil"/>
              <w:bottom w:val="nil"/>
              <w:right w:val="nil"/>
            </w:tcBorders>
            <w:noWrap/>
            <w:vAlign w:val="center"/>
          </w:tcPr>
          <w:p w14:paraId="3159B2E5">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rPr>
              <w:t>&lt; .001</w:t>
            </w:r>
          </w:p>
        </w:tc>
      </w:tr>
      <w:tr w14:paraId="30CF4916">
        <w:trPr>
          <w:trHeight w:val="268" w:hRule="atLeast"/>
        </w:trPr>
        <w:tc>
          <w:tcPr>
            <w:tcW w:w="0" w:type="auto"/>
            <w:tcBorders>
              <w:top w:val="nil"/>
              <w:left w:val="nil"/>
              <w:bottom w:val="nil"/>
              <w:right w:val="nil"/>
            </w:tcBorders>
            <w:noWrap/>
            <w:vAlign w:val="center"/>
          </w:tcPr>
          <w:p w14:paraId="2AABAC81">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L MTG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CSA</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170592F4">
            <w:pPr>
              <w:spacing w:line="480" w:lineRule="auto"/>
              <w:jc w:val="center"/>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4BE3560F">
            <w:pPr>
              <w:spacing w:line="480" w:lineRule="auto"/>
              <w:jc w:val="center"/>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6B6958DC">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17.23</w:t>
            </w:r>
          </w:p>
        </w:tc>
        <w:tc>
          <w:tcPr>
            <w:tcW w:w="0" w:type="auto"/>
            <w:tcBorders>
              <w:top w:val="nil"/>
              <w:left w:val="nil"/>
              <w:bottom w:val="nil"/>
              <w:right w:val="nil"/>
            </w:tcBorders>
            <w:noWrap/>
            <w:vAlign w:val="center"/>
          </w:tcPr>
          <w:p w14:paraId="4382E0D7">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rPr>
              <w:t>&lt; .001</w:t>
            </w:r>
          </w:p>
        </w:tc>
        <w:tc>
          <w:tcPr>
            <w:tcW w:w="0" w:type="auto"/>
            <w:tcBorders>
              <w:top w:val="nil"/>
              <w:left w:val="nil"/>
              <w:bottom w:val="nil"/>
              <w:right w:val="nil"/>
            </w:tcBorders>
            <w:noWrap/>
            <w:vAlign w:val="center"/>
          </w:tcPr>
          <w:p w14:paraId="0EF867C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6.08</w:t>
            </w:r>
          </w:p>
        </w:tc>
        <w:tc>
          <w:tcPr>
            <w:tcW w:w="0" w:type="auto"/>
            <w:tcBorders>
              <w:top w:val="nil"/>
              <w:left w:val="nil"/>
              <w:bottom w:val="nil"/>
              <w:right w:val="nil"/>
            </w:tcBorders>
            <w:noWrap/>
            <w:vAlign w:val="center"/>
          </w:tcPr>
          <w:p w14:paraId="6AB1342C">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.054</w:t>
            </w:r>
          </w:p>
        </w:tc>
        <w:tc>
          <w:tcPr>
            <w:tcW w:w="0" w:type="auto"/>
            <w:tcBorders>
              <w:top w:val="nil"/>
              <w:left w:val="nil"/>
              <w:bottom w:val="nil"/>
              <w:right w:val="nil"/>
            </w:tcBorders>
            <w:noWrap/>
            <w:vAlign w:val="center"/>
          </w:tcPr>
          <w:p w14:paraId="2B2B6CC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rPr>
              <w:t>&lt; .001</w:t>
            </w:r>
          </w:p>
        </w:tc>
      </w:tr>
      <w:tr w14:paraId="7A729E23">
        <w:trPr>
          <w:trHeight w:val="268" w:hRule="atLeast"/>
        </w:trPr>
        <w:tc>
          <w:tcPr>
            <w:tcW w:w="0" w:type="auto"/>
            <w:tcBorders>
              <w:top w:val="nil"/>
              <w:left w:val="nil"/>
              <w:bottom w:val="nil"/>
              <w:right w:val="nil"/>
            </w:tcBorders>
            <w:noWrap/>
            <w:vAlign w:val="center"/>
          </w:tcPr>
          <w:p w14:paraId="1B339EC5">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R MTG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CSA</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265EB3E0">
            <w:pPr>
              <w:spacing w:line="480" w:lineRule="auto"/>
              <w:jc w:val="center"/>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1A2756B8">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7236891D">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16.65</w:t>
            </w:r>
          </w:p>
        </w:tc>
        <w:tc>
          <w:tcPr>
            <w:tcW w:w="0" w:type="auto"/>
            <w:tcBorders>
              <w:top w:val="nil"/>
              <w:left w:val="nil"/>
              <w:bottom w:val="nil"/>
              <w:right w:val="nil"/>
            </w:tcBorders>
            <w:noWrap/>
            <w:vAlign w:val="center"/>
          </w:tcPr>
          <w:p w14:paraId="3137072F">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rPr>
              <w:t>&lt; .001</w:t>
            </w:r>
          </w:p>
        </w:tc>
        <w:tc>
          <w:tcPr>
            <w:tcW w:w="0" w:type="auto"/>
            <w:tcBorders>
              <w:top w:val="nil"/>
              <w:left w:val="nil"/>
              <w:bottom w:val="nil"/>
              <w:right w:val="nil"/>
            </w:tcBorders>
            <w:noWrap/>
            <w:vAlign w:val="center"/>
          </w:tcPr>
          <w:p w14:paraId="271B7443">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6.08</w:t>
            </w:r>
          </w:p>
        </w:tc>
        <w:tc>
          <w:tcPr>
            <w:tcW w:w="0" w:type="auto"/>
            <w:tcBorders>
              <w:top w:val="nil"/>
              <w:left w:val="nil"/>
              <w:bottom w:val="nil"/>
              <w:right w:val="nil"/>
            </w:tcBorders>
            <w:noWrap/>
            <w:vAlign w:val="center"/>
          </w:tcPr>
          <w:p w14:paraId="6347EE2D">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.054</w:t>
            </w:r>
          </w:p>
        </w:tc>
        <w:tc>
          <w:tcPr>
            <w:tcW w:w="0" w:type="auto"/>
            <w:tcBorders>
              <w:top w:val="nil"/>
              <w:left w:val="nil"/>
              <w:bottom w:val="nil"/>
              <w:right w:val="nil"/>
            </w:tcBorders>
            <w:noWrap/>
            <w:vAlign w:val="center"/>
          </w:tcPr>
          <w:p w14:paraId="59892B4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rPr>
              <w:t>&lt; .001</w:t>
            </w:r>
          </w:p>
        </w:tc>
      </w:tr>
      <w:tr w14:paraId="2D2204AA">
        <w:trPr>
          <w:trHeight w:val="268" w:hRule="atLeast"/>
        </w:trPr>
        <w:tc>
          <w:tcPr>
            <w:tcW w:w="0" w:type="auto"/>
            <w:tcBorders>
              <w:top w:val="nil"/>
              <w:left w:val="nil"/>
              <w:bottom w:val="nil"/>
              <w:right w:val="nil"/>
            </w:tcBorders>
            <w:noWrap/>
            <w:vAlign w:val="center"/>
          </w:tcPr>
          <w:p w14:paraId="1A29914A">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R EC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CSA</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47B77F00">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2.80</w:t>
            </w:r>
          </w:p>
        </w:tc>
        <w:tc>
          <w:tcPr>
            <w:tcW w:w="0" w:type="auto"/>
            <w:tcBorders>
              <w:top w:val="nil"/>
              <w:left w:val="nil"/>
              <w:bottom w:val="nil"/>
              <w:right w:val="nil"/>
            </w:tcBorders>
            <w:noWrap/>
            <w:vAlign w:val="center"/>
          </w:tcPr>
          <w:p w14:paraId="659008E7">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3.35</w:t>
            </w:r>
          </w:p>
        </w:tc>
        <w:tc>
          <w:tcPr>
            <w:tcW w:w="0" w:type="auto"/>
            <w:tcBorders>
              <w:top w:val="nil"/>
              <w:left w:val="nil"/>
              <w:bottom w:val="nil"/>
              <w:right w:val="nil"/>
            </w:tcBorders>
            <w:noWrap/>
            <w:vAlign w:val="center"/>
          </w:tcPr>
          <w:p w14:paraId="61B260F4">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6.11</w:t>
            </w:r>
          </w:p>
        </w:tc>
        <w:tc>
          <w:tcPr>
            <w:tcW w:w="0" w:type="auto"/>
            <w:tcBorders>
              <w:top w:val="nil"/>
              <w:left w:val="nil"/>
              <w:bottom w:val="nil"/>
              <w:right w:val="nil"/>
            </w:tcBorders>
            <w:noWrap/>
            <w:vAlign w:val="center"/>
          </w:tcPr>
          <w:p w14:paraId="133E6515">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rPr>
              <w:t>&lt; .001</w:t>
            </w:r>
          </w:p>
        </w:tc>
        <w:tc>
          <w:tcPr>
            <w:tcW w:w="0" w:type="auto"/>
            <w:tcBorders>
              <w:top w:val="nil"/>
              <w:left w:val="nil"/>
              <w:bottom w:val="nil"/>
              <w:right w:val="nil"/>
            </w:tcBorders>
            <w:noWrap/>
            <w:vAlign w:val="center"/>
          </w:tcPr>
          <w:p w14:paraId="5BB8947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6.96</w:t>
            </w:r>
          </w:p>
        </w:tc>
        <w:tc>
          <w:tcPr>
            <w:tcW w:w="0" w:type="auto"/>
            <w:tcBorders>
              <w:top w:val="nil"/>
              <w:left w:val="nil"/>
              <w:bottom w:val="nil"/>
              <w:right w:val="nil"/>
            </w:tcBorders>
            <w:noWrap/>
            <w:vAlign w:val="center"/>
          </w:tcPr>
          <w:p w14:paraId="5323ADA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.060</w:t>
            </w:r>
          </w:p>
        </w:tc>
        <w:tc>
          <w:tcPr>
            <w:tcW w:w="0" w:type="auto"/>
            <w:tcBorders>
              <w:top w:val="nil"/>
              <w:left w:val="nil"/>
              <w:bottom w:val="nil"/>
              <w:right w:val="nil"/>
            </w:tcBorders>
            <w:noWrap/>
            <w:vAlign w:val="center"/>
          </w:tcPr>
          <w:p w14:paraId="1AC8FFFD">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.002</w:t>
            </w:r>
          </w:p>
        </w:tc>
      </w:tr>
      <w:tr w14:paraId="207858F5">
        <w:trPr>
          <w:trHeight w:val="268" w:hRule="atLeast"/>
        </w:trPr>
        <w:tc>
          <w:tcPr>
            <w:tcW w:w="0" w:type="auto"/>
            <w:tcBorders>
              <w:top w:val="nil"/>
              <w:left w:val="nil"/>
              <w:bottom w:val="nil"/>
              <w:right w:val="nil"/>
            </w:tcBorders>
            <w:noWrap/>
            <w:vAlign w:val="center"/>
          </w:tcPr>
          <w:p w14:paraId="0D19B518">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L Amy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Vol</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2E450A33">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1.09</w:t>
            </w:r>
          </w:p>
        </w:tc>
        <w:tc>
          <w:tcPr>
            <w:tcW w:w="0" w:type="auto"/>
            <w:tcBorders>
              <w:top w:val="nil"/>
              <w:left w:val="nil"/>
              <w:bottom w:val="nil"/>
              <w:right w:val="nil"/>
            </w:tcBorders>
            <w:noWrap/>
            <w:vAlign w:val="center"/>
          </w:tcPr>
          <w:p w14:paraId="29A50E03">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1.18</w:t>
            </w:r>
          </w:p>
        </w:tc>
        <w:tc>
          <w:tcPr>
            <w:tcW w:w="0" w:type="auto"/>
            <w:tcBorders>
              <w:top w:val="nil"/>
              <w:left w:val="nil"/>
              <w:bottom w:val="nil"/>
              <w:right w:val="nil"/>
            </w:tcBorders>
            <w:noWrap/>
            <w:vAlign w:val="center"/>
          </w:tcPr>
          <w:p w14:paraId="3C17478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7.42</w:t>
            </w:r>
          </w:p>
        </w:tc>
        <w:tc>
          <w:tcPr>
            <w:tcW w:w="0" w:type="auto"/>
            <w:tcBorders>
              <w:top w:val="nil"/>
              <w:left w:val="nil"/>
              <w:bottom w:val="nil"/>
              <w:right w:val="nil"/>
            </w:tcBorders>
            <w:noWrap/>
            <w:vAlign w:val="center"/>
          </w:tcPr>
          <w:p w14:paraId="641F0577">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.006</w:t>
            </w:r>
          </w:p>
        </w:tc>
        <w:tc>
          <w:tcPr>
            <w:tcW w:w="0" w:type="auto"/>
            <w:tcBorders>
              <w:top w:val="nil"/>
              <w:left w:val="nil"/>
              <w:bottom w:val="nil"/>
              <w:right w:val="nil"/>
            </w:tcBorders>
            <w:noWrap/>
            <w:vAlign w:val="center"/>
          </w:tcPr>
          <w:p w14:paraId="15218BC3">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4.56</w:t>
            </w:r>
          </w:p>
        </w:tc>
        <w:tc>
          <w:tcPr>
            <w:tcW w:w="0" w:type="auto"/>
            <w:tcBorders>
              <w:top w:val="nil"/>
              <w:left w:val="nil"/>
              <w:bottom w:val="nil"/>
              <w:right w:val="nil"/>
            </w:tcBorders>
            <w:noWrap/>
            <w:vAlign w:val="center"/>
          </w:tcPr>
          <w:p w14:paraId="42FB7009">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.038</w:t>
            </w:r>
          </w:p>
        </w:tc>
        <w:tc>
          <w:tcPr>
            <w:tcW w:w="0" w:type="auto"/>
            <w:tcBorders>
              <w:top w:val="nil"/>
              <w:left w:val="nil"/>
              <w:bottom w:val="nil"/>
              <w:right w:val="nil"/>
            </w:tcBorders>
            <w:noWrap/>
            <w:vAlign w:val="center"/>
          </w:tcPr>
          <w:p w14:paraId="4305EBF3">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.025</w:t>
            </w:r>
          </w:p>
        </w:tc>
      </w:tr>
      <w:tr w14:paraId="5A61E589">
        <w:trPr>
          <w:trHeight w:val="268" w:hRule="atLeast"/>
        </w:trPr>
        <w:tc>
          <w:tcPr>
            <w:tcW w:w="0" w:type="auto"/>
            <w:tcBorders>
              <w:top w:val="nil"/>
              <w:left w:val="nil"/>
              <w:bottom w:val="nil"/>
              <w:right w:val="nil"/>
            </w:tcBorders>
            <w:noWrap/>
            <w:vAlign w:val="center"/>
          </w:tcPr>
          <w:p w14:paraId="43F98313">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R PCC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CT</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56264219">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1.69</w:t>
            </w:r>
          </w:p>
        </w:tc>
        <w:tc>
          <w:tcPr>
            <w:tcW w:w="0" w:type="auto"/>
            <w:tcBorders>
              <w:top w:val="nil"/>
              <w:left w:val="nil"/>
              <w:bottom w:val="nil"/>
              <w:right w:val="nil"/>
            </w:tcBorders>
            <w:noWrap/>
            <w:vAlign w:val="center"/>
          </w:tcPr>
          <w:p w14:paraId="14C29CE4">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2.09</w:t>
            </w:r>
          </w:p>
        </w:tc>
        <w:tc>
          <w:tcPr>
            <w:tcW w:w="0" w:type="auto"/>
            <w:tcBorders>
              <w:top w:val="nil"/>
              <w:left w:val="nil"/>
              <w:bottom w:val="nil"/>
              <w:right w:val="nil"/>
            </w:tcBorders>
            <w:noWrap/>
            <w:vAlign w:val="center"/>
          </w:tcPr>
          <w:p w14:paraId="0909883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4.27</w:t>
            </w:r>
          </w:p>
        </w:tc>
        <w:tc>
          <w:tcPr>
            <w:tcW w:w="0" w:type="auto"/>
            <w:tcBorders>
              <w:top w:val="nil"/>
              <w:left w:val="nil"/>
              <w:bottom w:val="nil"/>
              <w:right w:val="nil"/>
            </w:tcBorders>
            <w:noWrap/>
            <w:vAlign w:val="center"/>
          </w:tcPr>
          <w:p w14:paraId="4DBB27A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.012</w:t>
            </w:r>
          </w:p>
        </w:tc>
        <w:tc>
          <w:tcPr>
            <w:tcW w:w="0" w:type="auto"/>
            <w:tcBorders>
              <w:top w:val="nil"/>
              <w:left w:val="nil"/>
              <w:bottom w:val="nil"/>
              <w:right w:val="nil"/>
            </w:tcBorders>
            <w:noWrap/>
            <w:vAlign w:val="center"/>
          </w:tcPr>
          <w:p w14:paraId="1FEC252E">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4.50</w:t>
            </w:r>
          </w:p>
        </w:tc>
        <w:tc>
          <w:tcPr>
            <w:tcW w:w="0" w:type="auto"/>
            <w:tcBorders>
              <w:top w:val="nil"/>
              <w:left w:val="nil"/>
              <w:bottom w:val="nil"/>
              <w:right w:val="nil"/>
            </w:tcBorders>
            <w:noWrap/>
            <w:vAlign w:val="center"/>
          </w:tcPr>
          <w:p w14:paraId="415B197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.037</w:t>
            </w:r>
          </w:p>
        </w:tc>
        <w:tc>
          <w:tcPr>
            <w:tcW w:w="0" w:type="auto"/>
            <w:tcBorders>
              <w:top w:val="nil"/>
              <w:left w:val="nil"/>
              <w:bottom w:val="nil"/>
              <w:right w:val="nil"/>
            </w:tcBorders>
            <w:noWrap/>
            <w:vAlign w:val="center"/>
          </w:tcPr>
          <w:p w14:paraId="5EEC0C0B">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.042</w:t>
            </w:r>
          </w:p>
        </w:tc>
      </w:tr>
      <w:tr w14:paraId="440BC14C">
        <w:trPr>
          <w:trHeight w:val="268" w:hRule="atLeast"/>
        </w:trPr>
        <w:tc>
          <w:tcPr>
            <w:tcW w:w="0" w:type="auto"/>
            <w:tcBorders>
              <w:top w:val="nil"/>
              <w:left w:val="nil"/>
              <w:bottom w:val="nil"/>
              <w:right w:val="nil"/>
            </w:tcBorders>
            <w:noWrap/>
            <w:vAlign w:val="center"/>
          </w:tcPr>
          <w:p w14:paraId="78AFADF4">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L rMFG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CSA</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06B16D25">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1.56</w:t>
            </w:r>
          </w:p>
        </w:tc>
        <w:tc>
          <w:tcPr>
            <w:tcW w:w="0" w:type="auto"/>
            <w:tcBorders>
              <w:top w:val="nil"/>
              <w:left w:val="nil"/>
              <w:bottom w:val="nil"/>
              <w:right w:val="nil"/>
            </w:tcBorders>
            <w:noWrap/>
            <w:vAlign w:val="center"/>
          </w:tcPr>
          <w:p w14:paraId="5FB4CF8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1.94</w:t>
            </w:r>
          </w:p>
        </w:tc>
        <w:tc>
          <w:tcPr>
            <w:tcW w:w="0" w:type="auto"/>
            <w:tcBorders>
              <w:top w:val="nil"/>
              <w:left w:val="nil"/>
              <w:bottom w:val="nil"/>
              <w:right w:val="nil"/>
            </w:tcBorders>
            <w:noWrap/>
            <w:vAlign w:val="center"/>
          </w:tcPr>
          <w:p w14:paraId="368A3287">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4.78</w:t>
            </w:r>
          </w:p>
        </w:tc>
        <w:tc>
          <w:tcPr>
            <w:tcW w:w="0" w:type="auto"/>
            <w:tcBorders>
              <w:top w:val="nil"/>
              <w:left w:val="nil"/>
              <w:bottom w:val="nil"/>
              <w:right w:val="nil"/>
            </w:tcBorders>
            <w:noWrap/>
            <w:vAlign w:val="center"/>
          </w:tcPr>
          <w:p w14:paraId="6EC13FA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.015</w:t>
            </w:r>
          </w:p>
        </w:tc>
        <w:tc>
          <w:tcPr>
            <w:tcW w:w="0" w:type="auto"/>
            <w:tcBorders>
              <w:top w:val="nil"/>
              <w:left w:val="nil"/>
              <w:bottom w:val="nil"/>
              <w:right w:val="nil"/>
            </w:tcBorders>
            <w:noWrap/>
            <w:vAlign w:val="center"/>
          </w:tcPr>
          <w:p w14:paraId="06B2F47C">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5.04</w:t>
            </w:r>
          </w:p>
        </w:tc>
        <w:tc>
          <w:tcPr>
            <w:tcW w:w="0" w:type="auto"/>
            <w:tcBorders>
              <w:top w:val="nil"/>
              <w:left w:val="nil"/>
              <w:bottom w:val="nil"/>
              <w:right w:val="nil"/>
            </w:tcBorders>
            <w:noWrap/>
            <w:vAlign w:val="center"/>
          </w:tcPr>
          <w:p w14:paraId="1A59E93A">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.041</w:t>
            </w:r>
          </w:p>
        </w:tc>
        <w:tc>
          <w:tcPr>
            <w:tcW w:w="0" w:type="auto"/>
            <w:tcBorders>
              <w:top w:val="nil"/>
              <w:left w:val="nil"/>
              <w:bottom w:val="nil"/>
              <w:right w:val="nil"/>
            </w:tcBorders>
            <w:noWrap/>
            <w:vAlign w:val="center"/>
          </w:tcPr>
          <w:p w14:paraId="0655280C">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.046</w:t>
            </w:r>
          </w:p>
        </w:tc>
      </w:tr>
      <w:tr w14:paraId="436896F6">
        <w:trPr>
          <w:trHeight w:val="268" w:hRule="atLeast"/>
        </w:trPr>
        <w:tc>
          <w:tcPr>
            <w:tcW w:w="0" w:type="auto"/>
            <w:tcBorders>
              <w:top w:val="nil"/>
              <w:left w:val="nil"/>
              <w:bottom w:val="nil"/>
              <w:right w:val="nil"/>
            </w:tcBorders>
            <w:noWrap/>
            <w:vAlign w:val="center"/>
          </w:tcPr>
          <w:p w14:paraId="12034DDD">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L Thal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Vol</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23CED52E">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1.90</w:t>
            </w:r>
          </w:p>
        </w:tc>
        <w:tc>
          <w:tcPr>
            <w:tcW w:w="0" w:type="auto"/>
            <w:tcBorders>
              <w:top w:val="nil"/>
              <w:left w:val="nil"/>
              <w:bottom w:val="nil"/>
              <w:right w:val="nil"/>
            </w:tcBorders>
            <w:noWrap/>
            <w:vAlign w:val="center"/>
          </w:tcPr>
          <w:p w14:paraId="50D4FA89">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2.37</w:t>
            </w:r>
          </w:p>
        </w:tc>
        <w:tc>
          <w:tcPr>
            <w:tcW w:w="0" w:type="auto"/>
            <w:tcBorders>
              <w:top w:val="nil"/>
              <w:left w:val="nil"/>
              <w:bottom w:val="nil"/>
              <w:right w:val="nil"/>
            </w:tcBorders>
            <w:noWrap/>
            <w:vAlign w:val="center"/>
          </w:tcPr>
          <w:p w14:paraId="159C35C9">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3.59</w:t>
            </w:r>
          </w:p>
        </w:tc>
        <w:tc>
          <w:tcPr>
            <w:tcW w:w="0" w:type="auto"/>
            <w:tcBorders>
              <w:top w:val="nil"/>
              <w:left w:val="nil"/>
              <w:bottom w:val="nil"/>
              <w:right w:val="nil"/>
            </w:tcBorders>
            <w:noWrap/>
            <w:vAlign w:val="center"/>
          </w:tcPr>
          <w:p w14:paraId="24C81598">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.022</w:t>
            </w:r>
          </w:p>
        </w:tc>
        <w:tc>
          <w:tcPr>
            <w:tcW w:w="0" w:type="auto"/>
            <w:tcBorders>
              <w:top w:val="nil"/>
              <w:left w:val="nil"/>
              <w:bottom w:val="nil"/>
              <w:right w:val="nil"/>
            </w:tcBorders>
            <w:noWrap/>
            <w:vAlign w:val="center"/>
          </w:tcPr>
          <w:p w14:paraId="2AF13D30">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4.47</w:t>
            </w:r>
          </w:p>
        </w:tc>
        <w:tc>
          <w:tcPr>
            <w:tcW w:w="0" w:type="auto"/>
            <w:tcBorders>
              <w:top w:val="nil"/>
              <w:left w:val="nil"/>
              <w:bottom w:val="nil"/>
              <w:right w:val="nil"/>
            </w:tcBorders>
            <w:noWrap/>
            <w:vAlign w:val="center"/>
          </w:tcPr>
          <w:p w14:paraId="03C53388">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.036</w:t>
            </w:r>
          </w:p>
        </w:tc>
        <w:tc>
          <w:tcPr>
            <w:tcW w:w="0" w:type="auto"/>
            <w:tcBorders>
              <w:top w:val="nil"/>
              <w:left w:val="nil"/>
              <w:bottom w:val="nil"/>
              <w:right w:val="nil"/>
            </w:tcBorders>
            <w:noWrap/>
            <w:vAlign w:val="center"/>
          </w:tcPr>
          <w:p w14:paraId="3F569AC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.060</w:t>
            </w:r>
          </w:p>
        </w:tc>
      </w:tr>
      <w:tr w14:paraId="11720EA6">
        <w:trPr>
          <w:trHeight w:val="268" w:hRule="atLeast"/>
        </w:trPr>
        <w:tc>
          <w:tcPr>
            <w:tcW w:w="0" w:type="auto"/>
            <w:tcBorders>
              <w:top w:val="nil"/>
              <w:left w:val="nil"/>
              <w:bottom w:val="nil"/>
              <w:right w:val="nil"/>
            </w:tcBorders>
            <w:noWrap/>
            <w:vAlign w:val="center"/>
          </w:tcPr>
          <w:p w14:paraId="1E7423FA">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L EC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CSA</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6894E1AB">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1.88</w:t>
            </w:r>
          </w:p>
        </w:tc>
        <w:tc>
          <w:tcPr>
            <w:tcW w:w="0" w:type="auto"/>
            <w:tcBorders>
              <w:top w:val="nil"/>
              <w:left w:val="nil"/>
              <w:bottom w:val="nil"/>
              <w:right w:val="nil"/>
            </w:tcBorders>
            <w:noWrap/>
            <w:vAlign w:val="center"/>
          </w:tcPr>
          <w:p w14:paraId="32A251A3">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2.36</w:t>
            </w:r>
          </w:p>
        </w:tc>
        <w:tc>
          <w:tcPr>
            <w:tcW w:w="0" w:type="auto"/>
            <w:tcBorders>
              <w:top w:val="nil"/>
              <w:left w:val="nil"/>
              <w:bottom w:val="nil"/>
              <w:right w:val="nil"/>
            </w:tcBorders>
            <w:noWrap/>
            <w:vAlign w:val="center"/>
          </w:tcPr>
          <w:p w14:paraId="18229F00">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3.66</w:t>
            </w:r>
          </w:p>
        </w:tc>
        <w:tc>
          <w:tcPr>
            <w:tcW w:w="0" w:type="auto"/>
            <w:tcBorders>
              <w:top w:val="nil"/>
              <w:left w:val="nil"/>
              <w:bottom w:val="nil"/>
              <w:right w:val="nil"/>
            </w:tcBorders>
            <w:noWrap/>
            <w:vAlign w:val="center"/>
          </w:tcPr>
          <w:p w14:paraId="033A931A">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.026</w:t>
            </w:r>
          </w:p>
        </w:tc>
        <w:tc>
          <w:tcPr>
            <w:tcW w:w="0" w:type="auto"/>
            <w:tcBorders>
              <w:top w:val="nil"/>
              <w:left w:val="nil"/>
              <w:bottom w:val="nil"/>
              <w:right w:val="nil"/>
            </w:tcBorders>
            <w:noWrap/>
            <w:vAlign w:val="center"/>
          </w:tcPr>
          <w:p w14:paraId="792A069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5.18</w:t>
            </w:r>
          </w:p>
        </w:tc>
        <w:tc>
          <w:tcPr>
            <w:tcW w:w="0" w:type="auto"/>
            <w:tcBorders>
              <w:top w:val="nil"/>
              <w:left w:val="nil"/>
              <w:bottom w:val="nil"/>
              <w:right w:val="nil"/>
            </w:tcBorders>
            <w:noWrap/>
            <w:vAlign w:val="center"/>
          </w:tcPr>
          <w:p w14:paraId="5C4BA6E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.043</w:t>
            </w:r>
          </w:p>
        </w:tc>
        <w:tc>
          <w:tcPr>
            <w:tcW w:w="0" w:type="auto"/>
            <w:tcBorders>
              <w:top w:val="nil"/>
              <w:left w:val="nil"/>
              <w:bottom w:val="nil"/>
              <w:right w:val="nil"/>
            </w:tcBorders>
            <w:noWrap/>
            <w:vAlign w:val="center"/>
          </w:tcPr>
          <w:p w14:paraId="5D4EA07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.066</w:t>
            </w:r>
          </w:p>
        </w:tc>
      </w:tr>
      <w:tr w14:paraId="0091C3B9">
        <w:trPr>
          <w:trHeight w:val="268" w:hRule="atLeast"/>
        </w:trPr>
        <w:tc>
          <w:tcPr>
            <w:tcW w:w="0" w:type="auto"/>
            <w:tcBorders>
              <w:top w:val="nil"/>
              <w:left w:val="nil"/>
              <w:bottom w:val="nil"/>
              <w:right w:val="nil"/>
            </w:tcBorders>
            <w:noWrap/>
            <w:vAlign w:val="center"/>
          </w:tcPr>
          <w:p w14:paraId="5FA8A369">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L VDC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Vol</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6391DA5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2.10</w:t>
            </w:r>
          </w:p>
        </w:tc>
        <w:tc>
          <w:tcPr>
            <w:tcW w:w="0" w:type="auto"/>
            <w:tcBorders>
              <w:top w:val="nil"/>
              <w:left w:val="nil"/>
              <w:bottom w:val="nil"/>
              <w:right w:val="nil"/>
            </w:tcBorders>
            <w:noWrap/>
            <w:vAlign w:val="center"/>
          </w:tcPr>
          <w:p w14:paraId="6D715A3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2.61</w:t>
            </w:r>
          </w:p>
        </w:tc>
        <w:tc>
          <w:tcPr>
            <w:tcW w:w="0" w:type="auto"/>
            <w:tcBorders>
              <w:top w:val="nil"/>
              <w:left w:val="nil"/>
              <w:bottom w:val="nil"/>
              <w:right w:val="nil"/>
            </w:tcBorders>
            <w:noWrap/>
            <w:vAlign w:val="center"/>
          </w:tcPr>
          <w:p w14:paraId="309E2B4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3.22</w:t>
            </w:r>
          </w:p>
        </w:tc>
        <w:tc>
          <w:tcPr>
            <w:tcW w:w="0" w:type="auto"/>
            <w:tcBorders>
              <w:top w:val="nil"/>
              <w:left w:val="nil"/>
              <w:bottom w:val="nil"/>
              <w:right w:val="nil"/>
            </w:tcBorders>
            <w:noWrap/>
            <w:vAlign w:val="center"/>
          </w:tcPr>
          <w:p w14:paraId="3EEEE0B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.040</w:t>
            </w:r>
          </w:p>
        </w:tc>
        <w:tc>
          <w:tcPr>
            <w:tcW w:w="0" w:type="auto"/>
            <w:tcBorders>
              <w:top w:val="nil"/>
              <w:left w:val="nil"/>
              <w:bottom w:val="nil"/>
              <w:right w:val="nil"/>
            </w:tcBorders>
            <w:noWrap/>
            <w:vAlign w:val="center"/>
          </w:tcPr>
          <w:p w14:paraId="6D2EABFB">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4.43</w:t>
            </w:r>
          </w:p>
        </w:tc>
        <w:tc>
          <w:tcPr>
            <w:tcW w:w="0" w:type="auto"/>
            <w:tcBorders>
              <w:top w:val="nil"/>
              <w:left w:val="nil"/>
              <w:bottom w:val="nil"/>
              <w:right w:val="nil"/>
            </w:tcBorders>
            <w:noWrap/>
            <w:vAlign w:val="center"/>
          </w:tcPr>
          <w:p w14:paraId="3288B98A">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.036</w:t>
            </w:r>
          </w:p>
        </w:tc>
        <w:tc>
          <w:tcPr>
            <w:tcW w:w="0" w:type="auto"/>
            <w:tcBorders>
              <w:top w:val="nil"/>
              <w:left w:val="nil"/>
              <w:bottom w:val="nil"/>
              <w:right w:val="nil"/>
            </w:tcBorders>
            <w:noWrap/>
            <w:vAlign w:val="center"/>
          </w:tcPr>
          <w:p w14:paraId="4242B8A0">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.081</w:t>
            </w:r>
          </w:p>
        </w:tc>
      </w:tr>
      <w:tr w14:paraId="35EF264A">
        <w:trPr>
          <w:trHeight w:val="268" w:hRule="atLeast"/>
        </w:trPr>
        <w:tc>
          <w:tcPr>
            <w:tcW w:w="0" w:type="auto"/>
            <w:tcBorders>
              <w:top w:val="nil"/>
              <w:left w:val="nil"/>
              <w:bottom w:val="nil"/>
              <w:right w:val="nil"/>
            </w:tcBorders>
            <w:noWrap/>
            <w:vAlign w:val="center"/>
          </w:tcPr>
          <w:p w14:paraId="730E48B3">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L SMG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CSA</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0607F996">
            <w:pPr>
              <w:spacing w:line="480" w:lineRule="auto"/>
              <w:jc w:val="center"/>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7AFEA669">
            <w:pPr>
              <w:spacing w:line="480" w:lineRule="auto"/>
              <w:jc w:val="center"/>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16430FD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3.15</w:t>
            </w:r>
          </w:p>
        </w:tc>
        <w:tc>
          <w:tcPr>
            <w:tcW w:w="0" w:type="auto"/>
            <w:tcBorders>
              <w:top w:val="nil"/>
              <w:left w:val="nil"/>
              <w:bottom w:val="nil"/>
              <w:right w:val="nil"/>
            </w:tcBorders>
            <w:noWrap/>
            <w:vAlign w:val="center"/>
          </w:tcPr>
          <w:p w14:paraId="25C2A09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.076</w:t>
            </w:r>
          </w:p>
        </w:tc>
        <w:tc>
          <w:tcPr>
            <w:tcW w:w="0" w:type="auto"/>
            <w:tcBorders>
              <w:top w:val="nil"/>
              <w:left w:val="nil"/>
              <w:bottom w:val="nil"/>
              <w:right w:val="nil"/>
            </w:tcBorders>
            <w:noWrap/>
            <w:vAlign w:val="center"/>
          </w:tcPr>
          <w:p w14:paraId="369693C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3.95</w:t>
            </w:r>
          </w:p>
        </w:tc>
        <w:tc>
          <w:tcPr>
            <w:tcW w:w="0" w:type="auto"/>
            <w:tcBorders>
              <w:top w:val="nil"/>
              <w:left w:val="nil"/>
              <w:bottom w:val="nil"/>
              <w:right w:val="nil"/>
            </w:tcBorders>
            <w:noWrap/>
            <w:vAlign w:val="center"/>
          </w:tcPr>
          <w:p w14:paraId="49AFD624">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.032</w:t>
            </w:r>
          </w:p>
        </w:tc>
        <w:tc>
          <w:tcPr>
            <w:tcW w:w="0" w:type="auto"/>
            <w:tcBorders>
              <w:top w:val="nil"/>
              <w:left w:val="nil"/>
              <w:bottom w:val="nil"/>
              <w:right w:val="nil"/>
            </w:tcBorders>
            <w:noWrap/>
            <w:vAlign w:val="center"/>
          </w:tcPr>
          <w:p w14:paraId="79B6FA4B">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.127</w:t>
            </w:r>
          </w:p>
        </w:tc>
      </w:tr>
      <w:tr w14:paraId="54F7E3D0">
        <w:trPr>
          <w:trHeight w:val="268" w:hRule="atLeast"/>
        </w:trPr>
        <w:tc>
          <w:tcPr>
            <w:tcW w:w="0" w:type="auto"/>
            <w:tcBorders>
              <w:top w:val="nil"/>
              <w:left w:val="nil"/>
              <w:bottom w:val="nil"/>
              <w:right w:val="nil"/>
            </w:tcBorders>
            <w:noWrap/>
            <w:vAlign w:val="center"/>
          </w:tcPr>
          <w:p w14:paraId="329CAD0A">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R SPL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CT</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3FA72F6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0BD242EF">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1C5E8D5D">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1.15</w:t>
            </w:r>
          </w:p>
        </w:tc>
        <w:tc>
          <w:tcPr>
            <w:tcW w:w="0" w:type="auto"/>
            <w:tcBorders>
              <w:top w:val="nil"/>
              <w:left w:val="nil"/>
              <w:bottom w:val="nil"/>
              <w:right w:val="nil"/>
            </w:tcBorders>
            <w:noWrap/>
            <w:vAlign w:val="center"/>
          </w:tcPr>
          <w:p w14:paraId="7261E7A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.282</w:t>
            </w:r>
          </w:p>
        </w:tc>
        <w:tc>
          <w:tcPr>
            <w:tcW w:w="0" w:type="auto"/>
            <w:tcBorders>
              <w:top w:val="nil"/>
              <w:left w:val="nil"/>
              <w:bottom w:val="nil"/>
              <w:right w:val="nil"/>
            </w:tcBorders>
            <w:noWrap/>
            <w:vAlign w:val="center"/>
          </w:tcPr>
          <w:p w14:paraId="3100B45B">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3.33</w:t>
            </w:r>
          </w:p>
        </w:tc>
        <w:tc>
          <w:tcPr>
            <w:tcW w:w="0" w:type="auto"/>
            <w:tcBorders>
              <w:top w:val="nil"/>
              <w:left w:val="nil"/>
              <w:bottom w:val="nil"/>
              <w:right w:val="nil"/>
            </w:tcBorders>
            <w:noWrap/>
            <w:vAlign w:val="center"/>
          </w:tcPr>
          <w:p w14:paraId="0313D3DD">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.026</w:t>
            </w:r>
          </w:p>
        </w:tc>
        <w:tc>
          <w:tcPr>
            <w:tcW w:w="0" w:type="auto"/>
            <w:tcBorders>
              <w:top w:val="nil"/>
              <w:left w:val="nil"/>
              <w:bottom w:val="nil"/>
              <w:right w:val="nil"/>
            </w:tcBorders>
            <w:noWrap/>
            <w:vAlign w:val="center"/>
          </w:tcPr>
          <w:p w14:paraId="2AB37FBB">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.392</w:t>
            </w:r>
          </w:p>
        </w:tc>
      </w:tr>
      <w:tr w14:paraId="38368106">
        <w:trPr>
          <w:trHeight w:val="268" w:hRule="atLeast"/>
        </w:trPr>
        <w:tc>
          <w:tcPr>
            <w:tcW w:w="0" w:type="auto"/>
            <w:tcBorders>
              <w:top w:val="nil"/>
              <w:left w:val="nil"/>
              <w:bottom w:val="nil"/>
              <w:right w:val="nil"/>
            </w:tcBorders>
            <w:noWrap/>
            <w:vAlign w:val="center"/>
          </w:tcPr>
          <w:p w14:paraId="44EB8A90">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R IPL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CT</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1B2F94A6">
            <w:pPr>
              <w:spacing w:line="480" w:lineRule="auto"/>
              <w:jc w:val="center"/>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0B667215">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nil"/>
              <w:right w:val="nil"/>
            </w:tcBorders>
            <w:noWrap/>
            <w:vAlign w:val="center"/>
          </w:tcPr>
          <w:p w14:paraId="743357EF">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1.08</w:t>
            </w:r>
          </w:p>
        </w:tc>
        <w:tc>
          <w:tcPr>
            <w:tcW w:w="0" w:type="auto"/>
            <w:tcBorders>
              <w:top w:val="nil"/>
              <w:left w:val="nil"/>
              <w:bottom w:val="nil"/>
              <w:right w:val="nil"/>
            </w:tcBorders>
            <w:noWrap/>
            <w:vAlign w:val="center"/>
          </w:tcPr>
          <w:p w14:paraId="70C15086">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.298</w:t>
            </w:r>
          </w:p>
        </w:tc>
        <w:tc>
          <w:tcPr>
            <w:tcW w:w="0" w:type="auto"/>
            <w:tcBorders>
              <w:top w:val="nil"/>
              <w:left w:val="nil"/>
              <w:bottom w:val="nil"/>
              <w:right w:val="nil"/>
            </w:tcBorders>
            <w:noWrap/>
            <w:vAlign w:val="center"/>
          </w:tcPr>
          <w:p w14:paraId="433B29AD">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4.73</w:t>
            </w:r>
          </w:p>
        </w:tc>
        <w:tc>
          <w:tcPr>
            <w:tcW w:w="0" w:type="auto"/>
            <w:tcBorders>
              <w:top w:val="nil"/>
              <w:left w:val="nil"/>
              <w:bottom w:val="nil"/>
              <w:right w:val="nil"/>
            </w:tcBorders>
            <w:noWrap/>
            <w:vAlign w:val="center"/>
          </w:tcPr>
          <w:p w14:paraId="4FBABB92">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.038</w:t>
            </w:r>
          </w:p>
        </w:tc>
        <w:tc>
          <w:tcPr>
            <w:tcW w:w="0" w:type="auto"/>
            <w:tcBorders>
              <w:top w:val="nil"/>
              <w:left w:val="nil"/>
              <w:bottom w:val="nil"/>
              <w:right w:val="nil"/>
            </w:tcBorders>
            <w:noWrap/>
            <w:vAlign w:val="center"/>
          </w:tcPr>
          <w:p w14:paraId="49BAB53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.392</w:t>
            </w:r>
          </w:p>
        </w:tc>
      </w:tr>
      <w:tr w14:paraId="0C161291">
        <w:trPr>
          <w:trHeight w:val="268" w:hRule="atLeast"/>
        </w:trPr>
        <w:tc>
          <w:tcPr>
            <w:tcW w:w="0" w:type="auto"/>
            <w:tcBorders>
              <w:top w:val="nil"/>
              <w:left w:val="nil"/>
              <w:bottom w:val="nil"/>
              <w:right w:val="nil"/>
            </w:tcBorders>
            <w:noWrap/>
            <w:vAlign w:val="center"/>
          </w:tcPr>
          <w:p w14:paraId="1E00A39D">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R Ling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CT</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nil"/>
              <w:right w:val="nil"/>
            </w:tcBorders>
            <w:noWrap/>
            <w:vAlign w:val="center"/>
          </w:tcPr>
          <w:p w14:paraId="19918F1C">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1.07</w:t>
            </w:r>
          </w:p>
        </w:tc>
        <w:tc>
          <w:tcPr>
            <w:tcW w:w="0" w:type="auto"/>
            <w:tcBorders>
              <w:top w:val="nil"/>
              <w:left w:val="nil"/>
              <w:bottom w:val="nil"/>
              <w:right w:val="nil"/>
            </w:tcBorders>
            <w:noWrap/>
            <w:vAlign w:val="center"/>
          </w:tcPr>
          <w:p w14:paraId="002BED2F">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1.15</w:t>
            </w:r>
          </w:p>
        </w:tc>
        <w:tc>
          <w:tcPr>
            <w:tcW w:w="0" w:type="auto"/>
            <w:tcBorders>
              <w:top w:val="nil"/>
              <w:left w:val="nil"/>
              <w:bottom w:val="nil"/>
              <w:right w:val="nil"/>
            </w:tcBorders>
            <w:noWrap/>
            <w:vAlign w:val="center"/>
          </w:tcPr>
          <w:p w14:paraId="3036C68B">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1.09</w:t>
            </w:r>
          </w:p>
        </w:tc>
        <w:tc>
          <w:tcPr>
            <w:tcW w:w="0" w:type="auto"/>
            <w:tcBorders>
              <w:top w:val="nil"/>
              <w:left w:val="nil"/>
              <w:bottom w:val="nil"/>
              <w:right w:val="nil"/>
            </w:tcBorders>
            <w:noWrap/>
            <w:vAlign w:val="center"/>
          </w:tcPr>
          <w:p w14:paraId="406B8B4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.330</w:t>
            </w:r>
          </w:p>
        </w:tc>
        <w:tc>
          <w:tcPr>
            <w:tcW w:w="0" w:type="auto"/>
            <w:tcBorders>
              <w:top w:val="nil"/>
              <w:left w:val="nil"/>
              <w:bottom w:val="nil"/>
              <w:right w:val="nil"/>
            </w:tcBorders>
            <w:noWrap/>
            <w:vAlign w:val="center"/>
          </w:tcPr>
          <w:p w14:paraId="78CA0CC9">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3.46</w:t>
            </w:r>
          </w:p>
        </w:tc>
        <w:tc>
          <w:tcPr>
            <w:tcW w:w="0" w:type="auto"/>
            <w:tcBorders>
              <w:top w:val="nil"/>
              <w:left w:val="nil"/>
              <w:bottom w:val="nil"/>
              <w:right w:val="nil"/>
            </w:tcBorders>
            <w:noWrap/>
            <w:vAlign w:val="center"/>
          </w:tcPr>
          <w:p w14:paraId="7A59627E">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.027</w:t>
            </w:r>
          </w:p>
        </w:tc>
        <w:tc>
          <w:tcPr>
            <w:tcW w:w="0" w:type="auto"/>
            <w:tcBorders>
              <w:top w:val="nil"/>
              <w:left w:val="nil"/>
              <w:bottom w:val="nil"/>
              <w:right w:val="nil"/>
            </w:tcBorders>
            <w:noWrap/>
            <w:vAlign w:val="center"/>
          </w:tcPr>
          <w:p w14:paraId="52247621">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.397</w:t>
            </w:r>
          </w:p>
        </w:tc>
      </w:tr>
      <w:tr w14:paraId="2BD75DE2">
        <w:trPr>
          <w:trHeight w:val="268" w:hRule="atLeast"/>
        </w:trPr>
        <w:tc>
          <w:tcPr>
            <w:tcW w:w="0" w:type="auto"/>
            <w:tcBorders>
              <w:top w:val="nil"/>
              <w:left w:val="nil"/>
              <w:bottom w:val="single" w:color="auto" w:sz="12" w:space="0"/>
              <w:right w:val="nil"/>
            </w:tcBorders>
            <w:noWrap/>
            <w:vAlign w:val="center"/>
          </w:tcPr>
          <w:p w14:paraId="45D2F18F">
            <w:pPr>
              <w:spacing w:line="480" w:lineRule="auto"/>
              <w:jc w:val="both"/>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 xml:space="preserve">R PCC </w:t>
            </w:r>
            <w:r>
              <w:rPr>
                <w:rFonts w:hint="eastAsia" w:ascii="Times New Roman Regular" w:hAnsi="Times New Roman Regular" w:eastAsia="宋体" w:cs="Times New Roman Regular"/>
                <w:color w:val="auto"/>
                <w:sz w:val="22"/>
                <w:szCs w:val="22"/>
                <w:lang w:val="en-US" w:bidi="ar"/>
              </w:rPr>
              <w:t>(</w:t>
            </w:r>
            <w:r>
              <w:rPr>
                <w:rFonts w:ascii="Times New Roman Regular" w:hAnsi="Times New Roman Regular" w:eastAsia="宋体" w:cs="Times New Roman Regular"/>
                <w:color w:val="auto"/>
                <w:sz w:val="22"/>
                <w:szCs w:val="22"/>
                <w:lang w:val="en-US" w:bidi="ar"/>
              </w:rPr>
              <w:t>CSA</w:t>
            </w:r>
            <w:r>
              <w:rPr>
                <w:rFonts w:hint="eastAsia" w:ascii="Times New Roman Regular" w:hAnsi="Times New Roman Regular" w:eastAsia="宋体" w:cs="Times New Roman Regular"/>
                <w:color w:val="auto"/>
                <w:sz w:val="22"/>
                <w:szCs w:val="22"/>
                <w:lang w:val="en-US" w:bidi="ar"/>
              </w:rPr>
              <w:t>)</w:t>
            </w:r>
          </w:p>
        </w:tc>
        <w:tc>
          <w:tcPr>
            <w:tcW w:w="0" w:type="auto"/>
            <w:tcBorders>
              <w:top w:val="nil"/>
              <w:left w:val="nil"/>
              <w:bottom w:val="single" w:color="auto" w:sz="12" w:space="0"/>
              <w:right w:val="nil"/>
            </w:tcBorders>
            <w:noWrap/>
            <w:vAlign w:val="center"/>
          </w:tcPr>
          <w:p w14:paraId="4889CD38">
            <w:pPr>
              <w:spacing w:line="480" w:lineRule="auto"/>
              <w:jc w:val="center"/>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single" w:color="auto" w:sz="12" w:space="0"/>
              <w:right w:val="nil"/>
            </w:tcBorders>
            <w:noWrap/>
            <w:vAlign w:val="center"/>
          </w:tcPr>
          <w:p w14:paraId="6992C81D">
            <w:pPr>
              <w:spacing w:line="480" w:lineRule="auto"/>
              <w:jc w:val="center"/>
              <w:textAlignment w:val="center"/>
              <w:rPr>
                <w:rFonts w:ascii="Times New Roman Regular" w:hAnsi="Times New Roman Regular" w:eastAsia="宋体" w:cs="Times New Roman Regular"/>
                <w:color w:val="auto"/>
                <w:sz w:val="22"/>
                <w:szCs w:val="22"/>
                <w:lang w:val="en-US"/>
              </w:rPr>
            </w:pPr>
            <w:r>
              <w:rPr>
                <w:rFonts w:ascii="Times New Roman Regular" w:hAnsi="Times New Roman Regular" w:eastAsia="宋体" w:cs="Times New Roman Regular"/>
                <w:color w:val="auto"/>
                <w:sz w:val="22"/>
                <w:szCs w:val="22"/>
                <w:lang w:val="en-US" w:bidi="ar"/>
              </w:rPr>
              <w:t>1.00</w:t>
            </w:r>
          </w:p>
        </w:tc>
        <w:tc>
          <w:tcPr>
            <w:tcW w:w="0" w:type="auto"/>
            <w:tcBorders>
              <w:top w:val="nil"/>
              <w:left w:val="nil"/>
              <w:bottom w:val="single" w:color="auto" w:sz="12" w:space="0"/>
              <w:right w:val="nil"/>
            </w:tcBorders>
            <w:noWrap/>
            <w:vAlign w:val="center"/>
          </w:tcPr>
          <w:p w14:paraId="3F13FA85">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0.09</w:t>
            </w:r>
          </w:p>
        </w:tc>
        <w:tc>
          <w:tcPr>
            <w:tcW w:w="0" w:type="auto"/>
            <w:tcBorders>
              <w:top w:val="nil"/>
              <w:left w:val="nil"/>
              <w:bottom w:val="single" w:color="auto" w:sz="12" w:space="0"/>
              <w:right w:val="nil"/>
            </w:tcBorders>
            <w:noWrap/>
            <w:vAlign w:val="center"/>
          </w:tcPr>
          <w:p w14:paraId="7C7E8F10">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.753</w:t>
            </w:r>
          </w:p>
        </w:tc>
        <w:tc>
          <w:tcPr>
            <w:tcW w:w="0" w:type="auto"/>
            <w:tcBorders>
              <w:top w:val="nil"/>
              <w:left w:val="nil"/>
              <w:bottom w:val="single" w:color="auto" w:sz="12" w:space="0"/>
              <w:right w:val="nil"/>
            </w:tcBorders>
            <w:noWrap/>
            <w:vAlign w:val="center"/>
          </w:tcPr>
          <w:p w14:paraId="1E435558">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3.31</w:t>
            </w:r>
          </w:p>
        </w:tc>
        <w:tc>
          <w:tcPr>
            <w:tcW w:w="0" w:type="auto"/>
            <w:tcBorders>
              <w:top w:val="nil"/>
              <w:left w:val="nil"/>
              <w:bottom w:val="single" w:color="auto" w:sz="12" w:space="0"/>
              <w:right w:val="nil"/>
            </w:tcBorders>
            <w:noWrap/>
            <w:vAlign w:val="center"/>
          </w:tcPr>
          <w:p w14:paraId="182DE677">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.026</w:t>
            </w:r>
          </w:p>
        </w:tc>
        <w:tc>
          <w:tcPr>
            <w:tcW w:w="0" w:type="auto"/>
            <w:tcBorders>
              <w:top w:val="nil"/>
              <w:left w:val="nil"/>
              <w:bottom w:val="single" w:color="auto" w:sz="12" w:space="0"/>
              <w:right w:val="nil"/>
            </w:tcBorders>
            <w:noWrap/>
            <w:vAlign w:val="center"/>
          </w:tcPr>
          <w:p w14:paraId="33EF205F">
            <w:pPr>
              <w:spacing w:line="480" w:lineRule="auto"/>
              <w:jc w:val="center"/>
              <w:textAlignment w:val="center"/>
              <w:rPr>
                <w:rFonts w:ascii="Times New Roman Regular" w:hAnsi="Times New Roman Regular" w:eastAsia="宋体" w:cs="Times New Roman Regular"/>
                <w:color w:val="auto"/>
                <w:sz w:val="22"/>
                <w:szCs w:val="22"/>
              </w:rPr>
            </w:pPr>
            <w:r>
              <w:rPr>
                <w:rFonts w:ascii="Times New Roman Regular" w:hAnsi="Times New Roman Regular" w:eastAsia="宋体" w:cs="Times New Roman Regular"/>
                <w:color w:val="auto"/>
                <w:sz w:val="22"/>
                <w:szCs w:val="22"/>
                <w:lang w:val="en-US" w:bidi="ar"/>
              </w:rPr>
              <w:t>.753</w:t>
            </w:r>
          </w:p>
        </w:tc>
      </w:tr>
      <w:tr w14:paraId="65B9AC0C">
        <w:trPr>
          <w:trHeight w:val="268" w:hRule="atLeast"/>
        </w:trPr>
        <w:tc>
          <w:tcPr>
            <w:tcW w:w="0" w:type="auto"/>
            <w:gridSpan w:val="8"/>
            <w:tcBorders>
              <w:top w:val="single" w:color="auto" w:sz="12" w:space="0"/>
              <w:left w:val="nil"/>
              <w:right w:val="nil"/>
            </w:tcBorders>
            <w:noWrap/>
            <w:vAlign w:val="center"/>
          </w:tcPr>
          <w:p w14:paraId="38426216">
            <w:pPr>
              <w:jc w:val="both"/>
              <w:rPr>
                <w:b/>
                <w:bCs/>
                <w:color w:val="auto"/>
                <w:lang w:val="en-US"/>
              </w:rPr>
            </w:pPr>
            <w:r>
              <w:rPr>
                <w:rFonts w:hint="eastAsia"/>
                <w:b/>
                <w:bCs/>
                <w:color w:val="auto"/>
              </w:rPr>
              <w:t xml:space="preserve">Note. </w:t>
            </w:r>
            <w:r>
              <w:rPr>
                <w:rFonts w:hint="eastAsia"/>
                <w:color w:val="auto"/>
              </w:rPr>
              <w:t xml:space="preserve">N = 713. All smooth terms represent the thin-plate regression splines for the respective brain regions within the Healthy Weight group, predicting the area under the receiver operating characteristic curve for delay discounting (AUC-DD). edf, estimated degrees of freedom (an edf of 1.0 indicates a strictly linear relationship, while edf &gt; 1.0 indicates a non-linear relationship); Ref. df, reference degrees of freedom used for hypothesis testing; </w:t>
            </w:r>
            <w:r>
              <w:rPr>
                <w:rFonts w:ascii="Times New Roman Italic" w:hAnsi="Times New Roman Italic" w:cs="Times New Roman Italic"/>
                <w:i/>
                <w:iCs/>
                <w:color w:val="auto"/>
              </w:rPr>
              <w:t>F</w:t>
            </w:r>
            <w:r>
              <w:rPr>
                <w:rFonts w:hint="eastAsia"/>
                <w:color w:val="auto"/>
              </w:rPr>
              <w:t xml:space="preserve">, </w:t>
            </w:r>
            <w:r>
              <w:rPr>
                <w:rFonts w:ascii="Times New Roman Italic" w:hAnsi="Times New Roman Italic" w:cs="Times New Roman Italic"/>
                <w:i/>
                <w:iCs/>
                <w:color w:val="auto"/>
              </w:rPr>
              <w:t>F</w:t>
            </w:r>
            <w:r>
              <w:rPr>
                <w:rFonts w:hint="eastAsia"/>
                <w:color w:val="auto"/>
              </w:rPr>
              <w:t xml:space="preserve">-statistic; Dev. Expl. (%), percentage of deviance explained by the model; Adj. </w:t>
            </w:r>
            <w:r>
              <w:rPr>
                <w:rFonts w:ascii="Times New Roman Italic" w:hAnsi="Times New Roman Italic" w:cs="Times New Roman Italic"/>
                <w:i/>
                <w:iCs/>
                <w:color w:val="auto"/>
              </w:rPr>
              <w:t>R</w:t>
            </w:r>
            <w:r>
              <w:rPr>
                <w:rFonts w:hint="eastAsia"/>
                <w:color w:val="auto"/>
              </w:rPr>
              <w:t xml:space="preserve">², adjusted </w:t>
            </w:r>
            <w:r>
              <w:rPr>
                <w:rFonts w:ascii="Times New Roman Italic" w:hAnsi="Times New Roman Italic" w:cs="Times New Roman Italic"/>
                <w:i/>
                <w:iCs/>
                <w:color w:val="auto"/>
              </w:rPr>
              <w:t>R</w:t>
            </w:r>
            <w:r>
              <w:rPr>
                <w:rFonts w:hint="eastAsia"/>
                <w:color w:val="auto"/>
              </w:rPr>
              <w:t xml:space="preserve">-squared; </w:t>
            </w:r>
            <w:r>
              <w:rPr>
                <w:rFonts w:ascii="Times New Roman Bold Italic" w:hAnsi="Times New Roman Bold Italic" w:eastAsia="宋体" w:cs="Times New Roman Bold Italic"/>
                <w:b/>
                <w:bCs/>
                <w:i/>
                <w:iCs/>
                <w:color w:val="auto"/>
                <w:lang w:val="en-US" w:bidi="ar"/>
              </w:rPr>
              <w:t>p</w:t>
            </w:r>
            <w:r>
              <w:rPr>
                <w:rFonts w:ascii="Times New Roman Bold" w:hAnsi="Times New Roman Bold" w:eastAsia="宋体" w:cs="Times New Roman Bold"/>
                <w:b/>
                <w:bCs/>
                <w:color w:val="auto"/>
                <w:vertAlign w:val="subscript"/>
                <w:lang w:val="en-US" w:bidi="ar"/>
              </w:rPr>
              <w:t>FDR</w:t>
            </w:r>
            <w:r>
              <w:rPr>
                <w:rFonts w:hint="eastAsia"/>
                <w:color w:val="auto"/>
              </w:rPr>
              <w:t>, p-value adjusted using the Benjamini-Hochberg False Discovery Rate (FDR) correction.</w:t>
            </w:r>
            <w:r>
              <w:rPr>
                <w:rFonts w:hint="eastAsia"/>
                <w:b/>
                <w:bCs/>
                <w:color w:val="auto"/>
              </w:rPr>
              <w:t xml:space="preserve">Abbreviations: </w:t>
            </w:r>
            <w:r>
              <w:rPr>
                <w:rFonts w:hint="eastAsia"/>
                <w:color w:val="auto"/>
              </w:rPr>
              <w:t>L, left hemisphere; R, right hemisphere; CSA, cortical surface area; CT, cortical thickness; Vol, subcortical gray matter volume; MTG, middle temporal gyrus; ITG, inferior temporal gyrus; EC, entorhinal cortex; rMFG, rostral middle frontal gyrus; SMG, supramarginal gyrus; PCC, posterior cingulate cortex; IPL, inferior parietal lobule; SPL, superior parietal lobule; Ventral DC, ventral diencephalon.</w:t>
            </w:r>
            <w:r>
              <w:rPr>
                <w:rFonts w:eastAsia="宋体"/>
                <w:color w:val="auto"/>
                <w:lang w:val="en-US" w:bidi="ar"/>
              </w:rPr>
              <w:t xml:space="preserve">* </w:t>
            </w:r>
            <w:r>
              <w:rPr>
                <w:rFonts w:ascii="Times New Roman Bold Italic" w:hAnsi="Times New Roman Bold Italic" w:eastAsia="宋体" w:cs="Times New Roman Bold Italic"/>
                <w:b/>
                <w:bCs/>
                <w:i/>
                <w:iCs/>
                <w:color w:val="auto"/>
                <w:lang w:val="en-US" w:bidi="ar"/>
              </w:rPr>
              <w:t>p</w:t>
            </w:r>
            <w:r>
              <w:rPr>
                <w:rFonts w:ascii="Times New Roman Bold" w:hAnsi="Times New Roman Bold" w:eastAsia="宋体" w:cs="Times New Roman Bold"/>
                <w:b/>
                <w:bCs/>
                <w:color w:val="auto"/>
                <w:vertAlign w:val="subscript"/>
                <w:lang w:val="en-US" w:bidi="ar"/>
              </w:rPr>
              <w:t>FDR</w:t>
            </w:r>
            <w:r>
              <w:rPr>
                <w:rFonts w:eastAsia="宋体"/>
                <w:color w:val="auto"/>
                <w:lang w:val="en-US" w:bidi="ar"/>
              </w:rPr>
              <w:t xml:space="preserve">&lt; .05, ** </w:t>
            </w:r>
            <w:r>
              <w:rPr>
                <w:rFonts w:ascii="Times New Roman Bold Italic" w:hAnsi="Times New Roman Bold Italic" w:eastAsia="宋体" w:cs="Times New Roman Bold Italic"/>
                <w:b/>
                <w:bCs/>
                <w:i/>
                <w:iCs/>
                <w:color w:val="auto"/>
                <w:lang w:val="en-US" w:bidi="ar"/>
              </w:rPr>
              <w:t>p</w:t>
            </w:r>
            <w:r>
              <w:rPr>
                <w:rFonts w:ascii="Times New Roman Bold" w:hAnsi="Times New Roman Bold" w:eastAsia="宋体" w:cs="Times New Roman Bold"/>
                <w:b/>
                <w:bCs/>
                <w:color w:val="auto"/>
                <w:vertAlign w:val="subscript"/>
                <w:lang w:val="en-US" w:bidi="ar"/>
              </w:rPr>
              <w:t>FDR</w:t>
            </w:r>
            <w:r>
              <w:rPr>
                <w:rFonts w:eastAsia="宋体"/>
                <w:color w:val="auto"/>
                <w:lang w:val="en-US" w:bidi="ar"/>
              </w:rPr>
              <w:t xml:space="preserve"> &lt; .01, *** </w:t>
            </w:r>
            <w:r>
              <w:rPr>
                <w:rFonts w:ascii="Times New Roman Bold Italic" w:hAnsi="Times New Roman Bold Italic" w:eastAsia="宋体" w:cs="Times New Roman Bold Italic"/>
                <w:b/>
                <w:bCs/>
                <w:i/>
                <w:iCs/>
                <w:color w:val="auto"/>
                <w:lang w:val="en-US" w:bidi="ar"/>
              </w:rPr>
              <w:t>p</w:t>
            </w:r>
            <w:r>
              <w:rPr>
                <w:rFonts w:ascii="Times New Roman Bold" w:hAnsi="Times New Roman Bold" w:eastAsia="宋体" w:cs="Times New Roman Bold"/>
                <w:b/>
                <w:bCs/>
                <w:color w:val="auto"/>
                <w:vertAlign w:val="subscript"/>
                <w:lang w:val="en-US" w:bidi="ar"/>
              </w:rPr>
              <w:t>FDR</w:t>
            </w:r>
            <w:r>
              <w:rPr>
                <w:rFonts w:eastAsia="宋体"/>
                <w:color w:val="auto"/>
                <w:lang w:val="en-US" w:bidi="ar"/>
              </w:rPr>
              <w:t xml:space="preserve"> &lt; .001.</w:t>
            </w:r>
            <w:r>
              <w:rPr>
                <w:rFonts w:ascii="宋体" w:hAnsi="宋体" w:eastAsia="宋体" w:cs="宋体"/>
                <w:color w:val="auto"/>
                <w:lang w:val="en-US" w:bidi="ar"/>
              </w:rPr>
              <w:t xml:space="preserve"> </w:t>
            </w:r>
          </w:p>
        </w:tc>
      </w:tr>
    </w:tbl>
    <w:p w14:paraId="111CEF82">
      <w:pPr>
        <w:spacing w:line="480" w:lineRule="auto"/>
        <w:jc w:val="both"/>
        <w:rPr>
          <w:b/>
          <w:bCs/>
          <w:color w:val="auto"/>
        </w:rPr>
      </w:pPr>
    </w:p>
    <w:p w14:paraId="1E1CFB30">
      <w:pPr>
        <w:spacing w:line="480" w:lineRule="auto"/>
        <w:jc w:val="both"/>
        <w:rPr>
          <w:b/>
          <w:bCs/>
          <w:color w:val="auto"/>
        </w:rPr>
      </w:pPr>
      <w:r>
        <w:rPr>
          <w:b/>
          <w:bCs/>
          <w:color w:val="auto"/>
        </w:rPr>
        <w:t>Figure S1.</w:t>
      </w:r>
      <w:r>
        <w:rPr>
          <w:rFonts w:hint="eastAsia" w:eastAsia="宋体"/>
          <w:b/>
          <w:bCs/>
          <w:color w:val="auto"/>
          <w:lang w:val="en-US"/>
        </w:rPr>
        <w:t xml:space="preserve"> </w:t>
      </w:r>
      <w:r>
        <w:rPr>
          <w:rFonts w:hint="eastAsia"/>
          <w:color w:val="auto"/>
        </w:rPr>
        <w:t>Flowchart of participant selection and study design.</w:t>
      </w:r>
    </w:p>
    <w:p w14:paraId="58DD1350">
      <w:pPr>
        <w:spacing w:line="480" w:lineRule="auto"/>
        <w:jc w:val="both"/>
        <w:rPr>
          <w:color w:val="auto"/>
        </w:rPr>
      </w:pPr>
      <w:r>
        <w:rPr>
          <w:rFonts w:hint="eastAsia"/>
          <w:color w:val="auto"/>
        </w:rPr>
        <w:t>Out of the initial 1,206 participants from the HCP S1200 release, 113 were excluded based on established exclusion criteria. The remaining eligible participants were categorized by Body Mass Index (BMI). After excluding 375 overweight individuals (25≤BMI&lt;30), a final sample of 718 young adults was identified, comprising 243 individuals with obesity (BMI≥30) and 475 healthy weight controls (18.5≤BMI&lt;25). For analyses involving delay discounting, 5 participants (2 with obesity and 3 with healthy weight) were excluded due to missing AUC-DD data, resulting in a final analytical sample of N=713.</w:t>
      </w:r>
    </w:p>
    <w:p w14:paraId="343ACAB7">
      <w:pPr>
        <w:spacing w:line="480" w:lineRule="auto"/>
        <w:jc w:val="both"/>
        <w:rPr>
          <w:color w:val="auto"/>
        </w:rPr>
      </w:pPr>
      <w:r>
        <w:rPr>
          <w:rFonts w:hint="eastAsia"/>
          <w:b/>
          <w:bCs/>
          <w:color w:val="auto"/>
        </w:rPr>
        <w:t xml:space="preserve">Abbreviations: </w:t>
      </w:r>
      <w:r>
        <w:rPr>
          <w:rFonts w:hint="eastAsia"/>
          <w:color w:val="auto"/>
        </w:rPr>
        <w:t>HCP, Human Connectome Project; BMI, Body Mass Index; AUC-DD, area under the curve for delay discounting.</w:t>
      </w:r>
    </w:p>
    <w:p w14:paraId="4E7FA279">
      <w:pPr>
        <w:spacing w:line="480" w:lineRule="auto"/>
        <w:jc w:val="both"/>
        <w:rPr>
          <w:b/>
          <w:bCs/>
          <w:color w:val="auto"/>
        </w:rPr>
      </w:pPr>
      <w:r>
        <w:rPr>
          <w:rFonts w:hint="eastAsia" w:eastAsia="宋体"/>
          <w:b/>
          <w:bCs/>
          <w:color w:val="auto"/>
        </w:rPr>
        <w:drawing>
          <wp:inline distT="0" distB="0" distL="114300" distR="114300">
            <wp:extent cx="4199890" cy="6379845"/>
            <wp:effectExtent l="0" t="0" r="16510" b="20955"/>
            <wp:docPr id="2" name="图片 2" descr="Figure 1&amp;3+cohort_06 c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ure 1&amp;3+cohort_06 cut"/>
                    <pic:cNvPicPr>
                      <a:picLocks noChangeAspect="1"/>
                    </pic:cNvPicPr>
                  </pic:nvPicPr>
                  <pic:blipFill>
                    <a:blip r:embed="rId4"/>
                    <a:stretch>
                      <a:fillRect/>
                    </a:stretch>
                  </pic:blipFill>
                  <pic:spPr>
                    <a:xfrm>
                      <a:off x="0" y="0"/>
                      <a:ext cx="4199890" cy="6379845"/>
                    </a:xfrm>
                    <a:prstGeom prst="rect">
                      <a:avLst/>
                    </a:prstGeom>
                  </pic:spPr>
                </pic:pic>
              </a:graphicData>
            </a:graphic>
          </wp:inline>
        </w:drawing>
      </w:r>
    </w:p>
    <w:p w14:paraId="1188ED8D">
      <w:pPr>
        <w:spacing w:line="480" w:lineRule="auto"/>
        <w:jc w:val="both"/>
        <w:rPr>
          <w:rFonts w:eastAsia="宋体"/>
          <w:b/>
          <w:bCs/>
          <w:color w:val="auto"/>
        </w:rPr>
      </w:pPr>
      <w:r>
        <w:rPr>
          <w:b/>
          <w:bCs/>
          <w:color w:val="auto"/>
        </w:rPr>
        <w:br w:type="page"/>
      </w:r>
    </w:p>
    <w:p w14:paraId="4D0DFBC9">
      <w:pPr>
        <w:spacing w:after="240" w:line="480" w:lineRule="auto"/>
        <w:jc w:val="both"/>
        <w:rPr>
          <w:color w:val="auto"/>
        </w:rPr>
      </w:pPr>
      <w:r>
        <w:rPr>
          <w:b/>
          <w:bCs/>
          <w:color w:val="auto"/>
        </w:rPr>
        <w:t>Figure S</w:t>
      </w:r>
      <w:r>
        <w:rPr>
          <w:rFonts w:hint="eastAsia" w:eastAsia="宋体"/>
          <w:b/>
          <w:bCs/>
          <w:color w:val="auto"/>
          <w:lang w:val="en-US"/>
        </w:rPr>
        <w:t>2</w:t>
      </w:r>
      <w:r>
        <w:rPr>
          <w:b/>
          <w:bCs/>
          <w:color w:val="auto"/>
        </w:rPr>
        <w:t>.</w:t>
      </w:r>
      <w:r>
        <w:rPr>
          <w:color w:val="auto"/>
        </w:rPr>
        <w:t xml:space="preserve"> Radar charts demonstrating the performance of (A) the neuroanatomical model and (B) the combined model in the test cohort. AUC, area under the receiver operating characteristic curve; ACC, accuracy; SEN, sensitivity; SPE, specificity; PPV, positive predictive value; NPV, negative predictive value.</w:t>
      </w:r>
    </w:p>
    <w:p w14:paraId="3984F0EF">
      <w:pPr>
        <w:spacing w:after="240" w:line="480" w:lineRule="auto"/>
        <w:jc w:val="both"/>
        <w:rPr>
          <w:color w:val="auto"/>
        </w:rPr>
      </w:pPr>
      <w:r>
        <w:rPr>
          <w:color w:val="auto"/>
        </w:rPr>
        <w:drawing>
          <wp:inline distT="0" distB="0" distL="114300" distR="114300">
            <wp:extent cx="5943600" cy="3343275"/>
            <wp:effectExtent l="0" t="0" r="0" b="952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
                    <a:stretch>
                      <a:fillRect/>
                    </a:stretch>
                  </pic:blipFill>
                  <pic:spPr>
                    <a:xfrm>
                      <a:off x="0" y="0"/>
                      <a:ext cx="5943600" cy="3343275"/>
                    </a:xfrm>
                    <a:prstGeom prst="rect">
                      <a:avLst/>
                    </a:prstGeom>
                    <a:noFill/>
                    <a:ln>
                      <a:noFill/>
                    </a:ln>
                  </pic:spPr>
                </pic:pic>
              </a:graphicData>
            </a:graphic>
          </wp:inline>
        </w:drawing>
      </w:r>
    </w:p>
    <w:p w14:paraId="2C812563">
      <w:pPr>
        <w:rPr>
          <w:color w:val="auto"/>
        </w:rPr>
      </w:pPr>
      <w:r>
        <w:rPr>
          <w:color w:val="auto"/>
        </w:rPr>
        <w:br w:type="page"/>
      </w:r>
    </w:p>
    <w:p w14:paraId="4EE88856">
      <w:pPr>
        <w:spacing w:after="240" w:line="480" w:lineRule="auto"/>
        <w:jc w:val="both"/>
        <w:rPr>
          <w:rFonts w:hint="default" w:ascii="Times New Roman Bold" w:hAnsi="Times New Roman Bold" w:cs="Times New Roman Bold"/>
          <w:b/>
          <w:bCs/>
          <w:color w:val="auto"/>
        </w:rPr>
      </w:pPr>
      <w:r>
        <w:rPr>
          <w:rFonts w:hint="default" w:ascii="Times New Roman Bold" w:hAnsi="Times New Roman Bold" w:cs="Times New Roman Bold"/>
          <w:b/>
          <w:bCs/>
          <w:color w:val="auto"/>
        </w:rPr>
        <w:t>Supplementary Note S2. TIV-adjusted sensitivity analysis</w:t>
      </w:r>
    </w:p>
    <w:p w14:paraId="787C398A">
      <w:pPr>
        <w:spacing w:after="240" w:line="480" w:lineRule="auto"/>
        <w:jc w:val="both"/>
        <w:rPr>
          <w:rFonts w:hint="eastAsia"/>
          <w:color w:val="auto"/>
        </w:rPr>
      </w:pPr>
      <w:r>
        <w:rPr>
          <w:rFonts w:hint="eastAsia"/>
          <w:color w:val="auto"/>
        </w:rPr>
        <w:t>Background. Cortical surface area (CSA) and subcortical gray matter volume scale with total intracranial volume (TIV), which is correlated with body size and sex. To evaluate whether the neuroanatomical signature identified by the main SVM classifier was confounded by global scaling, we performed a sensitivity analysis with TIV adjustment.</w:t>
      </w:r>
    </w:p>
    <w:p w14:paraId="78EA61B1">
      <w:pPr>
        <w:spacing w:after="240" w:line="480" w:lineRule="auto"/>
        <w:jc w:val="both"/>
        <w:rPr>
          <w:rFonts w:hint="eastAsia"/>
          <w:color w:val="auto"/>
        </w:rPr>
      </w:pPr>
      <w:r>
        <w:rPr>
          <w:rFonts w:hint="eastAsia"/>
          <w:color w:val="auto"/>
        </w:rPr>
        <w:t>Methods. Within the training partition (70% of the sample), each CSA and subcortical volume feature was residualized against TIV using linear regression. The TIV regression coefficients learned from the training set were then applied to the held-out test set to prevent data leakage. Cortical thickness (CT) features were not adjusted as they are theoretically independent of TIV. The SVM classifier was retrained on the residualized features using identical preprocessing and hyperparameter tuning procedures as the main analysis (5-fold cross-validation, grid search over C ∈ {0.01, 0.1, 1, 10}).</w:t>
      </w:r>
    </w:p>
    <w:p w14:paraId="30020F1D">
      <w:pPr>
        <w:spacing w:after="240" w:line="480" w:lineRule="auto"/>
        <w:jc w:val="both"/>
        <w:rPr>
          <w:rFonts w:hint="eastAsia"/>
          <w:color w:val="auto"/>
        </w:rPr>
      </w:pPr>
      <w:r>
        <w:rPr>
          <w:rFonts w:hint="eastAsia"/>
          <w:color w:val="auto"/>
        </w:rPr>
        <w:t>Results. The optimal cost parameter selected via cross-validation was C = 0.01. On the held-out test set, the TIV-adjusted classifier achieved AUC = 0.615, accuracy = 0.589, sensitivity (obesity as positive class) = 0.583, and specificity = 0.592. The confusion matrix is shown in.</w:t>
      </w:r>
    </w:p>
    <w:p w14:paraId="54D251D5">
      <w:pPr>
        <w:spacing w:after="240" w:line="480" w:lineRule="auto"/>
        <w:jc w:val="both"/>
        <w:rPr>
          <w:rFonts w:hint="eastAsia"/>
          <w:color w:val="auto"/>
        </w:rPr>
      </w:pPr>
      <w:r>
        <w:rPr>
          <w:rFonts w:hint="eastAsia"/>
          <w:color w:val="auto"/>
        </w:rPr>
        <w:t>Of the top 15 features in the TIV-adjusted model, 7 were CT-based, 6 were TIV-adjusted CSA-based, and 2 were TIV-adjusted subcortical volume features. Three features overlapped with the original top 15: right superior parietal lobule CT, left entorhinal cortex CSA, and left amygdala volume .</w:t>
      </w:r>
    </w:p>
    <w:p w14:paraId="5B355C75">
      <w:pPr>
        <w:spacing w:after="240" w:line="480" w:lineRule="auto"/>
        <w:jc w:val="both"/>
        <w:rPr>
          <w:rFonts w:hint="eastAsia"/>
          <w:color w:val="auto"/>
        </w:rPr>
      </w:pPr>
      <w:r>
        <w:rPr>
          <w:rFonts w:hint="eastAsia"/>
          <w:color w:val="auto"/>
        </w:rPr>
        <w:t>Interpretation. The TIV-adjusted analysis indicates that the neuroanatomical signature is not solely driven by global scaling effects, with CT-based features showing particular robustness. However, the limited overlap among CSA features (3 out of 13 non-CT features) suggests that some CSA-based associations identified in the main analysis may partly reflect TIV-related variation, consistent with the well-documented coupling between CSA and TIV. The bilateral entorhinal cortex and right superior parietal lobule, which are central to our theoretical interpretations, remained robust to TIV adjustment.</w:t>
      </w:r>
    </w:p>
    <w:p w14:paraId="71644914">
      <w:pPr>
        <w:keepNext w:val="0"/>
        <w:keepLines w:val="0"/>
        <w:widowControl/>
        <w:suppressLineNumbers w:val="0"/>
        <w:jc w:val="left"/>
        <w:rPr>
          <w:color w:val="auto"/>
          <w:sz w:val="16"/>
          <w:szCs w:val="16"/>
        </w:rPr>
      </w:pPr>
    </w:p>
    <w:p w14:paraId="01B9E855">
      <w:pPr>
        <w:spacing w:after="240" w:line="480" w:lineRule="auto"/>
        <w:jc w:val="both"/>
        <w:rPr>
          <w:rFonts w:hint="eastAsia"/>
          <w:color w:val="auto"/>
        </w:rPr>
      </w:pPr>
    </w:p>
    <w:bookmarkEnd w:id="1"/>
    <w:sectPr>
      <w:pgSz w:w="12240" w:h="15840"/>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800002BF" w:usb1="004F7CFA" w:usb2="00000000" w:usb3="00000000" w:csb0="00040001" w:csb1="00000000"/>
  </w:font>
  <w:font w:name="Times New Roman Bold">
    <w:panose1 w:val="02020503050405090304"/>
    <w:charset w:val="00"/>
    <w:family w:val="auto"/>
    <w:pitch w:val="default"/>
    <w:sig w:usb0="E0000AFF" w:usb1="00007843" w:usb2="00000001" w:usb3="00000000" w:csb0="400001BF" w:csb1="DFF70000"/>
  </w:font>
  <w:font w:name="Times New Roman Italic">
    <w:panose1 w:val="02020503050405090304"/>
    <w:charset w:val="00"/>
    <w:family w:val="auto"/>
    <w:pitch w:val="default"/>
    <w:sig w:usb0="E0000AFF" w:usb1="00007843" w:usb2="00000001" w:usb3="00000000" w:csb0="400001BF" w:csb1="DFF70000"/>
  </w:font>
  <w:font w:name="Times New Roman Regular">
    <w:panose1 w:val="02020503050405090304"/>
    <w:charset w:val="00"/>
    <w:family w:val="auto"/>
    <w:pitch w:val="default"/>
    <w:sig w:usb0="E0000AFF" w:usb1="00007843" w:usb2="00000001" w:usb3="00000000" w:csb0="400001BF" w:csb1="DFF70000"/>
  </w:font>
  <w:font w:name="Times New Roman Bold Italic">
    <w:panose1 w:val="02020503050405090304"/>
    <w:charset w:val="00"/>
    <w:family w:val="auto"/>
    <w:pitch w:val="default"/>
    <w:sig w:usb0="E0000AFF" w:usb1="00007843" w:usb2="00000001" w:usb3="00000000" w:csb0="400001BF" w:csb1="DFF70000"/>
  </w:font>
  <w:font w:name="宋体-简">
    <w:panose1 w:val="02010800040101010101"/>
    <w:charset w:val="86"/>
    <w:family w:val="auto"/>
    <w:pitch w:val="default"/>
    <w:sig w:usb0="00000001" w:usb1="080F0000" w:usb2="00000000" w:usb3="00000000" w:csb0="00040000" w:csb1="00000000"/>
  </w:font>
  <w:font w:name="等线 Light">
    <w:altName w:val="汉仪中等线KW"/>
    <w:panose1 w:val="00000000000000000000"/>
    <w:charset w:val="00"/>
    <w:family w:val="auto"/>
    <w:pitch w:val="default"/>
    <w:sig w:usb0="00000000" w:usb1="00000000" w:usb2="00000000" w:usb3="00000000" w:csb0="0000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8"/>
  <w:bordersDoNotSurroundHeader w:val="0"/>
  <w:bordersDoNotSurroundFooter w:val="0"/>
  <w:documentProtection w:enforcement="0"/>
  <w:defaultTabStop w:val="720"/>
  <w:displayHorizontalDrawingGridEvery w:val="1"/>
  <w:displayVerticalDrawingGridEvery w:val="1"/>
  <w:noPunctuationKerning w:val="1"/>
  <w:characterSpacingControl w:val="doNotCompress"/>
  <w:compat>
    <w:balanceSingleByteDoubleByteWidth/>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145"/>
    <w:rsid w:val="000006E6"/>
    <w:rsid w:val="00001CCE"/>
    <w:rsid w:val="00004CCA"/>
    <w:rsid w:val="00005352"/>
    <w:rsid w:val="00007778"/>
    <w:rsid w:val="00012F77"/>
    <w:rsid w:val="00014A9D"/>
    <w:rsid w:val="00014D21"/>
    <w:rsid w:val="0001565D"/>
    <w:rsid w:val="000166FE"/>
    <w:rsid w:val="000228C7"/>
    <w:rsid w:val="00023E7D"/>
    <w:rsid w:val="00025EF3"/>
    <w:rsid w:val="00026A60"/>
    <w:rsid w:val="00027724"/>
    <w:rsid w:val="00036C34"/>
    <w:rsid w:val="00036E8D"/>
    <w:rsid w:val="0004115E"/>
    <w:rsid w:val="000413F5"/>
    <w:rsid w:val="00050212"/>
    <w:rsid w:val="00050300"/>
    <w:rsid w:val="00051D84"/>
    <w:rsid w:val="00052858"/>
    <w:rsid w:val="0005428F"/>
    <w:rsid w:val="00063003"/>
    <w:rsid w:val="00063049"/>
    <w:rsid w:val="0006622E"/>
    <w:rsid w:val="00073AC6"/>
    <w:rsid w:val="00075499"/>
    <w:rsid w:val="000800A5"/>
    <w:rsid w:val="000832CB"/>
    <w:rsid w:val="00083C1D"/>
    <w:rsid w:val="00085F19"/>
    <w:rsid w:val="00085F96"/>
    <w:rsid w:val="0009009A"/>
    <w:rsid w:val="00091B97"/>
    <w:rsid w:val="00097CE2"/>
    <w:rsid w:val="000A22C9"/>
    <w:rsid w:val="000A513E"/>
    <w:rsid w:val="000A5FCF"/>
    <w:rsid w:val="000A79A5"/>
    <w:rsid w:val="000B0F7D"/>
    <w:rsid w:val="000B1072"/>
    <w:rsid w:val="000B4944"/>
    <w:rsid w:val="000B578A"/>
    <w:rsid w:val="000B6067"/>
    <w:rsid w:val="000C16A8"/>
    <w:rsid w:val="000C1A04"/>
    <w:rsid w:val="000C39DB"/>
    <w:rsid w:val="000C5137"/>
    <w:rsid w:val="000D2669"/>
    <w:rsid w:val="000D481F"/>
    <w:rsid w:val="000E30AF"/>
    <w:rsid w:val="000E3401"/>
    <w:rsid w:val="000E6B49"/>
    <w:rsid w:val="000F0D8B"/>
    <w:rsid w:val="000F6013"/>
    <w:rsid w:val="000F6898"/>
    <w:rsid w:val="001010F8"/>
    <w:rsid w:val="00101C8E"/>
    <w:rsid w:val="001034A7"/>
    <w:rsid w:val="0011277A"/>
    <w:rsid w:val="001134E0"/>
    <w:rsid w:val="00113578"/>
    <w:rsid w:val="001163D3"/>
    <w:rsid w:val="001239CC"/>
    <w:rsid w:val="001330CB"/>
    <w:rsid w:val="00135B9C"/>
    <w:rsid w:val="00136C6C"/>
    <w:rsid w:val="001416A5"/>
    <w:rsid w:val="00152CCA"/>
    <w:rsid w:val="00155785"/>
    <w:rsid w:val="00156702"/>
    <w:rsid w:val="0016153F"/>
    <w:rsid w:val="00162EA9"/>
    <w:rsid w:val="0016375A"/>
    <w:rsid w:val="0016608F"/>
    <w:rsid w:val="001751C3"/>
    <w:rsid w:val="00184FF1"/>
    <w:rsid w:val="00187DEC"/>
    <w:rsid w:val="00192DA7"/>
    <w:rsid w:val="00195A5D"/>
    <w:rsid w:val="001A0666"/>
    <w:rsid w:val="001A261E"/>
    <w:rsid w:val="001A4AA5"/>
    <w:rsid w:val="001A5CE3"/>
    <w:rsid w:val="001A6687"/>
    <w:rsid w:val="001B2405"/>
    <w:rsid w:val="001B2944"/>
    <w:rsid w:val="001B29E2"/>
    <w:rsid w:val="001B62EB"/>
    <w:rsid w:val="001C0390"/>
    <w:rsid w:val="001C21D6"/>
    <w:rsid w:val="001C38BF"/>
    <w:rsid w:val="001C3D6E"/>
    <w:rsid w:val="001C4C67"/>
    <w:rsid w:val="001D12D9"/>
    <w:rsid w:val="001D55B2"/>
    <w:rsid w:val="001D6555"/>
    <w:rsid w:val="001E0F26"/>
    <w:rsid w:val="001E4369"/>
    <w:rsid w:val="001E54C8"/>
    <w:rsid w:val="001E5D28"/>
    <w:rsid w:val="001E7627"/>
    <w:rsid w:val="001F04E5"/>
    <w:rsid w:val="001F0759"/>
    <w:rsid w:val="001F1DAF"/>
    <w:rsid w:val="001F2E6B"/>
    <w:rsid w:val="00201868"/>
    <w:rsid w:val="00210B9C"/>
    <w:rsid w:val="002146F2"/>
    <w:rsid w:val="00217649"/>
    <w:rsid w:val="002215DF"/>
    <w:rsid w:val="002224BA"/>
    <w:rsid w:val="002228FE"/>
    <w:rsid w:val="00222986"/>
    <w:rsid w:val="00226FC1"/>
    <w:rsid w:val="002301E1"/>
    <w:rsid w:val="00235037"/>
    <w:rsid w:val="0023657E"/>
    <w:rsid w:val="002405F3"/>
    <w:rsid w:val="002407C3"/>
    <w:rsid w:val="00245255"/>
    <w:rsid w:val="00246675"/>
    <w:rsid w:val="00251633"/>
    <w:rsid w:val="00252BF6"/>
    <w:rsid w:val="002571E4"/>
    <w:rsid w:val="00263930"/>
    <w:rsid w:val="002645BB"/>
    <w:rsid w:val="002645D8"/>
    <w:rsid w:val="0026647D"/>
    <w:rsid w:val="00267EA7"/>
    <w:rsid w:val="0027349D"/>
    <w:rsid w:val="00280323"/>
    <w:rsid w:val="0028054A"/>
    <w:rsid w:val="00281024"/>
    <w:rsid w:val="00282B9B"/>
    <w:rsid w:val="00283121"/>
    <w:rsid w:val="00285635"/>
    <w:rsid w:val="0028663B"/>
    <w:rsid w:val="002872CC"/>
    <w:rsid w:val="00292458"/>
    <w:rsid w:val="00292813"/>
    <w:rsid w:val="00293CAF"/>
    <w:rsid w:val="00297BE1"/>
    <w:rsid w:val="002A0641"/>
    <w:rsid w:val="002A0B62"/>
    <w:rsid w:val="002A1BAF"/>
    <w:rsid w:val="002A3B25"/>
    <w:rsid w:val="002A4BF1"/>
    <w:rsid w:val="002A63A2"/>
    <w:rsid w:val="002A7C43"/>
    <w:rsid w:val="002B160E"/>
    <w:rsid w:val="002B20F8"/>
    <w:rsid w:val="002B2824"/>
    <w:rsid w:val="002B39DE"/>
    <w:rsid w:val="002B4006"/>
    <w:rsid w:val="002B590E"/>
    <w:rsid w:val="002C41F5"/>
    <w:rsid w:val="002C7BCE"/>
    <w:rsid w:val="002D34B8"/>
    <w:rsid w:val="002D40C1"/>
    <w:rsid w:val="002D7AA5"/>
    <w:rsid w:val="002E043B"/>
    <w:rsid w:val="002E0E2F"/>
    <w:rsid w:val="002E3498"/>
    <w:rsid w:val="002E78BD"/>
    <w:rsid w:val="002F0188"/>
    <w:rsid w:val="002F144A"/>
    <w:rsid w:val="002F2137"/>
    <w:rsid w:val="002F7926"/>
    <w:rsid w:val="00303B80"/>
    <w:rsid w:val="003054C9"/>
    <w:rsid w:val="003059F3"/>
    <w:rsid w:val="00307D88"/>
    <w:rsid w:val="00310030"/>
    <w:rsid w:val="003115A8"/>
    <w:rsid w:val="00314FDE"/>
    <w:rsid w:val="00317FB0"/>
    <w:rsid w:val="00322DDC"/>
    <w:rsid w:val="003244F8"/>
    <w:rsid w:val="0032678C"/>
    <w:rsid w:val="003273CA"/>
    <w:rsid w:val="00330DF2"/>
    <w:rsid w:val="00332A1D"/>
    <w:rsid w:val="00340416"/>
    <w:rsid w:val="00353F6C"/>
    <w:rsid w:val="00361FC2"/>
    <w:rsid w:val="00362F53"/>
    <w:rsid w:val="0036403C"/>
    <w:rsid w:val="00365FA6"/>
    <w:rsid w:val="003715DE"/>
    <w:rsid w:val="00373E3B"/>
    <w:rsid w:val="0037630A"/>
    <w:rsid w:val="00380316"/>
    <w:rsid w:val="003821CE"/>
    <w:rsid w:val="00390C5B"/>
    <w:rsid w:val="00394A1E"/>
    <w:rsid w:val="003974FF"/>
    <w:rsid w:val="003A0FDD"/>
    <w:rsid w:val="003A4869"/>
    <w:rsid w:val="003A54F3"/>
    <w:rsid w:val="003A57CB"/>
    <w:rsid w:val="003C3C5B"/>
    <w:rsid w:val="003C5D75"/>
    <w:rsid w:val="003D028C"/>
    <w:rsid w:val="003D16BF"/>
    <w:rsid w:val="003D18FE"/>
    <w:rsid w:val="003D4FB2"/>
    <w:rsid w:val="003D5A9E"/>
    <w:rsid w:val="003E185E"/>
    <w:rsid w:val="003E5366"/>
    <w:rsid w:val="003E70BD"/>
    <w:rsid w:val="003F169F"/>
    <w:rsid w:val="003F294F"/>
    <w:rsid w:val="003F2FE3"/>
    <w:rsid w:val="003F695A"/>
    <w:rsid w:val="003F75BA"/>
    <w:rsid w:val="00403D6E"/>
    <w:rsid w:val="00411F42"/>
    <w:rsid w:val="00417085"/>
    <w:rsid w:val="004210CD"/>
    <w:rsid w:val="00423667"/>
    <w:rsid w:val="00426DF7"/>
    <w:rsid w:val="00427D33"/>
    <w:rsid w:val="00436037"/>
    <w:rsid w:val="00436356"/>
    <w:rsid w:val="00437ACC"/>
    <w:rsid w:val="004467AE"/>
    <w:rsid w:val="00451383"/>
    <w:rsid w:val="00460AC0"/>
    <w:rsid w:val="004612DC"/>
    <w:rsid w:val="00466F35"/>
    <w:rsid w:val="00470A6C"/>
    <w:rsid w:val="004710A3"/>
    <w:rsid w:val="00475674"/>
    <w:rsid w:val="004758A9"/>
    <w:rsid w:val="004775E5"/>
    <w:rsid w:val="00486DA5"/>
    <w:rsid w:val="004907F1"/>
    <w:rsid w:val="00494308"/>
    <w:rsid w:val="004A1E44"/>
    <w:rsid w:val="004A1E4B"/>
    <w:rsid w:val="004A291B"/>
    <w:rsid w:val="004B1186"/>
    <w:rsid w:val="004C3D71"/>
    <w:rsid w:val="004C44CF"/>
    <w:rsid w:val="004D17E3"/>
    <w:rsid w:val="004D2006"/>
    <w:rsid w:val="004D2C29"/>
    <w:rsid w:val="004E77AD"/>
    <w:rsid w:val="004F0A97"/>
    <w:rsid w:val="004F1639"/>
    <w:rsid w:val="004F633A"/>
    <w:rsid w:val="004F7C7E"/>
    <w:rsid w:val="005072B9"/>
    <w:rsid w:val="005103AD"/>
    <w:rsid w:val="00512A7E"/>
    <w:rsid w:val="00513094"/>
    <w:rsid w:val="00517028"/>
    <w:rsid w:val="00517B73"/>
    <w:rsid w:val="005203CB"/>
    <w:rsid w:val="00525C08"/>
    <w:rsid w:val="005336B3"/>
    <w:rsid w:val="005354E9"/>
    <w:rsid w:val="00541E30"/>
    <w:rsid w:val="0054352C"/>
    <w:rsid w:val="00551236"/>
    <w:rsid w:val="00551DA0"/>
    <w:rsid w:val="0055310A"/>
    <w:rsid w:val="00553320"/>
    <w:rsid w:val="00560B47"/>
    <w:rsid w:val="00565997"/>
    <w:rsid w:val="00566C2A"/>
    <w:rsid w:val="00572E68"/>
    <w:rsid w:val="0057467A"/>
    <w:rsid w:val="005761AD"/>
    <w:rsid w:val="00580A8E"/>
    <w:rsid w:val="00581227"/>
    <w:rsid w:val="005855DF"/>
    <w:rsid w:val="00590653"/>
    <w:rsid w:val="00591E0E"/>
    <w:rsid w:val="00596D83"/>
    <w:rsid w:val="005A5529"/>
    <w:rsid w:val="005A570C"/>
    <w:rsid w:val="005B033C"/>
    <w:rsid w:val="005B4263"/>
    <w:rsid w:val="005C1169"/>
    <w:rsid w:val="005D050D"/>
    <w:rsid w:val="005D1911"/>
    <w:rsid w:val="005D642B"/>
    <w:rsid w:val="005E140F"/>
    <w:rsid w:val="005E1C08"/>
    <w:rsid w:val="005E4C02"/>
    <w:rsid w:val="005F47A4"/>
    <w:rsid w:val="005F678D"/>
    <w:rsid w:val="005F7635"/>
    <w:rsid w:val="006019A3"/>
    <w:rsid w:val="0061287F"/>
    <w:rsid w:val="006201B1"/>
    <w:rsid w:val="006216C9"/>
    <w:rsid w:val="00621A78"/>
    <w:rsid w:val="006250CF"/>
    <w:rsid w:val="0062708D"/>
    <w:rsid w:val="006317D5"/>
    <w:rsid w:val="0063505E"/>
    <w:rsid w:val="006355E7"/>
    <w:rsid w:val="00645496"/>
    <w:rsid w:val="006501DB"/>
    <w:rsid w:val="0065069A"/>
    <w:rsid w:val="0067128B"/>
    <w:rsid w:val="006730BA"/>
    <w:rsid w:val="00677494"/>
    <w:rsid w:val="00680364"/>
    <w:rsid w:val="00681CFA"/>
    <w:rsid w:val="00682172"/>
    <w:rsid w:val="00685C5E"/>
    <w:rsid w:val="0069128C"/>
    <w:rsid w:val="00693E3D"/>
    <w:rsid w:val="006A0361"/>
    <w:rsid w:val="006A235E"/>
    <w:rsid w:val="006A254E"/>
    <w:rsid w:val="006A29A7"/>
    <w:rsid w:val="006A2CB7"/>
    <w:rsid w:val="006A6096"/>
    <w:rsid w:val="006B479D"/>
    <w:rsid w:val="006B4E12"/>
    <w:rsid w:val="006B6B5F"/>
    <w:rsid w:val="006B7E8F"/>
    <w:rsid w:val="006D2AA9"/>
    <w:rsid w:val="006D44A7"/>
    <w:rsid w:val="006E32E9"/>
    <w:rsid w:val="006E3F74"/>
    <w:rsid w:val="006E7C3D"/>
    <w:rsid w:val="006E7F30"/>
    <w:rsid w:val="006F07B0"/>
    <w:rsid w:val="006F0C6E"/>
    <w:rsid w:val="00700276"/>
    <w:rsid w:val="0071034C"/>
    <w:rsid w:val="007132B9"/>
    <w:rsid w:val="00713C90"/>
    <w:rsid w:val="00715389"/>
    <w:rsid w:val="0072048D"/>
    <w:rsid w:val="00720F05"/>
    <w:rsid w:val="007230FD"/>
    <w:rsid w:val="00727188"/>
    <w:rsid w:val="00730206"/>
    <w:rsid w:val="00732681"/>
    <w:rsid w:val="007336FF"/>
    <w:rsid w:val="00736013"/>
    <w:rsid w:val="007400C5"/>
    <w:rsid w:val="007401EB"/>
    <w:rsid w:val="00741CCD"/>
    <w:rsid w:val="00744AFF"/>
    <w:rsid w:val="00745E86"/>
    <w:rsid w:val="00747409"/>
    <w:rsid w:val="00751222"/>
    <w:rsid w:val="00752B02"/>
    <w:rsid w:val="00754AD6"/>
    <w:rsid w:val="00762924"/>
    <w:rsid w:val="00763D31"/>
    <w:rsid w:val="007641F8"/>
    <w:rsid w:val="00766B87"/>
    <w:rsid w:val="00767BFB"/>
    <w:rsid w:val="00782A5C"/>
    <w:rsid w:val="007832FE"/>
    <w:rsid w:val="007837AD"/>
    <w:rsid w:val="00784E2A"/>
    <w:rsid w:val="00791B27"/>
    <w:rsid w:val="00792C4F"/>
    <w:rsid w:val="00793C84"/>
    <w:rsid w:val="0079613D"/>
    <w:rsid w:val="00797977"/>
    <w:rsid w:val="007A4E2E"/>
    <w:rsid w:val="007A5EC6"/>
    <w:rsid w:val="007A7C96"/>
    <w:rsid w:val="007B187F"/>
    <w:rsid w:val="007B1B72"/>
    <w:rsid w:val="007B643F"/>
    <w:rsid w:val="007C1583"/>
    <w:rsid w:val="007C312F"/>
    <w:rsid w:val="007C427B"/>
    <w:rsid w:val="007C517D"/>
    <w:rsid w:val="007C5809"/>
    <w:rsid w:val="007C6590"/>
    <w:rsid w:val="007D048D"/>
    <w:rsid w:val="007D2932"/>
    <w:rsid w:val="007D4E7B"/>
    <w:rsid w:val="007D5ACC"/>
    <w:rsid w:val="007E062E"/>
    <w:rsid w:val="007E0BBD"/>
    <w:rsid w:val="007E1709"/>
    <w:rsid w:val="007E2E4D"/>
    <w:rsid w:val="007E466E"/>
    <w:rsid w:val="007E73DB"/>
    <w:rsid w:val="007F6CE2"/>
    <w:rsid w:val="007F705D"/>
    <w:rsid w:val="007F7558"/>
    <w:rsid w:val="008010DF"/>
    <w:rsid w:val="00806469"/>
    <w:rsid w:val="00812E45"/>
    <w:rsid w:val="00816D0C"/>
    <w:rsid w:val="00820494"/>
    <w:rsid w:val="0082500B"/>
    <w:rsid w:val="008305C4"/>
    <w:rsid w:val="00832AF5"/>
    <w:rsid w:val="00841AA3"/>
    <w:rsid w:val="00847BAC"/>
    <w:rsid w:val="00852813"/>
    <w:rsid w:val="00854E4C"/>
    <w:rsid w:val="008569F6"/>
    <w:rsid w:val="008572B0"/>
    <w:rsid w:val="008618B7"/>
    <w:rsid w:val="008646E2"/>
    <w:rsid w:val="0086584F"/>
    <w:rsid w:val="008661D6"/>
    <w:rsid w:val="00870686"/>
    <w:rsid w:val="00870B82"/>
    <w:rsid w:val="00872449"/>
    <w:rsid w:val="0087341A"/>
    <w:rsid w:val="008743ED"/>
    <w:rsid w:val="00876A26"/>
    <w:rsid w:val="0087712C"/>
    <w:rsid w:val="00880C0A"/>
    <w:rsid w:val="008814C7"/>
    <w:rsid w:val="008854E0"/>
    <w:rsid w:val="00890B0E"/>
    <w:rsid w:val="00891B96"/>
    <w:rsid w:val="008A0DDC"/>
    <w:rsid w:val="008A1B72"/>
    <w:rsid w:val="008A30D0"/>
    <w:rsid w:val="008A3E1B"/>
    <w:rsid w:val="008A4405"/>
    <w:rsid w:val="008B3673"/>
    <w:rsid w:val="008B3AED"/>
    <w:rsid w:val="008B41A7"/>
    <w:rsid w:val="008B64ED"/>
    <w:rsid w:val="008B65DB"/>
    <w:rsid w:val="008B7415"/>
    <w:rsid w:val="008C3C47"/>
    <w:rsid w:val="008C6C30"/>
    <w:rsid w:val="008E2CEE"/>
    <w:rsid w:val="008E361B"/>
    <w:rsid w:val="008E402C"/>
    <w:rsid w:val="008E710E"/>
    <w:rsid w:val="008E75C9"/>
    <w:rsid w:val="008E7A72"/>
    <w:rsid w:val="008F0758"/>
    <w:rsid w:val="008F30FF"/>
    <w:rsid w:val="008F5D44"/>
    <w:rsid w:val="00903063"/>
    <w:rsid w:val="0091020B"/>
    <w:rsid w:val="009126D7"/>
    <w:rsid w:val="00915617"/>
    <w:rsid w:val="00932B43"/>
    <w:rsid w:val="00933DD6"/>
    <w:rsid w:val="00935617"/>
    <w:rsid w:val="009419F2"/>
    <w:rsid w:val="009452A2"/>
    <w:rsid w:val="009519FE"/>
    <w:rsid w:val="00952178"/>
    <w:rsid w:val="00952BCD"/>
    <w:rsid w:val="00952D6B"/>
    <w:rsid w:val="0096039B"/>
    <w:rsid w:val="00963B92"/>
    <w:rsid w:val="009655FE"/>
    <w:rsid w:val="00970FAE"/>
    <w:rsid w:val="00991174"/>
    <w:rsid w:val="00991551"/>
    <w:rsid w:val="00994AB8"/>
    <w:rsid w:val="00997B52"/>
    <w:rsid w:val="009A15EB"/>
    <w:rsid w:val="009A16CF"/>
    <w:rsid w:val="009A23D3"/>
    <w:rsid w:val="009A412A"/>
    <w:rsid w:val="009A6E9B"/>
    <w:rsid w:val="009B114E"/>
    <w:rsid w:val="009B2256"/>
    <w:rsid w:val="009B4CC4"/>
    <w:rsid w:val="009B73C0"/>
    <w:rsid w:val="009C178C"/>
    <w:rsid w:val="009C240C"/>
    <w:rsid w:val="009C2E58"/>
    <w:rsid w:val="009C3107"/>
    <w:rsid w:val="009C3553"/>
    <w:rsid w:val="009C3C17"/>
    <w:rsid w:val="009C3D52"/>
    <w:rsid w:val="009C5C3B"/>
    <w:rsid w:val="009C6498"/>
    <w:rsid w:val="009D6B1D"/>
    <w:rsid w:val="009D7B5C"/>
    <w:rsid w:val="009E0F99"/>
    <w:rsid w:val="009E1396"/>
    <w:rsid w:val="009E6145"/>
    <w:rsid w:val="009F3733"/>
    <w:rsid w:val="009F724B"/>
    <w:rsid w:val="009F79AF"/>
    <w:rsid w:val="009F7C14"/>
    <w:rsid w:val="00A001B5"/>
    <w:rsid w:val="00A01057"/>
    <w:rsid w:val="00A01381"/>
    <w:rsid w:val="00A02881"/>
    <w:rsid w:val="00A07B4C"/>
    <w:rsid w:val="00A11ECD"/>
    <w:rsid w:val="00A12C2E"/>
    <w:rsid w:val="00A12EAD"/>
    <w:rsid w:val="00A24AFD"/>
    <w:rsid w:val="00A349C6"/>
    <w:rsid w:val="00A36221"/>
    <w:rsid w:val="00A37E13"/>
    <w:rsid w:val="00A43249"/>
    <w:rsid w:val="00A4643A"/>
    <w:rsid w:val="00A528CB"/>
    <w:rsid w:val="00A52BAA"/>
    <w:rsid w:val="00A61874"/>
    <w:rsid w:val="00A61DB9"/>
    <w:rsid w:val="00A64B2D"/>
    <w:rsid w:val="00A6781F"/>
    <w:rsid w:val="00A7083B"/>
    <w:rsid w:val="00A72C88"/>
    <w:rsid w:val="00A805BF"/>
    <w:rsid w:val="00A81884"/>
    <w:rsid w:val="00A828C9"/>
    <w:rsid w:val="00A82E3F"/>
    <w:rsid w:val="00A840D1"/>
    <w:rsid w:val="00A8435C"/>
    <w:rsid w:val="00A8773F"/>
    <w:rsid w:val="00A90405"/>
    <w:rsid w:val="00A906B1"/>
    <w:rsid w:val="00A93A0C"/>
    <w:rsid w:val="00A972AA"/>
    <w:rsid w:val="00AA1892"/>
    <w:rsid w:val="00AA473F"/>
    <w:rsid w:val="00AA5171"/>
    <w:rsid w:val="00AA66E1"/>
    <w:rsid w:val="00AA78D6"/>
    <w:rsid w:val="00AB28A5"/>
    <w:rsid w:val="00AB7A2F"/>
    <w:rsid w:val="00AC3E53"/>
    <w:rsid w:val="00AD0A0B"/>
    <w:rsid w:val="00AD16E3"/>
    <w:rsid w:val="00AD21FC"/>
    <w:rsid w:val="00AD5C90"/>
    <w:rsid w:val="00AF0346"/>
    <w:rsid w:val="00AF15A8"/>
    <w:rsid w:val="00AF3667"/>
    <w:rsid w:val="00AF7612"/>
    <w:rsid w:val="00AF77E5"/>
    <w:rsid w:val="00B056B3"/>
    <w:rsid w:val="00B07B9B"/>
    <w:rsid w:val="00B14969"/>
    <w:rsid w:val="00B17A7C"/>
    <w:rsid w:val="00B20A48"/>
    <w:rsid w:val="00B21C88"/>
    <w:rsid w:val="00B228D9"/>
    <w:rsid w:val="00B24189"/>
    <w:rsid w:val="00B261D6"/>
    <w:rsid w:val="00B270EA"/>
    <w:rsid w:val="00B43150"/>
    <w:rsid w:val="00B43724"/>
    <w:rsid w:val="00B52DD2"/>
    <w:rsid w:val="00B5632C"/>
    <w:rsid w:val="00B57FE3"/>
    <w:rsid w:val="00B6056B"/>
    <w:rsid w:val="00B63D19"/>
    <w:rsid w:val="00B84850"/>
    <w:rsid w:val="00B86C4C"/>
    <w:rsid w:val="00B93609"/>
    <w:rsid w:val="00B9632F"/>
    <w:rsid w:val="00BA03A1"/>
    <w:rsid w:val="00BA792E"/>
    <w:rsid w:val="00BB1224"/>
    <w:rsid w:val="00BB331D"/>
    <w:rsid w:val="00BB414A"/>
    <w:rsid w:val="00BB5698"/>
    <w:rsid w:val="00BB5C78"/>
    <w:rsid w:val="00BB6BBD"/>
    <w:rsid w:val="00BB73B7"/>
    <w:rsid w:val="00BC5F66"/>
    <w:rsid w:val="00BC6BE3"/>
    <w:rsid w:val="00BD1CEB"/>
    <w:rsid w:val="00BD2BD4"/>
    <w:rsid w:val="00BD4729"/>
    <w:rsid w:val="00BE1B1A"/>
    <w:rsid w:val="00BE2BBA"/>
    <w:rsid w:val="00BF2794"/>
    <w:rsid w:val="00BF5833"/>
    <w:rsid w:val="00C0097E"/>
    <w:rsid w:val="00C01DE9"/>
    <w:rsid w:val="00C02231"/>
    <w:rsid w:val="00C028E7"/>
    <w:rsid w:val="00C04B84"/>
    <w:rsid w:val="00C04BD7"/>
    <w:rsid w:val="00C10757"/>
    <w:rsid w:val="00C132F2"/>
    <w:rsid w:val="00C158F3"/>
    <w:rsid w:val="00C16192"/>
    <w:rsid w:val="00C16CFA"/>
    <w:rsid w:val="00C2711A"/>
    <w:rsid w:val="00C37A54"/>
    <w:rsid w:val="00C503D9"/>
    <w:rsid w:val="00C508CD"/>
    <w:rsid w:val="00C5291D"/>
    <w:rsid w:val="00C54311"/>
    <w:rsid w:val="00C56856"/>
    <w:rsid w:val="00C63DA4"/>
    <w:rsid w:val="00C6580D"/>
    <w:rsid w:val="00C66064"/>
    <w:rsid w:val="00C7182A"/>
    <w:rsid w:val="00C7473A"/>
    <w:rsid w:val="00C823C1"/>
    <w:rsid w:val="00C827DA"/>
    <w:rsid w:val="00C848F4"/>
    <w:rsid w:val="00C87284"/>
    <w:rsid w:val="00C90131"/>
    <w:rsid w:val="00C90269"/>
    <w:rsid w:val="00C9030F"/>
    <w:rsid w:val="00C93DFF"/>
    <w:rsid w:val="00C94896"/>
    <w:rsid w:val="00CA18FD"/>
    <w:rsid w:val="00CA1CF9"/>
    <w:rsid w:val="00CA289D"/>
    <w:rsid w:val="00CA664B"/>
    <w:rsid w:val="00CB0DD4"/>
    <w:rsid w:val="00CC2CCE"/>
    <w:rsid w:val="00CC5BA8"/>
    <w:rsid w:val="00CD0435"/>
    <w:rsid w:val="00CD2876"/>
    <w:rsid w:val="00CD3DD9"/>
    <w:rsid w:val="00CE2B80"/>
    <w:rsid w:val="00CE3919"/>
    <w:rsid w:val="00CE4387"/>
    <w:rsid w:val="00CE6E67"/>
    <w:rsid w:val="00CE77A1"/>
    <w:rsid w:val="00CF2110"/>
    <w:rsid w:val="00D01EC4"/>
    <w:rsid w:val="00D02F17"/>
    <w:rsid w:val="00D03763"/>
    <w:rsid w:val="00D12648"/>
    <w:rsid w:val="00D12E51"/>
    <w:rsid w:val="00D1780A"/>
    <w:rsid w:val="00D20BD5"/>
    <w:rsid w:val="00D2129B"/>
    <w:rsid w:val="00D2387E"/>
    <w:rsid w:val="00D27450"/>
    <w:rsid w:val="00D31791"/>
    <w:rsid w:val="00D34914"/>
    <w:rsid w:val="00D37CD4"/>
    <w:rsid w:val="00D42079"/>
    <w:rsid w:val="00D4578F"/>
    <w:rsid w:val="00D515C3"/>
    <w:rsid w:val="00D523A2"/>
    <w:rsid w:val="00D526C6"/>
    <w:rsid w:val="00D626F1"/>
    <w:rsid w:val="00D64E7B"/>
    <w:rsid w:val="00D7129E"/>
    <w:rsid w:val="00D72C7C"/>
    <w:rsid w:val="00D77CCE"/>
    <w:rsid w:val="00D80EA4"/>
    <w:rsid w:val="00D83062"/>
    <w:rsid w:val="00D840B4"/>
    <w:rsid w:val="00D84EDC"/>
    <w:rsid w:val="00D934DB"/>
    <w:rsid w:val="00D941AA"/>
    <w:rsid w:val="00D9481E"/>
    <w:rsid w:val="00D94CE1"/>
    <w:rsid w:val="00DA24EB"/>
    <w:rsid w:val="00DA4F02"/>
    <w:rsid w:val="00DA6E1C"/>
    <w:rsid w:val="00DB10E0"/>
    <w:rsid w:val="00DB1C8C"/>
    <w:rsid w:val="00DB36C5"/>
    <w:rsid w:val="00DC2226"/>
    <w:rsid w:val="00DC4FDD"/>
    <w:rsid w:val="00DC5DC6"/>
    <w:rsid w:val="00DC6488"/>
    <w:rsid w:val="00DC666B"/>
    <w:rsid w:val="00DD15BC"/>
    <w:rsid w:val="00DD6AEC"/>
    <w:rsid w:val="00DD7158"/>
    <w:rsid w:val="00DE05B3"/>
    <w:rsid w:val="00DE0E11"/>
    <w:rsid w:val="00DE1482"/>
    <w:rsid w:val="00DF146B"/>
    <w:rsid w:val="00DF488D"/>
    <w:rsid w:val="00DF628D"/>
    <w:rsid w:val="00DF7965"/>
    <w:rsid w:val="00E003FF"/>
    <w:rsid w:val="00E02858"/>
    <w:rsid w:val="00E0426F"/>
    <w:rsid w:val="00E1012A"/>
    <w:rsid w:val="00E11066"/>
    <w:rsid w:val="00E17888"/>
    <w:rsid w:val="00E17F8E"/>
    <w:rsid w:val="00E22495"/>
    <w:rsid w:val="00E26952"/>
    <w:rsid w:val="00E30B12"/>
    <w:rsid w:val="00E31CFD"/>
    <w:rsid w:val="00E3426C"/>
    <w:rsid w:val="00E4186F"/>
    <w:rsid w:val="00E41EE9"/>
    <w:rsid w:val="00E44BC9"/>
    <w:rsid w:val="00E50878"/>
    <w:rsid w:val="00E5512B"/>
    <w:rsid w:val="00E57BA7"/>
    <w:rsid w:val="00E7067C"/>
    <w:rsid w:val="00E72020"/>
    <w:rsid w:val="00E732C4"/>
    <w:rsid w:val="00E77B85"/>
    <w:rsid w:val="00E81262"/>
    <w:rsid w:val="00E8331E"/>
    <w:rsid w:val="00EA1708"/>
    <w:rsid w:val="00EA6AE9"/>
    <w:rsid w:val="00EA72ED"/>
    <w:rsid w:val="00EA7BD7"/>
    <w:rsid w:val="00EB6857"/>
    <w:rsid w:val="00EB72F1"/>
    <w:rsid w:val="00EC6011"/>
    <w:rsid w:val="00EC6563"/>
    <w:rsid w:val="00ED18B4"/>
    <w:rsid w:val="00ED3727"/>
    <w:rsid w:val="00ED3E57"/>
    <w:rsid w:val="00ED5334"/>
    <w:rsid w:val="00ED605D"/>
    <w:rsid w:val="00EE6532"/>
    <w:rsid w:val="00EF047C"/>
    <w:rsid w:val="00EF42D2"/>
    <w:rsid w:val="00EF66E2"/>
    <w:rsid w:val="00F04194"/>
    <w:rsid w:val="00F04438"/>
    <w:rsid w:val="00F07FFC"/>
    <w:rsid w:val="00F10AC1"/>
    <w:rsid w:val="00F117DA"/>
    <w:rsid w:val="00F169E6"/>
    <w:rsid w:val="00F16B3F"/>
    <w:rsid w:val="00F22B08"/>
    <w:rsid w:val="00F250E1"/>
    <w:rsid w:val="00F31C9A"/>
    <w:rsid w:val="00F3243C"/>
    <w:rsid w:val="00F36D35"/>
    <w:rsid w:val="00F501F4"/>
    <w:rsid w:val="00F50858"/>
    <w:rsid w:val="00F51953"/>
    <w:rsid w:val="00F51BA4"/>
    <w:rsid w:val="00F55D53"/>
    <w:rsid w:val="00F73157"/>
    <w:rsid w:val="00F74CBE"/>
    <w:rsid w:val="00F83916"/>
    <w:rsid w:val="00F90756"/>
    <w:rsid w:val="00F92365"/>
    <w:rsid w:val="00F92E1D"/>
    <w:rsid w:val="00F9414F"/>
    <w:rsid w:val="00F96D81"/>
    <w:rsid w:val="00F96E13"/>
    <w:rsid w:val="00FA2419"/>
    <w:rsid w:val="00FA47AF"/>
    <w:rsid w:val="00FB238B"/>
    <w:rsid w:val="00FB5345"/>
    <w:rsid w:val="00FB6549"/>
    <w:rsid w:val="00FC142E"/>
    <w:rsid w:val="00FD1122"/>
    <w:rsid w:val="00FD2984"/>
    <w:rsid w:val="00FD2B33"/>
    <w:rsid w:val="00FD2FB7"/>
    <w:rsid w:val="00FD427D"/>
    <w:rsid w:val="00FD679D"/>
    <w:rsid w:val="00FF5900"/>
    <w:rsid w:val="00FF6932"/>
    <w:rsid w:val="05324F20"/>
    <w:rsid w:val="1FBC1BAD"/>
    <w:rsid w:val="27FD8DB4"/>
    <w:rsid w:val="5FBFC2F4"/>
    <w:rsid w:val="7DBD28BC"/>
    <w:rsid w:val="7E9B5277"/>
    <w:rsid w:val="7EDA090A"/>
    <w:rsid w:val="8AEEC7DD"/>
    <w:rsid w:val="B75BF536"/>
    <w:rsid w:val="BB7D186D"/>
    <w:rsid w:val="CBBBD94B"/>
    <w:rsid w:val="FFF1C6C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zh-CN" w:bidi="ar-SA"/>
    </w:rPr>
  </w:style>
  <w:style w:type="paragraph" w:styleId="2">
    <w:name w:val="heading 1"/>
    <w:basedOn w:val="1"/>
    <w:next w:val="1"/>
    <w:link w:val="11"/>
    <w:qFormat/>
    <w:uiPriority w:val="9"/>
    <w:pPr>
      <w:keepNext/>
      <w:keepLines/>
      <w:spacing w:before="340" w:after="330" w:line="578" w:lineRule="auto"/>
      <w:outlineLvl w:val="0"/>
    </w:pPr>
    <w:rPr>
      <w:b/>
      <w:bCs/>
      <w:kern w:val="44"/>
      <w:sz w:val="44"/>
      <w:szCs w:val="44"/>
    </w:rPr>
  </w:style>
  <w:style w:type="paragraph" w:styleId="3">
    <w:name w:val="heading 2"/>
    <w:basedOn w:val="1"/>
    <w:next w:val="1"/>
    <w:semiHidden/>
    <w:unhideWhenUsed/>
    <w:qFormat/>
    <w:uiPriority w:val="9"/>
    <w:pPr>
      <w:spacing w:beforeAutospacing="1" w:afterAutospacing="1"/>
      <w:outlineLvl w:val="1"/>
    </w:pPr>
    <w:rPr>
      <w:rFonts w:hint="eastAsia" w:ascii="宋体" w:hAnsi="宋体" w:eastAsia="宋体"/>
      <w:b/>
      <w:bCs/>
      <w:sz w:val="36"/>
      <w:szCs w:val="36"/>
      <w:lang w:val="en-US"/>
    </w:rPr>
  </w:style>
  <w:style w:type="paragraph" w:styleId="4">
    <w:name w:val="heading 3"/>
    <w:basedOn w:val="1"/>
    <w:next w:val="1"/>
    <w:link w:val="13"/>
    <w:semiHidden/>
    <w:unhideWhenUsed/>
    <w:qFormat/>
    <w:uiPriority w:val="9"/>
    <w:pPr>
      <w:keepNext/>
      <w:keepLines/>
      <w:spacing w:before="40"/>
      <w:outlineLvl w:val="2"/>
    </w:pPr>
    <w:rPr>
      <w:rFonts w:asciiTheme="majorHAnsi" w:hAnsiTheme="majorHAnsi" w:eastAsiaTheme="majorEastAsia" w:cstheme="majorBidi"/>
      <w:color w:val="203864" w:themeColor="accent1" w:themeShade="80"/>
    </w:rPr>
  </w:style>
  <w:style w:type="character" w:default="1" w:styleId="8">
    <w:name w:val="Default Paragraph Font"/>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5">
    <w:name w:val="annotation text"/>
    <w:basedOn w:val="1"/>
    <w:semiHidden/>
    <w:unhideWhenUsed/>
    <w:uiPriority w:val="99"/>
  </w:style>
  <w:style w:type="paragraph" w:styleId="6">
    <w:name w:val="Normal (Web)"/>
    <w:basedOn w:val="1"/>
    <w:semiHidden/>
    <w:unhideWhenUsed/>
    <w:uiPriority w:val="99"/>
  </w:style>
  <w:style w:type="character" w:styleId="9">
    <w:name w:val="Emphasis"/>
    <w:basedOn w:val="8"/>
    <w:qFormat/>
    <w:uiPriority w:val="20"/>
    <w:rPr>
      <w:i/>
    </w:rPr>
  </w:style>
  <w:style w:type="character" w:styleId="10">
    <w:name w:val="HTML Code"/>
    <w:basedOn w:val="8"/>
    <w:semiHidden/>
    <w:unhideWhenUsed/>
    <w:uiPriority w:val="99"/>
    <w:rPr>
      <w:rFonts w:ascii="Courier New" w:hAnsi="Courier New"/>
      <w:sz w:val="20"/>
    </w:rPr>
  </w:style>
  <w:style w:type="character" w:customStyle="1" w:styleId="11">
    <w:name w:val="标题 1 字符"/>
    <w:basedOn w:val="8"/>
    <w:link w:val="2"/>
    <w:qFormat/>
    <w:uiPriority w:val="9"/>
    <w:rPr>
      <w:b/>
      <w:bCs/>
      <w:kern w:val="44"/>
      <w:sz w:val="44"/>
      <w:szCs w:val="44"/>
    </w:rPr>
  </w:style>
  <w:style w:type="paragraph" w:styleId="12">
    <w:name w:val="List Paragraph"/>
    <w:basedOn w:val="1"/>
    <w:qFormat/>
    <w:uiPriority w:val="34"/>
    <w:pPr>
      <w:ind w:firstLine="420" w:firstLineChars="200"/>
    </w:pPr>
  </w:style>
  <w:style w:type="character" w:customStyle="1" w:styleId="13">
    <w:name w:val="标题 3 字符"/>
    <w:basedOn w:val="8"/>
    <w:link w:val="4"/>
    <w:semiHidden/>
    <w:qFormat/>
    <w:uiPriority w:val="9"/>
    <w:rPr>
      <w:rFonts w:asciiTheme="majorHAnsi" w:hAnsiTheme="majorHAnsi" w:eastAsiaTheme="majorEastAsia" w:cstheme="majorBidi"/>
      <w:color w:val="203864" w:themeColor="accent1" w:themeShade="80"/>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SimHei"/>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SimSun"/>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874</Words>
  <Characters>5441</Characters>
  <Lines>97</Lines>
  <Paragraphs>40</Paragraphs>
  <TotalTime>2</TotalTime>
  <ScaleCrop>false</ScaleCrop>
  <LinksUpToDate>false</LinksUpToDate>
  <CharactersWithSpaces>6275</CharactersWithSpaces>
  <Application>WPS Office_12.1.26026.26026_F1E327BC-269C-435d-A152-05C5408002CA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2025-11-14T07:22:00Z</dcterms:created>
  <dc:creator>HUI XU</dc:creator>
  <cp:lastModifiedBy>Island K</cp:lastModifiedBy>
  <dcterms:modified xsi:type="dcterms:W3CDTF">2026-07-12T14:12:35Z</dcterms:modified>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2052-12.1.26026.26026</vt:lpwstr>
  </property>
  <property fmtid="{D5CDD505-2E9C-101B-9397-08002B2CF9AE}" pid="3" name="ICV">
    <vt:lpwstr>FAF259B3DCDCFE3F4D982169DAFA5C6B_42</vt:lpwstr>
  </property>
  <property fmtid="{D5CDD505-2E9C-101B-9397-08002B2CF9AE}" pid="4" name="KSOTemplateDocerSaveRecord">
    <vt:lpwstr>eyJoZGlkIjoiMGRjNzRiOWYxOGU1ODAzNjZhNTk5Y2E5NzBmZDczMTMiLCJ1c2VySWQiOiIzMjc2NTEyNDIifQ==</vt:lpwstr>
  </property>
</Properties>
</file>