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200" w:type="dxa"/>
        <w:tblLook w:val="04A0" w:firstRow="1" w:lastRow="0" w:firstColumn="1" w:lastColumn="0" w:noHBand="0" w:noVBand="1"/>
      </w:tblPr>
      <w:tblGrid>
        <w:gridCol w:w="1416"/>
        <w:gridCol w:w="683"/>
        <w:gridCol w:w="1588"/>
        <w:gridCol w:w="3626"/>
        <w:gridCol w:w="5823"/>
        <w:gridCol w:w="2064"/>
      </w:tblGrid>
      <w:tr w:rsidR="000B610D" w14:paraId="30E0614C" w14:textId="77777777" w:rsidTr="006E4EAE">
        <w:trPr>
          <w:trHeight w:val="430"/>
        </w:trPr>
        <w:tc>
          <w:tcPr>
            <w:tcW w:w="1520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C7441F" w14:textId="168D991C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:lang w:val="en-AU"/>
              </w:rPr>
              <w:t xml:space="preserve">Table </w:t>
            </w: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2 </w:t>
            </w: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:lang w:val="en-AU"/>
              </w:rPr>
              <w:t>List of current clinical trials</w:t>
            </w: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 on </w:t>
            </w:r>
            <w:r>
              <w:br w:type="page"/>
            </w:r>
            <w:r>
              <w:rPr>
                <w:rFonts w:ascii="Times New Roman" w:eastAsia="等线" w:hAnsi="Times New Roman" w:cs="Times New Roman"/>
                <w:b/>
                <w:kern w:val="0"/>
                <w:sz w:val="20"/>
                <w:szCs w:val="20"/>
                <w:lang w:val="en-AU"/>
              </w:rPr>
              <w:t>Combination therapy</w:t>
            </w: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:lang w:val="en-AU"/>
              </w:rPr>
              <w:t xml:space="preserve"> utilizing checkpoint inhibitors in head and neck squamous cell carcinoma</w:t>
            </w:r>
          </w:p>
          <w:p w14:paraId="308D1EB9" w14:textId="77777777" w:rsidR="000B610D" w:rsidRDefault="000B610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:lang w:val="en-AU"/>
              </w:rPr>
            </w:pPr>
          </w:p>
        </w:tc>
      </w:tr>
      <w:tr w:rsidR="0053597C" w14:paraId="7B205138" w14:textId="77777777" w:rsidTr="006E4EAE">
        <w:trPr>
          <w:trHeight w:val="500"/>
        </w:trPr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ADC71D" w14:textId="77777777" w:rsidR="0053597C" w:rsidRDefault="0053597C" w:rsidP="008E242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Clinical trial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BCA4A4" w14:textId="77777777" w:rsidR="0053597C" w:rsidRDefault="0053597C" w:rsidP="008E242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Phase</w:t>
            </w:r>
          </w:p>
        </w:tc>
        <w:tc>
          <w:tcPr>
            <w:tcW w:w="15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404D9DB" w14:textId="77777777" w:rsidR="0053597C" w:rsidRDefault="0053597C" w:rsidP="008E242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Immune target</w:t>
            </w:r>
          </w:p>
        </w:tc>
        <w:tc>
          <w:tcPr>
            <w:tcW w:w="36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267BD3" w14:textId="77777777" w:rsidR="0053597C" w:rsidRDefault="0053597C" w:rsidP="008E242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drug</w:t>
            </w:r>
          </w:p>
        </w:tc>
        <w:tc>
          <w:tcPr>
            <w:tcW w:w="58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69429E" w14:textId="77777777" w:rsidR="0053597C" w:rsidRDefault="0053597C" w:rsidP="008E242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Trial Title</w:t>
            </w:r>
          </w:p>
        </w:tc>
        <w:tc>
          <w:tcPr>
            <w:tcW w:w="20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2D6FA1" w14:textId="77777777" w:rsidR="0053597C" w:rsidRDefault="0053597C" w:rsidP="008E242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Results/Status</w:t>
            </w:r>
          </w:p>
        </w:tc>
      </w:tr>
      <w:tr w:rsidR="000B610D" w14:paraId="67DCBA23" w14:textId="77777777" w:rsidTr="006E4EAE">
        <w:trPr>
          <w:trHeight w:val="59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4C25C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NCT02997332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12C9F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9AA80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PD-L1</w:t>
            </w: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EC910" w14:textId="53FDEE39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Durvalumab</w:t>
            </w:r>
            <w:proofErr w:type="spellEnd"/>
            <w:r w:rsid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</w:t>
            </w:r>
            <w:r w:rsidR="002A5165" w:rsidRP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Docetaxel</w:t>
            </w:r>
            <w:r w:rsid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</w:t>
            </w:r>
            <w:r w:rsidR="002A5165" w:rsidRP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Cisplatin</w:t>
            </w:r>
            <w:r w:rsid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</w:t>
            </w:r>
            <w:r w:rsidR="002A5165" w:rsidRP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5 Fluorouracil</w:t>
            </w:r>
          </w:p>
        </w:tc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ED3DA" w14:textId="46B895CB" w:rsidR="000B610D" w:rsidRDefault="002A516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proofErr w:type="spellStart"/>
            <w:r w:rsidRP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Durvalumab</w:t>
            </w:r>
            <w:proofErr w:type="spellEnd"/>
            <w:r w:rsidRP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 in Combination 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w</w:t>
            </w:r>
            <w:r w:rsidRP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ith Docetaxel, Cisplatin and 5-FU for Locally Advanced Head and Neck Squamous Cell Carcinoma 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23375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Ongoing study</w:t>
            </w:r>
          </w:p>
        </w:tc>
      </w:tr>
      <w:tr w:rsidR="000B610D" w14:paraId="51CCD5F6" w14:textId="77777777" w:rsidTr="006E4EAE">
        <w:trPr>
          <w:trHeight w:val="59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53594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NCT01935921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53C2B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20973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CTLA-4</w:t>
            </w: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153B9" w14:textId="5F2894D3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Ipilimumab</w:t>
            </w:r>
            <w:r w:rsid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</w:t>
            </w:r>
            <w:r w:rsidR="002A5165" w:rsidRP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Cetuximab</w:t>
            </w:r>
            <w:r w:rsid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</w:t>
            </w:r>
            <w:r w:rsidR="002A5165" w:rsidRP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IMRT</w:t>
            </w:r>
          </w:p>
        </w:tc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C9E07" w14:textId="5F54CB29" w:rsidR="000B610D" w:rsidRDefault="002A516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 w:rsidRP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Ipilimumab, Cetuximab, and Intensity-Modulated Radiation Therapy in Treating Patients 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w</w:t>
            </w:r>
            <w:r w:rsidRP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ith Previously Untreated Stage III-IVB Head and Neck Cancer</w:t>
            </w:r>
            <w:r w:rsidRP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775BE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Ongoing study</w:t>
            </w:r>
          </w:p>
        </w:tc>
      </w:tr>
      <w:tr w:rsidR="000B610D" w14:paraId="2BC6E29C" w14:textId="77777777" w:rsidTr="006E4EAE">
        <w:trPr>
          <w:trHeight w:val="59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493C7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NCT02764593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62BDC" w14:textId="5D208901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D6658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PD-1</w:t>
            </w: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C2C7D" w14:textId="7690CE0E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Nivolumab</w:t>
            </w:r>
            <w:r w:rsid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</w:t>
            </w:r>
            <w:r w:rsidR="00AC58D2" w:rsidRP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Cisplatin</w:t>
            </w:r>
            <w:r w:rsid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</w:t>
            </w:r>
            <w:r w:rsidR="00AC58D2" w:rsidRP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Cetuximab</w:t>
            </w:r>
            <w:r w:rsid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</w:t>
            </w:r>
            <w:r w:rsidR="00AC58D2" w:rsidRP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IMRT</w:t>
            </w:r>
          </w:p>
        </w:tc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38E2D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Safety testing of adding Nivolumab to chemotherapy in patients with intermediate and 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high-risk local-regionally advanced head and neck cancer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23B3A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Ongoing study</w:t>
            </w:r>
          </w:p>
        </w:tc>
      </w:tr>
      <w:tr w:rsidR="000B610D" w14:paraId="795738E7" w14:textId="77777777" w:rsidTr="006E4EAE">
        <w:trPr>
          <w:trHeight w:val="59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D69ED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NCT03019003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57D94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Ib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/II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F7C12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PD-L1, CTLA-4</w:t>
            </w: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78832" w14:textId="32F556E5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Durvalumab</w:t>
            </w:r>
            <w:proofErr w:type="spellEnd"/>
            <w:r w:rsid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</w:t>
            </w:r>
            <w:proofErr w:type="spellStart"/>
            <w:r w:rsid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T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remelimumab</w:t>
            </w:r>
            <w:proofErr w:type="spellEnd"/>
            <w:r w:rsid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</w:t>
            </w:r>
            <w:proofErr w:type="spellStart"/>
            <w:r w:rsid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A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zacitidine</w:t>
            </w:r>
            <w:proofErr w:type="spellEnd"/>
          </w:p>
        </w:tc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E51C5" w14:textId="0027E0C9" w:rsidR="000B610D" w:rsidRDefault="00AC58D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proofErr w:type="spellStart"/>
            <w:r w:rsidRP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Azacitidine</w:t>
            </w:r>
            <w:proofErr w:type="spellEnd"/>
            <w:r w:rsidRP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Durvalumab</w:t>
            </w:r>
            <w:proofErr w:type="spellEnd"/>
            <w:r w:rsidRP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and </w:t>
            </w:r>
            <w:proofErr w:type="spellStart"/>
            <w:r w:rsidRP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Tremelimumab</w:t>
            </w:r>
            <w:proofErr w:type="spellEnd"/>
            <w:r w:rsidRP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 in Recurrent and/or Metastatic Head and Neck Cancer Patients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3E50F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Ongoing study</w:t>
            </w:r>
          </w:p>
        </w:tc>
      </w:tr>
      <w:tr w:rsidR="000B610D" w14:paraId="3B19FCED" w14:textId="77777777" w:rsidTr="006E4EAE">
        <w:trPr>
          <w:trHeight w:val="66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E374C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bookmarkStart w:id="0" w:name="OLE_LINK1"/>
            <w:bookmarkStart w:id="1" w:name="OLE_LINK2"/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NCT02521870</w:t>
            </w:r>
            <w:bookmarkEnd w:id="0"/>
            <w:bookmarkEnd w:id="1"/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C3A8C" w14:textId="75CF4ED2" w:rsidR="000B610D" w:rsidRDefault="00AC58D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proofErr w:type="spellStart"/>
            <w:r w:rsidRP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Ib</w:t>
            </w:r>
            <w:proofErr w:type="spellEnd"/>
            <w:r w:rsidRP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/II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EE1D4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PD-1, TLR9</w:t>
            </w: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A5B1A" w14:textId="4536AD42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Pembrolizumab</w:t>
            </w:r>
            <w:r w:rsid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,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 SD-101</w:t>
            </w:r>
          </w:p>
        </w:tc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5F385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A Trial of 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Intratumoral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 Injections of SD-101 in combination with Pembrolizumab in patients with metastatic melanoma or recurrent or metastatic head and neck squamous cell carcinoma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C37EB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Ongoing study</w:t>
            </w:r>
          </w:p>
        </w:tc>
      </w:tr>
      <w:tr w:rsidR="000B610D" w14:paraId="7A62FDFE" w14:textId="77777777" w:rsidTr="006E4EAE">
        <w:trPr>
          <w:trHeight w:val="59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8DFAB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NCT02707588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99F94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II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BBF5D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PD-1</w:t>
            </w: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94161" w14:textId="1CD34EE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Pembrolizumab</w:t>
            </w:r>
            <w:r w:rsid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RT</w:t>
            </w:r>
            <w:r w:rsid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/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cetuximab</w:t>
            </w:r>
            <w:r w:rsid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RT</w:t>
            </w:r>
          </w:p>
        </w:tc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AE30B" w14:textId="2E3DC40D" w:rsidR="000B610D" w:rsidRDefault="00AC58D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 w:rsidRP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Tolerance and Efficacy of Pembrolizumab or Cetuximab Combined </w:t>
            </w:r>
            <w:r w:rsid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w</w:t>
            </w:r>
            <w:r w:rsidRP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ith RT in Patients </w:t>
            </w:r>
            <w:r w:rsid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w</w:t>
            </w:r>
            <w:r w:rsidRP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ith Locally Advanced HNSCC (</w:t>
            </w:r>
            <w:proofErr w:type="spellStart"/>
            <w:r w:rsidRP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PembroRad</w:t>
            </w:r>
            <w:proofErr w:type="spellEnd"/>
            <w:r w:rsidRP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4E647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Ongoing study</w:t>
            </w:r>
          </w:p>
        </w:tc>
      </w:tr>
      <w:tr w:rsidR="000B610D" w14:paraId="09747E89" w14:textId="77777777" w:rsidTr="006E4EAE">
        <w:trPr>
          <w:trHeight w:val="59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B88CB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NCT02289209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BB1C8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II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01DEC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PD-1</w:t>
            </w: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8BF86" w14:textId="08E0D618" w:rsidR="000B610D" w:rsidRDefault="00AC58D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 w:rsidRP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MK-3475 (Keytruda, pembrolizumab)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,</w:t>
            </w:r>
            <w:r>
              <w:t xml:space="preserve"> </w:t>
            </w:r>
            <w:r w:rsidRP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Reirradiation</w:t>
            </w:r>
          </w:p>
        </w:tc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BC47D" w14:textId="2A79F399" w:rsidR="000B610D" w:rsidRDefault="00AC58D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 w:rsidRPr="00AC58D2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Reirradiation With Pembrolizumab in Locoregional Inoperable Recurrence or Second Primary Squamous Cell CA of the Head and Neck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DD22B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Ongoing study</w:t>
            </w:r>
          </w:p>
        </w:tc>
      </w:tr>
      <w:tr w:rsidR="000B610D" w14:paraId="02E3279F" w14:textId="77777777" w:rsidTr="006E4EAE">
        <w:trPr>
          <w:trHeight w:val="59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7091D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NCT02454179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571FA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II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278DB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PD-1</w:t>
            </w: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35F1F" w14:textId="609D965A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Pembrolizumab</w:t>
            </w:r>
            <w:r w:rsid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,</w:t>
            </w:r>
            <w:r w:rsidR="006A4BFD">
              <w:t xml:space="preserve"> </w:t>
            </w:r>
            <w:proofErr w:type="spellStart"/>
            <w:r w:rsidR="006A4BFD" w:rsidRP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Acalabrutinib</w:t>
            </w:r>
            <w:proofErr w:type="spellEnd"/>
          </w:p>
        </w:tc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501E0" w14:textId="495833B4" w:rsidR="000B610D" w:rsidRDefault="006A4B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 w:rsidRP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Study of the Combination of </w:t>
            </w:r>
            <w:proofErr w:type="spellStart"/>
            <w:r w:rsidRP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Acalabrutinib</w:t>
            </w:r>
            <w:proofErr w:type="spellEnd"/>
            <w:r w:rsidRP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 (ACP-196) and Pembrolizumab in Advanced Head and Neck Squamous Cell Carcinoma (KEYNOTE147)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5D181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Ongoing study</w:t>
            </w:r>
          </w:p>
        </w:tc>
      </w:tr>
      <w:tr w:rsidR="000B610D" w14:paraId="6971955D" w14:textId="77777777" w:rsidTr="006E4EAE">
        <w:trPr>
          <w:trHeight w:val="48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28B37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NCT03051906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389A1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II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3DEB8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PD-L1</w:t>
            </w: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43527" w14:textId="31D543DB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Durvalumab</w:t>
            </w:r>
            <w:proofErr w:type="spellEnd"/>
            <w:r w:rsid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cetuximab</w:t>
            </w:r>
            <w:r w:rsid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RT</w:t>
            </w:r>
          </w:p>
        </w:tc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B4682" w14:textId="1FFA2750" w:rsidR="000B610D" w:rsidRDefault="006A4B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proofErr w:type="spellStart"/>
            <w:r w:rsidRP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Durvalumab</w:t>
            </w:r>
            <w:proofErr w:type="spellEnd"/>
            <w:r w:rsidRP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, Cetuximab and Radiotherapy in Head Neck Cancer</w:t>
            </w:r>
            <w:r w:rsidRP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CD55A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Ongoing study</w:t>
            </w:r>
          </w:p>
        </w:tc>
      </w:tr>
      <w:tr w:rsidR="000B610D" w14:paraId="319275C7" w14:textId="77777777" w:rsidTr="006E4EAE">
        <w:trPr>
          <w:trHeight w:val="59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C0F6A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lastRenderedPageBreak/>
              <w:t>NCT02319044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82E4C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II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4FCD1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PD-L1, CTLA-4</w:t>
            </w: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3A449" w14:textId="49E3A762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Durvalumab</w:t>
            </w:r>
            <w:proofErr w:type="spellEnd"/>
            <w:r w:rsid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tremelimumab</w:t>
            </w:r>
            <w:proofErr w:type="spellEnd"/>
          </w:p>
        </w:tc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3FE32" w14:textId="3B0FA382" w:rsidR="000B610D" w:rsidRDefault="002A516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 w:rsidRP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Phase II Study of MEDI4736, </w:t>
            </w:r>
            <w:proofErr w:type="spellStart"/>
            <w:r w:rsidRP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Tremelimumab</w:t>
            </w:r>
            <w:proofErr w:type="spellEnd"/>
            <w:r w:rsidRP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and MEDI4736 in combination with </w:t>
            </w:r>
            <w:proofErr w:type="spellStart"/>
            <w:r w:rsidRP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Tremelimumab</w:t>
            </w:r>
            <w:proofErr w:type="spellEnd"/>
            <w:r w:rsidRP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 squamous cell carcinoma of the head and neck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B7DB6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Ongoing study</w:t>
            </w:r>
          </w:p>
        </w:tc>
      </w:tr>
      <w:tr w:rsidR="000B610D" w14:paraId="70AD7C78" w14:textId="77777777" w:rsidTr="006E4EAE">
        <w:trPr>
          <w:trHeight w:val="59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37170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NCT02718820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39826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I/II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0C811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AU"/>
              </w:rPr>
              <w:t>PD-1</w:t>
            </w: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7FAFB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Pembrolizumab</w:t>
            </w: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AU"/>
              </w:rPr>
              <w:t>,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 Docetaxel</w:t>
            </w:r>
          </w:p>
        </w:tc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D0E2E" w14:textId="3793131F" w:rsidR="000B610D" w:rsidRDefault="006A4B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 w:rsidRP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Pembrolizumab Plus Docetaxel for the Treatment of Recurrent or Metastatic Head and Neck Cancer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5AC3D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Ongoing study</w:t>
            </w:r>
          </w:p>
        </w:tc>
      </w:tr>
      <w:tr w:rsidR="000B610D" w14:paraId="5BA7EF49" w14:textId="77777777" w:rsidTr="006E4EAE">
        <w:trPr>
          <w:trHeight w:val="59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CFF67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NCT02499328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EFD58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I/II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9D42A" w14:textId="6FCEA414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AU"/>
              </w:rPr>
              <w:t>PD-</w:t>
            </w:r>
            <w:r w:rsidR="006A4BF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AU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AU"/>
              </w:rPr>
              <w:t>1</w:t>
            </w: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D15C3" w14:textId="4926C7DF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Durvalumab</w:t>
            </w:r>
            <w:proofErr w:type="spellEnd"/>
            <w:r w:rsidR="006A4BF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AU"/>
              </w:rPr>
              <w:t>,</w:t>
            </w:r>
            <w:r w:rsid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AZD5069 </w:t>
            </w:r>
          </w:p>
        </w:tc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CBCC7" w14:textId="60A6AEE0" w:rsidR="000B610D" w:rsidRPr="006A4BFD" w:rsidRDefault="002A516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 w:rsidRP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Study to Assess MEDI4736 With Either AZD9150 or AZD5069 in advanced solid tumours &amp; relapsed metastatic squamous cell carcinoma of head &amp; neck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2DDE8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Ongoing study</w:t>
            </w:r>
          </w:p>
        </w:tc>
      </w:tr>
      <w:tr w:rsidR="000B610D" w14:paraId="117FA6A3" w14:textId="77777777" w:rsidTr="006E4EAE">
        <w:trPr>
          <w:trHeight w:val="71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3B3D6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NCT02369874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6FD4C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III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01D4F" w14:textId="5341DCEF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PD-L1</w:t>
            </w:r>
            <w:r w:rsidR="00140E54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,</w:t>
            </w:r>
            <w:r w:rsidR="00F63BBC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CTLA-4</w:t>
            </w: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12B3A" w14:textId="58FC4D92" w:rsidR="000B610D" w:rsidRDefault="006A4B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 w:rsidRP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MEDI4736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,</w:t>
            </w:r>
            <w:r w:rsidRP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Tremelimumab</w:t>
            </w:r>
            <w:proofErr w:type="spellEnd"/>
          </w:p>
        </w:tc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55492" w14:textId="369D0E60" w:rsidR="000B610D" w:rsidRDefault="002A516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 w:rsidRP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Study of MEDI4736 monotherapy and in combination with </w:t>
            </w:r>
            <w:proofErr w:type="spellStart"/>
            <w:r w:rsidRP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tremelimumab</w:t>
            </w:r>
            <w:proofErr w:type="spellEnd"/>
            <w:r w:rsidRP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 versus standard of care therapy in patients with head and neck cancer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A1EE2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Ongoing study</w:t>
            </w:r>
          </w:p>
        </w:tc>
      </w:tr>
      <w:tr w:rsidR="000B610D" w14:paraId="632BFFC1" w14:textId="77777777" w:rsidTr="006E4EAE">
        <w:trPr>
          <w:trHeight w:val="89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32A65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NCT02499328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E52FC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I/II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275C6" w14:textId="31DFDABC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PD-L1</w:t>
            </w:r>
            <w:r w:rsid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, CTLA-4</w:t>
            </w: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CF9E3" w14:textId="16023F91" w:rsidR="000B610D" w:rsidRDefault="006A4B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proofErr w:type="spellStart"/>
            <w:r w:rsidRP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T</w:t>
            </w:r>
            <w:r w:rsidRP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remelimumab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,</w:t>
            </w:r>
            <w:r w:rsidR="008C71D9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 AZD9150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,</w:t>
            </w:r>
            <w:r w:rsidR="008C71D9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 AZD5069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</w:t>
            </w:r>
            <w:r w:rsidRP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MEDI4736</w:t>
            </w:r>
          </w:p>
        </w:tc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16E13" w14:textId="70808D37" w:rsidR="006E4EAE" w:rsidRDefault="006A4BFD">
            <w:pPr>
              <w:widowControl/>
              <w:jc w:val="left"/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AU"/>
              </w:rPr>
            </w:pPr>
            <w:r w:rsidRP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Study to Assess MEDI4736 With Either AZD9150 or AZD5069 in Advanced Solid </w:t>
            </w:r>
            <w:proofErr w:type="spellStart"/>
            <w:r w:rsidRP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Tumors</w:t>
            </w:r>
            <w:proofErr w:type="spellEnd"/>
            <w:r w:rsidRP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 &amp; Relapsed Metastatic Squamous Cell Carcinoma of Head &amp; Neck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8A12E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Ongoing study</w:t>
            </w:r>
          </w:p>
        </w:tc>
      </w:tr>
      <w:tr w:rsidR="000B610D" w14:paraId="05B08C77" w14:textId="77777777" w:rsidTr="006E4EAE">
        <w:trPr>
          <w:trHeight w:val="71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10150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NCT02291055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C1DCD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bookmarkStart w:id="2" w:name="OLE_LINK3"/>
            <w:bookmarkStart w:id="3" w:name="OLE_LINK4"/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I/II</w:t>
            </w:r>
            <w:bookmarkEnd w:id="2"/>
            <w:bookmarkEnd w:id="3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FFCBE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PD-L1</w:t>
            </w: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FD281" w14:textId="3FC1B4F1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Durvalumab</w:t>
            </w:r>
            <w:proofErr w:type="spellEnd"/>
            <w:r w:rsidR="00217EAA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,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 ADXS11-001</w:t>
            </w:r>
          </w:p>
        </w:tc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B4B4B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Phase I-II Study of ADXS11-001 or MEDI4736 Al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one or Combo in cervical or HPV+ head &amp; neck cancer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4716F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Ongoing study</w:t>
            </w:r>
          </w:p>
        </w:tc>
      </w:tr>
      <w:tr w:rsidR="000B610D" w14:paraId="16FCCA2E" w14:textId="77777777" w:rsidTr="006E4EAE">
        <w:trPr>
          <w:trHeight w:val="590"/>
        </w:trPr>
        <w:tc>
          <w:tcPr>
            <w:tcW w:w="14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AA4725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NCT01860430</w:t>
            </w:r>
          </w:p>
        </w:tc>
        <w:tc>
          <w:tcPr>
            <w:tcW w:w="6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783A79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I </w:t>
            </w:r>
          </w:p>
        </w:tc>
        <w:tc>
          <w:tcPr>
            <w:tcW w:w="158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067FA51" w14:textId="363DA6F9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CTLA-4</w:t>
            </w:r>
          </w:p>
        </w:tc>
        <w:tc>
          <w:tcPr>
            <w:tcW w:w="36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FFABE67" w14:textId="549E2836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Ipilimumab</w:t>
            </w:r>
            <w:r w:rsidR="00A13258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cetuximab</w:t>
            </w:r>
            <w:r w:rsidR="00A13258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,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 IMRT</w:t>
            </w:r>
          </w:p>
        </w:tc>
        <w:tc>
          <w:tcPr>
            <w:tcW w:w="58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167727A" w14:textId="497A8050" w:rsidR="000B610D" w:rsidRDefault="006A4B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 w:rsidRP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Ipilimumab, Cetuximab, and Intensity-Modulated Radiation Therapy in Treating Patients </w:t>
            </w:r>
            <w:r w:rsidR="002A5165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w</w:t>
            </w:r>
            <w:r w:rsidRPr="006A4BF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ith Previously Untreated Stage III-IVB Head and Neck Cancer</w:t>
            </w:r>
          </w:p>
        </w:tc>
        <w:tc>
          <w:tcPr>
            <w:tcW w:w="206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89F6BF0" w14:textId="77777777" w:rsidR="000B610D" w:rsidRDefault="008C71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Ongoing study</w:t>
            </w:r>
          </w:p>
        </w:tc>
      </w:tr>
      <w:tr w:rsidR="00140E54" w14:paraId="0FE41719" w14:textId="77777777" w:rsidTr="002A5165">
        <w:trPr>
          <w:trHeight w:val="590"/>
        </w:trPr>
        <w:tc>
          <w:tcPr>
            <w:tcW w:w="14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C90967" w14:textId="5B90754B" w:rsidR="00140E54" w:rsidRDefault="00140E5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 w:rsidRPr="00140E54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NCT04080804</w:t>
            </w:r>
          </w:p>
        </w:tc>
        <w:tc>
          <w:tcPr>
            <w:tcW w:w="6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77A9646" w14:textId="1FD90CD7" w:rsidR="00140E54" w:rsidRDefault="00140E5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 w:rsidRPr="00140E54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II</w:t>
            </w:r>
          </w:p>
        </w:tc>
        <w:tc>
          <w:tcPr>
            <w:tcW w:w="158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4E3DDD0" w14:textId="54738A5C" w:rsidR="00140E54" w:rsidRDefault="00140E5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AU"/>
              </w:rPr>
              <w:t>P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D-1, CTLA-4,</w:t>
            </w:r>
            <w:r w:rsidR="00F63BBC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LAG</w:t>
            </w:r>
            <w:r w:rsidR="00217EAA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3</w:t>
            </w:r>
          </w:p>
        </w:tc>
        <w:tc>
          <w:tcPr>
            <w:tcW w:w="36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C13B00" w14:textId="2D14CDE3" w:rsidR="00140E54" w:rsidRDefault="00F63B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 w:rsidRPr="00F63BBC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Nivolumab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F63BBC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Relatlimab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</w:t>
            </w:r>
            <w:r w:rsidRPr="00F63BBC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Ipilimumab</w:t>
            </w:r>
          </w:p>
        </w:tc>
        <w:tc>
          <w:tcPr>
            <w:tcW w:w="58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011897" w14:textId="5FD65F72" w:rsidR="00140E54" w:rsidRDefault="00F63B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 w:rsidRPr="00F63BBC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Study of Safety and Tolerability of Nivolumab Treatment Alone or in Combination 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w</w:t>
            </w:r>
            <w:r w:rsidRPr="00F63BBC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ith </w:t>
            </w:r>
            <w:proofErr w:type="spellStart"/>
            <w:r w:rsidRPr="00F63BBC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Relatlimab</w:t>
            </w:r>
            <w:proofErr w:type="spellEnd"/>
            <w:r w:rsidRPr="00F63BBC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 or Ipilimumab in Head and Neck Cancer</w:t>
            </w:r>
          </w:p>
        </w:tc>
        <w:tc>
          <w:tcPr>
            <w:tcW w:w="206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9190510" w14:textId="3BCD846A" w:rsidR="00140E54" w:rsidRDefault="00F63B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 w:rsidRPr="00F63BBC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Ongoing study</w:t>
            </w:r>
          </w:p>
        </w:tc>
      </w:tr>
      <w:tr w:rsidR="00191176" w14:paraId="57555E7C" w14:textId="77777777" w:rsidTr="00217EAA">
        <w:trPr>
          <w:trHeight w:val="59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3E92" w14:textId="1673132A" w:rsidR="00191176" w:rsidRPr="00140E54" w:rsidRDefault="0019117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bookmarkStart w:id="4" w:name="_Hlk35439051"/>
            <w:r w:rsidRPr="00191176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NCT03633110</w:t>
            </w:r>
            <w:bookmarkEnd w:id="4"/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B3E54" w14:textId="4D4F0581" w:rsidR="00191176" w:rsidRPr="00140E54" w:rsidRDefault="00217EA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 w:rsidRPr="00217EAA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I/II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30DCE" w14:textId="1790C09B" w:rsidR="00191176" w:rsidRDefault="00A13258">
            <w:pPr>
              <w:widowControl/>
              <w:jc w:val="left"/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AU"/>
              </w:rPr>
              <w:t>P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D-1</w:t>
            </w: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58A41" w14:textId="56ED9687" w:rsidR="00191176" w:rsidRPr="00F63BBC" w:rsidRDefault="0019117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 w:rsidRPr="00191176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GEN-009</w:t>
            </w:r>
            <w:r w:rsidR="00A13258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</w:t>
            </w:r>
            <w:r w:rsidR="00A13258" w:rsidRPr="00A13258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Nivolumab</w:t>
            </w:r>
            <w:r w:rsidR="00A13258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</w:t>
            </w:r>
            <w:r w:rsidR="00A13258" w:rsidRPr="00A13258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Pembrolizumab</w:t>
            </w:r>
          </w:p>
        </w:tc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5A11A" w14:textId="7A6ED490" w:rsidR="00191176" w:rsidRPr="00F63BBC" w:rsidRDefault="00A1325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 w:rsidRPr="00A13258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Safety, Tolerability, Immunogenicity, and Antitumor Activity of GEN-009 Adjuvanted Vaccine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232D8" w14:textId="47789DC0" w:rsidR="00191176" w:rsidRPr="00F63BBC" w:rsidRDefault="00A1325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 w:rsidRPr="00A13258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Ongoing study</w:t>
            </w:r>
          </w:p>
        </w:tc>
      </w:tr>
      <w:tr w:rsidR="00217EAA" w14:paraId="5D0E104B" w14:textId="77777777" w:rsidTr="002A5165">
        <w:trPr>
          <w:trHeight w:val="590"/>
        </w:trPr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F81E62" w14:textId="58960AFA" w:rsidR="00217EAA" w:rsidRPr="00191176" w:rsidRDefault="00217EA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bookmarkStart w:id="5" w:name="_Hlk35439338"/>
            <w:r w:rsidRPr="00217EAA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NCT03625323</w:t>
            </w:r>
            <w:bookmarkEnd w:id="5"/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B282ED" w14:textId="490D4C53" w:rsidR="00217EAA" w:rsidRPr="00191176" w:rsidRDefault="00217EA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 w:rsidRPr="00217EAA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II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557219" w14:textId="36361940" w:rsidR="00217EAA" w:rsidRDefault="00217EAA">
            <w:pPr>
              <w:widowControl/>
              <w:jc w:val="left"/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AU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AU"/>
              </w:rPr>
              <w:t>P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D-1/LAG-3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07052B" w14:textId="4B53E54E" w:rsidR="00217EAA" w:rsidRPr="00191176" w:rsidRDefault="00217EA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 w:rsidRPr="00217EAA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Pembrolizumab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, </w:t>
            </w:r>
            <w:r w:rsidRPr="00217EAA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IMP321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5E2587" w14:textId="4BCCD2A8" w:rsidR="00217EAA" w:rsidRPr="00A13258" w:rsidRDefault="00217EA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 w:rsidRPr="00217EAA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Combination Study </w:t>
            </w:r>
            <w:r w:rsidR="00602E6D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w</w:t>
            </w:r>
            <w:r w:rsidRPr="00217EAA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ith Soluble LAG-3 Fusion Protein IMP321 and Pembrolizumab in Patien</w:t>
            </w:r>
            <w:bookmarkStart w:id="6" w:name="_GoBack"/>
            <w:bookmarkEnd w:id="6"/>
            <w:r w:rsidRPr="00217EAA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ts </w:t>
            </w:r>
            <w:proofErr w:type="gramStart"/>
            <w:r w:rsidRPr="00217EAA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>With</w:t>
            </w:r>
            <w:proofErr w:type="gramEnd"/>
            <w:r w:rsidRPr="00217EAA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t xml:space="preserve"> Previously Untreated Unresectable </w:t>
            </w:r>
            <w:r w:rsidRPr="00217EAA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lastRenderedPageBreak/>
              <w:t>or Metastatic NSCLC, or Recurrent PD-X Refractory NSCLC or With Recurrent or Metastatic HNSCC (TACTI-002)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D27CE5" w14:textId="7FFDE860" w:rsidR="00217EAA" w:rsidRPr="00A13258" w:rsidRDefault="00217EA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</w:pPr>
            <w:r w:rsidRPr="00217EAA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AU"/>
              </w:rPr>
              <w:lastRenderedPageBreak/>
              <w:t>Ongoing study</w:t>
            </w:r>
          </w:p>
        </w:tc>
      </w:tr>
    </w:tbl>
    <w:p w14:paraId="10C54E8B" w14:textId="77777777" w:rsidR="000B610D" w:rsidRDefault="000B610D">
      <w:pPr>
        <w:jc w:val="left"/>
        <w:rPr>
          <w:rFonts w:ascii="Times New Roman" w:hAnsi="Times New Roman" w:cs="Times New Roman"/>
          <w:sz w:val="20"/>
          <w:szCs w:val="20"/>
          <w:lang w:val="en-AU"/>
        </w:rPr>
      </w:pPr>
    </w:p>
    <w:p w14:paraId="7C62DC2C" w14:textId="77777777" w:rsidR="000B610D" w:rsidRDefault="000B610D">
      <w:pPr>
        <w:jc w:val="left"/>
        <w:rPr>
          <w:rFonts w:ascii="Times New Roman" w:hAnsi="Times New Roman" w:cs="Times New Roman"/>
          <w:sz w:val="20"/>
          <w:szCs w:val="20"/>
          <w:lang w:val="en-AU"/>
        </w:rPr>
      </w:pPr>
    </w:p>
    <w:sectPr w:rsidR="000B610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A22EF" w14:textId="77777777" w:rsidR="008C71D9" w:rsidRDefault="008C71D9" w:rsidP="0053597C">
      <w:r>
        <w:separator/>
      </w:r>
    </w:p>
  </w:endnote>
  <w:endnote w:type="continuationSeparator" w:id="0">
    <w:p w14:paraId="5A0FF26D" w14:textId="77777777" w:rsidR="008C71D9" w:rsidRDefault="008C71D9" w:rsidP="0053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42AD5" w14:textId="77777777" w:rsidR="008C71D9" w:rsidRDefault="008C71D9" w:rsidP="0053597C">
      <w:r>
        <w:separator/>
      </w:r>
    </w:p>
  </w:footnote>
  <w:footnote w:type="continuationSeparator" w:id="0">
    <w:p w14:paraId="457BBEF2" w14:textId="77777777" w:rsidR="008C71D9" w:rsidRDefault="008C71D9" w:rsidP="005359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yMDEwMzE0NAABJR2l4NTi4sz8PJACw1oAjlpKmiwAAAA="/>
    <w:docVar w:name="KY_MEDREF_DOCUID" w:val="{F056BBCA-1BA3-4EAB-B433-34DEEE534564}"/>
    <w:docVar w:name="KY_MEDREF_VERSION" w:val="3"/>
  </w:docVars>
  <w:rsids>
    <w:rsidRoot w:val="00361CF0"/>
    <w:rsid w:val="000A2549"/>
    <w:rsid w:val="000B610D"/>
    <w:rsid w:val="00106C0F"/>
    <w:rsid w:val="00140E54"/>
    <w:rsid w:val="00191176"/>
    <w:rsid w:val="00217EAA"/>
    <w:rsid w:val="002A5165"/>
    <w:rsid w:val="003041C3"/>
    <w:rsid w:val="00361CF0"/>
    <w:rsid w:val="004E54BE"/>
    <w:rsid w:val="0053597C"/>
    <w:rsid w:val="00584F63"/>
    <w:rsid w:val="005A0629"/>
    <w:rsid w:val="00602E6D"/>
    <w:rsid w:val="006A4BFD"/>
    <w:rsid w:val="006E4EAE"/>
    <w:rsid w:val="0074452B"/>
    <w:rsid w:val="00776D30"/>
    <w:rsid w:val="0084648F"/>
    <w:rsid w:val="008C71D9"/>
    <w:rsid w:val="008F00B8"/>
    <w:rsid w:val="00912C7F"/>
    <w:rsid w:val="00917E2F"/>
    <w:rsid w:val="00951697"/>
    <w:rsid w:val="00A13258"/>
    <w:rsid w:val="00A51B02"/>
    <w:rsid w:val="00A64A1F"/>
    <w:rsid w:val="00AC4118"/>
    <w:rsid w:val="00AC58D2"/>
    <w:rsid w:val="00B177D5"/>
    <w:rsid w:val="00CD4315"/>
    <w:rsid w:val="00D44D58"/>
    <w:rsid w:val="00D748E2"/>
    <w:rsid w:val="00E26B15"/>
    <w:rsid w:val="00EC1A8E"/>
    <w:rsid w:val="00F63BBC"/>
    <w:rsid w:val="00F81A5D"/>
    <w:rsid w:val="00FF4940"/>
    <w:rsid w:val="10191AE5"/>
    <w:rsid w:val="1D74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626C91"/>
  <w15:docId w15:val="{3DB3029F-9081-41ED-8CC5-A60A0FDFA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602</Words>
  <Characters>3435</Characters>
  <Application>Microsoft Office Word</Application>
  <DocSecurity>0</DocSecurity>
  <Lines>28</Lines>
  <Paragraphs>8</Paragraphs>
  <ScaleCrop>false</ScaleCrop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俊文 黄</dc:creator>
  <cp:lastModifiedBy>梅 子</cp:lastModifiedBy>
  <cp:revision>15</cp:revision>
  <dcterms:created xsi:type="dcterms:W3CDTF">2019-04-11T02:23:00Z</dcterms:created>
  <dcterms:modified xsi:type="dcterms:W3CDTF">2020-03-18T08:27:00Z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