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Appendix</w:t>
      </w:r>
    </w:p>
    <w:p>
      <w:pPr>
        <w:rPr>
          <w:rFonts w:ascii="Times New Roman" w:hAnsi="Times New Roman" w:eastAsia="宋体" w:cs="Times New Roman"/>
          <w:b/>
          <w:bCs/>
          <w:szCs w:val="21"/>
        </w:rPr>
      </w:pP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rPr>
          <w:trHeight w:val="316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Appendix Table 1 Inclusion and exclusion criteria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00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Inclusion criteria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Periodontal healthy group: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 xml:space="preserve">1) Han population aged </w:t>
            </w:r>
            <w:r>
              <w:rPr>
                <w:rFonts w:ascii="Times New Roman" w:hAnsi="Times New Roman" w:eastAsia="宋体"/>
                <w:color w:val="000000"/>
                <w:kern w:val="0"/>
                <w:sz w:val="22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5-65;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2) At least 18 natural teeth in the oral cavity;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0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3) Periodontally healthy: clinical gingival health on an intact periodontium.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Severe periodontitis group: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1) Han population aged 25-65;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2) At least 18 natural teeth in the oral cavity;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3) Generalized periodontitis: &gt;30% of sites have bone resorption and attachment loss among all teeth;</w:t>
            </w:r>
          </w:p>
        </w:tc>
      </w:tr>
      <w:tr>
        <w:trPr>
          <w:trHeight w:val="303" w:hRule="atLeast"/>
        </w:trPr>
        <w:tc>
          <w:tcPr>
            <w:tcW w:w="50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Severe periodontitis: Two or more affected teeth PD &gt; 6 mm; CAL &gt; 5 mm; RBL exceeds 1/2 of the length of the root.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00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Exclusion criteria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1) Received periodontal treatment in the past 1 year;</w:t>
            </w:r>
          </w:p>
        </w:tc>
      </w:tr>
      <w:tr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2) Received antibiotic treatment in the past 6 months;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3) Received non-steroidal anti-inflammatory drugs within 3 months;</w:t>
            </w:r>
          </w:p>
        </w:tc>
      </w:tr>
      <w:tr>
        <w:trPr>
          <w:trHeight w:val="94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4) Suffer from systemic 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diseases or conditions that affect the gut microbiota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, such as chronic gastrointestinal diseases, diabetes, cardiovascular, cerebrovascular diseases, hypertension, nephritis, haematological diseases, immunodeficiency, and obesity (BMI ≥ 30);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5) Suffer from other serious oral diseases;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6) 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Heavy s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moker (&gt; 10 PCS/day);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7) Pregnant or nursing;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lang w:bidi="ar"/>
              </w:rPr>
              <w:t>8) People with a special diet preference (vegan or pure meat eaters).</w:t>
            </w:r>
          </w:p>
        </w:tc>
      </w:tr>
    </w:tbl>
    <w:p>
      <w:pPr>
        <w:rPr>
          <w:rFonts w:ascii="Times New Roman" w:hAnsi="Times New Roman" w:eastAsia="宋体" w:cs="Times New Roman"/>
          <w:b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color w:val="000000"/>
          <w:kern w:val="0"/>
          <w:szCs w:val="21"/>
        </w:rPr>
        <w:br w:type="page"/>
      </w:r>
    </w:p>
    <w:tbl>
      <w:tblPr>
        <w:tblStyle w:val="7"/>
        <w:tblW w:w="6810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1"/>
        <w:gridCol w:w="1326"/>
        <w:gridCol w:w="1434"/>
        <w:gridCol w:w="12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Appendix Table 2 Participant demographics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PH group 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SP group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(n=16)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(n=21)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(PH vs SP)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Age (mean years ±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31.06 ± 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44.62 ± 10.42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Male, % (n)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56.25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66.67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&gt;0.05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Fe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ale, % (n)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43.75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33.33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Body-mass index,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22.97 ± 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23.89 ± 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&gt;0.05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Nonsmoker, % (n)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93.75 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76.19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&gt;0.05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Smoker, % (n)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6.25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19.05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Exsmoker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, % (n)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4.76 (1)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/>
          <w:color w:val="000000"/>
          <w:kern w:val="0"/>
          <w:szCs w:val="21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Cs w:val="21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Cs w:val="21"/>
          <w:vertAlign w:val="baseline"/>
          <w:lang w:val="en-US" w:eastAsia="zh-CN"/>
        </w:rPr>
        <w:t xml:space="preserve">t test. 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Cs w:val="21"/>
          <w:vertAlign w:val="superscript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Cs w:val="21"/>
          <w:vertAlign w:val="baseline"/>
          <w:lang w:val="en-US" w:eastAsia="zh-CN"/>
        </w:rPr>
        <w:t>Chi-square test.</w:t>
      </w:r>
    </w:p>
    <w:p>
      <w:pPr>
        <w:widowControl/>
        <w:jc w:val="left"/>
        <w:textAlignment w:val="center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br w:type="page"/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4368"/>
        <w:gridCol w:w="648"/>
        <w:gridCol w:w="813"/>
        <w:gridCol w:w="648"/>
        <w:gridCol w:w="6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Appendix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The description of participants' oral status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0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Number</w:t>
            </w:r>
          </w:p>
        </w:tc>
        <w:tc>
          <w:tcPr>
            <w:tcW w:w="256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Diagnosis</w:t>
            </w:r>
          </w:p>
        </w:tc>
        <w:tc>
          <w:tcPr>
            <w:tcW w:w="38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</w:t>
            </w:r>
          </w:p>
        </w:tc>
        <w:tc>
          <w:tcPr>
            <w:tcW w:w="47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PLI</w:t>
            </w:r>
          </w:p>
        </w:tc>
        <w:tc>
          <w:tcPr>
            <w:tcW w:w="38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CI</w:t>
            </w:r>
          </w:p>
        </w:tc>
        <w:tc>
          <w:tcPr>
            <w:tcW w:w="39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P2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P3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P4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P5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P6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P7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P8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P9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P10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P11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P12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P13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P14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P15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P16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P17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P18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P19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P20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P21</w:t>
            </w:r>
          </w:p>
        </w:tc>
        <w:tc>
          <w:tcPr>
            <w:tcW w:w="25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Periodontitis (severe, generalized)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H2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H3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H4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H5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H6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H7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H8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H9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H10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H11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H12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H13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H14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H15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H16</w:t>
            </w:r>
          </w:p>
        </w:tc>
        <w:tc>
          <w:tcPr>
            <w:tcW w:w="25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Healthy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Abbreviations: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DI, Debris index; PLI, Plaque index; CI, Calculus index; GI, Gingival index.</w:t>
            </w:r>
          </w:p>
        </w:tc>
      </w:tr>
    </w:tbl>
    <w:p>
      <w:pPr>
        <w:rPr>
          <w:rFonts w:ascii="Times New Roman" w:hAnsi="Times New Roman" w:eastAsia="宋体" w:cs="Times New Roman"/>
          <w:b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color w:val="000000"/>
          <w:kern w:val="0"/>
          <w:szCs w:val="21"/>
        </w:rPr>
        <w:br w:type="page"/>
      </w:r>
    </w:p>
    <w:p>
      <w:pPr>
        <w:rPr>
          <w:rFonts w:ascii="Times New Roman" w:hAnsi="Times New Roman" w:eastAsia="宋体" w:cs="Times New Roman"/>
          <w:b/>
          <w:color w:val="000000"/>
          <w:kern w:val="0"/>
          <w:szCs w:val="21"/>
        </w:rPr>
      </w:pPr>
    </w:p>
    <w:tbl>
      <w:tblPr>
        <w:tblStyle w:val="7"/>
        <w:tblW w:w="8236" w:type="dxa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3631"/>
        <w:gridCol w:w="32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236" w:type="dxa"/>
            <w:gridSpan w:val="3"/>
            <w:tcBorders>
              <w:top w:val="nil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Appendix Tab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highlight w:val="none"/>
              </w:rPr>
              <w:t xml:space="preserve">le 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highlight w:val="none"/>
              </w:rPr>
              <w:t xml:space="preserve"> Prim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ers for quantitative PCR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32" w:type="dxa"/>
            <w:tcBorders>
              <w:top w:val="single" w:color="080000" w:sz="8" w:space="0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val="en-US" w:eastAsia="zh-CN"/>
              </w:rPr>
              <w:t>Gene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3631" w:type="dxa"/>
            <w:tcBorders>
              <w:top w:val="single" w:color="080000" w:sz="8" w:space="0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Forward primer sequence (5’-3’)</w:t>
            </w:r>
          </w:p>
        </w:tc>
        <w:tc>
          <w:tcPr>
            <w:tcW w:w="3273" w:type="dxa"/>
            <w:tcBorders>
              <w:top w:val="single" w:color="080000" w:sz="8" w:space="0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</w:rPr>
              <w:t>Reverse primer sequence (5’-3’)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32" w:type="dxa"/>
            <w:tcBorders>
              <w:top w:val="single" w:color="08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3631" w:type="dxa"/>
            <w:tcBorders>
              <w:top w:val="single" w:color="08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AGGTCGGTGTGAACGGATTTG</w:t>
            </w:r>
          </w:p>
        </w:tc>
        <w:tc>
          <w:tcPr>
            <w:tcW w:w="3273" w:type="dxa"/>
            <w:tcBorders>
              <w:top w:val="single" w:color="08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TGTAGACCATGTAGTTGAGGTCA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TNF-α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CATGAGCACAGAAAGCATGATCCG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AGCAGGAATGAGAAGAGGCTGAG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IL-1β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CCCAACTGGTACATCAGCAC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TCTGCTCATTCACGAAAAGG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IL-6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AGTTGCCTTCTTGGGACTGA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TCCACGATTTCCCAGAGAAC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IL-10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ACTCTTCACCTGCTCCACTG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GCTATGCTGCCTGCTCTTAC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Csf1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GTGTCAGAACACTGTAGCCAC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TCAAAGGCAATCTGGCATGAAG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Cxcl1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GGCGCCTATCGCCAATG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CTGGATGTTCTTGAGGTGAATCC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PAI-1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ACAGCCTTTGTCATCTCAGCC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CCGAACCACAAAGAGAAAGGA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Occludin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ATTCCATCAGTTTCCTATCT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ACCAGGACCTTTCTTGAC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ZO-1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ACAGGCCATTACGAGCCTCT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GGAGGCTGTGGTTTGGTAGC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Cldn2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TCTCAGCCCTGTTTTCTTTGG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GGCGAGCAGGAAAAGCAA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Cldn3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TCATCACGGCGCAGATCA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CTCTGCACCACGCAGTTCA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Cldn15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GGCGGCATCTGTGTCTTCTC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TGGTGGCTGGTTCCTCCTT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nil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Jam3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CACTACAGCTGGTACCGCAATG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80000" w:sz="8" w:space="0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CTGGGATTGGCTCTGGAATC</w:t>
            </w:r>
          </w:p>
        </w:tc>
      </w:tr>
    </w:tbl>
    <w:p>
      <w:pPr>
        <w:widowControl/>
        <w:jc w:val="left"/>
        <w:rPr>
          <w:rFonts w:hint="eastAsia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 xml:space="preserve"> </w:t>
      </w:r>
    </w:p>
    <w:p>
      <w:pPr>
        <w:rPr>
          <w:rFonts w:hint="eastAsia"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br w:type="page"/>
      </w:r>
    </w:p>
    <w:p>
      <w:pPr>
        <w:widowControl/>
        <w:jc w:val="center"/>
        <w:rPr>
          <w:rFonts w:hint="eastAsia" w:ascii="Times New Roman" w:hAnsi="Times New Roman"/>
          <w:b/>
          <w:highlight w:val="yellow"/>
        </w:rPr>
      </w:pPr>
      <w:r>
        <w:rPr>
          <w:rFonts w:hint="eastAsia" w:ascii="Times New Roman" w:hAnsi="Times New Roman"/>
          <w:b/>
          <w:highlight w:val="yellow"/>
        </w:rPr>
        <w:drawing>
          <wp:inline distT="0" distB="0" distL="114300" distR="114300">
            <wp:extent cx="4197985" cy="6917055"/>
            <wp:effectExtent l="0" t="0" r="2540" b="7620"/>
            <wp:docPr id="1" name="图片 1" descr="Appendix Figure 1 -revise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ppendix Figure 1 -revised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ascii="Times New Roman" w:hAnsi="Times New Roman"/>
          <w:highlight w:val="yellow"/>
        </w:rPr>
      </w:pPr>
      <w:r>
        <w:rPr>
          <w:rFonts w:hint="eastAsia" w:ascii="Times New Roman" w:hAnsi="Times New Roman"/>
          <w:b/>
          <w:highlight w:val="yellow"/>
        </w:rPr>
        <w:t xml:space="preserve">Appendix </w:t>
      </w:r>
      <w:r>
        <w:rPr>
          <w:rFonts w:ascii="Times New Roman" w:hAnsi="Times New Roman"/>
          <w:b/>
          <w:highlight w:val="yellow"/>
        </w:rPr>
        <w:t xml:space="preserve">Figure </w:t>
      </w:r>
      <w:r>
        <w:rPr>
          <w:rFonts w:hint="eastAsia" w:ascii="Times New Roman" w:hAnsi="Times New Roman"/>
          <w:b/>
          <w:highlight w:val="yellow"/>
          <w:lang w:val="en-US" w:eastAsia="zh-CN"/>
        </w:rPr>
        <w:t>1</w:t>
      </w:r>
      <w:r>
        <w:rPr>
          <w:rFonts w:ascii="Times New Roman" w:hAnsi="Times New Roman"/>
          <w:b/>
          <w:highlight w:val="yellow"/>
        </w:rPr>
        <w:t>. The periodontitis salivary microbiota could persist in the</w:t>
      </w:r>
      <w:r>
        <w:rPr>
          <w:rFonts w:hint="eastAsia" w:ascii="Times New Roman" w:hAnsi="Times New Roman"/>
          <w:b/>
          <w:highlight w:val="yellow"/>
        </w:rPr>
        <w:t xml:space="preserve"> intestinal tract</w:t>
      </w:r>
      <w:r>
        <w:rPr>
          <w:rFonts w:ascii="Times New Roman" w:hAnsi="Times New Roman"/>
          <w:b/>
          <w:highlight w:val="yellow"/>
        </w:rPr>
        <w:t xml:space="preserve"> for at least 24 hours</w:t>
      </w:r>
      <w:r>
        <w:rPr>
          <w:rFonts w:hint="eastAsia" w:ascii="Times New Roman" w:hAnsi="Times New Roman"/>
          <w:b/>
          <w:highlight w:val="yellow"/>
        </w:rPr>
        <w:t xml:space="preserve"> (n = 6 in each group)</w:t>
      </w:r>
      <w:r>
        <w:rPr>
          <w:rFonts w:ascii="Times New Roman" w:hAnsi="Times New Roman"/>
          <w:b/>
          <w:highlight w:val="yellow"/>
        </w:rPr>
        <w:t xml:space="preserve">. </w:t>
      </w:r>
      <w:r>
        <w:rPr>
          <w:rFonts w:ascii="Times New Roman" w:hAnsi="Times New Roman"/>
          <w:highlight w:val="yellow"/>
        </w:rPr>
        <w:t>(a</w:t>
      </w:r>
      <w:r>
        <w:rPr>
          <w:rFonts w:hint="eastAsia" w:ascii="Times New Roman" w:hAnsi="Times New Roman"/>
          <w:highlight w:val="yellow"/>
        </w:rPr>
        <w:t>-h</w:t>
      </w:r>
      <w:r>
        <w:rPr>
          <w:rFonts w:ascii="Times New Roman" w:hAnsi="Times New Roman"/>
          <w:highlight w:val="yellow"/>
        </w:rPr>
        <w:t>) The distribution of fluorescence-positive bacteria in the gastrointestinal tract (small intestine, caecum, and colon) at 2 hours and 24 hours after gavage. Data are compared to the</w:t>
      </w:r>
      <w:r>
        <w:rPr>
          <w:rFonts w:hint="eastAsia" w:ascii="Times New Roman" w:hAnsi="Times New Roman"/>
          <w:highlight w:val="yellow"/>
        </w:rPr>
        <w:t xml:space="preserve"> Con-PH-S</w:t>
      </w:r>
      <w:r>
        <w:rPr>
          <w:rFonts w:ascii="Times New Roman" w:hAnsi="Times New Roman"/>
          <w:highlight w:val="yellow"/>
        </w:rPr>
        <w:t xml:space="preserve"> group</w:t>
      </w:r>
      <w:r>
        <w:rPr>
          <w:rFonts w:hint="eastAsia" w:ascii="Times New Roman" w:hAnsi="Times New Roman"/>
          <w:highlight w:val="yellow"/>
        </w:rPr>
        <w:t xml:space="preserve"> (a-d) or Con-SP-S group (e-h). </w:t>
      </w:r>
      <w:r>
        <w:rPr>
          <w:rFonts w:ascii="Times New Roman" w:hAnsi="Times New Roman"/>
          <w:highlight w:val="yellow"/>
        </w:rPr>
        <w:t>Statistic</w:t>
      </w:r>
      <w:r>
        <w:rPr>
          <w:rFonts w:hint="eastAsia" w:ascii="Times New Roman" w:hAnsi="Times New Roman"/>
          <w:highlight w:val="yellow"/>
        </w:rPr>
        <w:t xml:space="preserve">s are </w:t>
      </w:r>
      <w:r>
        <w:rPr>
          <w:rFonts w:ascii="Times New Roman" w:hAnsi="Times New Roman"/>
          <w:highlight w:val="yellow"/>
        </w:rPr>
        <w:t>expressed as the</w:t>
      </w:r>
      <w:r>
        <w:rPr>
          <w:rFonts w:hint="eastAsia" w:ascii="Times New Roman" w:hAnsi="Times New Roman"/>
          <w:highlight w:val="yellow"/>
          <w:lang w:val="en-US" w:eastAsia="zh-CN"/>
        </w:rPr>
        <w:t xml:space="preserve"> mean or</w:t>
      </w:r>
      <w:r>
        <w:rPr>
          <w:rFonts w:ascii="Times New Roman" w:hAnsi="Times New Roman"/>
          <w:highlight w:val="yellow"/>
        </w:rPr>
        <w:t xml:space="preserve"> mean ± SD.</w:t>
      </w:r>
      <w:r>
        <w:rPr>
          <w:rFonts w:hint="eastAsia" w:ascii="Times New Roman" w:hAnsi="Times New Roman"/>
          <w:highlight w:val="yellow"/>
        </w:rPr>
        <w:t xml:space="preserve"> </w:t>
      </w:r>
      <w:r>
        <w:rPr>
          <w:rFonts w:ascii="Times New Roman" w:hAnsi="Times New Roman"/>
          <w:highlight w:val="yellow"/>
        </w:rPr>
        <w:t>Statistical significance was determined using</w:t>
      </w:r>
      <w:r>
        <w:rPr>
          <w:rFonts w:hint="eastAsia" w:ascii="Times New Roman" w:hAnsi="Times New Roman"/>
          <w:highlight w:val="yellow"/>
        </w:rPr>
        <w:t xml:space="preserve"> </w:t>
      </w:r>
      <w:r>
        <w:rPr>
          <w:rFonts w:ascii="Times New Roman" w:hAnsi="Times New Roman"/>
          <w:highlight w:val="yellow"/>
        </w:rPr>
        <w:t xml:space="preserve">a </w:t>
      </w:r>
      <w:r>
        <w:rPr>
          <w:rFonts w:hint="eastAsia" w:ascii="Times New Roman" w:hAnsi="Times New Roman"/>
          <w:highlight w:val="yellow"/>
        </w:rPr>
        <w:t>t-test</w:t>
      </w:r>
      <w:r>
        <w:rPr>
          <w:rFonts w:ascii="Times New Roman" w:hAnsi="Times New Roman"/>
          <w:highlight w:val="yellow"/>
        </w:rPr>
        <w:t xml:space="preserve">. </w:t>
      </w:r>
      <w:r>
        <w:rPr>
          <w:rFonts w:ascii="Times New Roman" w:hAnsi="Times New Roman"/>
          <w:i/>
          <w:iCs/>
          <w:highlight w:val="yellow"/>
        </w:rPr>
        <w:t>*P</w:t>
      </w:r>
      <w:r>
        <w:rPr>
          <w:rFonts w:ascii="Times New Roman" w:hAnsi="Times New Roman"/>
          <w:highlight w:val="yellow"/>
        </w:rPr>
        <w:t xml:space="preserve"> &lt; 0.05.</w:t>
      </w:r>
    </w:p>
    <w:p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>
      <w:pPr>
        <w:jc w:val="center"/>
        <w:rPr>
          <w:rFonts w:hint="eastAsia" w:ascii="Times New Roman" w:hAnsi="Times New Roman"/>
          <w:b/>
          <w:highlight w:val="yellow"/>
        </w:rPr>
      </w:pPr>
      <w:bookmarkStart w:id="0" w:name="_GoBack"/>
      <w:r>
        <w:rPr>
          <w:rFonts w:hint="eastAsia" w:ascii="Times New Roman" w:hAnsi="Times New Roman"/>
          <w:b/>
          <w:highlight w:val="yellow"/>
        </w:rPr>
        <w:drawing>
          <wp:inline distT="0" distB="0" distL="114300" distR="114300">
            <wp:extent cx="2973705" cy="6537960"/>
            <wp:effectExtent l="0" t="0" r="7620" b="5715"/>
            <wp:docPr id="2" name="图片 2" descr="Appendix Figure 2 -revise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ppendix Figure 2 -revised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653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ascii="Times New Roman" w:hAnsi="Times New Roman" w:eastAsiaTheme="minorEastAsia"/>
          <w:b/>
          <w:highlight w:val="yellow"/>
          <w:lang w:val="en-US"/>
        </w:rPr>
      </w:pPr>
      <w:r>
        <w:rPr>
          <w:rFonts w:hint="eastAsia" w:ascii="Times New Roman" w:hAnsi="Times New Roman"/>
          <w:b/>
          <w:highlight w:val="yellow"/>
        </w:rPr>
        <w:t xml:space="preserve">Appendix </w:t>
      </w:r>
      <w:r>
        <w:rPr>
          <w:rFonts w:ascii="Times New Roman" w:hAnsi="Times New Roman"/>
          <w:b/>
          <w:highlight w:val="yellow"/>
        </w:rPr>
        <w:t xml:space="preserve">Figure </w:t>
      </w:r>
      <w:r>
        <w:rPr>
          <w:rFonts w:hint="eastAsia" w:ascii="Times New Roman" w:hAnsi="Times New Roman"/>
          <w:b/>
          <w:highlight w:val="yellow"/>
          <w:lang w:val="en-US" w:eastAsia="zh-CN"/>
        </w:rPr>
        <w:t>2</w:t>
      </w:r>
      <w:r>
        <w:rPr>
          <w:rFonts w:ascii="Times New Roman" w:hAnsi="Times New Roman"/>
          <w:b/>
          <w:highlight w:val="yellow"/>
        </w:rPr>
        <w:t>.</w:t>
      </w:r>
      <w:r>
        <w:rPr>
          <w:rFonts w:hint="eastAsia" w:ascii="Times New Roman" w:hAnsi="Times New Roman"/>
          <w:b/>
          <w:highlight w:val="yellow"/>
        </w:rPr>
        <w:t xml:space="preserve"> Salivary bacteria were still alive after freezing.</w:t>
      </w:r>
      <w:r>
        <w:rPr>
          <w:rFonts w:hint="eastAsia" w:ascii="Times New Roman" w:hAnsi="Times New Roman"/>
          <w:bCs/>
          <w:highlight w:val="yellow"/>
        </w:rPr>
        <w:t xml:space="preserve"> (a) </w:t>
      </w:r>
      <w:r>
        <w:rPr>
          <w:rFonts w:ascii="Times New Roman" w:hAnsi="Times New Roman" w:eastAsia="宋体"/>
          <w:bCs/>
          <w:highlight w:val="yellow"/>
        </w:rPr>
        <w:t xml:space="preserve">Representative images of the appearance of the saliva and bacterial colonies </w:t>
      </w:r>
      <w:r>
        <w:rPr>
          <w:rFonts w:hint="eastAsia" w:ascii="Times New Roman" w:hAnsi="Times New Roman"/>
          <w:highlight w:val="yellow"/>
        </w:rPr>
        <w:t>of</w:t>
      </w:r>
      <w:r>
        <w:rPr>
          <w:rFonts w:ascii="Times New Roman" w:hAnsi="Times New Roman"/>
          <w:highlight w:val="yellow"/>
        </w:rPr>
        <w:t xml:space="preserve"> thawed</w:t>
      </w:r>
      <w:r>
        <w:rPr>
          <w:rFonts w:hint="eastAsia" w:ascii="Times New Roman" w:hAnsi="Times New Roman"/>
          <w:highlight w:val="yellow"/>
        </w:rPr>
        <w:t xml:space="preserve"> </w:t>
      </w:r>
      <w:r>
        <w:rPr>
          <w:rFonts w:hint="eastAsia" w:ascii="Times New Roman" w:hAnsi="Times New Roman" w:eastAsia="宋体"/>
          <w:bCs/>
          <w:highlight w:val="yellow"/>
        </w:rPr>
        <w:t>and</w:t>
      </w:r>
      <w:r>
        <w:rPr>
          <w:rFonts w:ascii="Times New Roman" w:hAnsi="Times New Roman" w:eastAsia="宋体"/>
          <w:bCs/>
          <w:highlight w:val="yellow"/>
        </w:rPr>
        <w:t xml:space="preserve"> </w:t>
      </w:r>
      <w:r>
        <w:rPr>
          <w:rFonts w:ascii="Times New Roman" w:hAnsi="Times New Roman"/>
          <w:highlight w:val="yellow"/>
        </w:rPr>
        <w:t>pooled saliva</w:t>
      </w:r>
      <w:r>
        <w:rPr>
          <w:rFonts w:ascii="Times New Roman" w:hAnsi="Times New Roman" w:eastAsia="宋体"/>
          <w:bCs/>
          <w:highlight w:val="yellow"/>
        </w:rPr>
        <w:t xml:space="preserve"> anaerobically cultured on BHI agar for 14 days.</w:t>
      </w:r>
      <w:r>
        <w:rPr>
          <w:rFonts w:hint="eastAsia" w:ascii="Times New Roman" w:hAnsi="Times New Roman" w:eastAsia="宋体"/>
          <w:bCs/>
          <w:highlight w:val="yellow"/>
        </w:rPr>
        <w:t xml:space="preserve"> (b-e) Salivary bacterial count</w:t>
      </w:r>
      <w:r>
        <w:rPr>
          <w:rFonts w:hint="eastAsia" w:ascii="Times New Roman" w:hAnsi="Times New Roman" w:eastAsia="宋体"/>
          <w:bCs/>
          <w:highlight w:val="yellow"/>
          <w:lang w:val="en-US" w:eastAsia="zh-CN"/>
        </w:rPr>
        <w:t>s</w:t>
      </w:r>
      <w:r>
        <w:rPr>
          <w:rFonts w:hint="eastAsia" w:ascii="Times New Roman" w:hAnsi="Times New Roman" w:eastAsia="宋体"/>
          <w:bCs/>
          <w:highlight w:val="yellow"/>
        </w:rPr>
        <w:t xml:space="preserve"> of the PH </w:t>
      </w:r>
      <w:r>
        <w:rPr>
          <w:rFonts w:ascii="Times New Roman" w:hAnsi="Times New Roman" w:eastAsia="宋体"/>
          <w:bCs/>
          <w:highlight w:val="yellow"/>
        </w:rPr>
        <w:t xml:space="preserve">group </w:t>
      </w:r>
      <w:r>
        <w:rPr>
          <w:rFonts w:hint="eastAsia" w:ascii="Times New Roman" w:hAnsi="Times New Roman" w:eastAsia="宋体"/>
          <w:bCs/>
          <w:highlight w:val="yellow"/>
          <w:lang w:val="en-US" w:eastAsia="zh-CN"/>
        </w:rPr>
        <w:t xml:space="preserve">(green line, n = 5) </w:t>
      </w:r>
      <w:r>
        <w:rPr>
          <w:rFonts w:hint="eastAsia" w:ascii="Times New Roman" w:hAnsi="Times New Roman" w:eastAsia="宋体"/>
          <w:bCs/>
          <w:highlight w:val="yellow"/>
        </w:rPr>
        <w:t>and SP</w:t>
      </w:r>
      <w:r>
        <w:rPr>
          <w:rFonts w:hint="eastAsia" w:ascii="Times New Roman" w:hAnsi="Times New Roman" w:eastAsia="宋体"/>
          <w:bCs/>
          <w:highlight w:val="yellow"/>
          <w:lang w:val="en-US" w:eastAsia="zh-CN"/>
        </w:rPr>
        <w:t xml:space="preserve"> (red line, n = 5)</w:t>
      </w:r>
      <w:r>
        <w:rPr>
          <w:rFonts w:hint="eastAsia" w:ascii="Times New Roman" w:hAnsi="Times New Roman" w:eastAsia="宋体"/>
          <w:bCs/>
          <w:highlight w:val="yellow"/>
        </w:rPr>
        <w:t xml:space="preserve"> group before and after freezing under </w:t>
      </w:r>
      <w:r>
        <w:rPr>
          <w:rFonts w:hint="eastAsia" w:ascii="Times New Roman" w:hAnsi="Times New Roman"/>
          <w:highlight w:val="yellow"/>
        </w:rPr>
        <w:t>anaerobic and aerobic condition</w:t>
      </w:r>
      <w:r>
        <w:rPr>
          <w:rFonts w:ascii="Times New Roman" w:hAnsi="Times New Roman"/>
          <w:highlight w:val="yellow"/>
        </w:rPr>
        <w:t>s</w:t>
      </w:r>
      <w:r>
        <w:rPr>
          <w:rFonts w:hint="eastAsia" w:ascii="Times New Roman" w:hAnsi="Times New Roman"/>
          <w:highlight w:val="yellow"/>
        </w:rPr>
        <w:t xml:space="preserve"> for 48 h (dilution ratio 1:1000). </w:t>
      </w:r>
      <w:r>
        <w:rPr>
          <w:rFonts w:ascii="Times New Roman" w:hAnsi="Times New Roman"/>
          <w:highlight w:val="yellow"/>
        </w:rPr>
        <w:t>Data are</w:t>
      </w:r>
      <w:r>
        <w:rPr>
          <w:rFonts w:hint="eastAsia" w:ascii="Times New Roman" w:hAnsi="Times New Roman"/>
          <w:highlight w:val="yellow"/>
        </w:rPr>
        <w:t xml:space="preserve"> expressed as </w:t>
      </w:r>
      <w:r>
        <w:rPr>
          <w:rFonts w:ascii="Times New Roman" w:hAnsi="Times New Roman"/>
          <w:highlight w:val="yellow"/>
        </w:rPr>
        <w:t xml:space="preserve">the </w:t>
      </w:r>
      <w:r>
        <w:rPr>
          <w:rFonts w:hint="eastAsia" w:ascii="Times New Roman" w:hAnsi="Times New Roman"/>
          <w:highlight w:val="yellow"/>
        </w:rPr>
        <w:t xml:space="preserve">mean. </w:t>
      </w:r>
      <w:r>
        <w:rPr>
          <w:rFonts w:ascii="Times New Roman" w:hAnsi="Times New Roman"/>
          <w:highlight w:val="yellow"/>
        </w:rPr>
        <w:t xml:space="preserve">Statistical significance was determined using a </w:t>
      </w:r>
      <w:r>
        <w:rPr>
          <w:rFonts w:hint="eastAsia" w:ascii="Times New Roman" w:hAnsi="Times New Roman"/>
          <w:highlight w:val="yellow"/>
        </w:rPr>
        <w:t>t-test</w:t>
      </w:r>
      <w:r>
        <w:rPr>
          <w:rFonts w:ascii="Times New Roman" w:hAnsi="Times New Roman"/>
          <w:highlight w:val="yellow"/>
        </w:rPr>
        <w:t>.</w:t>
      </w:r>
    </w:p>
    <w:p>
      <w:pPr>
        <w:rPr>
          <w:rFonts w:hint="eastAsia" w:ascii="Times New Roman" w:hAnsi="Times New Roman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br w:type="page"/>
      </w:r>
    </w:p>
    <w:p>
      <w:pPr>
        <w:jc w:val="left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  <w:lang w:val="en-US" w:eastAsia="zh-CN"/>
        </w:rPr>
        <w:t xml:space="preserve">Assessment of Salivary </w:t>
      </w:r>
      <w:r>
        <w:rPr>
          <w:rFonts w:ascii="Times New Roman" w:hAnsi="Times New Roman"/>
          <w:b/>
          <w:bCs/>
        </w:rPr>
        <w:t>Bacterial c</w:t>
      </w:r>
      <w:r>
        <w:rPr>
          <w:rFonts w:hint="eastAsia" w:ascii="Times New Roman" w:hAnsi="Times New Roman"/>
          <w:b/>
          <w:bCs/>
        </w:rPr>
        <w:t>ount</w:t>
      </w:r>
      <w:r>
        <w:rPr>
          <w:rFonts w:hint="eastAsia" w:ascii="Times New Roman" w:hAnsi="Times New Roman"/>
          <w:b/>
          <w:bCs/>
          <w:lang w:val="en-US" w:eastAsia="zh-CN"/>
        </w:rPr>
        <w:t>s</w:t>
      </w:r>
    </w:p>
    <w:p>
      <w:pPr>
        <w:ind w:firstLine="416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To </w:t>
      </w:r>
      <w:r>
        <w:rPr>
          <w:rFonts w:hint="eastAsia" w:ascii="Times New Roman" w:hAnsi="Times New Roman"/>
          <w:bCs/>
          <w:highlight w:val="yellow"/>
        </w:rPr>
        <w:t>confirm</w:t>
      </w:r>
      <w:r>
        <w:rPr>
          <w:rFonts w:ascii="Times New Roman" w:hAnsi="Times New Roman"/>
        </w:rPr>
        <w:t xml:space="preserve"> the good preservation of bacteria, salivary bacteria were cultured after cryopreservation.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One hundred microlitres of </w:t>
      </w:r>
      <w:r>
        <w:rPr>
          <w:rFonts w:hint="eastAsia" w:ascii="Times New Roman" w:hAnsi="Times New Roman"/>
        </w:rPr>
        <w:t>thawed</w:t>
      </w:r>
      <w:r>
        <w:rPr>
          <w:rFonts w:ascii="Times New Roman" w:hAnsi="Times New Roman"/>
        </w:rPr>
        <w:t xml:space="preserve"> and pooled saliva samples were placed into brain heart infusion (BHI) broth medium made by 3.7 g/100 mL brain heart infusion (Remel Inc, Lenexa, USA), 0.5 g/100 mL yeast extract (Remel Inc, Lenexa, USA), 1 mg/L hemin (Alfa Aesar, Haverhill, USA), 1 mg/L menadione (Alfa Aesar, Haverhill, USA), 1.8 g/100 mL agar (Biosharp, Anhui, China), and 5 mL/100 mL defibrinated sheep blood (Guangzhou Ruite Biotechnology Co. Ltd, Guangzhou, China) and cultured at 37°C under anaerobic conditions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for 14 days.</w:t>
      </w:r>
    </w:p>
    <w:p>
      <w:pPr>
        <w:ind w:firstLine="420" w:firstLineChars="20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The collected saliva samples from each individual w</w:t>
      </w:r>
      <w:r>
        <w:rPr>
          <w:rFonts w:hint="eastAsia" w:ascii="Times New Roman" w:hAnsi="Times New Roman"/>
        </w:rPr>
        <w:t xml:space="preserve">ere </w:t>
      </w:r>
      <w:r>
        <w:rPr>
          <w:rFonts w:ascii="Times New Roman" w:hAnsi="Times New Roman"/>
        </w:rPr>
        <w:t>divided into fresh and frozen portions. The frozen portions were mixed with an equal volume (w/v) of phosphate-buffered saline (PBS) containing 20% glycerol and stored at −80°C</w:t>
      </w:r>
      <w:r>
        <w:rPr>
          <w:rFonts w:hint="eastAsia" w:ascii="Times New Roman" w:hAnsi="Times New Roman"/>
        </w:rPr>
        <w:t xml:space="preserve"> for 7 days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</w:rPr>
        <w:t xml:space="preserve"> Then</w:t>
      </w:r>
      <w:r>
        <w:rPr>
          <w:rFonts w:ascii="Times New Roman" w:hAnsi="Times New Roman"/>
        </w:rPr>
        <w:t>,</w:t>
      </w:r>
      <w:r>
        <w:rPr>
          <w:rFonts w:hint="eastAsia" w:ascii="Times New Roman" w:hAnsi="Times New Roman"/>
        </w:rPr>
        <w:t xml:space="preserve"> the frozen saliva samples were thawed. </w:t>
      </w:r>
      <w:r>
        <w:rPr>
          <w:rFonts w:ascii="Times New Roman" w:hAnsi="Times New Roman"/>
        </w:rPr>
        <w:t>A total of</w:t>
      </w:r>
      <w:r>
        <w:rPr>
          <w:rFonts w:hint="eastAsia" w:ascii="Times New Roman" w:hAnsi="Times New Roman"/>
        </w:rPr>
        <w:t xml:space="preserve"> 1 mL of fresh saliva and 2 mL of thawed saliva (containing 1 mL of saliva and 1 mL of </w:t>
      </w:r>
      <w:r>
        <w:rPr>
          <w:rFonts w:ascii="Times New Roman" w:hAnsi="Times New Roman"/>
        </w:rPr>
        <w:t>glycerol/PBS</w:t>
      </w:r>
      <w:r>
        <w:rPr>
          <w:rFonts w:hint="eastAsia" w:ascii="Times New Roman" w:hAnsi="Times New Roman"/>
        </w:rPr>
        <w:t xml:space="preserve">) from each participant were </w:t>
      </w:r>
      <w:r>
        <w:rPr>
          <w:rFonts w:ascii="Times New Roman" w:hAnsi="Times New Roman"/>
        </w:rPr>
        <w:t xml:space="preserve">centrifuged at 1,000 × </w:t>
      </w:r>
      <w:r>
        <w:rPr>
          <w:rFonts w:ascii="Times New Roman" w:hAnsi="Times New Roman"/>
          <w:i/>
          <w:iCs/>
        </w:rPr>
        <w:t>g</w:t>
      </w:r>
      <w:r>
        <w:rPr>
          <w:rFonts w:ascii="Times New Roman" w:hAnsi="Times New Roman"/>
        </w:rPr>
        <w:t xml:space="preserve"> for 5 min to remove food residues </w:t>
      </w:r>
      <w:r>
        <w:rPr>
          <w:rFonts w:hint="eastAsia" w:ascii="Times New Roman" w:hAnsi="Times New Roman"/>
        </w:rPr>
        <w:t xml:space="preserve">and exfoliated cells and then </w:t>
      </w:r>
      <w:r>
        <w:rPr>
          <w:rFonts w:ascii="Times New Roman" w:hAnsi="Times New Roman"/>
        </w:rPr>
        <w:t xml:space="preserve">centrifuged at 3,300 × </w:t>
      </w:r>
      <w:r>
        <w:rPr>
          <w:rFonts w:ascii="Times New Roman" w:hAnsi="Times New Roman"/>
          <w:i/>
          <w:iCs/>
        </w:rPr>
        <w:t>g</w:t>
      </w:r>
      <w:r>
        <w:rPr>
          <w:rFonts w:ascii="Times New Roman" w:hAnsi="Times New Roman"/>
        </w:rPr>
        <w:t xml:space="preserve"> for 10 min at 4°C to collect the microbiota.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Then, the salivary microbiota was suspended </w:t>
      </w:r>
      <w:r>
        <w:rPr>
          <w:rFonts w:hint="eastAsia" w:ascii="Times New Roman" w:hAnsi="Times New Roman"/>
        </w:rPr>
        <w:t>in 1 mL of</w:t>
      </w:r>
      <w:r>
        <w:rPr>
          <w:rFonts w:ascii="Times New Roman" w:hAnsi="Times New Roman"/>
        </w:rPr>
        <w:t xml:space="preserve"> PBS</w:t>
      </w:r>
      <w:r>
        <w:rPr>
          <w:rFonts w:hint="eastAsia"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The </w:t>
      </w:r>
      <w:r>
        <w:rPr>
          <w:rFonts w:hint="eastAsia" w:ascii="Times New Roman" w:hAnsi="Times New Roman"/>
        </w:rPr>
        <w:t>s</w:t>
      </w:r>
      <w:r>
        <w:rPr>
          <w:rFonts w:ascii="Times New Roman" w:hAnsi="Times New Roman"/>
        </w:rPr>
        <w:t>aliva</w:t>
      </w:r>
      <w:r>
        <w:rPr>
          <w:rFonts w:hint="eastAsia" w:ascii="Times New Roman" w:hAnsi="Times New Roman"/>
        </w:rPr>
        <w:t>ry microbiota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</w:rPr>
        <w:t>suspension</w:t>
      </w:r>
      <w:r>
        <w:rPr>
          <w:rFonts w:ascii="Times New Roman" w:hAnsi="Times New Roman"/>
        </w:rPr>
        <w:t>s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were serially diluted to 1 in</w:t>
      </w:r>
      <w:r>
        <w:rPr>
          <w:rFonts w:hint="eastAsia" w:ascii="Times New Roman" w:hAnsi="Times New Roman"/>
        </w:rPr>
        <w:t xml:space="preserve"> 1000 and</w:t>
      </w:r>
      <w:r>
        <w:rPr>
          <w:rFonts w:ascii="Times New Roman" w:hAnsi="Times New Roman"/>
        </w:rPr>
        <w:t>10,000 in PBS and used to inoculate lysed blood agar plates. One series of plates were incubated under anaerobic conditions (10% CO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, 10% 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, 80% N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) at 37°C for 48 h, and the other in air at 37°C for </w:t>
      </w:r>
      <w:r>
        <w:rPr>
          <w:rFonts w:hint="eastAsia" w:ascii="Times New Roman" w:hAnsi="Times New Roman"/>
        </w:rPr>
        <w:t>48</w:t>
      </w:r>
      <w:r>
        <w:rPr>
          <w:rFonts w:ascii="Times New Roman" w:hAnsi="Times New Roman"/>
        </w:rPr>
        <w:t xml:space="preserve"> h. After the incubation period, the resulting colonies were counted to determine the number of colony forming units (CFU</w:t>
      </w: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</w:rPr>
        <w:t>) per 1 mL.</w:t>
      </w:r>
    </w:p>
    <w:p>
      <w:pPr>
        <w:widowControl/>
        <w:jc w:val="left"/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0146CA"/>
    <w:multiLevelType w:val="singleLevel"/>
    <w:tmpl w:val="A60146CA"/>
    <w:lvl w:ilvl="0" w:tentative="0">
      <w:start w:val="4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DdiYTExMjY2OTY1OWNlMzBmNzFkZDE1YzlhMD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ttz2e95rr5x7epvzovrvfdxes90tfv0vts&quot;&gt;我的EndNote库&lt;record-ids&gt;&lt;item&gt;10&lt;/item&gt;&lt;item&gt;143&lt;/item&gt;&lt;item&gt;208&lt;/item&gt;&lt;/record-ids&gt;&lt;/item&gt;&lt;/Libraries&gt;"/>
  </w:docVars>
  <w:rsids>
    <w:rsidRoot w:val="75C40B12"/>
    <w:rsid w:val="000621FF"/>
    <w:rsid w:val="000E0596"/>
    <w:rsid w:val="00136D76"/>
    <w:rsid w:val="00150126"/>
    <w:rsid w:val="00197A14"/>
    <w:rsid w:val="002E7160"/>
    <w:rsid w:val="00327CBE"/>
    <w:rsid w:val="004613E5"/>
    <w:rsid w:val="004751C6"/>
    <w:rsid w:val="004773C4"/>
    <w:rsid w:val="004B345A"/>
    <w:rsid w:val="00534E5D"/>
    <w:rsid w:val="005D1FAD"/>
    <w:rsid w:val="006E6851"/>
    <w:rsid w:val="008B2640"/>
    <w:rsid w:val="00943A01"/>
    <w:rsid w:val="009B0978"/>
    <w:rsid w:val="00A14DDD"/>
    <w:rsid w:val="00A36FD8"/>
    <w:rsid w:val="00A434E5"/>
    <w:rsid w:val="00A47721"/>
    <w:rsid w:val="00B53AF8"/>
    <w:rsid w:val="00B67A3F"/>
    <w:rsid w:val="00B75C79"/>
    <w:rsid w:val="00CF13AD"/>
    <w:rsid w:val="00D02EC2"/>
    <w:rsid w:val="00D12260"/>
    <w:rsid w:val="00D14643"/>
    <w:rsid w:val="00DC44CE"/>
    <w:rsid w:val="00F03338"/>
    <w:rsid w:val="00F75D38"/>
    <w:rsid w:val="0289373F"/>
    <w:rsid w:val="041763AA"/>
    <w:rsid w:val="05E800DA"/>
    <w:rsid w:val="07EC2F93"/>
    <w:rsid w:val="090A49DE"/>
    <w:rsid w:val="0FAB6735"/>
    <w:rsid w:val="14F45BC6"/>
    <w:rsid w:val="150C0DE1"/>
    <w:rsid w:val="158470CC"/>
    <w:rsid w:val="18D80872"/>
    <w:rsid w:val="1B945D3A"/>
    <w:rsid w:val="1BAE05FC"/>
    <w:rsid w:val="1E20287C"/>
    <w:rsid w:val="1F4B4825"/>
    <w:rsid w:val="1FD601A1"/>
    <w:rsid w:val="24F93384"/>
    <w:rsid w:val="25502E68"/>
    <w:rsid w:val="26815AEB"/>
    <w:rsid w:val="2CA8292A"/>
    <w:rsid w:val="2D210113"/>
    <w:rsid w:val="2F0F77DA"/>
    <w:rsid w:val="2F774EDB"/>
    <w:rsid w:val="30121344"/>
    <w:rsid w:val="30761C6F"/>
    <w:rsid w:val="33D76101"/>
    <w:rsid w:val="342C3BC5"/>
    <w:rsid w:val="366748F7"/>
    <w:rsid w:val="3AB62705"/>
    <w:rsid w:val="3B80048F"/>
    <w:rsid w:val="3C863FD8"/>
    <w:rsid w:val="40CC5889"/>
    <w:rsid w:val="421301F9"/>
    <w:rsid w:val="47560FAE"/>
    <w:rsid w:val="476428D8"/>
    <w:rsid w:val="488F0B64"/>
    <w:rsid w:val="48E629B4"/>
    <w:rsid w:val="4B3C0EF4"/>
    <w:rsid w:val="4E362763"/>
    <w:rsid w:val="4E8463D6"/>
    <w:rsid w:val="4FFC7D17"/>
    <w:rsid w:val="50253053"/>
    <w:rsid w:val="53423054"/>
    <w:rsid w:val="53A66A58"/>
    <w:rsid w:val="55FC71C4"/>
    <w:rsid w:val="5671064C"/>
    <w:rsid w:val="56EE5025"/>
    <w:rsid w:val="590C7201"/>
    <w:rsid w:val="5ABE4A59"/>
    <w:rsid w:val="5DE2282F"/>
    <w:rsid w:val="5F130606"/>
    <w:rsid w:val="5FD73928"/>
    <w:rsid w:val="60EF699F"/>
    <w:rsid w:val="650B01CF"/>
    <w:rsid w:val="65F8756E"/>
    <w:rsid w:val="663F14FE"/>
    <w:rsid w:val="67A91751"/>
    <w:rsid w:val="68521594"/>
    <w:rsid w:val="6A016C8E"/>
    <w:rsid w:val="6BA61D2F"/>
    <w:rsid w:val="6D182FAA"/>
    <w:rsid w:val="6FB373E9"/>
    <w:rsid w:val="70BD2932"/>
    <w:rsid w:val="72AF0609"/>
    <w:rsid w:val="73D5235D"/>
    <w:rsid w:val="741507BC"/>
    <w:rsid w:val="75C40B12"/>
    <w:rsid w:val="774D004E"/>
    <w:rsid w:val="7B547411"/>
    <w:rsid w:val="7B6916BB"/>
    <w:rsid w:val="7CE27E47"/>
    <w:rsid w:val="7DD5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22"/>
    <w:qFormat/>
    <w:uiPriority w:val="0"/>
    <w:rPr>
      <w:sz w:val="18"/>
      <w:szCs w:val="18"/>
    </w:rPr>
  </w:style>
  <w:style w:type="paragraph" w:styleId="4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qFormat/>
    <w:uiPriority w:val="0"/>
    <w:rPr>
      <w:b/>
      <w:bCs/>
    </w:rPr>
  </w:style>
  <w:style w:type="character" w:styleId="9">
    <w:name w:val="lin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paragraph" w:customStyle="1" w:styleId="12">
    <w:name w:val="EndNote Bibliography Title"/>
    <w:basedOn w:val="1"/>
    <w:link w:val="13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3">
    <w:name w:val="EndNote Bibliography Title 字符"/>
    <w:basedOn w:val="8"/>
    <w:link w:val="12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4">
    <w:name w:val="EndNote Bibliography"/>
    <w:basedOn w:val="1"/>
    <w:link w:val="15"/>
    <w:qFormat/>
    <w:uiPriority w:val="0"/>
    <w:rPr>
      <w:rFonts w:ascii="Calibri" w:hAnsi="Calibri" w:cs="Calibri"/>
      <w:sz w:val="20"/>
    </w:rPr>
  </w:style>
  <w:style w:type="character" w:customStyle="1" w:styleId="15">
    <w:name w:val="EndNote Bibliography 字符"/>
    <w:basedOn w:val="8"/>
    <w:link w:val="14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6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1067</Words>
  <Characters>5602</Characters>
  <Lines>28</Lines>
  <Paragraphs>8</Paragraphs>
  <TotalTime>5</TotalTime>
  <ScaleCrop>false</ScaleCrop>
  <LinksUpToDate>false</LinksUpToDate>
  <CharactersWithSpaces>6342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2021-10-05T09:26:00Z</dcterms:created>
  <dc:creator>保珺</dc:creator>
  <cp:lastModifiedBy>保珺</cp:lastModifiedBy>
  <dcterms:modified xsi:type="dcterms:W3CDTF">2022-05-23T01:30:03Z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20D800E6526749CE996867A7F77E33E7</vt:lpwstr>
  </property>
</Properties>
</file>