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C03" w:rsidRPr="008473C0" w:rsidRDefault="00B83C03" w:rsidP="00661FBE">
      <w:pPr>
        <w:spacing w:line="360" w:lineRule="auto"/>
        <w:jc w:val="both"/>
        <w:rPr>
          <w:rFonts w:asciiTheme="minorHAnsi" w:hAnsiTheme="minorHAnsi" w:cstheme="minorHAnsi"/>
          <w:sz w:val="22"/>
          <w:szCs w:val="22"/>
        </w:rPr>
      </w:pPr>
      <w:r w:rsidRPr="000334BE">
        <w:rPr>
          <w:rFonts w:asciiTheme="minorHAnsi" w:hAnsiTheme="minorHAnsi" w:cstheme="minorHAnsi"/>
          <w:b/>
          <w:bCs/>
          <w:sz w:val="22"/>
          <w:szCs w:val="22"/>
        </w:rPr>
        <w:t xml:space="preserve">Supplementary Figure </w:t>
      </w:r>
      <w:r>
        <w:rPr>
          <w:rFonts w:asciiTheme="minorHAnsi" w:hAnsiTheme="minorHAnsi" w:cstheme="minorHAnsi"/>
          <w:b/>
          <w:bCs/>
          <w:sz w:val="22"/>
          <w:szCs w:val="22"/>
        </w:rPr>
        <w:t>1</w:t>
      </w:r>
      <w:r w:rsidRPr="000334BE">
        <w:rPr>
          <w:rFonts w:asciiTheme="minorHAnsi" w:hAnsiTheme="minorHAnsi" w:cstheme="minorHAnsi"/>
          <w:b/>
          <w:bCs/>
          <w:sz w:val="22"/>
          <w:szCs w:val="22"/>
        </w:rPr>
        <w:t xml:space="preserve">. </w:t>
      </w:r>
      <w:r w:rsidRPr="00092D8D">
        <w:rPr>
          <w:rFonts w:asciiTheme="minorHAnsi" w:hAnsiTheme="minorHAnsi" w:cstheme="minorHAnsi"/>
          <w:b/>
          <w:bCs/>
          <w:sz w:val="22"/>
          <w:szCs w:val="22"/>
        </w:rPr>
        <w:t>Representative micro-CT sagittal section of the periapical region following type of colonization</w:t>
      </w:r>
      <w:r>
        <w:rPr>
          <w:rFonts w:asciiTheme="minorHAnsi" w:hAnsiTheme="minorHAnsi" w:cstheme="minorHAnsi"/>
          <w:b/>
          <w:bCs/>
          <w:sz w:val="22"/>
          <w:szCs w:val="22"/>
        </w:rPr>
        <w:t xml:space="preserve">. </w:t>
      </w:r>
      <w:r w:rsidRPr="000A2834">
        <w:rPr>
          <w:rFonts w:asciiTheme="minorHAnsi" w:hAnsiTheme="minorHAnsi" w:cstheme="minorHAnsi"/>
          <w:sz w:val="22"/>
          <w:szCs w:val="22"/>
        </w:rPr>
        <w:t xml:space="preserve">Red areas definize the regions of interest in the apical area used to analyze the volume of periapical lesions </w:t>
      </w:r>
      <w:r w:rsidRPr="008473C0">
        <w:rPr>
          <w:rFonts w:asciiTheme="minorHAnsi" w:hAnsiTheme="minorHAnsi" w:cstheme="minorHAnsi"/>
          <w:sz w:val="22"/>
          <w:szCs w:val="22"/>
        </w:rPr>
        <w:t xml:space="preserve">for each conditions (Color code: </w:t>
      </w:r>
      <w:r w:rsidR="007F48DE">
        <w:rPr>
          <w:rFonts w:asciiTheme="minorHAnsi" w:hAnsiTheme="minorHAnsi" w:cstheme="minorHAnsi"/>
          <w:sz w:val="22"/>
          <w:szCs w:val="22"/>
        </w:rPr>
        <w:t>a</w:t>
      </w:r>
      <w:r w:rsidRPr="008473C0">
        <w:rPr>
          <w:rFonts w:asciiTheme="minorHAnsi" w:hAnsiTheme="minorHAnsi" w:cstheme="minorHAnsi"/>
          <w:sz w:val="22"/>
          <w:szCs w:val="22"/>
        </w:rPr>
        <w:t xml:space="preserve">) gray = NC, </w:t>
      </w:r>
      <w:r w:rsidR="007F48DE">
        <w:rPr>
          <w:rFonts w:asciiTheme="minorHAnsi" w:eastAsia="宋体" w:hAnsiTheme="minorHAnsi" w:cstheme="minorHAnsi" w:hint="eastAsia"/>
          <w:sz w:val="22"/>
          <w:szCs w:val="22"/>
          <w:lang w:eastAsia="zh-CN"/>
        </w:rPr>
        <w:t>b</w:t>
      </w:r>
      <w:r w:rsidRPr="008473C0">
        <w:rPr>
          <w:rFonts w:asciiTheme="minorHAnsi" w:hAnsiTheme="minorHAnsi" w:cstheme="minorHAnsi"/>
          <w:sz w:val="22"/>
          <w:szCs w:val="22"/>
        </w:rPr>
        <w:t xml:space="preserve">) white = HFD, </w:t>
      </w:r>
      <w:r w:rsidR="007F48DE">
        <w:rPr>
          <w:rFonts w:asciiTheme="minorHAnsi" w:eastAsia="宋体" w:hAnsiTheme="minorHAnsi" w:cstheme="minorHAnsi" w:hint="eastAsia"/>
          <w:sz w:val="22"/>
          <w:szCs w:val="22"/>
          <w:lang w:eastAsia="zh-CN"/>
        </w:rPr>
        <w:t>c</w:t>
      </w:r>
      <w:r w:rsidRPr="008473C0">
        <w:rPr>
          <w:rFonts w:asciiTheme="minorHAnsi" w:hAnsiTheme="minorHAnsi" w:cstheme="minorHAnsi"/>
          <w:sz w:val="22"/>
          <w:szCs w:val="22"/>
        </w:rPr>
        <w:t xml:space="preserve">) blue = Pg WT, </w:t>
      </w:r>
      <w:r w:rsidR="007F48DE">
        <w:rPr>
          <w:rFonts w:asciiTheme="minorHAnsi" w:eastAsia="宋体" w:hAnsiTheme="minorHAnsi" w:cstheme="minorHAnsi" w:hint="eastAsia"/>
          <w:sz w:val="22"/>
          <w:szCs w:val="22"/>
          <w:lang w:eastAsia="zh-CN"/>
        </w:rPr>
        <w:t>d</w:t>
      </w:r>
      <w:r w:rsidRPr="008473C0">
        <w:rPr>
          <w:rFonts w:asciiTheme="minorHAnsi" w:hAnsiTheme="minorHAnsi" w:cstheme="minorHAnsi"/>
          <w:sz w:val="22"/>
          <w:szCs w:val="22"/>
        </w:rPr>
        <w:t xml:space="preserve">) orange = No LPS Pg, </w:t>
      </w:r>
      <w:r w:rsidR="007F48DE">
        <w:rPr>
          <w:rFonts w:asciiTheme="minorHAnsi" w:eastAsia="宋体" w:hAnsiTheme="minorHAnsi" w:cstheme="minorHAnsi" w:hint="eastAsia"/>
          <w:sz w:val="22"/>
          <w:szCs w:val="22"/>
          <w:lang w:eastAsia="zh-CN"/>
        </w:rPr>
        <w:t>e</w:t>
      </w:r>
      <w:r w:rsidRPr="008473C0">
        <w:rPr>
          <w:rFonts w:asciiTheme="minorHAnsi" w:hAnsiTheme="minorHAnsi" w:cstheme="minorHAnsi"/>
          <w:sz w:val="22"/>
          <w:szCs w:val="22"/>
        </w:rPr>
        <w:t>)green = Pg LPS).</w:t>
      </w:r>
    </w:p>
    <w:p w:rsidR="00B83C03" w:rsidRPr="00092D8D" w:rsidRDefault="00B83C03" w:rsidP="00661FBE">
      <w:pPr>
        <w:spacing w:line="360" w:lineRule="auto"/>
        <w:jc w:val="both"/>
        <w:rPr>
          <w:rFonts w:asciiTheme="minorHAnsi" w:hAnsiTheme="minorHAnsi" w:cstheme="minorHAnsi"/>
          <w:b/>
          <w:bCs/>
          <w:sz w:val="22"/>
          <w:szCs w:val="22"/>
        </w:rPr>
      </w:pPr>
      <w:r>
        <w:rPr>
          <w:rFonts w:asciiTheme="majorHAnsi" w:hAnsiTheme="majorHAnsi" w:cstheme="majorHAnsi"/>
          <w:color w:val="000000"/>
        </w:rPr>
        <w:t xml:space="preserve"> </w:t>
      </w:r>
    </w:p>
    <w:p w:rsidR="00B83C03" w:rsidRPr="000334BE" w:rsidRDefault="00B83C03" w:rsidP="00661FBE">
      <w:pPr>
        <w:spacing w:line="360" w:lineRule="auto"/>
        <w:jc w:val="both"/>
        <w:rPr>
          <w:rFonts w:asciiTheme="minorHAnsi" w:hAnsiTheme="minorHAnsi" w:cstheme="minorHAnsi"/>
          <w:sz w:val="22"/>
          <w:szCs w:val="22"/>
        </w:rPr>
      </w:pPr>
      <w:r w:rsidRPr="000334BE">
        <w:rPr>
          <w:rFonts w:asciiTheme="minorHAnsi" w:hAnsiTheme="minorHAnsi" w:cstheme="minorHAnsi"/>
          <w:b/>
          <w:bCs/>
          <w:sz w:val="22"/>
          <w:szCs w:val="22"/>
        </w:rPr>
        <w:t xml:space="preserve">Supplementary Figure </w:t>
      </w:r>
      <w:r>
        <w:rPr>
          <w:rFonts w:asciiTheme="minorHAnsi" w:hAnsiTheme="minorHAnsi" w:cstheme="minorHAnsi"/>
          <w:b/>
          <w:bCs/>
          <w:sz w:val="22"/>
          <w:szCs w:val="22"/>
        </w:rPr>
        <w:t>2</w:t>
      </w:r>
      <w:r w:rsidRPr="000334BE">
        <w:rPr>
          <w:rFonts w:asciiTheme="minorHAnsi" w:hAnsiTheme="minorHAnsi" w:cstheme="minorHAnsi"/>
          <w:b/>
          <w:bCs/>
          <w:sz w:val="22"/>
          <w:szCs w:val="22"/>
        </w:rPr>
        <w:t xml:space="preserve">. </w:t>
      </w:r>
      <w:r w:rsidRPr="00092D8D">
        <w:rPr>
          <w:rFonts w:asciiTheme="minorHAnsi" w:hAnsiTheme="minorHAnsi" w:cstheme="minorHAnsi"/>
          <w:b/>
          <w:bCs/>
          <w:sz w:val="22"/>
          <w:szCs w:val="22"/>
        </w:rPr>
        <w:t>Representative micro-CT sagittal section of the periapical region following type of colonization</w:t>
      </w:r>
      <w:r>
        <w:rPr>
          <w:rFonts w:asciiTheme="minorHAnsi" w:hAnsiTheme="minorHAnsi" w:cstheme="minorHAnsi"/>
          <w:b/>
          <w:bCs/>
          <w:sz w:val="22"/>
          <w:szCs w:val="22"/>
        </w:rPr>
        <w:t xml:space="preserve"> and genotype of mice. </w:t>
      </w:r>
      <w:r w:rsidRPr="000A2834">
        <w:rPr>
          <w:rFonts w:asciiTheme="minorHAnsi" w:hAnsiTheme="minorHAnsi" w:cstheme="minorHAnsi"/>
          <w:sz w:val="22"/>
          <w:szCs w:val="22"/>
        </w:rPr>
        <w:t xml:space="preserve">Red areas definize the regions of interest in the apical area used to analyze the volume of </w:t>
      </w:r>
      <w:r w:rsidRPr="008473C0">
        <w:rPr>
          <w:rFonts w:asciiTheme="minorHAnsi" w:hAnsiTheme="minorHAnsi" w:cstheme="minorHAnsi"/>
          <w:sz w:val="22"/>
          <w:szCs w:val="22"/>
        </w:rPr>
        <w:t xml:space="preserve">periapical lesions for each conditions (Color code: </w:t>
      </w:r>
      <w:r w:rsidR="007F48DE">
        <w:rPr>
          <w:rFonts w:asciiTheme="minorHAnsi" w:eastAsia="宋体" w:hAnsiTheme="minorHAnsi" w:cstheme="minorHAnsi" w:hint="eastAsia"/>
          <w:sz w:val="22"/>
          <w:szCs w:val="22"/>
          <w:lang w:eastAsia="zh-CN"/>
        </w:rPr>
        <w:t>a</w:t>
      </w:r>
      <w:r w:rsidRPr="008473C0">
        <w:rPr>
          <w:rFonts w:asciiTheme="minorHAnsi" w:hAnsiTheme="minorHAnsi" w:cstheme="minorHAnsi"/>
          <w:sz w:val="22"/>
          <w:szCs w:val="22"/>
        </w:rPr>
        <w:t xml:space="preserve">) white = HFD in WT mice, </w:t>
      </w:r>
      <w:r w:rsidR="007F48DE">
        <w:rPr>
          <w:rFonts w:asciiTheme="minorHAnsi" w:eastAsia="宋体" w:hAnsiTheme="minorHAnsi" w:cstheme="minorHAnsi" w:hint="eastAsia"/>
          <w:sz w:val="22"/>
          <w:szCs w:val="22"/>
          <w:lang w:eastAsia="zh-CN"/>
        </w:rPr>
        <w:t>b</w:t>
      </w:r>
      <w:r w:rsidRPr="008473C0">
        <w:rPr>
          <w:rFonts w:asciiTheme="minorHAnsi" w:hAnsiTheme="minorHAnsi" w:cstheme="minorHAnsi"/>
          <w:sz w:val="22"/>
          <w:szCs w:val="22"/>
        </w:rPr>
        <w:t xml:space="preserve">) blue = Pg WT in WT mice, </w:t>
      </w:r>
      <w:r w:rsidR="007F48DE">
        <w:rPr>
          <w:rFonts w:asciiTheme="minorHAnsi" w:eastAsia="宋体" w:hAnsiTheme="minorHAnsi" w:cstheme="minorHAnsi" w:hint="eastAsia"/>
          <w:sz w:val="22"/>
          <w:szCs w:val="22"/>
          <w:lang w:eastAsia="zh-CN"/>
        </w:rPr>
        <w:t>c</w:t>
      </w:r>
      <w:r w:rsidRPr="008473C0">
        <w:rPr>
          <w:rFonts w:asciiTheme="minorHAnsi" w:hAnsiTheme="minorHAnsi" w:cstheme="minorHAnsi"/>
          <w:sz w:val="22"/>
          <w:szCs w:val="22"/>
        </w:rPr>
        <w:t xml:space="preserve">) white = HFD in IL17 KO mice, </w:t>
      </w:r>
      <w:r w:rsidR="007F48DE">
        <w:rPr>
          <w:rFonts w:asciiTheme="minorHAnsi" w:eastAsia="宋体" w:hAnsiTheme="minorHAnsi" w:cstheme="minorHAnsi" w:hint="eastAsia"/>
          <w:sz w:val="22"/>
          <w:szCs w:val="22"/>
          <w:lang w:eastAsia="zh-CN"/>
        </w:rPr>
        <w:t>d</w:t>
      </w:r>
      <w:r w:rsidRPr="008473C0">
        <w:rPr>
          <w:rFonts w:asciiTheme="minorHAnsi" w:hAnsiTheme="minorHAnsi" w:cstheme="minorHAnsi"/>
          <w:sz w:val="22"/>
          <w:szCs w:val="22"/>
        </w:rPr>
        <w:t>) blue = Pg WT in IL17 KO mice</w:t>
      </w:r>
      <w:r>
        <w:rPr>
          <w:rFonts w:asciiTheme="minorHAnsi" w:hAnsiTheme="minorHAnsi" w:cstheme="minorHAnsi"/>
          <w:sz w:val="22"/>
          <w:szCs w:val="22"/>
        </w:rPr>
        <w:t>)</w:t>
      </w:r>
      <w:r w:rsidRPr="000334BE">
        <w:rPr>
          <w:rFonts w:asciiTheme="minorHAnsi" w:hAnsiTheme="minorHAnsi" w:cstheme="minorHAnsi"/>
          <w:sz w:val="22"/>
          <w:szCs w:val="22"/>
        </w:rPr>
        <w:t>.</w:t>
      </w:r>
    </w:p>
    <w:p w:rsidR="00B83C03" w:rsidRPr="000334BE" w:rsidRDefault="00B83C03" w:rsidP="00661FBE">
      <w:pPr>
        <w:spacing w:line="360" w:lineRule="auto"/>
        <w:jc w:val="both"/>
        <w:rPr>
          <w:rFonts w:asciiTheme="minorHAnsi" w:hAnsiTheme="minorHAnsi" w:cstheme="minorHAnsi"/>
          <w:sz w:val="22"/>
          <w:szCs w:val="22"/>
        </w:rPr>
      </w:pPr>
      <w:r w:rsidRPr="000334BE">
        <w:rPr>
          <w:rFonts w:asciiTheme="minorHAnsi" w:hAnsiTheme="minorHAnsi" w:cstheme="minorHAnsi"/>
          <w:b/>
          <w:bCs/>
          <w:sz w:val="22"/>
          <w:szCs w:val="22"/>
        </w:rPr>
        <w:t xml:space="preserve">Supplementary Figure </w:t>
      </w:r>
      <w:r>
        <w:rPr>
          <w:rFonts w:asciiTheme="minorHAnsi" w:hAnsiTheme="minorHAnsi" w:cstheme="minorHAnsi"/>
          <w:b/>
          <w:bCs/>
          <w:sz w:val="22"/>
          <w:szCs w:val="22"/>
        </w:rPr>
        <w:t>3</w:t>
      </w:r>
      <w:r w:rsidRPr="000334BE">
        <w:rPr>
          <w:rFonts w:asciiTheme="minorHAnsi" w:hAnsiTheme="minorHAnsi" w:cstheme="minorHAnsi"/>
          <w:b/>
          <w:bCs/>
          <w:sz w:val="22"/>
          <w:szCs w:val="22"/>
        </w:rPr>
        <w:t> :Histological evaluation of periapical lesions in wild-type (WT) mice colonized with different </w:t>
      </w:r>
      <w:r w:rsidRPr="000334BE">
        <w:rPr>
          <w:rFonts w:asciiTheme="minorHAnsi" w:hAnsiTheme="minorHAnsi" w:cstheme="minorHAnsi"/>
          <w:b/>
          <w:bCs/>
          <w:i/>
          <w:iCs/>
          <w:sz w:val="22"/>
          <w:szCs w:val="22"/>
        </w:rPr>
        <w:t>Porphyromonas gingivalis</w:t>
      </w:r>
      <w:r w:rsidRPr="000334BE">
        <w:rPr>
          <w:rFonts w:asciiTheme="minorHAnsi" w:hAnsiTheme="minorHAnsi" w:cstheme="minorHAnsi"/>
          <w:b/>
          <w:bCs/>
          <w:sz w:val="22"/>
          <w:szCs w:val="22"/>
        </w:rPr>
        <w:t> (Pg) strains.</w:t>
      </w:r>
      <w:r w:rsidR="00661FBE">
        <w:rPr>
          <w:rFonts w:asciiTheme="minorHAnsi" w:eastAsia="宋体" w:hAnsiTheme="minorHAnsi" w:cstheme="minorHAnsi" w:hint="eastAsia"/>
          <w:b/>
          <w:bCs/>
          <w:sz w:val="22"/>
          <w:szCs w:val="22"/>
          <w:lang w:eastAsia="zh-CN"/>
        </w:rPr>
        <w:t xml:space="preserve"> </w:t>
      </w:r>
      <w:r w:rsidRPr="000334BE">
        <w:rPr>
          <w:rFonts w:asciiTheme="minorHAnsi" w:hAnsiTheme="minorHAnsi" w:cstheme="minorHAnsi"/>
          <w:sz w:val="22"/>
          <w:szCs w:val="22"/>
        </w:rPr>
        <w:t>(</w:t>
      </w:r>
      <w:r w:rsidR="007F48DE">
        <w:rPr>
          <w:rFonts w:asciiTheme="minorHAnsi" w:eastAsia="宋体" w:hAnsiTheme="minorHAnsi" w:cstheme="minorHAnsi" w:hint="eastAsia"/>
          <w:sz w:val="22"/>
          <w:szCs w:val="22"/>
          <w:lang w:eastAsia="zh-CN"/>
        </w:rPr>
        <w:t>a</w:t>
      </w:r>
      <w:r w:rsidRPr="000334BE">
        <w:rPr>
          <w:rFonts w:asciiTheme="minorHAnsi" w:hAnsiTheme="minorHAnsi" w:cstheme="minorHAnsi"/>
          <w:sz w:val="22"/>
          <w:szCs w:val="22"/>
        </w:rPr>
        <w:t>) Representative Masson’s Trichrome-stained sections of mandibular molars from WT mice under normal chow (NC), high-fat diet (HFD), or infected with Pg WT, LPS-deficient Pg mutant (NoLPS Pg), or LPS-expressing Pg (Pg LPS).(</w:t>
      </w:r>
      <w:r w:rsidR="007F48DE">
        <w:rPr>
          <w:rFonts w:asciiTheme="minorHAnsi" w:eastAsia="宋体" w:hAnsiTheme="minorHAnsi" w:cstheme="minorHAnsi" w:hint="eastAsia"/>
          <w:sz w:val="22"/>
          <w:szCs w:val="22"/>
          <w:lang w:eastAsia="zh-CN"/>
        </w:rPr>
        <w:t>b</w:t>
      </w:r>
      <w:r w:rsidRPr="000334BE">
        <w:rPr>
          <w:rFonts w:asciiTheme="minorHAnsi" w:hAnsiTheme="minorHAnsi" w:cstheme="minorHAnsi"/>
          <w:sz w:val="22"/>
          <w:szCs w:val="22"/>
        </w:rPr>
        <w:t>–</w:t>
      </w:r>
      <w:r w:rsidR="007F48DE">
        <w:rPr>
          <w:rFonts w:asciiTheme="minorHAnsi" w:eastAsia="宋体" w:hAnsiTheme="minorHAnsi" w:cstheme="minorHAnsi" w:hint="eastAsia"/>
          <w:sz w:val="22"/>
          <w:szCs w:val="22"/>
          <w:lang w:eastAsia="zh-CN"/>
        </w:rPr>
        <w:t>c</w:t>
      </w:r>
      <w:r w:rsidRPr="000334BE">
        <w:rPr>
          <w:rFonts w:asciiTheme="minorHAnsi" w:hAnsiTheme="minorHAnsi" w:cstheme="minorHAnsi"/>
          <w:sz w:val="22"/>
          <w:szCs w:val="22"/>
        </w:rPr>
        <w:t>) Magnified views showing periapical regions in Pg WT (B) and NoLPS Pg (C) conditions, highlighting inflammatory cell infiltration (red areas).(</w:t>
      </w:r>
      <w:r w:rsidR="007F48DE">
        <w:rPr>
          <w:rFonts w:asciiTheme="minorHAnsi" w:eastAsia="宋体" w:hAnsiTheme="minorHAnsi" w:cstheme="minorHAnsi" w:hint="eastAsia"/>
          <w:sz w:val="22"/>
          <w:szCs w:val="22"/>
          <w:lang w:eastAsia="zh-CN"/>
        </w:rPr>
        <w:t>d</w:t>
      </w:r>
      <w:r w:rsidRPr="000334BE">
        <w:rPr>
          <w:rFonts w:asciiTheme="minorHAnsi" w:hAnsiTheme="minorHAnsi" w:cstheme="minorHAnsi"/>
          <w:sz w:val="22"/>
          <w:szCs w:val="22"/>
        </w:rPr>
        <w:t>) Semi-quantitative scoring table summarizing periapical inflammation and fibrosis across groups. Pg LPS-infected mice showed the highest degree of inflammation and fibrotic remodeling, while NoLPS Pg induced moderate changes.</w:t>
      </w:r>
    </w:p>
    <w:p w:rsidR="00B83C03" w:rsidRPr="000334BE" w:rsidRDefault="00B83C03" w:rsidP="00661FBE">
      <w:pPr>
        <w:spacing w:line="360" w:lineRule="auto"/>
        <w:jc w:val="both"/>
        <w:rPr>
          <w:rFonts w:asciiTheme="minorHAnsi" w:hAnsiTheme="minorHAnsi" w:cstheme="minorHAnsi"/>
          <w:sz w:val="22"/>
          <w:szCs w:val="22"/>
        </w:rPr>
      </w:pPr>
    </w:p>
    <w:p w:rsidR="00B83C03" w:rsidRPr="000334BE" w:rsidRDefault="00B83C03" w:rsidP="00661FBE">
      <w:pPr>
        <w:spacing w:line="360" w:lineRule="auto"/>
        <w:jc w:val="both"/>
        <w:rPr>
          <w:rFonts w:asciiTheme="minorHAnsi" w:hAnsiTheme="minorHAnsi" w:cstheme="minorHAnsi"/>
          <w:sz w:val="22"/>
          <w:szCs w:val="22"/>
        </w:rPr>
      </w:pPr>
    </w:p>
    <w:p w:rsidR="00B83C03" w:rsidRPr="000334BE" w:rsidRDefault="00B83C03" w:rsidP="00661FBE">
      <w:pPr>
        <w:spacing w:line="360" w:lineRule="auto"/>
        <w:jc w:val="both"/>
        <w:rPr>
          <w:rFonts w:asciiTheme="minorHAnsi" w:hAnsiTheme="minorHAnsi" w:cstheme="minorHAnsi"/>
          <w:sz w:val="22"/>
          <w:szCs w:val="22"/>
        </w:rPr>
      </w:pPr>
      <w:r w:rsidRPr="000334BE">
        <w:rPr>
          <w:rFonts w:asciiTheme="minorHAnsi" w:hAnsiTheme="minorHAnsi" w:cstheme="minorHAnsi"/>
          <w:b/>
          <w:bCs/>
          <w:sz w:val="22"/>
          <w:szCs w:val="22"/>
        </w:rPr>
        <w:t xml:space="preserve">Supplementary Figure </w:t>
      </w:r>
      <w:r>
        <w:rPr>
          <w:rFonts w:asciiTheme="minorHAnsi" w:hAnsiTheme="minorHAnsi" w:cstheme="minorHAnsi"/>
          <w:b/>
          <w:bCs/>
          <w:sz w:val="22"/>
          <w:szCs w:val="22"/>
        </w:rPr>
        <w:t>4</w:t>
      </w:r>
      <w:r w:rsidRPr="000334BE">
        <w:rPr>
          <w:rFonts w:asciiTheme="minorHAnsi" w:hAnsiTheme="minorHAnsi" w:cstheme="minorHAnsi"/>
          <w:b/>
          <w:bCs/>
          <w:sz w:val="22"/>
          <w:szCs w:val="22"/>
        </w:rPr>
        <w:t>: Histological evaluation of periapical lesions in IL-17 knockout (IL-17 KO) mice colonized with different </w:t>
      </w:r>
      <w:r w:rsidRPr="000334BE">
        <w:rPr>
          <w:rFonts w:asciiTheme="minorHAnsi" w:hAnsiTheme="minorHAnsi" w:cstheme="minorHAnsi"/>
          <w:b/>
          <w:bCs/>
          <w:i/>
          <w:iCs/>
          <w:sz w:val="22"/>
          <w:szCs w:val="22"/>
        </w:rPr>
        <w:t>Porphyromonas gingivalis</w:t>
      </w:r>
      <w:r w:rsidRPr="000334BE">
        <w:rPr>
          <w:rFonts w:asciiTheme="minorHAnsi" w:hAnsiTheme="minorHAnsi" w:cstheme="minorHAnsi"/>
          <w:b/>
          <w:bCs/>
          <w:sz w:val="22"/>
          <w:szCs w:val="22"/>
        </w:rPr>
        <w:t> (Pg) strains.</w:t>
      </w:r>
      <w:r w:rsidR="00661FBE">
        <w:rPr>
          <w:rFonts w:asciiTheme="minorHAnsi" w:eastAsia="宋体" w:hAnsiTheme="minorHAnsi" w:cstheme="minorHAnsi" w:hint="eastAsia"/>
          <w:b/>
          <w:bCs/>
          <w:sz w:val="22"/>
          <w:szCs w:val="22"/>
          <w:lang w:eastAsia="zh-CN"/>
        </w:rPr>
        <w:t xml:space="preserve"> </w:t>
      </w:r>
      <w:r w:rsidRPr="000334BE">
        <w:rPr>
          <w:rFonts w:asciiTheme="minorHAnsi" w:hAnsiTheme="minorHAnsi" w:cstheme="minorHAnsi"/>
          <w:sz w:val="22"/>
          <w:szCs w:val="22"/>
        </w:rPr>
        <w:t>(</w:t>
      </w:r>
      <w:r w:rsidR="007F48DE">
        <w:rPr>
          <w:rFonts w:asciiTheme="minorHAnsi" w:eastAsia="宋体" w:hAnsiTheme="minorHAnsi" w:cstheme="minorHAnsi" w:hint="eastAsia"/>
          <w:sz w:val="22"/>
          <w:szCs w:val="22"/>
          <w:lang w:eastAsia="zh-CN"/>
        </w:rPr>
        <w:t>a</w:t>
      </w:r>
      <w:r w:rsidRPr="000334BE">
        <w:rPr>
          <w:rFonts w:asciiTheme="minorHAnsi" w:hAnsiTheme="minorHAnsi" w:cstheme="minorHAnsi"/>
          <w:sz w:val="22"/>
          <w:szCs w:val="22"/>
        </w:rPr>
        <w:t>) Representative Masson’s Trichrome-stained sections of mandibular molars from IL-17 KO mice under normal chow (NC), high-fat diet (HFD), or infected with Pg WT, NoLPS Pg, or Pg LPS.</w:t>
      </w:r>
      <w:r w:rsidR="00661FBE">
        <w:rPr>
          <w:rFonts w:asciiTheme="minorHAnsi" w:eastAsia="宋体" w:hAnsiTheme="minorHAnsi" w:cstheme="minorHAnsi" w:hint="eastAsia"/>
          <w:sz w:val="22"/>
          <w:szCs w:val="22"/>
          <w:lang w:eastAsia="zh-CN"/>
        </w:rPr>
        <w:t xml:space="preserve"> </w:t>
      </w:r>
      <w:r w:rsidRPr="000334BE">
        <w:rPr>
          <w:rFonts w:asciiTheme="minorHAnsi" w:hAnsiTheme="minorHAnsi" w:cstheme="minorHAnsi"/>
          <w:sz w:val="22"/>
          <w:szCs w:val="22"/>
        </w:rPr>
        <w:t>(</w:t>
      </w:r>
      <w:r w:rsidR="007F48DE">
        <w:rPr>
          <w:rFonts w:asciiTheme="minorHAnsi" w:eastAsia="宋体" w:hAnsiTheme="minorHAnsi" w:cstheme="minorHAnsi" w:hint="eastAsia"/>
          <w:sz w:val="22"/>
          <w:szCs w:val="22"/>
          <w:lang w:eastAsia="zh-CN"/>
        </w:rPr>
        <w:t>b</w:t>
      </w:r>
      <w:r w:rsidRPr="000334BE">
        <w:rPr>
          <w:rFonts w:asciiTheme="minorHAnsi" w:hAnsiTheme="minorHAnsi" w:cstheme="minorHAnsi"/>
          <w:sz w:val="22"/>
          <w:szCs w:val="22"/>
        </w:rPr>
        <w:t>–</w:t>
      </w:r>
      <w:r w:rsidR="007F48DE">
        <w:rPr>
          <w:rFonts w:asciiTheme="minorHAnsi" w:eastAsia="宋体" w:hAnsiTheme="minorHAnsi" w:cstheme="minorHAnsi" w:hint="eastAsia"/>
          <w:sz w:val="22"/>
          <w:szCs w:val="22"/>
          <w:lang w:eastAsia="zh-CN"/>
        </w:rPr>
        <w:t>c</w:t>
      </w:r>
      <w:r w:rsidRPr="000334BE">
        <w:rPr>
          <w:rFonts w:asciiTheme="minorHAnsi" w:hAnsiTheme="minorHAnsi" w:cstheme="minorHAnsi"/>
          <w:sz w:val="22"/>
          <w:szCs w:val="22"/>
        </w:rPr>
        <w:t>) Magnified views showing periapical regions in Pg WT (B) and NoLPS Pg (C) groups, showing limited inflammatory and fibrotic changes. (</w:t>
      </w:r>
      <w:r w:rsidR="007F48DE">
        <w:rPr>
          <w:rFonts w:asciiTheme="minorHAnsi" w:eastAsia="宋体" w:hAnsiTheme="minorHAnsi" w:cstheme="minorHAnsi" w:hint="eastAsia"/>
          <w:sz w:val="22"/>
          <w:szCs w:val="22"/>
          <w:lang w:eastAsia="zh-CN"/>
        </w:rPr>
        <w:t>d</w:t>
      </w:r>
      <w:r w:rsidRPr="000334BE">
        <w:rPr>
          <w:rFonts w:asciiTheme="minorHAnsi" w:hAnsiTheme="minorHAnsi" w:cstheme="minorHAnsi"/>
          <w:sz w:val="22"/>
          <w:szCs w:val="22"/>
        </w:rPr>
        <w:t>) Scoring table indicating reduced periapical inflammation and fibrosis in all infected IL-17 KO mice compared to WT controls. These findings highlight the essential role of IL-17 in driving tissue pathology in response to Pg infection.</w:t>
      </w:r>
    </w:p>
    <w:p w:rsidR="00B83C03" w:rsidRPr="000334BE" w:rsidRDefault="00B83C03" w:rsidP="00661FBE">
      <w:pPr>
        <w:spacing w:line="360" w:lineRule="auto"/>
        <w:jc w:val="both"/>
        <w:rPr>
          <w:rFonts w:asciiTheme="minorHAnsi" w:hAnsiTheme="minorHAnsi" w:cstheme="minorHAnsi"/>
          <w:sz w:val="22"/>
          <w:szCs w:val="22"/>
        </w:rPr>
      </w:pPr>
    </w:p>
    <w:p w:rsidR="00B83C03" w:rsidRPr="000334BE" w:rsidRDefault="00B83C03" w:rsidP="00661FBE">
      <w:pPr>
        <w:spacing w:line="360" w:lineRule="auto"/>
        <w:jc w:val="both"/>
        <w:rPr>
          <w:rFonts w:asciiTheme="minorHAnsi" w:hAnsiTheme="minorHAnsi" w:cstheme="minorHAnsi"/>
          <w:i/>
          <w:iCs/>
          <w:sz w:val="22"/>
          <w:szCs w:val="22"/>
        </w:rPr>
      </w:pPr>
      <w:r w:rsidRPr="000334BE">
        <w:rPr>
          <w:rFonts w:asciiTheme="minorHAnsi" w:hAnsiTheme="minorHAnsi" w:cstheme="minorHAnsi"/>
          <w:b/>
          <w:bCs/>
          <w:sz w:val="22"/>
          <w:szCs w:val="22"/>
        </w:rPr>
        <w:t xml:space="preserve">Supplementary Figure </w:t>
      </w:r>
      <w:r>
        <w:rPr>
          <w:rFonts w:asciiTheme="minorHAnsi" w:hAnsiTheme="minorHAnsi" w:cstheme="minorHAnsi"/>
          <w:b/>
          <w:bCs/>
          <w:sz w:val="22"/>
          <w:szCs w:val="22"/>
        </w:rPr>
        <w:t>5</w:t>
      </w:r>
      <w:r w:rsidRPr="000334BE">
        <w:rPr>
          <w:rFonts w:asciiTheme="minorHAnsi" w:hAnsiTheme="minorHAnsi" w:cstheme="minorHAnsi"/>
          <w:b/>
          <w:bCs/>
          <w:sz w:val="22"/>
          <w:szCs w:val="22"/>
        </w:rPr>
        <w:t xml:space="preserve">. Role of </w:t>
      </w:r>
      <w:r w:rsidRPr="000334BE">
        <w:rPr>
          <w:rFonts w:asciiTheme="minorHAnsi" w:hAnsiTheme="minorHAnsi" w:cstheme="minorHAnsi"/>
          <w:b/>
          <w:bCs/>
          <w:i/>
          <w:iCs/>
          <w:sz w:val="22"/>
          <w:szCs w:val="22"/>
        </w:rPr>
        <w:t xml:space="preserve">Porphyromonas gingivalis </w:t>
      </w:r>
      <w:r w:rsidRPr="000334BE">
        <w:rPr>
          <w:rFonts w:asciiTheme="minorHAnsi" w:hAnsiTheme="minorHAnsi" w:cstheme="minorHAnsi"/>
          <w:b/>
          <w:bCs/>
          <w:sz w:val="22"/>
          <w:szCs w:val="22"/>
        </w:rPr>
        <w:t>LPS and IL-17 in periapical lesion development, glucose metabolism, and immune responses after two months of high-fat diet in WT and IL17 KO Mice.</w:t>
      </w:r>
      <w:r w:rsidR="00661FBE">
        <w:rPr>
          <w:rFonts w:asciiTheme="minorHAnsi" w:eastAsia="宋体" w:hAnsiTheme="minorHAnsi" w:cstheme="minorHAnsi" w:hint="eastAsia"/>
          <w:b/>
          <w:bCs/>
          <w:sz w:val="22"/>
          <w:szCs w:val="22"/>
          <w:lang w:eastAsia="zh-CN"/>
        </w:rPr>
        <w:t xml:space="preserve"> </w:t>
      </w:r>
      <w:r w:rsidRPr="000334BE">
        <w:rPr>
          <w:rFonts w:asciiTheme="minorHAnsi" w:hAnsiTheme="minorHAnsi" w:cstheme="minorHAnsi"/>
          <w:sz w:val="22"/>
          <w:szCs w:val="22"/>
        </w:rPr>
        <w:t>(</w:t>
      </w:r>
      <w:r w:rsidR="007F48DE">
        <w:rPr>
          <w:rFonts w:asciiTheme="minorHAnsi" w:eastAsia="宋体" w:hAnsiTheme="minorHAnsi" w:cstheme="minorHAnsi" w:hint="eastAsia"/>
          <w:sz w:val="22"/>
          <w:szCs w:val="22"/>
          <w:lang w:eastAsia="zh-CN"/>
        </w:rPr>
        <w:t>a</w:t>
      </w:r>
      <w:r w:rsidRPr="000334BE">
        <w:rPr>
          <w:rFonts w:asciiTheme="minorHAnsi" w:hAnsiTheme="minorHAnsi" w:cstheme="minorHAnsi"/>
          <w:sz w:val="22"/>
          <w:szCs w:val="22"/>
        </w:rPr>
        <w:t>) Quantification of periapical lesion volume (mm³) in WT and IL-17 KO mice. In WT mice, Pg WT and Pg LPS induced significantly larger lesion volumes compared to No LPS Pg and HFD-only groups. In IL-17 KO mice, lesion volumes remained low in all groups, including Pg WT and Pg LPS.(</w:t>
      </w:r>
      <w:r w:rsidR="007F48DE">
        <w:rPr>
          <w:rFonts w:asciiTheme="minorHAnsi" w:eastAsia="宋体" w:hAnsiTheme="minorHAnsi" w:cstheme="minorHAnsi" w:hint="eastAsia"/>
          <w:sz w:val="22"/>
          <w:szCs w:val="22"/>
          <w:lang w:eastAsia="zh-CN"/>
        </w:rPr>
        <w:t>b</w:t>
      </w:r>
      <w:r w:rsidRPr="000334BE">
        <w:rPr>
          <w:rFonts w:asciiTheme="minorHAnsi" w:hAnsiTheme="minorHAnsi" w:cstheme="minorHAnsi"/>
          <w:sz w:val="22"/>
          <w:szCs w:val="22"/>
        </w:rPr>
        <w:t xml:space="preserve">) Intraperitoneal glucose tolerance test (IPGTT) curves over time following glucose injection </w:t>
      </w:r>
      <w:r w:rsidRPr="000334BE">
        <w:rPr>
          <w:rFonts w:asciiTheme="minorHAnsi" w:hAnsiTheme="minorHAnsi" w:cstheme="minorHAnsi"/>
          <w:sz w:val="22"/>
          <w:szCs w:val="22"/>
        </w:rPr>
        <w:lastRenderedPageBreak/>
        <w:t>after 2 months of HFD. WT mice colonized with Pg WT or treated with Pg LPS showed impaired glucose tolerance. IL-17 KO mice showed improved glycemic control across all conditions.(</w:t>
      </w:r>
      <w:r w:rsidR="007F48DE">
        <w:rPr>
          <w:rFonts w:asciiTheme="minorHAnsi" w:eastAsia="宋体" w:hAnsiTheme="minorHAnsi" w:cstheme="minorHAnsi" w:hint="eastAsia"/>
          <w:sz w:val="22"/>
          <w:szCs w:val="22"/>
          <w:lang w:eastAsia="zh-CN"/>
        </w:rPr>
        <w:t>c</w:t>
      </w:r>
      <w:r w:rsidRPr="000334BE">
        <w:rPr>
          <w:rFonts w:asciiTheme="minorHAnsi" w:hAnsiTheme="minorHAnsi" w:cstheme="minorHAnsi"/>
          <w:sz w:val="22"/>
          <w:szCs w:val="22"/>
        </w:rPr>
        <w:t>) Fasting blood glucose levels measured at t = –30 min of the IPGTT. WT mice receiving Pg WT or Pg LPS exhibited significantly higher glycemia than control groups, while no such increase was observed in IL-17 KO mice.(</w:t>
      </w:r>
      <w:r w:rsidR="007F48DE">
        <w:rPr>
          <w:rFonts w:asciiTheme="minorHAnsi" w:eastAsia="宋体" w:hAnsiTheme="minorHAnsi" w:cstheme="minorHAnsi" w:hint="eastAsia"/>
          <w:sz w:val="22"/>
          <w:szCs w:val="22"/>
          <w:lang w:eastAsia="zh-CN"/>
        </w:rPr>
        <w:t>d</w:t>
      </w:r>
      <w:r w:rsidRPr="000334BE">
        <w:rPr>
          <w:rFonts w:asciiTheme="minorHAnsi" w:hAnsiTheme="minorHAnsi" w:cstheme="minorHAnsi"/>
          <w:sz w:val="22"/>
          <w:szCs w:val="22"/>
        </w:rPr>
        <w:t>) Glycemic index calculated as the area under the curve (AUC) of the IPGTT. AUC was significantly elevated in WT mice colonized with Pg WT or treated with Pg LPS, whereas IL-17 KO mice maintained lower glycemic indices.(</w:t>
      </w:r>
      <w:r w:rsidR="007F48DE">
        <w:rPr>
          <w:rFonts w:asciiTheme="minorHAnsi" w:eastAsia="宋体" w:hAnsiTheme="minorHAnsi" w:cstheme="minorHAnsi" w:hint="eastAsia"/>
          <w:sz w:val="22"/>
          <w:szCs w:val="22"/>
          <w:lang w:eastAsia="zh-CN"/>
        </w:rPr>
        <w:t>e</w:t>
      </w:r>
      <w:r w:rsidRPr="000334BE">
        <w:rPr>
          <w:rFonts w:asciiTheme="minorHAnsi" w:hAnsiTheme="minorHAnsi" w:cstheme="minorHAnsi"/>
          <w:sz w:val="22"/>
          <w:szCs w:val="22"/>
        </w:rPr>
        <w:t>) Total number of CD45⁺ immune cells in cervical lymph nodes. WT mice colonized with Pg WT or Pg LPS showed increased immune cell infiltration, while IL-17 KO mice exhibited no major variation across conditions.(</w:t>
      </w:r>
      <w:r w:rsidR="007F48DE">
        <w:rPr>
          <w:rFonts w:asciiTheme="minorHAnsi" w:eastAsia="宋体" w:hAnsiTheme="minorHAnsi" w:cstheme="minorHAnsi" w:hint="eastAsia"/>
          <w:sz w:val="22"/>
          <w:szCs w:val="22"/>
          <w:lang w:eastAsia="zh-CN"/>
        </w:rPr>
        <w:t>f</w:t>
      </w:r>
      <w:r w:rsidRPr="000334BE">
        <w:rPr>
          <w:rFonts w:asciiTheme="minorHAnsi" w:hAnsiTheme="minorHAnsi" w:cstheme="minorHAnsi"/>
          <w:sz w:val="22"/>
          <w:szCs w:val="22"/>
        </w:rPr>
        <w:t>) Immune cell subset analysis in cervical lymph nodes, including CD19⁺ B cells, CD4⁺ and CD8⁺ T cells, and Th17 cells after stimulation. A significant increase in Th17 cells was detected in WT mice colonized with Pg WT or Pg LPS, and Th17 cells were absent in IL-17 KO mice.(</w:t>
      </w:r>
      <w:r w:rsidR="007F48DE">
        <w:rPr>
          <w:rFonts w:asciiTheme="minorHAnsi" w:eastAsia="宋体" w:hAnsiTheme="minorHAnsi" w:cstheme="minorHAnsi" w:hint="eastAsia"/>
          <w:sz w:val="22"/>
          <w:szCs w:val="22"/>
          <w:lang w:eastAsia="zh-CN"/>
        </w:rPr>
        <w:t>g</w:t>
      </w:r>
      <w:r w:rsidRPr="000334BE">
        <w:rPr>
          <w:rFonts w:asciiTheme="minorHAnsi" w:hAnsiTheme="minorHAnsi" w:cstheme="minorHAnsi"/>
          <w:sz w:val="22"/>
          <w:szCs w:val="22"/>
        </w:rPr>
        <w:t>) Total number of CD45⁺ immune cells in the spleen. WT mice treated with Pg LPS displayed the highest immune cell counts, while responses were blunted in IL-17 KO animals.(</w:t>
      </w:r>
      <w:r w:rsidR="007F48DE">
        <w:rPr>
          <w:rFonts w:asciiTheme="minorHAnsi" w:eastAsia="宋体" w:hAnsiTheme="minorHAnsi" w:cstheme="minorHAnsi" w:hint="eastAsia"/>
          <w:sz w:val="22"/>
          <w:szCs w:val="22"/>
          <w:lang w:eastAsia="zh-CN"/>
        </w:rPr>
        <w:t>h</w:t>
      </w:r>
      <w:r w:rsidRPr="000334BE">
        <w:rPr>
          <w:rFonts w:asciiTheme="minorHAnsi" w:hAnsiTheme="minorHAnsi" w:cstheme="minorHAnsi"/>
          <w:sz w:val="22"/>
          <w:szCs w:val="22"/>
        </w:rPr>
        <w:t xml:space="preserve">) Splenic immune cell subset analysis. Increased numbers of CD19⁺ and CD8⁺ cells were observed in WT mice exposed to Pg WT or Pg LPS. Th17 cells were undetectable in IL-17 KO mice, confirming the knockout model.Color code: White = HFD only (WT), Blue = Pg WT (WT), Orange = No LPS Pg (WT), Green = Pg LPS (WT),Striped white= HFD only (IL-17 KO), Striped blue = Pg WT (IL-17 KO), Striped orange = No LPS Pg (IL-17 KO), Striped green = Pg LPS (IL-17 KO).Data are presented as mean ± SD. Statistical significance: </w:t>
      </w:r>
      <w:r w:rsidRPr="000334BE">
        <w:rPr>
          <w:rFonts w:asciiTheme="minorHAnsi" w:hAnsiTheme="minorHAnsi" w:cstheme="minorHAnsi"/>
          <w:i/>
          <w:iCs/>
          <w:sz w:val="22"/>
          <w:szCs w:val="22"/>
        </w:rPr>
        <w:t>*</w:t>
      </w:r>
      <w:r w:rsidR="007F48DE">
        <w:rPr>
          <w:rFonts w:asciiTheme="minorHAnsi" w:eastAsia="宋体" w:hAnsiTheme="minorHAnsi" w:cstheme="minorHAnsi" w:hint="eastAsia"/>
          <w:i/>
          <w:iCs/>
          <w:sz w:val="22"/>
          <w:szCs w:val="22"/>
          <w:lang w:eastAsia="zh-CN"/>
        </w:rPr>
        <w:t>P</w:t>
      </w:r>
      <w:r w:rsidR="007F48DE" w:rsidRPr="000334BE">
        <w:rPr>
          <w:rFonts w:asciiTheme="minorHAnsi" w:hAnsiTheme="minorHAnsi" w:cstheme="minorHAnsi"/>
          <w:i/>
          <w:iCs/>
          <w:sz w:val="22"/>
          <w:szCs w:val="22"/>
        </w:rPr>
        <w:t xml:space="preserve"> </w:t>
      </w:r>
      <w:r w:rsidRPr="000334BE">
        <w:rPr>
          <w:rFonts w:asciiTheme="minorHAnsi" w:hAnsiTheme="minorHAnsi" w:cstheme="minorHAnsi"/>
          <w:i/>
          <w:iCs/>
          <w:sz w:val="22"/>
          <w:szCs w:val="22"/>
        </w:rPr>
        <w:t>&lt; 0.05, **</w:t>
      </w:r>
      <w:r w:rsidR="007F48DE">
        <w:rPr>
          <w:rFonts w:asciiTheme="minorHAnsi" w:eastAsia="宋体" w:hAnsiTheme="minorHAnsi" w:cstheme="minorHAnsi" w:hint="eastAsia"/>
          <w:i/>
          <w:iCs/>
          <w:sz w:val="22"/>
          <w:szCs w:val="22"/>
          <w:lang w:eastAsia="zh-CN"/>
        </w:rPr>
        <w:t>P</w:t>
      </w:r>
      <w:r w:rsidR="007F48DE" w:rsidRPr="000334BE">
        <w:rPr>
          <w:rFonts w:asciiTheme="minorHAnsi" w:hAnsiTheme="minorHAnsi" w:cstheme="minorHAnsi"/>
          <w:i/>
          <w:iCs/>
          <w:sz w:val="22"/>
          <w:szCs w:val="22"/>
        </w:rPr>
        <w:t xml:space="preserve"> </w:t>
      </w:r>
      <w:r w:rsidRPr="000334BE">
        <w:rPr>
          <w:rFonts w:asciiTheme="minorHAnsi" w:hAnsiTheme="minorHAnsi" w:cstheme="minorHAnsi"/>
          <w:i/>
          <w:iCs/>
          <w:sz w:val="22"/>
          <w:szCs w:val="22"/>
        </w:rPr>
        <w:t>&lt; 0.01, ***</w:t>
      </w:r>
      <w:r w:rsidR="007F48DE">
        <w:rPr>
          <w:rFonts w:asciiTheme="minorHAnsi" w:eastAsia="宋体" w:hAnsiTheme="minorHAnsi" w:cstheme="minorHAnsi" w:hint="eastAsia"/>
          <w:i/>
          <w:iCs/>
          <w:sz w:val="22"/>
          <w:szCs w:val="22"/>
          <w:lang w:eastAsia="zh-CN"/>
        </w:rPr>
        <w:t>P</w:t>
      </w:r>
      <w:r w:rsidR="007F48DE" w:rsidRPr="000334BE">
        <w:rPr>
          <w:rFonts w:asciiTheme="minorHAnsi" w:hAnsiTheme="minorHAnsi" w:cstheme="minorHAnsi"/>
          <w:i/>
          <w:iCs/>
          <w:sz w:val="22"/>
          <w:szCs w:val="22"/>
        </w:rPr>
        <w:t xml:space="preserve"> </w:t>
      </w:r>
      <w:r w:rsidRPr="000334BE">
        <w:rPr>
          <w:rFonts w:asciiTheme="minorHAnsi" w:hAnsiTheme="minorHAnsi" w:cstheme="minorHAnsi"/>
          <w:i/>
          <w:iCs/>
          <w:sz w:val="22"/>
          <w:szCs w:val="22"/>
        </w:rPr>
        <w:t>&lt; 0.001, ****</w:t>
      </w:r>
      <w:r w:rsidR="007F48DE">
        <w:rPr>
          <w:rFonts w:asciiTheme="minorHAnsi" w:eastAsia="宋体" w:hAnsiTheme="minorHAnsi" w:cstheme="minorHAnsi" w:hint="eastAsia"/>
          <w:i/>
          <w:iCs/>
          <w:sz w:val="22"/>
          <w:szCs w:val="22"/>
          <w:lang w:eastAsia="zh-CN"/>
        </w:rPr>
        <w:t>P</w:t>
      </w:r>
      <w:r w:rsidR="007F48DE" w:rsidRPr="000334BE">
        <w:rPr>
          <w:rFonts w:asciiTheme="minorHAnsi" w:hAnsiTheme="minorHAnsi" w:cstheme="minorHAnsi"/>
          <w:i/>
          <w:iCs/>
          <w:sz w:val="22"/>
          <w:szCs w:val="22"/>
        </w:rPr>
        <w:t xml:space="preserve"> </w:t>
      </w:r>
      <w:r w:rsidRPr="000334BE">
        <w:rPr>
          <w:rFonts w:asciiTheme="minorHAnsi" w:hAnsiTheme="minorHAnsi" w:cstheme="minorHAnsi"/>
          <w:i/>
          <w:iCs/>
          <w:sz w:val="22"/>
          <w:szCs w:val="22"/>
        </w:rPr>
        <w:t>&lt;0.000</w:t>
      </w:r>
      <w:r w:rsidR="007F48DE">
        <w:rPr>
          <w:rFonts w:asciiTheme="minorHAnsi" w:eastAsia="宋体" w:hAnsiTheme="minorHAnsi" w:cstheme="minorHAnsi" w:hint="eastAsia"/>
          <w:i/>
          <w:iCs/>
          <w:sz w:val="22"/>
          <w:szCs w:val="22"/>
          <w:lang w:eastAsia="zh-CN"/>
        </w:rPr>
        <w:t xml:space="preserve"> </w:t>
      </w:r>
      <w:r w:rsidRPr="000334BE">
        <w:rPr>
          <w:rFonts w:asciiTheme="minorHAnsi" w:hAnsiTheme="minorHAnsi" w:cstheme="minorHAnsi"/>
          <w:i/>
          <w:iCs/>
          <w:sz w:val="22"/>
          <w:szCs w:val="22"/>
        </w:rPr>
        <w:t xml:space="preserve">1. </w:t>
      </w:r>
      <w:r w:rsidRPr="000334BE">
        <w:rPr>
          <w:rFonts w:asciiTheme="minorHAnsi" w:hAnsiTheme="minorHAnsi" w:cstheme="minorHAnsi"/>
          <w:sz w:val="22"/>
          <w:szCs w:val="22"/>
        </w:rPr>
        <w:t>Statistical tests used: Wilcoxon–Mann–Whitney for (</w:t>
      </w:r>
      <w:r w:rsidR="007F48DE">
        <w:rPr>
          <w:rFonts w:asciiTheme="minorHAnsi" w:eastAsia="宋体" w:hAnsiTheme="minorHAnsi" w:cstheme="minorHAnsi" w:hint="eastAsia"/>
          <w:sz w:val="22"/>
          <w:szCs w:val="22"/>
          <w:lang w:eastAsia="zh-CN"/>
        </w:rPr>
        <w:t>a</w:t>
      </w:r>
      <w:r w:rsidRPr="000334BE">
        <w:rPr>
          <w:rFonts w:asciiTheme="minorHAnsi" w:hAnsiTheme="minorHAnsi" w:cstheme="minorHAnsi"/>
          <w:sz w:val="22"/>
          <w:szCs w:val="22"/>
        </w:rPr>
        <w:t>), (</w:t>
      </w:r>
      <w:r w:rsidR="007F48DE">
        <w:rPr>
          <w:rFonts w:asciiTheme="minorHAnsi" w:eastAsia="宋体" w:hAnsiTheme="minorHAnsi" w:cstheme="minorHAnsi" w:hint="eastAsia"/>
          <w:sz w:val="22"/>
          <w:szCs w:val="22"/>
          <w:lang w:eastAsia="zh-CN"/>
        </w:rPr>
        <w:t>c</w:t>
      </w:r>
      <w:r w:rsidRPr="000334BE">
        <w:rPr>
          <w:rFonts w:asciiTheme="minorHAnsi" w:hAnsiTheme="minorHAnsi" w:cstheme="minorHAnsi"/>
          <w:sz w:val="22"/>
          <w:szCs w:val="22"/>
        </w:rPr>
        <w:t>), (</w:t>
      </w:r>
      <w:r w:rsidR="007F48DE">
        <w:rPr>
          <w:rFonts w:asciiTheme="minorHAnsi" w:eastAsia="宋体" w:hAnsiTheme="minorHAnsi" w:cstheme="minorHAnsi" w:hint="eastAsia"/>
          <w:sz w:val="22"/>
          <w:szCs w:val="22"/>
          <w:lang w:eastAsia="zh-CN"/>
        </w:rPr>
        <w:t>d</w:t>
      </w:r>
      <w:r w:rsidRPr="000334BE">
        <w:rPr>
          <w:rFonts w:asciiTheme="minorHAnsi" w:hAnsiTheme="minorHAnsi" w:cstheme="minorHAnsi"/>
          <w:sz w:val="22"/>
          <w:szCs w:val="22"/>
        </w:rPr>
        <w:t>), (</w:t>
      </w:r>
      <w:r w:rsidR="007F48DE">
        <w:rPr>
          <w:rFonts w:asciiTheme="minorHAnsi" w:eastAsia="宋体" w:hAnsiTheme="minorHAnsi" w:cstheme="minorHAnsi" w:hint="eastAsia"/>
          <w:sz w:val="22"/>
          <w:szCs w:val="22"/>
          <w:lang w:eastAsia="zh-CN"/>
        </w:rPr>
        <w:t>e</w:t>
      </w:r>
      <w:r w:rsidRPr="000334BE">
        <w:rPr>
          <w:rFonts w:asciiTheme="minorHAnsi" w:hAnsiTheme="minorHAnsi" w:cstheme="minorHAnsi"/>
          <w:sz w:val="22"/>
          <w:szCs w:val="22"/>
        </w:rPr>
        <w:t>), (</w:t>
      </w:r>
      <w:r w:rsidR="007F48DE">
        <w:rPr>
          <w:rFonts w:asciiTheme="minorHAnsi" w:eastAsia="宋体" w:hAnsiTheme="minorHAnsi" w:cstheme="minorHAnsi" w:hint="eastAsia"/>
          <w:sz w:val="22"/>
          <w:szCs w:val="22"/>
          <w:lang w:eastAsia="zh-CN"/>
        </w:rPr>
        <w:t>g</w:t>
      </w:r>
      <w:r w:rsidRPr="000334BE">
        <w:rPr>
          <w:rFonts w:asciiTheme="minorHAnsi" w:hAnsiTheme="minorHAnsi" w:cstheme="minorHAnsi"/>
          <w:sz w:val="22"/>
          <w:szCs w:val="22"/>
        </w:rPr>
        <w:t>), (</w:t>
      </w:r>
      <w:r w:rsidR="007F48DE">
        <w:rPr>
          <w:rFonts w:asciiTheme="minorHAnsi" w:eastAsia="宋体" w:hAnsiTheme="minorHAnsi" w:cstheme="minorHAnsi" w:hint="eastAsia"/>
          <w:sz w:val="22"/>
          <w:szCs w:val="22"/>
          <w:lang w:eastAsia="zh-CN"/>
        </w:rPr>
        <w:t>h</w:t>
      </w:r>
      <w:r w:rsidRPr="000334BE">
        <w:rPr>
          <w:rFonts w:asciiTheme="minorHAnsi" w:hAnsiTheme="minorHAnsi" w:cstheme="minorHAnsi"/>
          <w:sz w:val="22"/>
          <w:szCs w:val="22"/>
        </w:rPr>
        <w:t>); two-way ANOVA with Bonferroni post-test for (</w:t>
      </w:r>
      <w:r w:rsidR="007F48DE">
        <w:rPr>
          <w:rFonts w:asciiTheme="minorHAnsi" w:eastAsia="宋体" w:hAnsiTheme="minorHAnsi" w:cstheme="minorHAnsi" w:hint="eastAsia"/>
          <w:sz w:val="22"/>
          <w:szCs w:val="22"/>
          <w:lang w:eastAsia="zh-CN"/>
        </w:rPr>
        <w:t>b</w:t>
      </w:r>
      <w:r w:rsidRPr="000334BE">
        <w:rPr>
          <w:rFonts w:asciiTheme="minorHAnsi" w:hAnsiTheme="minorHAnsi" w:cstheme="minorHAnsi"/>
          <w:sz w:val="22"/>
          <w:szCs w:val="22"/>
        </w:rPr>
        <w:t>) and (</w:t>
      </w:r>
      <w:r w:rsidR="007F48DE">
        <w:rPr>
          <w:rFonts w:asciiTheme="minorHAnsi" w:eastAsia="宋体" w:hAnsiTheme="minorHAnsi" w:cstheme="minorHAnsi" w:hint="eastAsia"/>
          <w:sz w:val="22"/>
          <w:szCs w:val="22"/>
          <w:lang w:eastAsia="zh-CN"/>
        </w:rPr>
        <w:t>f</w:t>
      </w:r>
      <w:r w:rsidRPr="000334BE">
        <w:rPr>
          <w:rFonts w:asciiTheme="minorHAnsi" w:hAnsiTheme="minorHAnsi" w:cstheme="minorHAnsi"/>
          <w:sz w:val="22"/>
          <w:szCs w:val="22"/>
        </w:rPr>
        <w:t>).</w:t>
      </w:r>
    </w:p>
    <w:p w:rsidR="00B83C03" w:rsidRPr="000334BE" w:rsidRDefault="00B83C03" w:rsidP="00B83C03">
      <w:pPr>
        <w:spacing w:line="360" w:lineRule="auto"/>
        <w:rPr>
          <w:rFonts w:asciiTheme="minorHAnsi" w:hAnsiTheme="minorHAnsi" w:cstheme="minorHAnsi"/>
          <w:sz w:val="22"/>
          <w:szCs w:val="22"/>
          <w:lang w:val="en-US"/>
        </w:rPr>
      </w:pPr>
    </w:p>
    <w:p w:rsidR="009434EE" w:rsidRDefault="009434EE">
      <w:bookmarkStart w:id="0" w:name="_GoBack"/>
      <w:bookmarkEnd w:id="0"/>
    </w:p>
    <w:sectPr w:rsidR="009434EE" w:rsidSect="00214259">
      <w:footerReference w:type="even" r:id="rId6"/>
      <w:footerReference w:type="default" r:id="rId7"/>
      <w:pgSz w:w="11906" w:h="16838"/>
      <w:pgMar w:top="1417" w:right="1417" w:bottom="1417" w:left="1417" w:header="708" w:footer="708" w:gutter="0"/>
      <w:lnNumType w:countBy="1" w:restart="continuou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365" w:rsidRDefault="00165365" w:rsidP="00642741">
      <w:r>
        <w:separator/>
      </w:r>
    </w:p>
  </w:endnote>
  <w:endnote w:type="continuationSeparator" w:id="0">
    <w:p w:rsidR="00165365" w:rsidRDefault="00165365" w:rsidP="006427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等线">
    <w:panose1 w:val="00000000000000000000"/>
    <w:charset w:val="86"/>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4"/>
      </w:rPr>
      <w:id w:val="-815792128"/>
      <w:docPartObj>
        <w:docPartGallery w:val="Page Numbers (Bottom of Page)"/>
        <w:docPartUnique/>
      </w:docPartObj>
    </w:sdtPr>
    <w:sdtContent>
      <w:p w:rsidR="00EF7132" w:rsidRDefault="00EC3BCB" w:rsidP="007A157A">
        <w:pPr>
          <w:pStyle w:val="a3"/>
          <w:framePr w:wrap="none" w:vAnchor="text" w:hAnchor="margin" w:xAlign="right" w:y="1"/>
          <w:rPr>
            <w:rStyle w:val="a4"/>
          </w:rPr>
        </w:pPr>
        <w:r>
          <w:rPr>
            <w:rStyle w:val="a4"/>
          </w:rPr>
          <w:fldChar w:fldCharType="begin"/>
        </w:r>
        <w:r w:rsidR="00B83C03">
          <w:rPr>
            <w:rStyle w:val="a4"/>
          </w:rPr>
          <w:instrText xml:space="preserve"> PAGE </w:instrText>
        </w:r>
        <w:r>
          <w:rPr>
            <w:rStyle w:val="a4"/>
          </w:rPr>
          <w:fldChar w:fldCharType="end"/>
        </w:r>
      </w:p>
    </w:sdtContent>
  </w:sdt>
  <w:p w:rsidR="00EF7132" w:rsidRDefault="00165365" w:rsidP="00EF7132">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4"/>
      </w:rPr>
      <w:id w:val="-94940357"/>
      <w:docPartObj>
        <w:docPartGallery w:val="Page Numbers (Bottom of Page)"/>
        <w:docPartUnique/>
      </w:docPartObj>
    </w:sdtPr>
    <w:sdtContent>
      <w:p w:rsidR="00EF7132" w:rsidRDefault="00EC3BCB" w:rsidP="007A157A">
        <w:pPr>
          <w:pStyle w:val="a3"/>
          <w:framePr w:wrap="none" w:vAnchor="text" w:hAnchor="margin" w:xAlign="right" w:y="1"/>
          <w:rPr>
            <w:rStyle w:val="a4"/>
          </w:rPr>
        </w:pPr>
        <w:r>
          <w:rPr>
            <w:rStyle w:val="a4"/>
          </w:rPr>
          <w:fldChar w:fldCharType="begin"/>
        </w:r>
        <w:r w:rsidR="00B83C03">
          <w:rPr>
            <w:rStyle w:val="a4"/>
          </w:rPr>
          <w:instrText xml:space="preserve"> PAGE </w:instrText>
        </w:r>
        <w:r>
          <w:rPr>
            <w:rStyle w:val="a4"/>
          </w:rPr>
          <w:fldChar w:fldCharType="separate"/>
        </w:r>
        <w:r w:rsidR="00661FBE">
          <w:rPr>
            <w:rStyle w:val="a4"/>
            <w:noProof/>
          </w:rPr>
          <w:t>2</w:t>
        </w:r>
        <w:r>
          <w:rPr>
            <w:rStyle w:val="a4"/>
          </w:rPr>
          <w:fldChar w:fldCharType="end"/>
        </w:r>
      </w:p>
    </w:sdtContent>
  </w:sdt>
  <w:p w:rsidR="00EF7132" w:rsidRDefault="00165365" w:rsidP="00EF7132">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365" w:rsidRDefault="00165365" w:rsidP="00642741">
      <w:r>
        <w:separator/>
      </w:r>
    </w:p>
  </w:footnote>
  <w:footnote w:type="continuationSeparator" w:id="0">
    <w:p w:rsidR="00165365" w:rsidRDefault="00165365" w:rsidP="006427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64730C"/>
    <w:rsid w:val="00165365"/>
    <w:rsid w:val="0028505E"/>
    <w:rsid w:val="00642741"/>
    <w:rsid w:val="0064730C"/>
    <w:rsid w:val="00661FBE"/>
    <w:rsid w:val="007F48DE"/>
    <w:rsid w:val="00841344"/>
    <w:rsid w:val="009434EE"/>
    <w:rsid w:val="00B83C03"/>
    <w:rsid w:val="00EC3B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3C03"/>
    <w:pPr>
      <w:spacing w:after="0" w:line="240" w:lineRule="auto"/>
    </w:pPr>
    <w:rPr>
      <w:rFonts w:ascii="Times New Roman" w:eastAsia="Times New Roman" w:hAnsi="Times New Roman" w:cs="Times New Roman"/>
      <w:sz w:val="24"/>
      <w:szCs w:val="24"/>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B83C03"/>
    <w:pPr>
      <w:tabs>
        <w:tab w:val="center" w:pos="4536"/>
        <w:tab w:val="right" w:pos="9072"/>
      </w:tabs>
    </w:pPr>
  </w:style>
  <w:style w:type="character" w:customStyle="1" w:styleId="Char">
    <w:name w:val="页脚 Char"/>
    <w:basedOn w:val="a0"/>
    <w:link w:val="a3"/>
    <w:uiPriority w:val="99"/>
    <w:rsid w:val="00B83C03"/>
    <w:rPr>
      <w:rFonts w:ascii="Times New Roman" w:eastAsia="Times New Roman" w:hAnsi="Times New Roman" w:cs="Times New Roman"/>
      <w:sz w:val="24"/>
      <w:szCs w:val="24"/>
      <w:lang w:val="fr-FR" w:eastAsia="fr-FR"/>
    </w:rPr>
  </w:style>
  <w:style w:type="character" w:styleId="a4">
    <w:name w:val="page number"/>
    <w:basedOn w:val="a0"/>
    <w:uiPriority w:val="99"/>
    <w:semiHidden/>
    <w:unhideWhenUsed/>
    <w:rsid w:val="00B83C03"/>
  </w:style>
  <w:style w:type="character" w:styleId="a5">
    <w:name w:val="line number"/>
    <w:basedOn w:val="a0"/>
    <w:uiPriority w:val="99"/>
    <w:semiHidden/>
    <w:unhideWhenUsed/>
    <w:rsid w:val="00B83C03"/>
  </w:style>
  <w:style w:type="paragraph" w:styleId="a6">
    <w:name w:val="header"/>
    <w:basedOn w:val="a"/>
    <w:link w:val="Char0"/>
    <w:uiPriority w:val="99"/>
    <w:semiHidden/>
    <w:unhideWhenUsed/>
    <w:rsid w:val="007F48D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7F48DE"/>
    <w:rPr>
      <w:rFonts w:ascii="Times New Roman" w:eastAsia="Times New Roman" w:hAnsi="Times New Roman" w:cs="Times New Roman"/>
      <w:sz w:val="18"/>
      <w:szCs w:val="18"/>
      <w:lang w:val="fr-FR" w:eastAsia="fr-FR"/>
    </w:rPr>
  </w:style>
  <w:style w:type="paragraph" w:styleId="a7">
    <w:name w:val="Balloon Text"/>
    <w:basedOn w:val="a"/>
    <w:link w:val="Char1"/>
    <w:uiPriority w:val="99"/>
    <w:semiHidden/>
    <w:unhideWhenUsed/>
    <w:rsid w:val="007F48DE"/>
    <w:rPr>
      <w:sz w:val="18"/>
      <w:szCs w:val="18"/>
    </w:rPr>
  </w:style>
  <w:style w:type="character" w:customStyle="1" w:styleId="Char1">
    <w:name w:val="批注框文本 Char"/>
    <w:basedOn w:val="a0"/>
    <w:link w:val="a7"/>
    <w:uiPriority w:val="99"/>
    <w:semiHidden/>
    <w:rsid w:val="007F48DE"/>
    <w:rPr>
      <w:rFonts w:ascii="Times New Roman" w:eastAsia="Times New Roman" w:hAnsi="Times New Roman" w:cs="Times New Roman"/>
      <w:sz w:val="18"/>
      <w:szCs w:val="18"/>
      <w:lang w:val="fr-FR"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 Rawat1</dc:creator>
  <cp:keywords/>
  <dc:description/>
  <cp:lastModifiedBy>yuanhe</cp:lastModifiedBy>
  <cp:revision>6</cp:revision>
  <dcterms:created xsi:type="dcterms:W3CDTF">2025-09-12T09:38:00Z</dcterms:created>
  <dcterms:modified xsi:type="dcterms:W3CDTF">2025-11-11T08:13:00Z</dcterms:modified>
</cp:coreProperties>
</file>