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6A2394" w14:textId="77777777" w:rsidR="00CD18F3" w:rsidRPr="00FE7D4D" w:rsidRDefault="004C0685" w:rsidP="004C0685">
      <w:pPr>
        <w:jc w:val="center"/>
        <w:rPr>
          <w:b/>
        </w:rPr>
      </w:pPr>
      <w:r w:rsidRPr="00FE7D4D">
        <w:rPr>
          <w:b/>
        </w:rPr>
        <w:t>Supplementary Information for:</w:t>
      </w:r>
    </w:p>
    <w:p w14:paraId="28E3C8CC" w14:textId="77777777" w:rsidR="004C0685" w:rsidRPr="00FE7D4D" w:rsidRDefault="004C0685"/>
    <w:p w14:paraId="459B0064" w14:textId="77777777" w:rsidR="004C0685" w:rsidRPr="00FE7D4D" w:rsidRDefault="004C0685" w:rsidP="004C0685">
      <w:pPr>
        <w:jc w:val="center"/>
        <w:rPr>
          <w:b/>
          <w:sz w:val="28"/>
        </w:rPr>
      </w:pPr>
      <w:r w:rsidRPr="00FE7D4D">
        <w:rPr>
          <w:b/>
          <w:sz w:val="28"/>
        </w:rPr>
        <w:t>A Framework for Estimating the U.S. Mortality Burden of Fine Particulate Matter Exposure Attributable to Indoor and Outdoor Microenvironments</w:t>
      </w:r>
    </w:p>
    <w:p w14:paraId="666AE4B4" w14:textId="77777777" w:rsidR="004C0685" w:rsidRPr="00FE7D4D" w:rsidRDefault="004C0685" w:rsidP="004C0685"/>
    <w:p w14:paraId="2DD4A835" w14:textId="77777777" w:rsidR="004C0685" w:rsidRPr="00FE7D4D" w:rsidRDefault="004C0685" w:rsidP="004C0685">
      <w:pPr>
        <w:jc w:val="center"/>
      </w:pPr>
      <w:r w:rsidRPr="00FE7D4D">
        <w:t>Parham Azimi, Ph.D.,</w:t>
      </w:r>
      <w:r w:rsidRPr="00FE7D4D">
        <w:rPr>
          <w:vertAlign w:val="superscript"/>
        </w:rPr>
        <w:t>1</w:t>
      </w:r>
      <w:r w:rsidRPr="00FE7D4D">
        <w:t xml:space="preserve"> Brent Stephens, Ph.D.</w:t>
      </w:r>
      <w:r w:rsidRPr="00FE7D4D">
        <w:rPr>
          <w:vertAlign w:val="superscript"/>
        </w:rPr>
        <w:t>1</w:t>
      </w:r>
    </w:p>
    <w:p w14:paraId="5245B26C" w14:textId="77777777" w:rsidR="004C0685" w:rsidRPr="00FE7D4D" w:rsidRDefault="004C0685" w:rsidP="004C0685">
      <w:pPr>
        <w:jc w:val="center"/>
      </w:pPr>
      <w:r w:rsidRPr="00FE7D4D">
        <w:rPr>
          <w:vertAlign w:val="superscript"/>
        </w:rPr>
        <w:t>1</w:t>
      </w:r>
      <w:r w:rsidRPr="00FE7D4D">
        <w:t>Department of Civil, Architectural, and Environmental Engineering, Illinois Institute of Technology, Chicago, IL USA</w:t>
      </w:r>
    </w:p>
    <w:p w14:paraId="56DAC9C7" w14:textId="77777777" w:rsidR="004C0685" w:rsidRPr="00FE7D4D" w:rsidRDefault="004C0685" w:rsidP="004C0685"/>
    <w:p w14:paraId="227BAA64" w14:textId="77777777" w:rsidR="004C0685" w:rsidRPr="00FE7D4D" w:rsidRDefault="004C0685" w:rsidP="004C0685">
      <w:pPr>
        <w:rPr>
          <w:b/>
        </w:rPr>
      </w:pPr>
      <w:r w:rsidRPr="00FE7D4D">
        <w:rPr>
          <w:b/>
        </w:rPr>
        <w:t>Table of contents</w:t>
      </w:r>
    </w:p>
    <w:p w14:paraId="7D4482A9" w14:textId="77777777" w:rsidR="004C0685" w:rsidRPr="00FE7D4D" w:rsidRDefault="004C0685" w:rsidP="004C0685">
      <w:pPr>
        <w:rPr>
          <w:b/>
        </w:rPr>
      </w:pPr>
    </w:p>
    <w:p w14:paraId="180DDEAA" w14:textId="77777777" w:rsidR="00FE7D4D" w:rsidRDefault="0092530F">
      <w:pPr>
        <w:pStyle w:val="TOC1"/>
        <w:tabs>
          <w:tab w:val="right" w:leader="dot" w:pos="9350"/>
        </w:tabs>
        <w:rPr>
          <w:rFonts w:asciiTheme="minorHAnsi" w:hAnsiTheme="minorHAnsi"/>
          <w:noProof/>
          <w:lang w:eastAsia="ja-JP"/>
        </w:rPr>
      </w:pPr>
      <w:r w:rsidRPr="00FE7D4D">
        <w:fldChar w:fldCharType="begin"/>
      </w:r>
      <w:r w:rsidRPr="00FE7D4D">
        <w:instrText xml:space="preserve"> TOC \o "1-3" </w:instrText>
      </w:r>
      <w:r w:rsidRPr="00FE7D4D">
        <w:fldChar w:fldCharType="separate"/>
      </w:r>
      <w:r w:rsidR="00FE7D4D">
        <w:rPr>
          <w:noProof/>
        </w:rPr>
        <w:t>Selecting appropriate exposure-response effect estimates for PM</w:t>
      </w:r>
      <w:r w:rsidR="00FE7D4D" w:rsidRPr="00334C4C">
        <w:rPr>
          <w:noProof/>
          <w:vertAlign w:val="subscript"/>
        </w:rPr>
        <w:t>2.5</w:t>
      </w:r>
      <w:r w:rsidR="00FE7D4D">
        <w:rPr>
          <w:noProof/>
        </w:rPr>
        <w:t xml:space="preserve"> of outdoor origin</w:t>
      </w:r>
      <w:r w:rsidR="00FE7D4D">
        <w:rPr>
          <w:noProof/>
        </w:rPr>
        <w:tab/>
      </w:r>
      <w:r w:rsidR="00FE7D4D">
        <w:rPr>
          <w:noProof/>
        </w:rPr>
        <w:fldChar w:fldCharType="begin"/>
      </w:r>
      <w:r w:rsidR="00FE7D4D">
        <w:rPr>
          <w:noProof/>
        </w:rPr>
        <w:instrText xml:space="preserve"> PAGEREF _Toc399490404 \h </w:instrText>
      </w:r>
      <w:r w:rsidR="00FE7D4D">
        <w:rPr>
          <w:noProof/>
        </w:rPr>
      </w:r>
      <w:r w:rsidR="00FE7D4D">
        <w:rPr>
          <w:noProof/>
        </w:rPr>
        <w:fldChar w:fldCharType="separate"/>
      </w:r>
      <w:r w:rsidR="00FE7D4D">
        <w:rPr>
          <w:noProof/>
        </w:rPr>
        <w:t>2</w:t>
      </w:r>
      <w:r w:rsidR="00FE7D4D">
        <w:rPr>
          <w:noProof/>
        </w:rPr>
        <w:fldChar w:fldCharType="end"/>
      </w:r>
    </w:p>
    <w:p w14:paraId="6723EE35" w14:textId="77777777" w:rsidR="00FE7D4D" w:rsidRDefault="00FE7D4D">
      <w:pPr>
        <w:pStyle w:val="TOC1"/>
        <w:tabs>
          <w:tab w:val="right" w:leader="dot" w:pos="9350"/>
        </w:tabs>
        <w:rPr>
          <w:rFonts w:asciiTheme="minorHAnsi" w:hAnsiTheme="minorHAnsi"/>
          <w:noProof/>
          <w:lang w:eastAsia="ja-JP"/>
        </w:rPr>
      </w:pPr>
      <w:r>
        <w:rPr>
          <w:noProof/>
        </w:rPr>
        <w:t>Modifying exposure-response function effect estimates for PM</w:t>
      </w:r>
      <w:r w:rsidRPr="00334C4C">
        <w:rPr>
          <w:noProof/>
          <w:vertAlign w:val="subscript"/>
        </w:rPr>
        <w:t>2.5</w:t>
      </w:r>
      <w:r>
        <w:rPr>
          <w:noProof/>
        </w:rPr>
        <w:t xml:space="preserve"> of outdoor origin</w:t>
      </w:r>
      <w:r>
        <w:rPr>
          <w:noProof/>
        </w:rPr>
        <w:tab/>
      </w:r>
      <w:r>
        <w:rPr>
          <w:noProof/>
        </w:rPr>
        <w:fldChar w:fldCharType="begin"/>
      </w:r>
      <w:r>
        <w:rPr>
          <w:noProof/>
        </w:rPr>
        <w:instrText xml:space="preserve"> PAGEREF _Toc399490405 \h </w:instrText>
      </w:r>
      <w:r>
        <w:rPr>
          <w:noProof/>
        </w:rPr>
      </w:r>
      <w:r>
        <w:rPr>
          <w:noProof/>
        </w:rPr>
        <w:fldChar w:fldCharType="separate"/>
      </w:r>
      <w:r>
        <w:rPr>
          <w:noProof/>
        </w:rPr>
        <w:t>3</w:t>
      </w:r>
      <w:r>
        <w:rPr>
          <w:noProof/>
        </w:rPr>
        <w:fldChar w:fldCharType="end"/>
      </w:r>
    </w:p>
    <w:p w14:paraId="687647E9" w14:textId="77777777" w:rsidR="00FE7D4D" w:rsidRDefault="00FE7D4D">
      <w:pPr>
        <w:pStyle w:val="TOC1"/>
        <w:tabs>
          <w:tab w:val="right" w:leader="dot" w:pos="9350"/>
        </w:tabs>
        <w:rPr>
          <w:rFonts w:asciiTheme="minorHAnsi" w:hAnsiTheme="minorHAnsi"/>
          <w:noProof/>
          <w:lang w:eastAsia="ja-JP"/>
        </w:rPr>
      </w:pPr>
      <w:r>
        <w:rPr>
          <w:noProof/>
        </w:rPr>
        <w:t>Scenario 1: Nationwide estimate based primarily on prior field studies</w:t>
      </w:r>
      <w:r>
        <w:rPr>
          <w:noProof/>
        </w:rPr>
        <w:tab/>
      </w:r>
      <w:r>
        <w:rPr>
          <w:noProof/>
        </w:rPr>
        <w:fldChar w:fldCharType="begin"/>
      </w:r>
      <w:r>
        <w:rPr>
          <w:noProof/>
        </w:rPr>
        <w:instrText xml:space="preserve"> PAGEREF _Toc399490406 \h </w:instrText>
      </w:r>
      <w:r>
        <w:rPr>
          <w:noProof/>
        </w:rPr>
      </w:r>
      <w:r>
        <w:rPr>
          <w:noProof/>
        </w:rPr>
        <w:fldChar w:fldCharType="separate"/>
      </w:r>
      <w:r>
        <w:rPr>
          <w:noProof/>
        </w:rPr>
        <w:t>4</w:t>
      </w:r>
      <w:r>
        <w:rPr>
          <w:noProof/>
        </w:rPr>
        <w:fldChar w:fldCharType="end"/>
      </w:r>
    </w:p>
    <w:p w14:paraId="1CB19BA0" w14:textId="77777777" w:rsidR="00FE7D4D" w:rsidRDefault="00FE7D4D">
      <w:pPr>
        <w:pStyle w:val="TOC1"/>
        <w:tabs>
          <w:tab w:val="right" w:leader="dot" w:pos="9350"/>
        </w:tabs>
        <w:rPr>
          <w:rFonts w:asciiTheme="minorHAnsi" w:hAnsiTheme="minorHAnsi"/>
          <w:noProof/>
          <w:lang w:eastAsia="ja-JP"/>
        </w:rPr>
      </w:pPr>
      <w:r>
        <w:rPr>
          <w:noProof/>
        </w:rPr>
        <w:t>Scenario 3: Global Burden of Disease Integrated Exposure-Response model</w:t>
      </w:r>
      <w:r>
        <w:rPr>
          <w:noProof/>
        </w:rPr>
        <w:tab/>
      </w:r>
      <w:r>
        <w:rPr>
          <w:noProof/>
        </w:rPr>
        <w:fldChar w:fldCharType="begin"/>
      </w:r>
      <w:r>
        <w:rPr>
          <w:noProof/>
        </w:rPr>
        <w:instrText xml:space="preserve"> PAGEREF _Toc399490407 \h </w:instrText>
      </w:r>
      <w:r>
        <w:rPr>
          <w:noProof/>
        </w:rPr>
      </w:r>
      <w:r>
        <w:rPr>
          <w:noProof/>
        </w:rPr>
        <w:fldChar w:fldCharType="separate"/>
      </w:r>
      <w:r>
        <w:rPr>
          <w:noProof/>
        </w:rPr>
        <w:t>9</w:t>
      </w:r>
      <w:r>
        <w:rPr>
          <w:noProof/>
        </w:rPr>
        <w:fldChar w:fldCharType="end"/>
      </w:r>
    </w:p>
    <w:p w14:paraId="64AC04C4" w14:textId="77777777" w:rsidR="00FE7D4D" w:rsidRDefault="00FE7D4D">
      <w:pPr>
        <w:pStyle w:val="TOC1"/>
        <w:tabs>
          <w:tab w:val="right" w:leader="dot" w:pos="9350"/>
        </w:tabs>
        <w:rPr>
          <w:rFonts w:asciiTheme="minorHAnsi" w:hAnsiTheme="minorHAnsi"/>
          <w:noProof/>
          <w:lang w:eastAsia="ja-JP"/>
        </w:rPr>
      </w:pPr>
      <w:r>
        <w:rPr>
          <w:noProof/>
        </w:rPr>
        <w:t>References</w:t>
      </w:r>
      <w:r>
        <w:rPr>
          <w:noProof/>
        </w:rPr>
        <w:tab/>
      </w:r>
      <w:r>
        <w:rPr>
          <w:noProof/>
        </w:rPr>
        <w:fldChar w:fldCharType="begin"/>
      </w:r>
      <w:r>
        <w:rPr>
          <w:noProof/>
        </w:rPr>
        <w:instrText xml:space="preserve"> PAGEREF _Toc399490408 \h </w:instrText>
      </w:r>
      <w:r>
        <w:rPr>
          <w:noProof/>
        </w:rPr>
      </w:r>
      <w:r>
        <w:rPr>
          <w:noProof/>
        </w:rPr>
        <w:fldChar w:fldCharType="separate"/>
      </w:r>
      <w:r>
        <w:rPr>
          <w:noProof/>
        </w:rPr>
        <w:t>14</w:t>
      </w:r>
      <w:r>
        <w:rPr>
          <w:noProof/>
        </w:rPr>
        <w:fldChar w:fldCharType="end"/>
      </w:r>
    </w:p>
    <w:p w14:paraId="363FC386" w14:textId="77777777" w:rsidR="00FE7D4D" w:rsidRDefault="00FE7D4D">
      <w:pPr>
        <w:pStyle w:val="TOC1"/>
        <w:tabs>
          <w:tab w:val="right" w:leader="dot" w:pos="9350"/>
        </w:tabs>
        <w:rPr>
          <w:rFonts w:asciiTheme="minorHAnsi" w:hAnsiTheme="minorHAnsi"/>
          <w:noProof/>
          <w:lang w:eastAsia="ja-JP"/>
        </w:rPr>
      </w:pPr>
      <w:r>
        <w:rPr>
          <w:noProof/>
        </w:rPr>
        <w:t>Figures</w:t>
      </w:r>
      <w:r>
        <w:rPr>
          <w:noProof/>
        </w:rPr>
        <w:tab/>
      </w:r>
      <w:r>
        <w:rPr>
          <w:noProof/>
        </w:rPr>
        <w:fldChar w:fldCharType="begin"/>
      </w:r>
      <w:r>
        <w:rPr>
          <w:noProof/>
        </w:rPr>
        <w:instrText xml:space="preserve"> PAGEREF _Toc399490409 \h </w:instrText>
      </w:r>
      <w:r>
        <w:rPr>
          <w:noProof/>
        </w:rPr>
      </w:r>
      <w:r>
        <w:rPr>
          <w:noProof/>
        </w:rPr>
        <w:fldChar w:fldCharType="separate"/>
      </w:r>
      <w:r>
        <w:rPr>
          <w:noProof/>
        </w:rPr>
        <w:t>19</w:t>
      </w:r>
      <w:r>
        <w:rPr>
          <w:noProof/>
        </w:rPr>
        <w:fldChar w:fldCharType="end"/>
      </w:r>
    </w:p>
    <w:p w14:paraId="473CA9DF" w14:textId="77777777" w:rsidR="00FE7D4D" w:rsidRDefault="00FE7D4D">
      <w:pPr>
        <w:pStyle w:val="TOC1"/>
        <w:tabs>
          <w:tab w:val="right" w:leader="dot" w:pos="9350"/>
        </w:tabs>
        <w:rPr>
          <w:rFonts w:asciiTheme="minorHAnsi" w:hAnsiTheme="minorHAnsi"/>
          <w:noProof/>
          <w:lang w:eastAsia="ja-JP"/>
        </w:rPr>
      </w:pPr>
      <w:r>
        <w:rPr>
          <w:noProof/>
        </w:rPr>
        <w:t>Tables</w:t>
      </w:r>
      <w:r>
        <w:rPr>
          <w:noProof/>
        </w:rPr>
        <w:tab/>
      </w:r>
      <w:r>
        <w:rPr>
          <w:noProof/>
        </w:rPr>
        <w:fldChar w:fldCharType="begin"/>
      </w:r>
      <w:r>
        <w:rPr>
          <w:noProof/>
        </w:rPr>
        <w:instrText xml:space="preserve"> PAGEREF _Toc399490410 \h </w:instrText>
      </w:r>
      <w:r>
        <w:rPr>
          <w:noProof/>
        </w:rPr>
      </w:r>
      <w:r>
        <w:rPr>
          <w:noProof/>
        </w:rPr>
        <w:fldChar w:fldCharType="separate"/>
      </w:r>
      <w:r>
        <w:rPr>
          <w:noProof/>
        </w:rPr>
        <w:t>20</w:t>
      </w:r>
      <w:r>
        <w:rPr>
          <w:noProof/>
        </w:rPr>
        <w:fldChar w:fldCharType="end"/>
      </w:r>
    </w:p>
    <w:p w14:paraId="48558069" w14:textId="0DC5E529" w:rsidR="00545470" w:rsidRPr="00FE7D4D" w:rsidRDefault="0092530F">
      <w:r w:rsidRPr="00FE7D4D">
        <w:fldChar w:fldCharType="end"/>
      </w:r>
      <w:r w:rsidR="00545470" w:rsidRPr="00FE7D4D">
        <w:br w:type="page"/>
      </w:r>
    </w:p>
    <w:p w14:paraId="5A0DE8EA" w14:textId="1D6DB95B" w:rsidR="002E038C" w:rsidRPr="00FE7D4D" w:rsidRDefault="002E038C" w:rsidP="002E038C">
      <w:pPr>
        <w:pStyle w:val="Heading1"/>
      </w:pPr>
      <w:bookmarkStart w:id="0" w:name="_Toc399490404"/>
      <w:r w:rsidRPr="00FE7D4D">
        <w:lastRenderedPageBreak/>
        <w:t xml:space="preserve">Selecting appropriate </w:t>
      </w:r>
      <w:r w:rsidR="00E30DA6" w:rsidRPr="00FE7D4D">
        <w:t>exposure-</w:t>
      </w:r>
      <w:r w:rsidRPr="00FE7D4D">
        <w:t>response effect estimates for PM</w:t>
      </w:r>
      <w:r w:rsidRPr="00FE7D4D">
        <w:rPr>
          <w:vertAlign w:val="subscript"/>
        </w:rPr>
        <w:t>2.5</w:t>
      </w:r>
      <w:r w:rsidRPr="00FE7D4D">
        <w:t xml:space="preserve"> of outdoor origin</w:t>
      </w:r>
      <w:bookmarkEnd w:id="0"/>
    </w:p>
    <w:p w14:paraId="0AF50C95" w14:textId="3D280F95" w:rsidR="002E038C" w:rsidRPr="00FE7D4D" w:rsidRDefault="002E038C" w:rsidP="002E038C">
      <w:pPr>
        <w:pStyle w:val="NoSpacing"/>
      </w:pPr>
      <w:r w:rsidRPr="00FE7D4D">
        <w:rPr>
          <w:lang w:bidi="fa-IR"/>
        </w:rPr>
        <w:t>Epidemiology studies that have investigated associations between premature all-cause mortality and long-term outdoor PM</w:t>
      </w:r>
      <w:r w:rsidRPr="00FE7D4D">
        <w:rPr>
          <w:vertAlign w:val="subscript"/>
          <w:lang w:bidi="fa-IR"/>
        </w:rPr>
        <w:t>2.5</w:t>
      </w:r>
      <w:r w:rsidRPr="00FE7D4D">
        <w:rPr>
          <w:lang w:bidi="fa-IR"/>
        </w:rPr>
        <w:t xml:space="preserve"> concentrations in the U.S. have reported various relative risks (RR) </w:t>
      </w:r>
      <w:r w:rsidRPr="00FE7D4D">
        <w:t>commonly ranging from 6% per 10 µg/m</w:t>
      </w:r>
      <w:r w:rsidRPr="00FE7D4D">
        <w:rPr>
          <w:vertAlign w:val="superscript"/>
        </w:rPr>
        <w:t>3</w:t>
      </w:r>
      <w:r w:rsidRPr="00FE7D4D">
        <w:t xml:space="preserve"> (95% CI: 2% to 11%) to 26% per 10 µg/m</w:t>
      </w:r>
      <w:r w:rsidRPr="00FE7D4D">
        <w:rPr>
          <w:vertAlign w:val="superscript"/>
        </w:rPr>
        <w:t>3</w:t>
      </w:r>
      <w:r w:rsidRPr="00FE7D4D">
        <w:t xml:space="preserve"> (95% CI: 8% to 47%).</w:t>
      </w:r>
      <w:r w:rsidRPr="00FE7D4D">
        <w:fldChar w:fldCharType="begin"/>
      </w:r>
      <w:r w:rsidR="00701571" w:rsidRPr="00FE7D4D">
        <w:instrText xml:space="preserve"> ADDIN ZOTERO_ITEM CSL_CITATION {"citationID":"axi1HRwJ","properties":{"formattedCitation":"\\super 1\\uc0\\u8211{}9\\nosupersub{}","plainCitation":"1–9","noteIndex":0},"citationItems":[{"id":"FcLQwGOa/NL6qOlqL","uris":["http://zotero.org/users/327441/items/XUB978JN"],"uri":["http://zotero.org/users/327441/items/XUB978JN"],"itemData":{"id":3198,"type":"article-journal","title":"Air Pollution and Mortality in the Medicare Population","container-title":"New England Journal of Medicine","page":"2513-2522","volume":"376","issue":"26","source":"CrossRef","DOI":"10.1056/NEJMoa1702747","ISSN":"0028-4793, 1533-4406","language":"en","author":[{"family":"Di","given":"Qian"},{"family":"Wang","given":"Yan"},{"family":"Zanobetti","given":"Antonella"},{"family":"Wang","given":"Yun"},{"family":"Koutrakis","given":"Petros"},{"family":"Choirat","given":"Christine"},{"family":"Dominici","given":"Francesca"},{"family":"Schwartz","given":"Joel D."}],"issued":{"date-parts":[["2017",6,29]]}}},{"id":"FcLQwGOa/NgBrAfbj","uris":["http://zotero.org/users/327441/items/JRHNFKVP"],"uri":["http://zotero.org/users/327441/items/JRHNFKVP"],"itemData":{"id":715,"type":"article-journal","title":"An association between air pollution and mortality in six U.S. cities","container-title":"The New England Journal of Medicine","page":"1753-1759","volume":"329","issue":"24","source":"NCBI PubMed","abstract":"BACKGROUND\n\nRecent studies have reported associations between particulate air pollution and daily mortality rates. Population-based, cross-sectional studies of metropolitan areas in the United States have also found associations between particulate air pollution and annual mortality rates, but these studies have been criticized, in part because they did not directly control for cigarette smoking and other health risks.\n\n\nMETHODS\n\nIn this prospective cohort study, we estimated the effects of air pollution on mortality, while controlling for individual risk factors. Survival analysis, including Cox proportional-hazards regression modeling, was conducted with data from a 14-to-16-year mortality follow-up of 8111 adults in six U.S. cities.\n\n\nRESULTS\n\nMortality rates were most strongly associated with cigarette smoking. After adjusting for smoking and other risk factors, we observed statistically significant and robust associations between air pollution and mortality. The adjusted mortality-rate ratio for the most polluted of the cities as compared with the least polluted was 1.26 (95 percent confidence interval, 1.08 to 1.47). Air pollution was positively associated with death from lung cancer and cardiopulmonary disease but not with death from other causes considered together. Mortality was most strongly associated with air pollution with fine particulates, including sulfates.\n\n\nCONCLUSIONS\n\nAlthough the effects of other, unmeasured risk factors cannot be excluded with certainty, these results suggest that fine-particulate air pollution, or a more complex pollution mixture associated with fine particulate matter, contributes to excess mortality in certain U.S. cities.","DOI":"10.1056/NEJM199312093292401","ISSN":"0028-4793","note":"PMID: 8179653","journalAbbreviation":"N. Engl. J. Med.","author":[{"family":"Dockery","given":"D W"},{"family":"Pope","given":"C A","suffix":"3rd"},{"family":"Xu","given":"X"},{"family":"Spengler","given":"J D"},{"family":"Ware","given":"J H"},{"family":"Fay","given":"M E"},{"family":"Ferris","given":"B G","suffix":"Jr"},{"family":"Speizer","given":"F E"}],"issued":{"date-parts":[["1993",12,9]]}}},{"id":"FcLQwGOa/PYziNHxT","uris":["http://zotero.org/users/local/0dVlBblu/items/77P8GRI8"],"uri":["http://zotero.org/users/local/0dVlBblu/items/77P8GRI8"],"itemData":{"id":3751,"type":"article-journal","title":"Spatial Analysis of Air Pollution and Mortality in Los Angeles:","container-title":"Epidemiology","page":"727-736","volume":"16","issue":"6","source":"CrossRef","DOI":"10.1097/01.ede.0000181630.15826.7d","ISSN":"1044-3983","shortTitle":"Spatial Analysis of Air Pollution and Mortality in Los Angeles","language":"en","author":[{"family":"Jerrett","given":"Michael"},{"family":"Burnett","given":"Richard T."},{"family":"Ma","given":"Renjun"},{"family":"Pope","given":"C Arden"},{"family":"Krewski","given":"Daniel"},{"family":"Newbold","given":"K Bruce"},{"family":"Thurston","given":"George"},{"family":"Shi","given":"Yuanli"},{"family":"Finkelstein","given":"Norm"},{"family":"Calle","given":"Eugenia E."},{"family":"Thun","given":"Michael J."}],"issued":{"date-parts":[["2005",11]]}}},{"id":"FcLQwGOa/LmmtCOoE","uris":["http://zotero.org/users/local/0dVlBblu/items/Z6QS83Z5"],"uri":["http://zotero.org/users/local/0dVlBblu/items/Z6QS83Z5"],"itemData":{"id":3752,"type":"article-journal","title":"Extended follow-up and spatial analysis of the American Cancer Society study linking particulate air pollution and mortality.","container-title":"Research report (Health Effects Institute)","page":"5-114; discussion 115-36","issue":"140","source":"europepmc.org","abstract":"Abstract: We conducted an extended follow-up and spatial analysis of the American Cancer Society (ACS) Cancer Prevention Study II (CPS-II) cohort in order...","ISSN":"1041-5505","note":"PMID: 19627030","journalAbbreviation":"Res Rep Health Eff Inst","language":"eng","author":[{"family":"Krewski","given":"D"},{"family":"Jerrett","given":"Michael"},{"family":"Rt","given":"Burnett"},{"family":"R","given":"Ma"},{"family":"E","given":"Hughes"},{"family":"Y","given":"Shi"},{"family":"Mc","given":"Turner"},{"family":"3rd","given":"Pope CA"},{"family":"G","given":"Thurston"},{"family":"Ee","given":"Calle"},{"family":"Mj","given":"Thun"},{"family":"B","given":"Beckerman"},{"family":"P","given":"DeLuca"},{"family":"N","given":"Finkelstein"},{"family":"K","given":"Ito"},{"family":"Dk","given":"Moore"},{"family":"Kb","given":"Newbold"},{"family":"T","given":"Ramsay"},{"family":"Z","given":"Ross"},{"family":"H","given":"Shin"},{"family":"B","given":"Tempalski"}],"issued":{"date-parts":[["2009"]],"season":"2009"},"PMID":"19627030"}},{"id":"FcLQwGOa/bOmxR3e5","uris":["http://zotero.org/users/327441/items/BG2JVEMH"],"uri":["http://zotero.org/users/327441/items/BG2JVEMH"],"itemData":{"id":357,"type":"article-journal","title":"Reduction in Fine Particulate Air Pollution and Mortality: Extended Follow-up of the Harvard Six Cities Study","container-title":"American Journal of Respiratory and Critical Care Medicine","page":"667-672","volume":"173","issue":"6","abstract":"Rationale: A large body of epidemiologic literature has found an association of increased fine particulate air pollution (PM2.5) with acute and chronic mortality. The effect of improvements in particle exposure is less clear. Objectives: Earlier analysis of the Harvard Six Cities adult cohort study showed an association between long-term ambient PM2.5 and mortality between enrollment in the mid-1970s and follow-up until 1990. We extended mortality follow-up for 8 yr in a period of reduced air pollution concentrations. Methods: Annual city-specific PM2.5 concentrations were measured between 1979 and 1988, and estimated for later years from publicly available data. Exposure was defined as (1) city-specific mean PM2.5 during the two follow-up periods, (2) mean PM2.5 in the first period and change between these periods, (3) overall mean PM2.5 across the entire follow-up, and (4) year-specific mean PM2.5. Mortality rate ratios were estimated with Cox proportional hazards regression controlling for individual risk factors. Measurements and Main Results: We found an increase in overall mortality associated with each 10 {micro}g/m3 increase in PM2.5 modeled either as the overall mean (rate ratio [RR], 1.16; 95% confidence interval [CI], 1.07-1.26) or as exposure in the year of death (RR, 1.14; 95% CI, 1.06-1.22). PM2.5 exposure was associated with lung cancer (RR, 1.27; 95% CI, 0.96-1.69) and cardiovascular deaths (RR, 1.28; 95% CI, 1.13-1.44). Improved overall mortality was associated with decreased mean PM2.5 (10 {micro}g/m3) between periods (RR, 0.73; 95% CI, 0.57-0.95). Conclusion: Total, cardiovascular, and lung cancer mortality were each positively associated with ambient PM2.5 concentrations. Reduced PM2.5 concentrations were associated with reduced mortality risk.","DOI":"10.1164/rccm.200503-443OC","journalAbbreviation":"Am. J. Respir. Crit. Care Med.","author":[{"family":"Laden","given":"Francine"},{"family":"Schwartz","given":"Joel"},{"family":"Speizer","given":"Frank E."},{"family":"Dockery","given":"Douglas W."}],"issued":{"date-parts":[["2006",3,15]]}}},{"id":"FcLQwGOa/df5ru19U","uris":["http://zotero.org/users/2205392/items/XFTZQQND"],"uri":["http://zotero.org/users/2205392/items/XFTZQQND"],"itemData":{"id":"HSjVJWCL/nZyCYZkE","type":"article-journal","title":"Particulate Air Pollution as a Predictor of Mortality in a Prospective Study of U.S. Adults","container-title":"American Journal of Respiratory and Critical Care Medicine","page":"669-674","volume":"151","issue":"3_pt_1","source":"atsjournals.org (Atypon)","abstract":"Time-series, cross-sectional, and prospective cohort studies have observed associations between mortality and particulate air pollution but have been limited by ecologic design or small number of subjects or study areas. The present study evaluates effects of particulate air pollution on mortality using data from a large cohort drawn from many study areas. We linked ambient air pollution data from 151 U.S. metropolitan areas in 1980 with individual risk factor on 552,138 adults who resided in these areas when enrolled in a prospective study in 1982. Deaths were ascertained through December, 1989. Exposure to sulfate and fine particulate air pollution, which is primarily from fossil fuel combustion, was estimated from national data bases. The relationships of air pollution to all-cause, lung cancer, and cardiopulmonary mortality was examined using multivariate analysis which controlled for smoking, education, and other risk factors. Although small compared with cigarette smoking, an association between mortality and particulate air pollution was observed. Adjusted relative risk ratios (and 95% confidence intervals) of all-cause mortality for the most polluted areas compared with the least polluted equaled 1.15 (1.09 to 1.22) and 1.17 (1.09 to 1.26) when using sulfate and fine particulate measures respectively. Particulate air pollution was associated with cardiopulmonary and lung cancer mortality but not with mortality due to other causes. Increased mortality is associated with sulfate and fine particulate air pollution at levels commonly found in U.S. cities. The increase in risk is not attributable to tobacco smoking, although other unmeasured correlates of pollution cannot be excluded with certainty.","DOI":"10.1164/ajrccm/151.3_Pt_1.669","ISSN":"1073-449X","journalAbbreviation":"Am J Respir Crit Care Med","author":[{"family":"Pope","given":"C. Arden"},{"family":"Thun","given":"Michael J."},{"family":"Namboodiri","given":"Mohan M."},{"family":"Dockery","given":"Douglas W."},{"family":"Evans","given":"John S."},{"family":"Speizer","given":"Frank E."},{"family":"Heath","given":"Clark W."}],"issued":{"date-parts":[["1995",3,1]]},"accessed":{"date-parts":[["2015",3,30]]}}},{"id":"FcLQwGOa/bNDQF2Tu","uris":["http://zotero.org/users/327441/items/GS9SUC24"],"uri":["http://zotero.org/users/327441/items/GS9SUC24"],"itemData":{"id":590,"type":"article-journal","title":"Lung cancer, cardiopulmonary mortality, and long-term exposure to fine particulate air pollution","container-title":"JAMA: The Journal of the American Medical Association","page":"1132-1141","volume":"287","issue":"9","abstract":"CONTEXT: Associations have been found between day-to-day particulate air pollution and increased risk of various adverse health outcomes, including cardiopulmonary mortality. However, studies of health effects of long-term particulate air pollution have been less conclusive. OBJECTIVE: To assess the relationship between long-term exposure to fine particulate air pollution and all-cause, lung cancer, and cardiopulmonary mortality. DESIGN, SETTING, AND PARTICIPANTS: Vital status and cause of death data were collected by the American Cancer Society as part of the Cancer Prevention II study, an ongoing prospective mortality study, which enrolled approximately 1.2 million adults in 1982. Participants completed a questionnaire detailing individual risk factor data (age, sex, race, weight, height, smoking history, education, marital status, diet, alcohol consumption, and occupational exposures). The risk factor data for approximately 500 000 adults were linked with air pollution data for metropolitan areas throughout the United States and combined with vital status and cause of death data through December 31, 1998. MAIN OUTCOME MEASURE: All-cause, lung cancer, and cardiopulmonary mortality. RESULTS: Fine particulate and sulfur oxide--related pollution were associated with all-cause, lung cancer, and cardiopulmonary mortality. Each 10-microg/m(3) elevation in fine particulate air pollution was associated with approximately a 4%, 6%, and 8% increased risk of all-cause, cardiopulmonary, and lung cancer mortality, respectively. Measures of coarse particle fraction and total suspended particles were not consistently associated with mortality. CONCLUSION: Long-term exposure to combustion-related fine particulate air pollution is an important environmental risk factor for cardiopulmonary and lung cancer mortality.","ISSN":"0098-7484","note":"PMID: 11879110","journalAbbreviation":"JAMA","author":[{"family":"Pope","given":"C Arden"},{"family":"Burnett","given":"Richard T"},{"family":"Thun","given":"Michael J"},{"family":"Calle","given":"Eugenia E"},{"family":"Krewski","given":"Daniel"},{"family":"Ito","given":"Kazuhiko"},{"family":"Thurston","given":"George D"}],"issued":{"date-parts":[["2002",3,6]]}}},{"id":"FcLQwGOa/AOfBD6sb","uris":["http://zotero.org/users/327441/items/HNMPGQWX"],"uri":["http://zotero.org/users/327441/items/HNMPGQWX"],"itemData":{"id":2179,"type":"article-journal","title":"Expert Judgment Assessment of the Mortality Impact of Changes in Ambient Fine Particulate Matter in the U.S.","container-title":"Environmental Science &amp; Technology","page":"2268-2274","volume":"42","issue":"7","source":"CrossRef","DOI":"10.1021/es0713882","ISSN":"0013-936X, 1520-5851","language":"en","author":[{"family":"Roman","given":"Henry A."},{"family":"Walker","given":"Katherine D."},{"family":"Walsh","given":"Tyra L."},{"family":"Conner","given":"Lisa"},{"family":"Richmond","given":"Harvey M."},{"family":"Hubbell","given":"Bryan J."},{"family":"Kinney","given":"Patrick L."}],"issued":{"date-parts":[["2008",4]]}}},{"id":"FcLQwGOa/6fWjBDCh","uris":["http://zotero.org/users/327441/items/EXEAXHIC"],"uri":["http://zotero.org/users/327441/items/EXEAXHIC"],"itemData":{"id":1274,"type":"report","title":"The Benefits and Costs of the Clean Air Act from 1990 to 2020","publisher":"U.S. Environmental Protection Agency Office of Air and Radiation","publisher-place":"Washington, DC","event-place":"Washington, DC","URL":"http://www.epa.gov/cleanairactbenefits/feb11/fullreport_rev_a.pdf","number":"Final Report - Rev. A","author":[{"family":"US EPA","given":""}],"issued":{"date-parts":[["2011"]]}}}],"schema":"https://github.com/citation-style-language/schema/raw/master/csl-citation.json"} </w:instrText>
      </w:r>
      <w:r w:rsidRPr="00AA0679">
        <w:fldChar w:fldCharType="separate"/>
      </w:r>
      <w:r w:rsidR="00EF06F0" w:rsidRPr="00FE7D4D">
        <w:rPr>
          <w:rFonts w:cs="Times New Roman"/>
          <w:vertAlign w:val="superscript"/>
        </w:rPr>
        <w:t>1–9</w:t>
      </w:r>
      <w:r w:rsidRPr="00D764B3">
        <w:fldChar w:fldCharType="end"/>
      </w:r>
      <w:r w:rsidRPr="00FE7D4D">
        <w:t xml:space="preserve"> The differences in magnitudes of RR from each study are attributable to a combination of varying cohort population demographics, population susceptibility, outdoor PM</w:t>
      </w:r>
      <w:r w:rsidRPr="00FE7D4D">
        <w:rPr>
          <w:vertAlign w:val="subscript"/>
        </w:rPr>
        <w:t>2.5</w:t>
      </w:r>
      <w:r w:rsidRPr="00FE7D4D">
        <w:t xml:space="preserve"> sources and compositions, and other factors including those that affect infiltration and persistence in residential indoor environments where people spend most of their time.</w:t>
      </w:r>
      <w:r w:rsidRPr="00D764B3">
        <w:fldChar w:fldCharType="begin"/>
      </w:r>
      <w:r w:rsidR="00701571" w:rsidRPr="00FE7D4D">
        <w:instrText xml:space="preserve"> ADDIN ZOTERO_ITEM CSL_CITATION {"citationID":"Gzc27Q5j","properties":{"formattedCitation":"\\super 10\\uc0\\u8211{}16\\nosupersub{}","plainCitation":"10–16","noteIndex":0},"citationItems":[{"id":"FcLQwGOa/I1ziYBUz","uris":["http://zotero.org/users/327441/items/USDRMREN"],"uri":["http://zotero.org/users/327441/items/USDRMREN"],"itemData":{"id":2282,"type":"article-journal","title":"Fine particulate matter and mortality: a comparison of the six cities and American Cancer Society cohorts with a medicare cohort","container-title":"Epidemiology (Cambridge, Mass.)","page":"209-216","volume":"19","issue":"2","source":"PubMed","abstract":"BACKGROUND: The American Cancer Society study and the Harvard Six Cities study are 2 landmark cohort studies for estimating the chronic effects of fine particulate air pollution (PM2.5) on mortality. Using Medicare data, we assessed the association of PM2.5 with mortality for the same locations included in these studies.\nMETHODS: We estimated the chronic effects of PM2.5 on mortality for the period 2000-2002 using mortality data for cohorts of Medicare participants and average PM2.5 levels from monitors in the same counties included in the 2 studies. We estimated mortality risk associated with air pollution adjusting for individual-level (age and sex) and area-level covariates (education, income level, poverty, and employment). We controlled for potential confounding by cigarette smoking by including standardized mortality ratios for lung cancer and chronic obstructive pulmonary disease.\nRESULTS: Using the Medicare data, we estimated that a 10 microg/m increase in the yearly average PM2.5 concentration is associated with 10.9% (95% confidence interval = 9.0-12.8) and with 20.8% (14.8-27.1) increases in all-cause mortality for the American Cancer Society and Harvard Six Cities study counties, respectively. The estimates are somewhat higher than those reported by the original investigators.\nCONCLUSION: Although Medicare data lack information on some potential confounding factors, we estimated risks similar to those in the previously published reports, which incorporated more extensive information on individual-level confounders. We propose that the Medicare files can be used to construct on-going cohorts for tracking the risk of air pollution over time.","DOI":"10.1097/EDE.0b013e3181632c09","ISSN":"1044-3983","note":"PMID: 18223484","shortTitle":"Fine particulate matter and mortality","journalAbbreviation":"Epidemiology","language":"eng","author":[{"family":"Eftim","given":"Sorina E."},{"family":"Samet","given":"Jonathan M."},{"family":"Janes","given":"Holly"},{"family":"McDermott","given":"Aidan"},{"family":"Dominici","given":"Francesca"}],"issued":{"date-parts":[["2008",3]]}},"label":"page"},{"id":"FcLQwGOa/rInY3OKk","uris":["http://zotero.org/users/327441/items/PQPN6C67"],"uri":["http://zotero.org/users/327441/items/PQPN6C67"],"itemData":{"id":879,"type":"article-journal","title":"Variability in the fraction of ambient fine particulate matter found indoors and observed heterogeneity in health effect estimates","container-title":"Journal of Exposure Science and Environmental Epidemiology","page":"448-454","volume":"22","issue":"5","source":"CrossRef","DOI":"10.1038/jes.2012.34","ISSN":"1559-0631, 1559-064X","author":[{"family":"Hodas","given":"Natasha"},{"family":"Meng","given":"Qingyu"},{"family":"Lunden","given":"Melissa M"},{"family":"Rich","given":"David Q"},{"family":"Özkaynak","given":"Halûk"},{"family":"Baxter","given":"Lisa K"},{"family":"Zhang","given":"Qi"},{"family":"Turpin","given":"Barbara J"}],"issued":{"date-parts":[["2012",5,23]]}}},{"id":"FcLQwGOa/rgR7Ebil","uris":["http://zotero.org/users/327441/items/GCBCI6EK"],"uri":["http://zotero.org/users/327441/items/GCBCI6EK"],"itemData":{"id":2280,"type":"article-journal","title":"Chronic particulate exposure, mortality, and coronary heart disease in the nurses' health study","container-title":"American Journal of Epidemiology","page":"1161-1168","volume":"168","issue":"10","source":"PubMed","abstract":"Adverse health effects of exposures to acute air pollution have been well studied. Fewer studies have examined effects of chronic exposure. Previous studies used exposure estimates for narrow time periods and were limited by the geographic distribution of pollution monitors. This study examined the association of chronic particulate exposures with all-cause mortality, incident nonfatal myocardial infarction, and fatal coronary heart disease (CHD) in a prospective cohort of 66,250 women from the Nurses' Health Study in northeastern US metropolitan areas. Nonfatal outcomes were assessed through self-report and medical record review and fatalities through death certificates and medical record review. During follow-up (1992-2002), 3,785 deaths and 1,348 incident fatal CHD and nonfatal myocardial infarctions occurred. In age- and calendar-time-adjusted models, 10-microg/m(3) increases in 12-month average exposures to particulate matter &lt;10 microm in diameter were associated with increased all-cause mortality (16%, 95% confidence interval: 5, 28) and fatal CHD (43%, 95% confidence interval: 10, 86). Adjustment for body mass index and physical activity weakened these associations. Body mass index and smoking modified the association between exposure to particulate matter &lt;10 microm in diameter and fatal CHD. In this population, increases in such exposures were associated with increases in all-cause and CHD mortality. Never smokers with higher body mass indexes were at greatest risk of fatal CHD.","DOI":"10.1093/aje/kwn232","ISSN":"1476-6256","note":"PMID: 18835862\nPMCID: PMC2732957","journalAbbreviation":"Am. J. Epidemiol.","language":"eng","author":[{"family":"Puett","given":"Robin C."},{"family":"Schwartz","given":"Joel"},{"family":"Hart","given":"Jaime E."},{"family":"Yanosky","given":"Jeff D."},{"family":"Speizer","given":"Frank E."},{"family":"Suh","given":"Helen"},{"family":"Paciorek","given":"Christopher J."},{"family":"Neas","given":"Lucas M."},{"family":"Laden","given":"Francine"}],"issued":{"date-parts":[["2008",11,15]]}},"label":"page"},{"id":"FcLQwGOa/9BF0rXtw","uris":["http://zotero.org/users/327441/items/FJT5WTTW"],"uri":["http://zotero.org/users/327441/items/FJT5WTTW"],"itemData":{"id":2278,"type":"article-journal","title":"Mortality in the Medicare population and chronic exposure to fine particulate air pollution in urban centers (2000-2005)","container-title":"Environmental Health Perspectives","page":"1614-1619","volume":"116","issue":"12","source":"PubMed","abstract":"BACKGROUND: Prospective cohort studies constitute the major source of evidence about the mortality effects of chronic exposure to particulate air pollution. Additional studies are needed to provide evidence on the health effects of chronic exposure to particulate matter &lt; or = 2.5 microm in aerodynamic diameter (PM(2.5)) because few studies have been carried out and the cohorts have not been representative.\nOBJECTIVES: This study was designed to estimate the relative risk of death associated with long-term exposure to PM(2.5) by region and age groups in a U.S. population of elderly, for the period 2000-2005.\nMETHODS: By linking PM(2.5) monitoring data to the Medicare billing claims by ZIP code of residence of the enrollees, we have developed a new retrospective cohort study, the Medicare Cohort Air Pollution Study. The study population comprises 13.2 million participants living in 4,568 ZIP codes having centroids within 6 miles of a PM(2.5) monitor. We estimated relative risks adjusted by socioeconomic status and smoking by fitting log-linear regression models.\nRESULTS: In the eastern and central regions, a 10-microg/m(3) increase in 6-year average of PM(2.5) is associated with 6.8% [95% confidence interval (CI), 4.9-8.7%] and 13.2% (95% CI, 9.5-16.9) increases in mortality, respectively. We found no evidence of an association in the western region or for persons &gt; or = 85 years of age.\nCONCLUSIONS: We established a cohort of Medicare participants for investigating air pollution and mortality on longer-term time frames. Chronic exposure to PM(2.5) was associated with mortality in the eastern and central regions, but not in the western United States.","DOI":"10.1289/ehp.11449","ISSN":"0091-6765","note":"PMID: 19079710\nPMCID: PMC2599753","journalAbbreviation":"Environ. Health Perspect.","language":"eng","author":[{"family":"Zeger","given":"Scott L."},{"family":"Dominici","given":"Francesca"},{"family":"McDermott","given":"Aidan"},{"family":"Samet","given":"Jonathan M."}],"issued":{"date-parts":[["2008",12]]}},"label":"page"},{"id":"FcLQwGOa/iG6x40tt","uris":["http://zotero.org/users/327441/items/KST54KK2"],"uri":["http://zotero.org/users/327441/items/KST54KK2"],"itemData":{"id":757,"type":"article-journal","title":"Indoor exposure to “outdoor PM10”","container-title":"Epidemiology","page":"870-878","volume":"23","issue":"6","source":"CrossRef","DOI":"10.1097/EDE.0b013e31826b800e","ISSN":"1044-3983","author":[{"family":"Chen","given":"Chun"},{"family":"Zhao","given":"Bin"},{"family":"Weschler","given":"Charles J."}],"issued":{"date-parts":[["2012",11]]}}},{"id":"FcLQwGOa/ReWgJ6GV","uris":["http://zotero.org/users/327441/items/MDD9QVBR"],"uri":["http://zotero.org/users/327441/items/MDD9QVBR"],"itemData":{"id":2256,"type":"article-journal","title":"Estimating mortality derived from indoor exposure to particles of outdoor origin","container-title":"PLOS ONE","page":"e0124238","volume":"10","issue":"4","source":"CrossRef","DOI":"10.1371/journal.pone.0124238","ISSN":"1932-6203","language":"en","author":[{"family":"Ji","given":"Wenjing"},{"family":"Zhao","given":"Bin"}],"editor":[{"family":"Sun","given":"Qinghua"}],"issued":{"date-parts":[["2015",4,10]]}}},{"id":"FcLQwGOa/hs8fXoa8","uris":["http://zotero.org/users/327441/items/VV743PGK"],"uri":["http://zotero.org/users/327441/items/VV743PGK"],"itemData":{"id":3495,"type":"article-journal","title":"Adverse Health Effects of Particulate Air Pollution: Modification by Air Conditioning","container-title":"Epidemiology","page":"682-686","volume":"20","issue":"5","source":"Crossref","DOI":"10.1097/EDE.0b013e3181aba749","ISSN":"1044-3983","shortTitle":"Adverse Health Effects of Particulate Air Pollution","language":"en","author":[{"family":"Bell","given":"Michelle L."},{"family":"Ebisu","given":"Keita"},{"family":"Peng","given":"Roger D."},{"family":"Dominici","given":"Francesca"}],"issued":{"date-parts":[["2009",9]]}}}],"schema":"https://github.com/citation-style-language/schema/raw/master/csl-citation.json"} </w:instrText>
      </w:r>
      <w:r w:rsidRPr="00AA0679">
        <w:fldChar w:fldCharType="separate"/>
      </w:r>
      <w:r w:rsidR="00EF06F0" w:rsidRPr="00FE7D4D">
        <w:rPr>
          <w:rFonts w:cs="Times New Roman"/>
          <w:vertAlign w:val="superscript"/>
        </w:rPr>
        <w:t>10–16</w:t>
      </w:r>
      <w:r w:rsidRPr="00D764B3">
        <w:fldChar w:fldCharType="end"/>
      </w:r>
      <w:r w:rsidRPr="00FE7D4D">
        <w:t xml:space="preserve"> Despite this variability, it is common to assume that all outdoor PM</w:t>
      </w:r>
      <w:r w:rsidRPr="00FE7D4D">
        <w:rPr>
          <w:vertAlign w:val="subscript"/>
        </w:rPr>
        <w:t>2.5</w:t>
      </w:r>
      <w:r w:rsidRPr="00FE7D4D">
        <w:t xml:space="preserve"> is equally potent in producing premature mortality regardless of geographic location or other factors for these kinds of population-level analyses.</w:t>
      </w:r>
      <w:r w:rsidRPr="00D764B3">
        <w:fldChar w:fldCharType="begin"/>
      </w:r>
      <w:r w:rsidR="00701571" w:rsidRPr="00FE7D4D">
        <w:instrText xml:space="preserve"> ADDIN ZOTERO_ITEM CSL_CITATION {"citationID":"opLKqzmw","properties":{"formattedCitation":"\\super 9\\nosupersub{}","plainCitation":"9","noteIndex":0},"citationItems":[{"id":"FcLQwGOa/6fWjBDCh","uris":["http://zotero.org/users/327441/items/EXEAXHIC"],"uri":["http://zotero.org/users/327441/items/EXEAXHIC"],"itemData":{"id":1274,"type":"report","title":"The Benefits and Costs of the Clean Air Act from 1990 to 2020","publisher":"U.S. Environmental Protection Agency Office of Air and Radiation","publisher-place":"Washington, DC","event-place":"Washington, DC","URL":"http://www.epa.gov/cleanairactbenefits/feb11/fullreport_rev_a.pdf","number":"Final Report - Rev. A","author":[{"family":"US EPA","given":""}],"issued":{"date-parts":[["2011"]]}}}],"schema":"https://github.com/citation-style-language/schema/raw/master/csl-citation.json"} </w:instrText>
      </w:r>
      <w:r w:rsidRPr="00AA0679">
        <w:fldChar w:fldCharType="separate"/>
      </w:r>
      <w:r w:rsidR="00EF06F0" w:rsidRPr="00FE7D4D">
        <w:rPr>
          <w:rFonts w:cs="Times New Roman"/>
          <w:vertAlign w:val="superscript"/>
        </w:rPr>
        <w:t>9</w:t>
      </w:r>
      <w:r w:rsidRPr="00D764B3">
        <w:fldChar w:fldCharType="end"/>
      </w:r>
      <w:r w:rsidRPr="00FE7D4D">
        <w:t xml:space="preserve"> Therefore, we utilize a central pooled estimate of RR for the increase in long-term all-cause mortality associated with outdoor PM</w:t>
      </w:r>
      <w:r w:rsidRPr="00FE7D4D">
        <w:rPr>
          <w:vertAlign w:val="subscript"/>
        </w:rPr>
        <w:t>2.5</w:t>
      </w:r>
      <w:r w:rsidRPr="00FE7D4D">
        <w:t xml:space="preserve"> concentrations in the U.S. of 7.3% per 10 µg/m</w:t>
      </w:r>
      <w:r w:rsidRPr="00FE7D4D">
        <w:rPr>
          <w:vertAlign w:val="superscript"/>
        </w:rPr>
        <w:t>3</w:t>
      </w:r>
      <w:r w:rsidRPr="00FE7D4D">
        <w:t xml:space="preserve"> (95% CI: 3.7% to 11%) as reported in a recent quantitative meta-analysis of outdoor PM</w:t>
      </w:r>
      <w:r w:rsidRPr="00FE7D4D">
        <w:rPr>
          <w:vertAlign w:val="subscript"/>
        </w:rPr>
        <w:t>2.5</w:t>
      </w:r>
      <w:r w:rsidRPr="00FE7D4D">
        <w:t xml:space="preserve"> </w:t>
      </w:r>
      <w:r w:rsidR="00E30DA6" w:rsidRPr="00FE7D4D">
        <w:t>concentration-response</w:t>
      </w:r>
      <w:r w:rsidRPr="00FE7D4D">
        <w:t xml:space="preserve"> </w:t>
      </w:r>
      <w:r w:rsidR="00E30DA6" w:rsidRPr="00FE7D4D">
        <w:t>effect estimates</w:t>
      </w:r>
      <w:r w:rsidRPr="00FE7D4D">
        <w:t>.</w:t>
      </w:r>
      <w:r w:rsidRPr="00D764B3">
        <w:fldChar w:fldCharType="begin"/>
      </w:r>
      <w:r w:rsidR="00701571" w:rsidRPr="00FE7D4D">
        <w:instrText xml:space="preserve"> ADDIN ZOTERO_ITEM CSL_CITATION {"citationID":"plejtau4o","properties":{"formattedCitation":"\\super 17\\nosupersub{}","plainCitation":"17","noteIndex":0},"citationItems":[{"id":"FcLQwGOa/QrENFHY6","uris":["http://zotero.org/users/327441/items/CBBJW8UU"],"uri":["http://zotero.org/users/327441/items/CBBJW8UU"],"itemData":{"id":2941,"type":"article-journal","title":"Characterizing the Long-Term PM &lt;sub&gt;2.5&lt;/sub&gt; Concentration-Response Function: Comparing the Strengths and Weaknesses of Research Synthesis Approaches: Characterizing Long-Term PM &lt;sub&gt;2.5&lt;/sub&gt; Concentration-Response Function","container-title":"Risk Analysis","page":"1693-1707","volume":"36","issue":"9","source":"CrossRef","DOI":"10.1111/risa.12435","ISSN":"02724332","shortTitle":"Characterizing the Long-Term PM &lt;sub&gt;2.5&lt;/sub&gt; Concentration-Response Function","language":"en","author":[{"family":"Fann","given":"Neal"},{"family":"Gilmore","given":"Elisabeth A."},{"family":"Walker","given":"Katherine"}],"issued":{"date-parts":[["2016",9]]}}}],"schema":"https://github.com/citation-style-language/schema/raw/master/csl-citation.json"} </w:instrText>
      </w:r>
      <w:r w:rsidRPr="00AA0679">
        <w:fldChar w:fldCharType="separate"/>
      </w:r>
      <w:r w:rsidR="00EF06F0" w:rsidRPr="00FE7D4D">
        <w:rPr>
          <w:rFonts w:cs="Times New Roman"/>
          <w:vertAlign w:val="superscript"/>
        </w:rPr>
        <w:t>17</w:t>
      </w:r>
      <w:r w:rsidRPr="00D764B3">
        <w:fldChar w:fldCharType="end"/>
      </w:r>
      <w:r w:rsidRPr="00FE7D4D">
        <w:t xml:space="preserve"> This estimate is similar in magnitude to, albeit somewhat higher than, another recent pooled effect estimate of 6% (95% CI: 4% to 8%) for all-cause mortality made using a meta-analysis of studies from both the U.S. and Europe.</w:t>
      </w:r>
      <w:r w:rsidRPr="00D764B3">
        <w:fldChar w:fldCharType="begin"/>
      </w:r>
      <w:r w:rsidR="00701571" w:rsidRPr="00FE7D4D">
        <w:instrText xml:space="preserve"> ADDIN ZOTERO_ITEM CSL_CITATION {"citationID":"1ohdn3i2fq","properties":{"formattedCitation":"\\super 18\\nosupersub{}","plainCitation":"18","noteIndex":0},"citationItems":[{"id":"FcLQwGOa/mRrmuyhn","uris":["http://zotero.org/users/327441/items/C342FZMI"],"uri":["http://zotero.org/users/327441/items/C342FZMI"],"itemData":{"id":3055,"type":"article-journal","title":"Long-term air pollution exposure and cardio- respiratory mortality: a review","container-title":"Environmental Health","volume":"12","issue":"1","source":"CrossRef","URL":"http://ehjournal.biomedcentral.com/articles/10.1186/1476-069X-12-43","DOI":"10.1186/1476-069X-12-43","ISSN":"1476-069X","shortTitle":"Long-term air pollution exposure and cardio- respiratory mortality","language":"en","author":[{"family":"Hoek","given":"Gerard"},{"family":"Krishnan","given":"Ranjini M"},{"family":"Beelen","given":"Rob"},{"family":"Peters","given":"Annette"},{"family":"Ostro","given":"Bart"},{"family":"Brunekreef","given":"Bert"},{"family":"Kaufman","given":"Joel D"}],"issued":{"date-parts":[["2013",12]]},"accessed":{"date-parts":[["2017",2,13]]}}}],"schema":"https://github.com/citation-style-language/schema/raw/master/csl-citation.json"} </w:instrText>
      </w:r>
      <w:r w:rsidRPr="00AA0679">
        <w:fldChar w:fldCharType="separate"/>
      </w:r>
      <w:r w:rsidR="00EF06F0" w:rsidRPr="00FE7D4D">
        <w:rPr>
          <w:rFonts w:cs="Times New Roman"/>
          <w:vertAlign w:val="superscript"/>
        </w:rPr>
        <w:t>18</w:t>
      </w:r>
      <w:r w:rsidRPr="00D764B3">
        <w:fldChar w:fldCharType="end"/>
      </w:r>
      <w:r w:rsidRPr="00FE7D4D">
        <w:t xml:space="preserve"> We convert the pooled RR estimate of 1.073 per 10 µg/m</w:t>
      </w:r>
      <w:r w:rsidRPr="00FE7D4D">
        <w:rPr>
          <w:vertAlign w:val="superscript"/>
        </w:rPr>
        <w:t>3</w:t>
      </w:r>
      <w:r w:rsidRPr="00FE7D4D">
        <w:t xml:space="preserve"> to a</w:t>
      </w:r>
      <w:r w:rsidR="00E30DA6" w:rsidRPr="00FE7D4D">
        <w:t xml:space="preserve">n </w:t>
      </w:r>
      <w:r w:rsidRPr="00FE7D4D">
        <w:t xml:space="preserve">effect estimate (i.e., </w:t>
      </w:r>
      <w:r w:rsidRPr="00FE7D4D">
        <w:rPr>
          <w:i/>
        </w:rPr>
        <w:t>β</w:t>
      </w:r>
      <w:r w:rsidRPr="00FE7D4D">
        <w:rPr>
          <w:i/>
          <w:vertAlign w:val="subscript"/>
        </w:rPr>
        <w:t>PM2.5</w:t>
      </w:r>
      <w:r w:rsidRPr="00FE7D4D">
        <w:t xml:space="preserve">) of 0.0070 (95% CI: 0.0036 to 0.0104), where </w:t>
      </w:r>
      <w:r w:rsidRPr="00FE7D4D">
        <w:rPr>
          <w:i/>
        </w:rPr>
        <w:t>β</w:t>
      </w:r>
      <w:r w:rsidRPr="00FE7D4D">
        <w:rPr>
          <w:i/>
          <w:vertAlign w:val="subscript"/>
        </w:rPr>
        <w:t>PM2.5</w:t>
      </w:r>
      <w:r w:rsidRPr="00FE7D4D">
        <w:rPr>
          <w:i/>
        </w:rPr>
        <w:t xml:space="preserve"> = </w:t>
      </w:r>
      <w:r w:rsidRPr="00FE7D4D">
        <w:t>ln(RR)/10.</w:t>
      </w:r>
      <w:r w:rsidRPr="00D764B3">
        <w:fldChar w:fldCharType="begin"/>
      </w:r>
      <w:r w:rsidR="00701571" w:rsidRPr="00FE7D4D">
        <w:instrText xml:space="preserve"> ADDIN ZOTERO_ITEM CSL_CITATION {"citationID":"dnWsXiex","properties":{"formattedCitation":"\\super 19\\nosupersub{}","plainCitation":"19","noteIndex":0},"citationItems":[{"id":"FcLQwGOa/Zn9PrWjr","uris":["http://zotero.org/users/327441/items/493VGBST"],"uri":["http://zotero.org/users/327441/items/493VGBST"],"itemData":{"id":3492,"type":"article-journal","title":"Outcome-based ventilation: A framework for assessing performance, health, and energy impacts to inform office building ventilation decisions","container-title":"Indoor Air","source":"Crossref","URL":"http://doi.wiley.com/10.1111/ina.12466","DOI":"10.1111/ina.12466","ISSN":"09056947","shortTitle":"Outcome-based ventilation","language":"en","author":[{"family":"Rackes","given":"A."},{"family":"Ben-David","given":"T."},{"family":"Waring","given":"M. S."}],"issued":{"date-parts":[["2018",5,15]]},"accessed":{"date-parts":[["2018",5,18]]}}}],"schema":"https://github.com/citation-style-language/schema/raw/master/csl-citation.json"} </w:instrText>
      </w:r>
      <w:r w:rsidRPr="00AA0679">
        <w:fldChar w:fldCharType="separate"/>
      </w:r>
      <w:r w:rsidR="00EF06F0" w:rsidRPr="00FE7D4D">
        <w:rPr>
          <w:rFonts w:cs="Times New Roman"/>
          <w:vertAlign w:val="superscript"/>
        </w:rPr>
        <w:t>19</w:t>
      </w:r>
      <w:r w:rsidRPr="00D764B3">
        <w:fldChar w:fldCharType="end"/>
      </w:r>
      <w:r w:rsidRPr="00FE7D4D">
        <w:t xml:space="preserve"> We fit a Weibull distribution to these reported values</w:t>
      </w:r>
      <w:r w:rsidR="00BF2C0B" w:rsidRPr="00FE7D4D">
        <w:t xml:space="preserve"> in MATLAB</w:t>
      </w:r>
      <w:r w:rsidRPr="00FE7D4D">
        <w:t xml:space="preserve">, resulting in a mean (±SD) value of </w:t>
      </w:r>
      <w:r w:rsidRPr="00FE7D4D">
        <w:rPr>
          <w:i/>
        </w:rPr>
        <w:t>β</w:t>
      </w:r>
      <w:r w:rsidRPr="00FE7D4D">
        <w:rPr>
          <w:i/>
          <w:vertAlign w:val="subscript"/>
        </w:rPr>
        <w:t>PM2.5</w:t>
      </w:r>
      <w:r w:rsidRPr="00FE7D4D">
        <w:t xml:space="preserve"> = 0.0070 (±0.0016) per µg/m</w:t>
      </w:r>
      <w:r w:rsidRPr="00FE7D4D">
        <w:rPr>
          <w:vertAlign w:val="superscript"/>
        </w:rPr>
        <w:t>3</w:t>
      </w:r>
      <w:r w:rsidRPr="00FE7D4D">
        <w:t xml:space="preserve"> with distribution shape factors of α = 0.765 and β = 4.95. A Weibull distribution was used because it yields a distribution that is very close to normal in shape, but does not produce any negative values.</w:t>
      </w:r>
    </w:p>
    <w:p w14:paraId="08382CA4" w14:textId="7B60CE41" w:rsidR="00844789" w:rsidRPr="00FE7D4D" w:rsidRDefault="00844789" w:rsidP="00844789">
      <w:pPr>
        <w:pStyle w:val="Heading1"/>
      </w:pPr>
      <w:bookmarkStart w:id="1" w:name="_Toc399490405"/>
      <w:r w:rsidRPr="00FE7D4D">
        <w:lastRenderedPageBreak/>
        <w:t xml:space="preserve">Modifying </w:t>
      </w:r>
      <w:r w:rsidR="00E30DA6" w:rsidRPr="00FE7D4D">
        <w:t>exposure-r</w:t>
      </w:r>
      <w:r w:rsidRPr="00FE7D4D">
        <w:t>esponse function effect estimates for PM</w:t>
      </w:r>
      <w:r w:rsidRPr="00FE7D4D">
        <w:rPr>
          <w:vertAlign w:val="subscript"/>
        </w:rPr>
        <w:t>2.5</w:t>
      </w:r>
      <w:r w:rsidRPr="00FE7D4D">
        <w:t xml:space="preserve"> of outdoor origin</w:t>
      </w:r>
      <w:bookmarkEnd w:id="1"/>
    </w:p>
    <w:p w14:paraId="32307653" w14:textId="2308401E" w:rsidR="00844789" w:rsidRPr="00FE7D4D" w:rsidRDefault="00844789" w:rsidP="00844789">
      <w:pPr>
        <w:pStyle w:val="NoSpacing"/>
      </w:pPr>
      <w:r w:rsidRPr="00FE7D4D">
        <w:t xml:space="preserve">Average times spent in each microenvironment were taken directly from </w:t>
      </w:r>
      <w:r w:rsidR="00C8486C" w:rsidRPr="00FE7D4D">
        <w:t>the 1992-1994 National Human Activity Pattern Survey (</w:t>
      </w:r>
      <w:r w:rsidRPr="00FE7D4D">
        <w:t>NHAPS</w:t>
      </w:r>
      <w:r w:rsidR="00C8486C" w:rsidRPr="00FE7D4D">
        <w:t>)</w:t>
      </w:r>
      <w:r w:rsidRPr="00FE7D4D">
        <w:t>,</w:t>
      </w:r>
      <w:r w:rsidR="00C8486C" w:rsidRPr="00D764B3">
        <w:fldChar w:fldCharType="begin"/>
      </w:r>
      <w:r w:rsidR="00701571" w:rsidRPr="00FE7D4D">
        <w:instrText xml:space="preserve"> ADDIN ZOTERO_ITEM CSL_CITATION {"citationID":"1pr2ktmlrm","properties":{"formattedCitation":"\\super 20\\nosupersub{}","plainCitation":"20","noteIndex":0},"citationItems":[{"id":"FcLQwGOa/QiN7lPfi","uris":["http://zotero.org/users/327441/items/HVJRDAV4"],"uri":["http://zotero.org/users/327441/items/HVJRDAV4"],"itemData":{"id":640,"type":"article-journal","title":"The National Human Activity Pattern Survey (NHAPS): a resource for assessing exposure to environmental pollutants","container-title":"Journal of Exposure Analysis and Environmental Epidemiology","page":"231-252","volume":"11","issue":"3","abstract":"Because human activities impact the timing, location, and degree of pollutant exposure, they play a key role in explaining exposure variation. This fact has motivated the collection of activity pattern data for their specific use in exposure assessments. The largest of these recent efforts is the National Human Activity Pattern Survey (NHAPS), a 2-year probability-based telephone survey (n=9386) of exposure-related human activities in the United States (U.S.) sponsored by the U.S. Environmental Protection Agency (EPA). The primary purpose of NHAPS was to provide comprehensive and current exposure information over broad geographical and temporal scales, particularly for use in probabilistic population exposure models. NHAPS was conducted on a virtually daily basis from late September 1992 through September 1994 by the University of Maryland's Survey Research Center using a computer-assisted telephone interview instrument (CATI) to collect 24-h retrospective diaries and answers to a number of personal and exposure-related questions from each respondent. The resulting diary records contain beginning and ending times for each distinct combination of location and activity occurring on the diary day (i.e., each microenvironment). Between 340 and 1713 respondents of all ages were interviewed in each of the 10 EPA regions across the 48 contiguous states. Interviews were completed in 63% of the households contacted. NHAPS respondents reported spending an average of 87% of their time in enclosed buildings and about 6% of their time in enclosed vehicles. These proportions are fairly constant across the various regions of the U.S. and Canada and for the California population between the late 1980s, when the California Air Resources Board (CARB) sponsored a state-wide activity pattern study, and the mid-1990s, when NHAPS was conducted. However, the number of people exposed to environmental tobacco smoke (ETS) in California seems to have decreased over the same time period, where exposure is determined by the reported time spent with a smoker. In both California and the entire nation, the most time spent exposed to ETS was reported to take place in residential locations.","DOI":"10.1038/sj.jea.7500165","ISSN":"1053-4245","note":"PMID: 11477521","journalAbbreviation":"J Expo Anal Environ Epidemiol","author":[{"family":"Klepeis","given":"N E"},{"family":"Nelson","given":"W C"},{"family":"Ott","given":"W R"},{"family":"Robinson","given":"J P"},{"family":"Tsang","given":"A M"},{"family":"Switzer","given":"P"},{"family":"Behar","given":"J V"},{"family":"Hern","given":"S C"},{"family":"Engelmann","given":"W H"}],"issued":{"date-parts":[["2001",6]]}}}],"schema":"https://github.com/citation-style-language/schema/raw/master/csl-citation.json"} </w:instrText>
      </w:r>
      <w:r w:rsidR="00C8486C" w:rsidRPr="00AA0679">
        <w:fldChar w:fldCharType="separate"/>
      </w:r>
      <w:r w:rsidR="005A1081" w:rsidRPr="00FE7D4D">
        <w:rPr>
          <w:rFonts w:cs="Times New Roman"/>
          <w:vertAlign w:val="superscript"/>
        </w:rPr>
        <w:t>20</w:t>
      </w:r>
      <w:r w:rsidR="00C8486C" w:rsidRPr="00D764B3">
        <w:fldChar w:fldCharType="end"/>
      </w:r>
      <w:r w:rsidRPr="00FE7D4D">
        <w:t xml:space="preserve"> as described in the main text. Average outdoor PM</w:t>
      </w:r>
      <w:r w:rsidRPr="00FE7D4D">
        <w:rPr>
          <w:vertAlign w:val="subscript"/>
        </w:rPr>
        <w:t>2.5</w:t>
      </w:r>
      <w:r w:rsidRPr="00FE7D4D">
        <w:t xml:space="preserve"> infiltration factors for each microenvironment (i.e., </w:t>
      </w:r>
      <w:r w:rsidRPr="00FE7D4D">
        <w:rPr>
          <w:i/>
        </w:rPr>
        <w:t>F</w:t>
      </w:r>
      <w:r w:rsidRPr="00FE7D4D">
        <w:rPr>
          <w:i/>
          <w:vertAlign w:val="subscript"/>
        </w:rPr>
        <w:t>j</w:t>
      </w:r>
      <w:r w:rsidRPr="00FE7D4D">
        <w:t xml:space="preserve">) were </w:t>
      </w:r>
      <w:r w:rsidR="00C8486C" w:rsidRPr="00FE7D4D">
        <w:t xml:space="preserve">culled </w:t>
      </w:r>
      <w:r w:rsidRPr="00FE7D4D">
        <w:t xml:space="preserve">from the existing literature as follows. We assumed </w:t>
      </w:r>
      <w:r w:rsidRPr="00FE7D4D">
        <w:rPr>
          <w:lang w:bidi="fa-IR"/>
        </w:rPr>
        <w:t>the average ambient PM</w:t>
      </w:r>
      <w:r w:rsidRPr="00FE7D4D">
        <w:rPr>
          <w:vertAlign w:val="subscript"/>
          <w:lang w:bidi="fa-IR"/>
        </w:rPr>
        <w:t>2.5</w:t>
      </w:r>
      <w:r w:rsidRPr="00FE7D4D">
        <w:rPr>
          <w:lang w:bidi="fa-IR"/>
        </w:rPr>
        <w:t xml:space="preserve"> infiltration factor inside U.S. residences was 0.59 according to the mean value reported in a recent review of 17 studies spanning over 1000 U.S. homes.</w:t>
      </w:r>
      <w:r w:rsidRPr="00D764B3">
        <w:rPr>
          <w:lang w:bidi="fa-IR"/>
        </w:rPr>
        <w:fldChar w:fldCharType="begin"/>
      </w:r>
      <w:r w:rsidR="00701571" w:rsidRPr="00FE7D4D">
        <w:rPr>
          <w:lang w:bidi="fa-IR"/>
        </w:rPr>
        <w:instrText xml:space="preserve"> ADDIN ZOTERO_ITEM CSL_CITATION {"citationID":"I77floMl","properties":{"formattedCitation":"\\super 21\\nosupersub{}","plainCitation":"21","noteIndex":0},"citationItems":[{"id":"FcLQwGOa/YjaGrAK4","uris":["http://zotero.org/users/327441/items/MXR8TGSR"],"uri":["http://zotero.org/users/327441/items/MXR8TGSR"],"itemData":{"id":812,"type":"article-journal","title":"Review of relationship between indoor and outdoor particles: I/O ratio, infiltration factor and penetration factor","container-title":"Atmospheric Environment","page":"275-288","volume":"45","issue":"2","DOI":"10.1016/j.atmosenv.2010.09.048","ISSN":"13522310","journalAbbreviation":"Atmos. Environ.","author":[{"family":"Chen","given":"Chun"},{"family":"Zhao","given":"Bin"}],"issued":{"date-parts":[["2011",1]]}}}],"schema":"https://github.com/citation-style-language/schema/raw/master/csl-citation.json"} </w:instrText>
      </w:r>
      <w:r w:rsidRPr="00AA0679">
        <w:rPr>
          <w:lang w:bidi="fa-IR"/>
        </w:rPr>
        <w:fldChar w:fldCharType="separate"/>
      </w:r>
      <w:r w:rsidR="005A1081" w:rsidRPr="00FE7D4D">
        <w:rPr>
          <w:rFonts w:cs="Times New Roman"/>
          <w:vertAlign w:val="superscript"/>
        </w:rPr>
        <w:t>21</w:t>
      </w:r>
      <w:r w:rsidRPr="00D764B3">
        <w:rPr>
          <w:lang w:bidi="fa-IR"/>
        </w:rPr>
        <w:fldChar w:fldCharType="end"/>
      </w:r>
      <w:r w:rsidRPr="00FE7D4D">
        <w:rPr>
          <w:lang w:bidi="fa-IR"/>
        </w:rPr>
        <w:t xml:space="preserve"> We assumed the average PM</w:t>
      </w:r>
      <w:r w:rsidRPr="00FE7D4D">
        <w:rPr>
          <w:vertAlign w:val="subscript"/>
          <w:lang w:bidi="fa-IR"/>
        </w:rPr>
        <w:t>2.5</w:t>
      </w:r>
      <w:r w:rsidRPr="00FE7D4D">
        <w:rPr>
          <w:lang w:bidi="fa-IR"/>
        </w:rPr>
        <w:t xml:space="preserve"> infiltration factor in all other indoor locations other than residences was 0.49 based on the average modeled indoor concentrations of outdoor origin from a simulation study of small and medium commercial buildings that were designed to reasonably represent the U.S. office building stock.</w:t>
      </w:r>
      <w:r w:rsidRPr="00D764B3">
        <w:rPr>
          <w:lang w:bidi="fa-IR"/>
        </w:rPr>
        <w:fldChar w:fldCharType="begin"/>
      </w:r>
      <w:r w:rsidR="00701571" w:rsidRPr="00FE7D4D">
        <w:rPr>
          <w:lang w:bidi="fa-IR"/>
        </w:rPr>
        <w:instrText xml:space="preserve"> ADDIN ZOTERO_ITEM CSL_CITATION {"citationID":"jBuA9ga7","properties":{"formattedCitation":"\\super 22\\nosupersub{}","plainCitation":"22","noteIndex":0},"citationItems":[{"id":"FcLQwGOa/fFZrYlQc","uris":["http://zotero.org/users/327441/items/SPRD23TW"],"uri":["http://zotero.org/users/327441/items/SPRD23TW"],"itemData":{"id":3501,"type":"article-journal","title":"Alternative ventilation strategies in U.S. offices: Saving energy while enhancing work performance, reducing absenteeism, and considering outdoor pollutant exposure tradeoffs","container-title":"Building and Environment","page":"140-157","volume":"116","source":"Crossref","DOI":"10.1016/j.buildenv.2017.02.004","ISSN":"03601323","shortTitle":"Alternative ventilation strategies in U.S. offices","language":"en","author":[{"family":"Ben-David","given":"Tom"},{"family":"Rackes","given":"Adams"},{"family":"Waring","given":"Michael S."}],"issued":{"date-parts":[["2017",5]]}}}],"schema":"https://github.com/citation-style-language/schema/raw/master/csl-citation.json"} </w:instrText>
      </w:r>
      <w:r w:rsidRPr="00AA0679">
        <w:rPr>
          <w:lang w:bidi="fa-IR"/>
        </w:rPr>
        <w:fldChar w:fldCharType="separate"/>
      </w:r>
      <w:r w:rsidR="005A1081" w:rsidRPr="00FE7D4D">
        <w:rPr>
          <w:rFonts w:cs="Times New Roman"/>
          <w:vertAlign w:val="superscript"/>
        </w:rPr>
        <w:t>22</w:t>
      </w:r>
      <w:r w:rsidRPr="00D764B3">
        <w:rPr>
          <w:lang w:bidi="fa-IR"/>
        </w:rPr>
        <w:fldChar w:fldCharType="end"/>
      </w:r>
      <w:r w:rsidRPr="00FE7D4D">
        <w:rPr>
          <w:lang w:bidi="fa-IR"/>
        </w:rPr>
        <w:t xml:space="preserve"> Briefly, we </w:t>
      </w:r>
      <w:r w:rsidR="00C8486C" w:rsidRPr="00FE7D4D">
        <w:rPr>
          <w:lang w:bidi="fa-IR"/>
        </w:rPr>
        <w:t xml:space="preserve">used MATLAB to </w:t>
      </w:r>
      <w:r w:rsidRPr="00FE7D4D">
        <w:rPr>
          <w:lang w:bidi="fa-IR"/>
        </w:rPr>
        <w:t>fit Weibull and lognormal distributions to their reported percentiles of indoor and outdoor PM</w:t>
      </w:r>
      <w:r w:rsidRPr="00FE7D4D">
        <w:rPr>
          <w:vertAlign w:val="subscript"/>
          <w:lang w:bidi="fa-IR"/>
        </w:rPr>
        <w:t>2.5</w:t>
      </w:r>
      <w:r w:rsidRPr="00FE7D4D">
        <w:rPr>
          <w:lang w:bidi="fa-IR"/>
        </w:rPr>
        <w:t xml:space="preserve"> concentrations, then used Monte Carlo simulations with 20,000 iterations to build a distribution of infiltration factors based on these two distributions (i.e., </w:t>
      </w:r>
      <w:r w:rsidRPr="00FE7D4D">
        <w:rPr>
          <w:i/>
          <w:lang w:bidi="fa-IR"/>
        </w:rPr>
        <w:t>F</w:t>
      </w:r>
      <w:r w:rsidRPr="00FE7D4D">
        <w:rPr>
          <w:i/>
          <w:vertAlign w:val="subscript"/>
          <w:lang w:bidi="fa-IR"/>
        </w:rPr>
        <w:t>inf</w:t>
      </w:r>
      <w:r w:rsidRPr="00FE7D4D">
        <w:rPr>
          <w:lang w:bidi="fa-IR"/>
        </w:rPr>
        <w:t xml:space="preserve"> = </w:t>
      </w:r>
      <w:r w:rsidRPr="00FE7D4D">
        <w:rPr>
          <w:i/>
          <w:lang w:bidi="fa-IR"/>
        </w:rPr>
        <w:t>C</w:t>
      </w:r>
      <w:r w:rsidRPr="00FE7D4D">
        <w:rPr>
          <w:i/>
          <w:vertAlign w:val="subscript"/>
          <w:lang w:bidi="fa-IR"/>
        </w:rPr>
        <w:t>in</w:t>
      </w:r>
      <w:r w:rsidRPr="00FE7D4D">
        <w:rPr>
          <w:lang w:bidi="fa-IR"/>
        </w:rPr>
        <w:t>/</w:t>
      </w:r>
      <w:r w:rsidRPr="00FE7D4D">
        <w:rPr>
          <w:i/>
          <w:lang w:bidi="fa-IR"/>
        </w:rPr>
        <w:t>C</w:t>
      </w:r>
      <w:r w:rsidRPr="00FE7D4D">
        <w:rPr>
          <w:i/>
          <w:vertAlign w:val="subscript"/>
          <w:lang w:bidi="fa-IR"/>
        </w:rPr>
        <w:t>out</w:t>
      </w:r>
      <w:r w:rsidRPr="00FE7D4D">
        <w:rPr>
          <w:lang w:bidi="fa-IR"/>
        </w:rPr>
        <w:t xml:space="preserve"> in the absence of indoor sources). Here we use the mean value of the resulting distribution. While this analysis ignored other non-residential buildings, we are not aware of other robust data sets on infiltration factors in non-office non-residential buildings in the U.S. However, an infiltration factor of 0.49 is reasonably in range with those reported in other non-residential buildings in Europe, including workplaces in Finland</w:t>
      </w:r>
      <w:r w:rsidRPr="00D764B3">
        <w:rPr>
          <w:lang w:bidi="fa-IR"/>
        </w:rPr>
        <w:fldChar w:fldCharType="begin"/>
      </w:r>
      <w:r w:rsidR="00701571" w:rsidRPr="00FE7D4D">
        <w:rPr>
          <w:lang w:bidi="fa-IR"/>
        </w:rPr>
        <w:instrText xml:space="preserve"> ADDIN ZOTERO_ITEM CSL_CITATION {"citationID":"pzDrum42","properties":{"formattedCitation":"\\super 23\\nosupersub{}","plainCitation":"23","noteIndex":0},"citationItems":[{"id":"FcLQwGOa/U8sAWYn6","uris":["http://zotero.org/users/local/0dVlBblu/items/94C3QVU7"],"uri":["http://zotero.org/users/local/0dVlBblu/items/94C3QVU7"],"itemData":{"id":2611,"type":"article-journal","title":"Reduction potential of urban PM2.5 mortality risk using modern ventilation systems in buildings","container-title":"Indoor Air","page":"246-256","volume":"15","issue":"4","DOI":"10.1111/j.1600-0668.2005.00365.x","ISSN":"0905-6947","journalAbbreviation":"Indoor Air","author":[{"family":"Hänninen","given":"O. O."},{"family":"Palonen","given":"J."},{"family":"Tuomisto","given":"J. T."},{"family":"Yli-Tuomi","given":"T."},{"family":"Seppanen","given":"O."},{"family":"Jantunen","given":"M. J."}],"issued":{"date-parts":[["2005",8]]}}}],"schema":"https://github.com/citation-style-language/schema/raw/master/csl-citation.json"} </w:instrText>
      </w:r>
      <w:r w:rsidRPr="00AA0679">
        <w:rPr>
          <w:lang w:bidi="fa-IR"/>
        </w:rPr>
        <w:fldChar w:fldCharType="separate"/>
      </w:r>
      <w:r w:rsidR="005A1081" w:rsidRPr="00FE7D4D">
        <w:rPr>
          <w:rFonts w:cs="Times New Roman"/>
          <w:vertAlign w:val="superscript"/>
        </w:rPr>
        <w:t>23</w:t>
      </w:r>
      <w:r w:rsidRPr="00D764B3">
        <w:rPr>
          <w:lang w:bidi="fa-IR"/>
        </w:rPr>
        <w:fldChar w:fldCharType="end"/>
      </w:r>
      <w:r w:rsidRPr="00FE7D4D">
        <w:rPr>
          <w:lang w:bidi="fa-IR"/>
        </w:rPr>
        <w:t xml:space="preserve"> and schools in Germany</w:t>
      </w:r>
      <w:r w:rsidRPr="00D764B3">
        <w:rPr>
          <w:lang w:bidi="fa-IR"/>
        </w:rPr>
        <w:fldChar w:fldCharType="begin"/>
      </w:r>
      <w:r w:rsidR="00701571" w:rsidRPr="00FE7D4D">
        <w:rPr>
          <w:lang w:bidi="fa-IR"/>
        </w:rPr>
        <w:instrText xml:space="preserve"> ADDIN ZOTERO_ITEM CSL_CITATION {"citationID":"6wZaweBm","properties":{"formattedCitation":"\\super 24\\nosupersub{}","plainCitation":"24","noteIndex":0},"citationItems":[{"id":"FcLQwGOa/KJSvDcu2","uris":["http://zotero.org/users/327441/items/F3Y6T2QG"],"uri":["http://zotero.org/users/327441/items/F3Y6T2QG"],"itemData":{"id":3503,"type":"article-journal","title":"Chemical and morphological properties of particulate matter (PM10, PM2.5) in school classrooms and outdoor air","container-title":"Atmospheric Environment","page":"6597-6605","volume":"42","issue":"27","source":"Crossref","DOI":"10.1016/j.atmosenv.2008.04.047","ISSN":"13522310","language":"en","author":[{"family":"Fromme","given":"H."},{"family":"Diemer","given":"J."},{"family":"Dietrich","given":"S."},{"family":"Cyrys","given":"J."},{"family":"Heinrich","given":"J."},{"family":"Lang","given":"W."},{"family":"Kiranoglu","given":"M."},{"family":"Twardella","given":"D."}],"issued":{"date-parts":[["2008",9]]}}}],"schema":"https://github.com/citation-style-language/schema/raw/master/csl-citation.json"} </w:instrText>
      </w:r>
      <w:r w:rsidRPr="00AA0679">
        <w:rPr>
          <w:lang w:bidi="fa-IR"/>
        </w:rPr>
        <w:fldChar w:fldCharType="separate"/>
      </w:r>
      <w:r w:rsidR="005A1081" w:rsidRPr="00FE7D4D">
        <w:rPr>
          <w:rFonts w:cs="Times New Roman"/>
          <w:vertAlign w:val="superscript"/>
        </w:rPr>
        <w:t>24</w:t>
      </w:r>
      <w:r w:rsidRPr="00D764B3">
        <w:rPr>
          <w:lang w:bidi="fa-IR"/>
        </w:rPr>
        <w:fldChar w:fldCharType="end"/>
      </w:r>
      <w:r w:rsidRPr="00FE7D4D">
        <w:rPr>
          <w:lang w:bidi="fa-IR"/>
        </w:rPr>
        <w:t xml:space="preserve"> and Spain.</w:t>
      </w:r>
      <w:r w:rsidRPr="00D764B3">
        <w:rPr>
          <w:lang w:bidi="fa-IR"/>
        </w:rPr>
        <w:fldChar w:fldCharType="begin"/>
      </w:r>
      <w:r w:rsidR="00701571" w:rsidRPr="00FE7D4D">
        <w:rPr>
          <w:lang w:bidi="fa-IR"/>
        </w:rPr>
        <w:instrText xml:space="preserve"> ADDIN ZOTERO_ITEM CSL_CITATION {"citationID":"uj1r8mVm","properties":{"formattedCitation":"\\super 25\\nosupersub{}","plainCitation":"25","noteIndex":0},"citationItems":[{"id":"FcLQwGOa/G7U44bMO","uris":["http://zotero.org/users/327441/items/ECLIAD5T"],"uri":["http://zotero.org/users/327441/items/ECLIAD5T"],"itemData":{"id":3502,"type":"article-journal","title":"Outdoor infiltration and indoor contribution of UFP and BC, OC, secondary inorganic ions and metals in PM 2.5 in schools","container-title":"Atmospheric Environment","page":"129-138","volume":"106","source":"Crossref","DOI":"10.1016/j.atmosenv.2015.01.055","ISSN":"13522310","language":"en","author":[{"family":"Rivas","given":"I."},{"family":"Viana","given":"M."},{"family":"Moreno","given":"T."},{"family":"Bouso","given":"L."},{"family":"Pandolfi","given":"M."},{"family":"Alvarez-Pedrerol","given":"M."},{"family":"Forns","given":"J."},{"family":"Alastuey","given":"A."},{"family":"Sunyer","given":"J."},{"family":"Querol","given":"X."}],"issued":{"date-parts":[["2015",4]]}}}],"schema":"https://github.com/citation-style-language/schema/raw/master/csl-citation.json"} </w:instrText>
      </w:r>
      <w:r w:rsidRPr="00AA0679">
        <w:rPr>
          <w:lang w:bidi="fa-IR"/>
        </w:rPr>
        <w:fldChar w:fldCharType="separate"/>
      </w:r>
      <w:r w:rsidR="005A1081" w:rsidRPr="00FE7D4D">
        <w:rPr>
          <w:rFonts w:cs="Times New Roman"/>
          <w:vertAlign w:val="superscript"/>
        </w:rPr>
        <w:t>25</w:t>
      </w:r>
      <w:r w:rsidRPr="00D764B3">
        <w:rPr>
          <w:lang w:bidi="fa-IR"/>
        </w:rPr>
        <w:fldChar w:fldCharType="end"/>
      </w:r>
      <w:r w:rsidRPr="00FE7D4D">
        <w:rPr>
          <w:lang w:bidi="fa-IR"/>
        </w:rPr>
        <w:t xml:space="preserve"> For vehicles, we assumed an average ambient PM</w:t>
      </w:r>
      <w:r w:rsidRPr="00FE7D4D">
        <w:rPr>
          <w:vertAlign w:val="subscript"/>
          <w:lang w:bidi="fa-IR"/>
        </w:rPr>
        <w:t>2.5</w:t>
      </w:r>
      <w:r w:rsidRPr="00FE7D4D">
        <w:rPr>
          <w:lang w:bidi="fa-IR"/>
        </w:rPr>
        <w:t xml:space="preserve"> infiltration factor of 0.43, assuming personal vehicles operate 50% of the time in recirculated air mode and 50% of the time in outdoor air ventilation mode with infiltration factors of 0.25 and 0.61, respectively.</w:t>
      </w:r>
      <w:r w:rsidRPr="00D764B3">
        <w:rPr>
          <w:lang w:bidi="fa-IR"/>
        </w:rPr>
        <w:fldChar w:fldCharType="begin"/>
      </w:r>
      <w:r w:rsidR="00701571" w:rsidRPr="00FE7D4D">
        <w:rPr>
          <w:lang w:bidi="fa-IR"/>
        </w:rPr>
        <w:instrText xml:space="preserve"> ADDIN ZOTERO_ITEM CSL_CITATION {"citationID":"yPX9mFcD","properties":{"formattedCitation":"\\super 26\\nosupersub{}","plainCitation":"26","noteIndex":0},"citationItems":[{"id":"FcLQwGOa/TukWzHE6","uris":["http://zotero.org/users/327441/items/KBIUCSMB"],"uri":["http://zotero.org/users/327441/items/KBIUCSMB"],"itemData":{"id":2884,"type":"article-journal","title":"Models for Predicting the Ratio of Particulate Pollutant Concentrations Inside Vehicles to Roadways","container-title":"Environmental Science &amp; Technology","page":"11048-11055","volume":"47","issue":"19","source":"CrossRef","DOI":"10.1021/es401500c","ISSN":"0013-936X, 1520-5851","language":"en","author":[{"family":"Hudda","given":"N."},{"family":"Fruin","given":"S. A."}],"issued":{"date-parts":[["2013",10]]}}}],"schema":"https://github.com/citation-style-language/schema/raw/master/csl-citation.json"} </w:instrText>
      </w:r>
      <w:r w:rsidRPr="00AA0679">
        <w:rPr>
          <w:lang w:bidi="fa-IR"/>
        </w:rPr>
        <w:fldChar w:fldCharType="separate"/>
      </w:r>
      <w:r w:rsidR="005A1081" w:rsidRPr="00FE7D4D">
        <w:rPr>
          <w:rFonts w:cs="Times New Roman"/>
          <w:vertAlign w:val="superscript"/>
        </w:rPr>
        <w:t>26</w:t>
      </w:r>
      <w:r w:rsidRPr="00D764B3">
        <w:rPr>
          <w:lang w:bidi="fa-IR"/>
        </w:rPr>
        <w:fldChar w:fldCharType="end"/>
      </w:r>
      <w:r w:rsidRPr="00FE7D4D">
        <w:rPr>
          <w:lang w:bidi="fa-IR"/>
        </w:rPr>
        <w:t xml:space="preserve"> Finally, w</w:t>
      </w:r>
      <w:r w:rsidRPr="00FE7D4D">
        <w:t>e assumed that people are exposed to 100% of PM</w:t>
      </w:r>
      <w:r w:rsidRPr="00FE7D4D">
        <w:rPr>
          <w:vertAlign w:val="subscript"/>
        </w:rPr>
        <w:t>2.5</w:t>
      </w:r>
      <w:r w:rsidRPr="00FE7D4D">
        <w:t xml:space="preserve"> of outdoor origin when they spend time outdoors (i.e., </w:t>
      </w:r>
      <w:r w:rsidRPr="00FE7D4D">
        <w:rPr>
          <w:i/>
        </w:rPr>
        <w:t>F</w:t>
      </w:r>
      <w:r w:rsidRPr="00FE7D4D">
        <w:rPr>
          <w:i/>
          <w:vertAlign w:val="subscript"/>
        </w:rPr>
        <w:t>outdoor</w:t>
      </w:r>
      <w:r w:rsidRPr="00FE7D4D">
        <w:t xml:space="preserve"> = 1).</w:t>
      </w:r>
    </w:p>
    <w:p w14:paraId="4C1AF86F" w14:textId="0D59B1BA" w:rsidR="000510C0" w:rsidRPr="00FE7D4D" w:rsidRDefault="000510C0" w:rsidP="000510C0">
      <w:pPr>
        <w:pStyle w:val="Heading1"/>
      </w:pPr>
      <w:bookmarkStart w:id="2" w:name="_Toc399490406"/>
      <w:r w:rsidRPr="00FE7D4D">
        <w:lastRenderedPageBreak/>
        <w:t>Scenario 1:</w:t>
      </w:r>
      <w:r w:rsidR="001B7D31" w:rsidRPr="00FE7D4D">
        <w:t xml:space="preserve"> Nationwide estimate based primarily on prior field </w:t>
      </w:r>
      <w:r w:rsidR="008D40B1" w:rsidRPr="00FE7D4D">
        <w:t>studies</w:t>
      </w:r>
      <w:bookmarkEnd w:id="2"/>
    </w:p>
    <w:p w14:paraId="4119062D" w14:textId="74CA6E7B" w:rsidR="001B7D31" w:rsidRPr="00FE7D4D" w:rsidRDefault="001B7D31" w:rsidP="001B7D31">
      <w:pPr>
        <w:pStyle w:val="NoSpacing"/>
      </w:pPr>
      <w:r w:rsidRPr="00FE7D4D">
        <w:t>Here we describe all relevant model inputs and data sources that were used for the nationwide PM</w:t>
      </w:r>
      <w:r w:rsidRPr="00FE7D4D">
        <w:rPr>
          <w:vertAlign w:val="subscript"/>
        </w:rPr>
        <w:t>2.5</w:t>
      </w:r>
      <w:r w:rsidRPr="00FE7D4D">
        <w:t xml:space="preserve"> mortality estimate made in </w:t>
      </w:r>
      <w:r w:rsidR="00C8486C" w:rsidRPr="00FE7D4D">
        <w:t xml:space="preserve">Scenario </w:t>
      </w:r>
      <w:r w:rsidRPr="00FE7D4D">
        <w:t>1. To characterize what we assume to be nationally representative time-activity patterns, Table S1 shows stair-step distribution characteristics for the amount of time spent in each of the four microenvironments considered herein, which we transcribed from Figure 3 in Klepeis et al. (2001).</w:t>
      </w:r>
      <w:r w:rsidRPr="00D764B3">
        <w:fldChar w:fldCharType="begin"/>
      </w:r>
      <w:r w:rsidR="00701571" w:rsidRPr="00FE7D4D">
        <w:instrText xml:space="preserve"> ADDIN ZOTERO_ITEM CSL_CITATION {"citationID":"RyNYg5Pz","properties":{"formattedCitation":"\\super 20\\nosupersub{}","plainCitation":"20","noteIndex":0},"citationItems":[{"id":"FcLQwGOa/QiN7lPfi","uris":["http://zotero.org/users/327441/items/HVJRDAV4"],"uri":["http://zotero.org/users/327441/items/HVJRDAV4"],"itemData":{"id":640,"type":"article-journal","title":"The National Human Activity Pattern Survey (NHAPS): a resource for assessing exposure to environmental pollutants","container-title":"Journal of Exposure Analysis and Environmental Epidemiology","page":"231-252","volume":"11","issue":"3","abstract":"Because human activities impact the timing, location, and degree of pollutant exposure, they play a key role in explaining exposure variation. This fact has motivated the collection of activity pattern data for their specific use in exposure assessments. The largest of these recent efforts is the National Human Activity Pattern Survey (NHAPS), a 2-year probability-based telephone survey (n=9386) of exposure-related human activities in the United States (U.S.) sponsored by the U.S. Environmental Protection Agency (EPA). The primary purpose of NHAPS was to provide comprehensive and current exposure information over broad geographical and temporal scales, particularly for use in probabilistic population exposure models. NHAPS was conducted on a virtually daily basis from late September 1992 through September 1994 by the University of Maryland's Survey Research Center using a computer-assisted telephone interview instrument (CATI) to collect 24-h retrospective diaries and answers to a number of personal and exposure-related questions from each respondent. The resulting diary records contain beginning and ending times for each distinct combination of location and activity occurring on the diary day (i.e., each microenvironment). Between 340 and 1713 respondents of all ages were interviewed in each of the 10 EPA regions across the 48 contiguous states. Interviews were completed in 63% of the households contacted. NHAPS respondents reported spending an average of 87% of their time in enclosed buildings and about 6% of their time in enclosed vehicles. These proportions are fairly constant across the various regions of the U.S. and Canada and for the California population between the late 1980s, when the California Air Resources Board (CARB) sponsored a state-wide activity pattern study, and the mid-1990s, when NHAPS was conducted. However, the number of people exposed to environmental tobacco smoke (ETS) in California seems to have decreased over the same time period, where exposure is determined by the reported time spent with a smoker. In both California and the entire nation, the most time spent exposed to ETS was reported to take place in residential locations.","DOI":"10.1038/sj.jea.7500165","ISSN":"1053-4245","note":"PMID: 11477521","journalAbbreviation":"J Expo Anal Environ Epidemiol","author":[{"family":"Klepeis","given":"N E"},{"family":"Nelson","given":"W C"},{"family":"Ott","given":"W R"},{"family":"Robinson","given":"J P"},{"family":"Tsang","given":"A M"},{"family":"Switzer","given":"P"},{"family":"Behar","given":"J V"},{"family":"Hern","given":"S C"},{"family":"Engelmann","given":"W H"}],"issued":{"date-parts":[["2001",6]]}}}],"schema":"https://github.com/citation-style-language/schema/raw/master/csl-citation.json"} </w:instrText>
      </w:r>
      <w:r w:rsidRPr="00AA0679">
        <w:fldChar w:fldCharType="separate"/>
      </w:r>
      <w:r w:rsidR="005A1081" w:rsidRPr="00FE7D4D">
        <w:rPr>
          <w:rFonts w:cs="Times New Roman"/>
          <w:vertAlign w:val="superscript"/>
        </w:rPr>
        <w:t>20</w:t>
      </w:r>
      <w:r w:rsidRPr="00D764B3">
        <w:fldChar w:fldCharType="end"/>
      </w:r>
      <w:r w:rsidRPr="00FE7D4D">
        <w:t xml:space="preserve"> Values for the fraction of time spent in residences, vehicles, and outdoors were all sampled directly from the stair-step distributions in Table S1, while the time spent in other indoor locations was estimated by subtracting the sum of times spent in these three microenvironments from a total of</w:t>
      </w:r>
      <w:r w:rsidRPr="00FE7D4D">
        <w:rPr>
          <w:lang w:bidi="fa-IR"/>
        </w:rPr>
        <w:t xml:space="preserve"> 1440 minutes (i.e., 24 hours).</w:t>
      </w:r>
    </w:p>
    <w:p w14:paraId="780EB5B3" w14:textId="35A48A94" w:rsidR="001B7D31" w:rsidRPr="00FE7D4D" w:rsidRDefault="001B7D31" w:rsidP="001B7D31">
      <w:pPr>
        <w:pStyle w:val="NoSpacing"/>
      </w:pPr>
      <w:r w:rsidRPr="00FE7D4D">
        <w:t>To characterize indoor PM</w:t>
      </w:r>
      <w:r w:rsidRPr="00FE7D4D">
        <w:rPr>
          <w:vertAlign w:val="subscript"/>
        </w:rPr>
        <w:t>2.5</w:t>
      </w:r>
      <w:r w:rsidRPr="00FE7D4D">
        <w:t xml:space="preserve"> </w:t>
      </w:r>
      <w:r w:rsidRPr="00FE7D4D">
        <w:rPr>
          <w:rFonts w:cs="Times New Roman"/>
        </w:rPr>
        <w:t>concentrations</w:t>
      </w:r>
      <w:r w:rsidRPr="00FE7D4D">
        <w:t xml:space="preserve"> of indoor origin in all non-residential indoor microenvironments, we assumed an arithmetic mean </w:t>
      </w:r>
      <w:r w:rsidR="00C8486C" w:rsidRPr="00FE7D4D">
        <w:t>(</w:t>
      </w:r>
      <w:r w:rsidRPr="00FE7D4D">
        <w:t>± SD</w:t>
      </w:r>
      <w:r w:rsidR="00C8486C" w:rsidRPr="00FE7D4D">
        <w:t>)</w:t>
      </w:r>
      <w:r w:rsidRPr="00FE7D4D">
        <w:t xml:space="preserve"> of 4.18 </w:t>
      </w:r>
      <w:r w:rsidRPr="00FE7D4D">
        <w:rPr>
          <w:rFonts w:cs="Times New Roman"/>
        </w:rPr>
        <w:t xml:space="preserve">± </w:t>
      </w:r>
      <w:r w:rsidRPr="00FE7D4D">
        <w:t>4.98 µg/m</w:t>
      </w:r>
      <w:r w:rsidRPr="00FE7D4D">
        <w:rPr>
          <w:vertAlign w:val="superscript"/>
        </w:rPr>
        <w:t>3</w:t>
      </w:r>
      <w:r w:rsidRPr="00FE7D4D">
        <w:t>, which was suggested for the range of indoor PM</w:t>
      </w:r>
      <w:r w:rsidRPr="00FE7D4D">
        <w:rPr>
          <w:vertAlign w:val="subscript"/>
        </w:rPr>
        <w:t>2.5</w:t>
      </w:r>
      <w:r w:rsidRPr="00FE7D4D">
        <w:t xml:space="preserve"> concentrations resulting from general office work environments in Finland.</w:t>
      </w:r>
      <w:r w:rsidRPr="00D764B3">
        <w:fldChar w:fldCharType="begin"/>
      </w:r>
      <w:r w:rsidR="00701571" w:rsidRPr="00FE7D4D">
        <w:instrText xml:space="preserve"> ADDIN ZOTERO_ITEM CSL_CITATION {"citationID":"p89i37rn2","properties":{"formattedCitation":"\\super 23\\nosupersub{}","plainCitation":"23","noteIndex":0},"citationItems":[{"id":"FcLQwGOa/U8sAWYn6","uris":["http://zotero.org/users/local/0dVlBblu/items/94C3QVU7"],"uri":["http://zotero.org/users/local/0dVlBblu/items/94C3QVU7"],"itemData":{"id":2611,"type":"article-journal","title":"Reduction potential of urban PM2.5 mortality risk using modern ventilation systems in buildings","container-title":"Indoor Air","page":"246-256","volume":"15","issue":"4","DOI":"10.1111/j.1600-0668.2005.00365.x","ISSN":"0905-6947","journalAbbreviation":"Indoor Air","author":[{"family":"Hänninen","given":"O. O."},{"family":"Palonen","given":"J."},{"family":"Tuomisto","given":"J. T."},{"family":"Yli-Tuomi","given":"T."},{"family":"Seppanen","given":"O."},{"family":"Jantunen","given":"M. J."}],"issued":{"date-parts":[["2005",8]]}}}],"schema":"https://github.com/citation-style-language/schema/raw/master/csl-citation.json"} </w:instrText>
      </w:r>
      <w:r w:rsidRPr="00AA0679">
        <w:fldChar w:fldCharType="separate"/>
      </w:r>
      <w:r w:rsidR="005A1081" w:rsidRPr="00FE7D4D">
        <w:rPr>
          <w:rFonts w:cs="Times New Roman"/>
          <w:vertAlign w:val="superscript"/>
        </w:rPr>
        <w:t>23</w:t>
      </w:r>
      <w:r w:rsidRPr="00D764B3">
        <w:fldChar w:fldCharType="end"/>
      </w:r>
      <w:r w:rsidRPr="00FE7D4D">
        <w:t xml:space="preserve"> We constructed a lognormal distribution that resulted in the same arithmetic mean ± SD to avoid negative values while matching the same summary statistics (GM = 2.69 µg/m</w:t>
      </w:r>
      <w:r w:rsidRPr="00FE7D4D">
        <w:rPr>
          <w:vertAlign w:val="superscript"/>
        </w:rPr>
        <w:t>3</w:t>
      </w:r>
      <w:r w:rsidRPr="00FE7D4D">
        <w:t xml:space="preserve"> and GSD = 2.56). Although this approach is limited to office buildings in Finland, we are not aware of other studies that have similarly quantified the indoor and ambient contributions to indoor concentrations in non-residential buildings in the U.S. We also consider it reasonable to assume the same values for all non-residential indoor microenvironments regardless of building function based on the close similarities in indoor PM</w:t>
      </w:r>
      <w:r w:rsidRPr="00FE7D4D">
        <w:rPr>
          <w:vertAlign w:val="subscript"/>
        </w:rPr>
        <w:t>2.5</w:t>
      </w:r>
      <w:r w:rsidRPr="00FE7D4D">
        <w:t xml:space="preserve"> concentrations reported in a recent study of a wide variety of small and medium sized commercial environments in California.</w:t>
      </w:r>
      <w:r w:rsidRPr="00D764B3">
        <w:fldChar w:fldCharType="begin"/>
      </w:r>
      <w:r w:rsidR="00701571" w:rsidRPr="00FE7D4D">
        <w:instrText xml:space="preserve"> ADDIN ZOTERO_ITEM CSL_CITATION {"citationID":"1q07qtp6k5","properties":{"formattedCitation":"\\super 27\\nosupersub{}","plainCitation":"27","noteIndex":0},"citationItems":[{"id":"FcLQwGOa/h9uN7HAi","uris":["http://zotero.org/users/327441/items/AT79ZHHZ"],"uri":["http://zotero.org/users/327441/items/AT79ZHHZ"],"itemData":{"id":2914,"type":"article-journal","title":"Indoor Particle Levels in Small- and Medium-Sized Commercial Buildings in California","container-title":"Environmental Science &amp; Technology","page":"12355-12363","volume":"46","issue":"22","source":"CrossRef","DOI":"10.1021/es302140h","ISSN":"0013-936X, 1520-5851","language":"en","author":[{"family":"Wu","given":"Xiangmei"},{"family":"Apte","given":"Michael G."},{"family":"Bennett","given":"Deborah H."}],"issued":{"date-parts":[["2012",11,20]]}}}],"schema":"https://github.com/citation-style-language/schema/raw/master/csl-citation.json"} </w:instrText>
      </w:r>
      <w:r w:rsidRPr="00AA0679">
        <w:fldChar w:fldCharType="separate"/>
      </w:r>
      <w:r w:rsidR="00EF06F0" w:rsidRPr="00FE7D4D">
        <w:rPr>
          <w:rFonts w:cs="Times New Roman"/>
          <w:vertAlign w:val="superscript"/>
        </w:rPr>
        <w:t>27</w:t>
      </w:r>
      <w:r w:rsidRPr="00D764B3">
        <w:fldChar w:fldCharType="end"/>
      </w:r>
      <w:r w:rsidRPr="00FE7D4D">
        <w:t xml:space="preserve"> </w:t>
      </w:r>
    </w:p>
    <w:p w14:paraId="675D8D8F" w14:textId="58DB05DA" w:rsidR="001B7D31" w:rsidRPr="00FE7D4D" w:rsidRDefault="001B7D31" w:rsidP="001B7D31">
      <w:pPr>
        <w:pStyle w:val="NoSpacing"/>
      </w:pPr>
      <w:r w:rsidRPr="00FE7D4D">
        <w:lastRenderedPageBreak/>
        <w:t>To characterize indoor PM</w:t>
      </w:r>
      <w:r w:rsidRPr="00FE7D4D">
        <w:rPr>
          <w:vertAlign w:val="subscript"/>
        </w:rPr>
        <w:t>2.5</w:t>
      </w:r>
      <w:r w:rsidRPr="00FE7D4D">
        <w:t xml:space="preserve"> concentrations of outdoor origin in non-residential indoor environments, we sampled from the same beta distribution of infiltration factors in small and medium U.S. commercial buildings that we constructed previously from Ben-David et al. (2017).</w:t>
      </w:r>
      <w:r w:rsidRPr="00D764B3">
        <w:rPr>
          <w:lang w:bidi="fa-IR"/>
        </w:rPr>
        <w:fldChar w:fldCharType="begin"/>
      </w:r>
      <w:r w:rsidR="00701571" w:rsidRPr="00FE7D4D">
        <w:rPr>
          <w:lang w:bidi="fa-IR"/>
        </w:rPr>
        <w:instrText xml:space="preserve"> ADDIN ZOTERO_ITEM CSL_CITATION {"citationID":"ySw0APOu","properties":{"formattedCitation":"\\super 22\\nosupersub{}","plainCitation":"22","noteIndex":0},"citationItems":[{"id":"FcLQwGOa/fFZrYlQc","uris":["http://zotero.org/users/327441/items/SPRD23TW"],"uri":["http://zotero.org/users/327441/items/SPRD23TW"],"itemData":{"id":3501,"type":"article-journal","title":"Alternative ventilation strategies in U.S. offices: Saving energy while enhancing work performance, reducing absenteeism, and considering outdoor pollutant exposure tradeoffs","container-title":"Building and Environment","page":"140-157","volume":"116","source":"Crossref","DOI":"10.1016/j.buildenv.2017.02.004","ISSN":"03601323","shortTitle":"Alternative ventilation strategies in U.S. offices","language":"en","author":[{"family":"Ben-David","given":"Tom"},{"family":"Rackes","given":"Adams"},{"family":"Waring","given":"Michael S."}],"issued":{"date-parts":[["2017",5]]}}}],"schema":"https://github.com/citation-style-language/schema/raw/master/csl-citation.json"} </w:instrText>
      </w:r>
      <w:r w:rsidRPr="00AA0679">
        <w:rPr>
          <w:lang w:bidi="fa-IR"/>
        </w:rPr>
        <w:fldChar w:fldCharType="separate"/>
      </w:r>
      <w:r w:rsidR="005A1081" w:rsidRPr="00FE7D4D">
        <w:rPr>
          <w:rFonts w:cs="Times New Roman"/>
          <w:vertAlign w:val="superscript"/>
        </w:rPr>
        <w:t>22</w:t>
      </w:r>
      <w:r w:rsidRPr="00D764B3">
        <w:rPr>
          <w:lang w:bidi="fa-IR"/>
        </w:rPr>
        <w:fldChar w:fldCharType="end"/>
      </w:r>
      <w:r w:rsidRPr="00FE7D4D">
        <w:t xml:space="preserve"> Shape factors for the </w:t>
      </w:r>
      <w:r w:rsidR="00C03DDE" w:rsidRPr="00FE7D4D">
        <w:t xml:space="preserve">infiltration factor </w:t>
      </w:r>
      <w:r w:rsidRPr="00FE7D4D">
        <w:t xml:space="preserve">beta distribution </w:t>
      </w:r>
      <w:r w:rsidR="00C8486C" w:rsidRPr="00FE7D4D">
        <w:t xml:space="preserve">in MATLAB </w:t>
      </w:r>
      <w:r w:rsidRPr="00FE7D4D">
        <w:t>were:</w:t>
      </w:r>
      <w:r w:rsidRPr="00FE7D4D">
        <w:rPr>
          <w:lang w:bidi="fa-IR"/>
        </w:rPr>
        <w:t xml:space="preserve"> α = 1.82 and</w:t>
      </w:r>
      <w:r w:rsidRPr="00FE7D4D">
        <w:rPr>
          <w:rFonts w:cs="Times New Roman"/>
          <w:b/>
          <w:sz w:val="20"/>
          <w:szCs w:val="20"/>
        </w:rPr>
        <w:t xml:space="preserve"> </w:t>
      </w:r>
      <w:r w:rsidRPr="00FE7D4D">
        <w:rPr>
          <w:rFonts w:cs="Times New Roman"/>
        </w:rPr>
        <w:t>β</w:t>
      </w:r>
      <w:r w:rsidRPr="00FE7D4D">
        <w:rPr>
          <w:lang w:bidi="fa-IR"/>
        </w:rPr>
        <w:t xml:space="preserve"> = 1.91</w:t>
      </w:r>
      <w:r w:rsidR="00C03DDE" w:rsidRPr="00FE7D4D">
        <w:rPr>
          <w:lang w:bidi="fa-IR"/>
        </w:rPr>
        <w:t xml:space="preserve"> (Figure S1)</w:t>
      </w:r>
      <w:r w:rsidRPr="00FE7D4D">
        <w:rPr>
          <w:lang w:bidi="fa-IR"/>
        </w:rPr>
        <w:t>. Similarly, to characterize PM</w:t>
      </w:r>
      <w:r w:rsidRPr="00FE7D4D">
        <w:rPr>
          <w:vertAlign w:val="subscript"/>
          <w:lang w:bidi="fa-IR"/>
        </w:rPr>
        <w:t>2.5</w:t>
      </w:r>
      <w:r w:rsidRPr="00FE7D4D">
        <w:rPr>
          <w:lang w:bidi="fa-IR"/>
        </w:rPr>
        <w:t xml:space="preserve"> concentrations of outdoor origin inside vehicles, we sampled equally from two beta distributions fit to reported summary statistics of infiltration factors measured in vehicles operating half the time in recirculated air mode and half the time in outdoor air ventilation mode, with mean ± SD infiltration factors of 0.25±0.12 and 0.61±0.17, respectively.</w:t>
      </w:r>
      <w:r w:rsidRPr="00D764B3">
        <w:rPr>
          <w:lang w:bidi="fa-IR"/>
        </w:rPr>
        <w:fldChar w:fldCharType="begin"/>
      </w:r>
      <w:r w:rsidR="00701571" w:rsidRPr="00FE7D4D">
        <w:rPr>
          <w:lang w:bidi="fa-IR"/>
        </w:rPr>
        <w:instrText xml:space="preserve"> ADDIN ZOTERO_ITEM CSL_CITATION {"citationID":"Mbe7q0Sh","properties":{"formattedCitation":"\\super 26\\nosupersub{}","plainCitation":"26","noteIndex":0},"citationItems":[{"id":"FcLQwGOa/TukWzHE6","uris":["http://zotero.org/users/327441/items/KBIUCSMB"],"uri":["http://zotero.org/users/327441/items/KBIUCSMB"],"itemData":{"id":2884,"type":"article-journal","title":"Models for Predicting the Ratio of Particulate Pollutant Concentrations Inside Vehicles to Roadways","container-title":"Environmental Science &amp; Technology","page":"11048-11055","volume":"47","issue":"19","source":"CrossRef","DOI":"10.1021/es401500c","ISSN":"0013-936X, 1520-5851","language":"en","author":[{"family":"Hudda","given":"N."},{"family":"Fruin","given":"S. A."}],"issued":{"date-parts":[["2013",10]]}}}],"schema":"https://github.com/citation-style-language/schema/raw/master/csl-citation.json"} </w:instrText>
      </w:r>
      <w:r w:rsidRPr="00AA0679">
        <w:rPr>
          <w:lang w:bidi="fa-IR"/>
        </w:rPr>
        <w:fldChar w:fldCharType="separate"/>
      </w:r>
      <w:r w:rsidR="005A1081" w:rsidRPr="00FE7D4D">
        <w:rPr>
          <w:rFonts w:cs="Times New Roman"/>
          <w:vertAlign w:val="superscript"/>
        </w:rPr>
        <w:t>26</w:t>
      </w:r>
      <w:r w:rsidRPr="00D764B3">
        <w:rPr>
          <w:lang w:bidi="fa-IR"/>
        </w:rPr>
        <w:fldChar w:fldCharType="end"/>
      </w:r>
      <w:r w:rsidRPr="00FE7D4D">
        <w:rPr>
          <w:lang w:bidi="fa-IR"/>
        </w:rPr>
        <w:t xml:space="preserve"> Shape factors for the assumed beta distributions were α = 2.98 and</w:t>
      </w:r>
      <w:r w:rsidRPr="00FE7D4D">
        <w:rPr>
          <w:rFonts w:cs="Times New Roman"/>
          <w:b/>
          <w:sz w:val="20"/>
          <w:szCs w:val="20"/>
        </w:rPr>
        <w:t xml:space="preserve"> </w:t>
      </w:r>
      <w:r w:rsidRPr="00FE7D4D">
        <w:rPr>
          <w:rFonts w:cs="Times New Roman"/>
        </w:rPr>
        <w:t>β</w:t>
      </w:r>
      <w:r w:rsidRPr="00FE7D4D">
        <w:rPr>
          <w:lang w:bidi="fa-IR"/>
        </w:rPr>
        <w:t xml:space="preserve"> = 8.72 for recirculating systems and α = 4.32 and </w:t>
      </w:r>
      <w:r w:rsidRPr="00FE7D4D">
        <w:rPr>
          <w:rFonts w:cs="Times New Roman"/>
        </w:rPr>
        <w:t>β</w:t>
      </w:r>
      <w:r w:rsidRPr="00FE7D4D">
        <w:rPr>
          <w:lang w:bidi="fa-IR"/>
        </w:rPr>
        <w:t xml:space="preserve"> = 2.73 for outdoor air ventilation</w:t>
      </w:r>
      <w:r w:rsidR="00C03DDE" w:rsidRPr="00FE7D4D">
        <w:rPr>
          <w:lang w:bidi="fa-IR"/>
        </w:rPr>
        <w:t xml:space="preserve"> (Figure S1)</w:t>
      </w:r>
      <w:r w:rsidRPr="00FE7D4D">
        <w:rPr>
          <w:lang w:bidi="fa-IR"/>
        </w:rPr>
        <w:t xml:space="preserve">. </w:t>
      </w:r>
      <w:r w:rsidRPr="00FE7D4D">
        <w:t xml:space="preserve">We also introduced an in-vehicle exposure modification factor to Equation </w:t>
      </w:r>
      <w:r w:rsidR="00BE3587" w:rsidRPr="00FE7D4D">
        <w:t>3</w:t>
      </w:r>
      <w:r w:rsidRPr="00FE7D4D">
        <w:t>-b to account for near-road PM</w:t>
      </w:r>
      <w:r w:rsidRPr="00FE7D4D">
        <w:rPr>
          <w:vertAlign w:val="subscript"/>
        </w:rPr>
        <w:t>2.5</w:t>
      </w:r>
      <w:r w:rsidRPr="00FE7D4D">
        <w:t xml:space="preserve"> concentrations that are 22% higher, on average, than central site monitor or background levels.</w:t>
      </w:r>
      <w:r w:rsidRPr="00D764B3">
        <w:fldChar w:fldCharType="begin"/>
      </w:r>
      <w:r w:rsidR="00701571" w:rsidRPr="00FE7D4D">
        <w:instrText xml:space="preserve"> ADDIN ZOTERO_ITEM CSL_CITATION {"citationID":"VAQAvQLK","properties":{"formattedCitation":"\\super 28\\nosupersub{}","plainCitation":"28","noteIndex":0},"citationItems":[{"id":"FcLQwGOa/5uc7da0h","uris":["http://zotero.org/users/327441/items/PTPTJG55"],"uri":["http://zotero.org/users/327441/items/PTPTJG55"],"itemData":{"id":887,"type":"article-journal","title":"Near-Roadway Air Quality: Synthesizing the Findings from Real-World Data","container-title":"Environmental Science &amp; Technology","page":"5334-5344","volume":"44","issue":"14","source":"CrossRef","DOI":"10.1021/es100008x","ISSN":"0013-936X, 1520-5851","shortTitle":"Near-Roadway Air Quality","author":[{"family":"Karner","given":"Alex A."},{"family":"Eisinger","given":"Douglas S."},{"family":"Niemeier","given":"Deb A."}],"issued":{"date-parts":[["2010",7,15]]}}}],"schema":"https://github.com/citation-style-language/schema/raw/master/csl-citation.json"} </w:instrText>
      </w:r>
      <w:r w:rsidRPr="00AA0679">
        <w:fldChar w:fldCharType="separate"/>
      </w:r>
      <w:r w:rsidR="00EF06F0" w:rsidRPr="00FE7D4D">
        <w:rPr>
          <w:rFonts w:cs="Times New Roman"/>
          <w:vertAlign w:val="superscript"/>
        </w:rPr>
        <w:t>28</w:t>
      </w:r>
      <w:r w:rsidRPr="00D764B3">
        <w:fldChar w:fldCharType="end"/>
      </w:r>
      <w:r w:rsidRPr="00FE7D4D">
        <w:t xml:space="preserve"> This factor is not incorporated directly into the model framework but is applied uniformly to each model iteration during application.</w:t>
      </w:r>
      <w:r w:rsidRPr="00FE7D4D">
        <w:rPr>
          <w:lang w:bidi="fa-IR"/>
        </w:rPr>
        <w:t xml:space="preserve"> </w:t>
      </w:r>
      <w:r w:rsidRPr="00FE7D4D">
        <w:t>We assumed there are no indoor sources of PM</w:t>
      </w:r>
      <w:r w:rsidRPr="00FE7D4D">
        <w:rPr>
          <w:vertAlign w:val="subscript"/>
        </w:rPr>
        <w:t xml:space="preserve">2.5 </w:t>
      </w:r>
      <w:r w:rsidRPr="00FE7D4D">
        <w:t>inside vehicles because the focus is on non-smoking microenvironments and it is reasonable to assume there are minimal other PM</w:t>
      </w:r>
      <w:r w:rsidRPr="00FE7D4D">
        <w:rPr>
          <w:vertAlign w:val="subscript"/>
        </w:rPr>
        <w:t>2.5</w:t>
      </w:r>
      <w:r w:rsidRPr="00FE7D4D">
        <w:t xml:space="preserve"> sources inside most vehicles.</w:t>
      </w:r>
    </w:p>
    <w:p w14:paraId="0B0C98C5" w14:textId="0F640BA7" w:rsidR="001B7D31" w:rsidRPr="00FE7D4D" w:rsidRDefault="001B7D31" w:rsidP="001B7D31">
      <w:pPr>
        <w:pStyle w:val="NoSpacing"/>
      </w:pPr>
      <w:r w:rsidRPr="00FE7D4D">
        <w:t>To characterize indoor PM</w:t>
      </w:r>
      <w:r w:rsidRPr="00FE7D4D">
        <w:rPr>
          <w:vertAlign w:val="subscript"/>
        </w:rPr>
        <w:t>2.5</w:t>
      </w:r>
      <w:r w:rsidRPr="00FE7D4D">
        <w:t xml:space="preserve"> concentrations from both indoor and outdoor sources in residences, we rely on two of the largest data sources for field measurements of which we are aware: the Relationship of Indoor, Outdoor and Personal Air (RIOPA) study</w:t>
      </w:r>
      <w:r w:rsidRPr="00D764B3">
        <w:fldChar w:fldCharType="begin"/>
      </w:r>
      <w:r w:rsidR="00701571" w:rsidRPr="00FE7D4D">
        <w:instrText xml:space="preserve"> ADDIN ZOTERO_ITEM CSL_CITATION {"citationID":"28co4qa0t0","properties":{"formattedCitation":"\\super 29\\nosupersub{}","plainCitation":"29","noteIndex":0},"citationItems":[{"id":"FcLQwGOa/gRJ6Cl1v","uris":["http://zotero.org/users/327441/items/5JTRNDQM"],"uri":["http://zotero.org/users/327441/items/5JTRNDQM"],"itemData":{"id":124,"type":"article-journal","title":"Relationship of Indoor, Outdoor and Personal Air (RIOPA) study: study design, methods and quality assurance/control results","container-title":"Journal of Exposure Analysis and Environmental Epidemiology","page":"123-137","volume":"15","source":"CrossRef","DOI":"10.1038/sj.jea.7500379","ISSN":"1053-4245, 1476-5519","shortTitle":"Relationship of Indoor, Outdoor and Personal Air (RIOPA) study","author":[{"family":"Weisel","given":"Clifford P"},{"family":"Zhang","given":"Junfeng"},{"family":"Turpin","given":"Barbara J"},{"family":"Morandi","given":"Maria T"},{"family":"Colome","given":"Steven"},{"family":"Stock","given":"Thomas H"},{"family":"Spektor","given":"Dalia M"},{"family":"Korn","given":"Leo"},{"family":"Winer","given":"Arthur"},{"family":"Alimokhtari","given":"Shahnaz"},{"family":"Kwon","given":"Jaymin"},{"family":"Mohan","given":"Krishnan"},{"family":"Harrington","given":"Robert"},{"family":"Giovanetti","given":"Robert"},{"family":"Cui","given":"William"},{"family":"Afshar","given":"Masoud"},{"family":"Maberti","given":"Silvia"},{"family":"Shendell","given":"Derek"}],"issued":{"date-parts":[["2004",6,23]]}}}],"schema":"https://github.com/citation-style-language/schema/raw/master/csl-citation.json"} </w:instrText>
      </w:r>
      <w:r w:rsidRPr="00AA0679">
        <w:fldChar w:fldCharType="separate"/>
      </w:r>
      <w:r w:rsidR="00EF06F0" w:rsidRPr="00FE7D4D">
        <w:rPr>
          <w:rFonts w:cs="Times New Roman"/>
          <w:vertAlign w:val="superscript"/>
        </w:rPr>
        <w:t>29</w:t>
      </w:r>
      <w:r w:rsidRPr="00D764B3">
        <w:fldChar w:fldCharType="end"/>
      </w:r>
      <w:r w:rsidRPr="00FE7D4D">
        <w:t xml:space="preserve"> and the Multi-Ethnic Study of the Atherosclerosis and Air Pollution (MESA Air).</w:t>
      </w:r>
      <w:r w:rsidRPr="00D764B3">
        <w:fldChar w:fldCharType="begin"/>
      </w:r>
      <w:r w:rsidR="00701571" w:rsidRPr="00FE7D4D">
        <w:instrText xml:space="preserve"> ADDIN ZOTERO_ITEM CSL_CITATION {"citationID":"V6vMixtM","properties":{"formattedCitation":"\\super 30,31\\nosupersub{}","plainCitation":"30,31","noteIndex":0},"citationItems":[{"id":"FcLQwGOa/m2Smh9YR","uris":["http://zotero.org/users/327441/items/D7Z8BAST"],"uri":["http://zotero.org/users/327441/items/D7Z8BAST"],"itemData":{"id":432,"type":"article-journal","title":"Approach to Estimating Participant Pollutant Exposures in the Multi-Ethnic Study of Atherosclerosis and Air Pollution (MESA Air)","container-title":"Environmental Science &amp; Technology","page":"4687-4693","volume":"43","issue":"13","DOI":"10.1021/es8030837","ISSN":"0013-936X","journalAbbreviation":"Environ. Sci. Technol.","author":[{"family":"Cohen","given":"Martin A."},{"family":"Adar","given":"Sara D."},{"family":"Allen","given":"Ryan W."},{"family":"Avol","given":"Edward"},{"family":"Curl","given":"Cynthia L."},{"family":"Gould","given":"Timothy"},{"family":"Hardie","given":"David"},{"family":"Ho","given":"Anne"},{"family":"Kinney","given":"Patrick"},{"family":"Larson","given":"Timothy V."},{"family":"Sampson","given":"Paul"},{"family":"Sheppard","given":"Lianne"},{"family":"Stukovsky","given":"Karen D."},{"family":"Swan","given":"Susan S."},{"family":"Liu","given":"L.-J. Sally"},{"family":"Kaufman","given":"Joel D."}],"issued":{"date-parts":[["2009",7]]}}},{"id":"FcLQwGOa/cfrSykCO","uris":["http://zotero.org/users/327441/items/RX7IHN57"],"uri":["http://zotero.org/users/327441/items/RX7IHN57"],"itemData":{"id":2985,"type":"article-journal","title":"Prospective Study of Particulate Air Pollution Exposures, Subclinical Atherosclerosis, and Clinical Cardiovascular Disease: The Multi-Ethnic Study of Atherosclerosis and Air Pollution (MESA Air)","container-title":"American Journal of Epidemiology","page":"825-837","volume":"176","issue":"9","source":"CrossRef","DOI":"10.1093/aje/kws169","ISSN":"0002-9262, 1476-6256","shortTitle":"Prospective Study of Particulate Air Pollution Exposures, Subclinical Atherosclerosis, and Clinical Cardiovascular Disease","language":"en","author":[{"family":"Kaufman","given":"J. D."},{"family":"Adar","given":"S. D."},{"family":"Allen","given":"R. W."},{"family":"Barr","given":"R. G."},{"family":"Budoff","given":"M. J."},{"family":"Burke","given":"G. L."},{"family":"Casillas","given":"A. M."},{"family":"Cohen","given":"M. A."},{"family":"Curl","given":"C. L."},{"family":"Daviglus","given":"M. L."},{"family":"Roux","given":"A. V. D."},{"family":"Jacobs","given":"D. R."},{"family":"Kronmal","given":"R. A."},{"family":"Larson","given":"T. V."},{"family":"Liu","given":"S. L.-J."},{"family":"Lumley","given":"T."},{"family":"Navas-Acien","given":"A."},{"family":"O'Leary","given":"D. H."},{"family":"Rotter","given":"J. I."},{"family":"Sampson","given":"P. D."},{"family":"Sheppard","given":"L."},{"family":"Siscovick","given":"D. S."},{"family":"Stein","given":"J. H."},{"family":"Szpiro","given":"A. A."},{"family":"Tracy","given":"R. P."}],"issued":{"date-parts":[["2012",11,1]]}}}],"schema":"https://github.com/citation-style-language/schema/raw/master/csl-citation.json"} </w:instrText>
      </w:r>
      <w:r w:rsidRPr="00AA0679">
        <w:fldChar w:fldCharType="separate"/>
      </w:r>
      <w:r w:rsidR="00EF06F0" w:rsidRPr="00FE7D4D">
        <w:rPr>
          <w:rFonts w:cs="Times New Roman"/>
          <w:vertAlign w:val="superscript"/>
        </w:rPr>
        <w:t>30,31</w:t>
      </w:r>
      <w:r w:rsidRPr="00D764B3">
        <w:fldChar w:fldCharType="end"/>
      </w:r>
      <w:r w:rsidRPr="00FE7D4D">
        <w:t xml:space="preserve"> The RIOPA study sampled indoor and outdoor PM</w:t>
      </w:r>
      <w:r w:rsidRPr="00FE7D4D">
        <w:rPr>
          <w:vertAlign w:val="subscript"/>
        </w:rPr>
        <w:t>2.5</w:t>
      </w:r>
      <w:r w:rsidRPr="00FE7D4D">
        <w:t xml:space="preserve"> concentrations concurrently for 48 hours in 212 non-smoking residences in three U.S. cities.</w:t>
      </w:r>
      <w:r w:rsidRPr="00D764B3">
        <w:fldChar w:fldCharType="begin"/>
      </w:r>
      <w:r w:rsidR="00701571" w:rsidRPr="00FE7D4D">
        <w:instrText xml:space="preserve"> ADDIN ZOTERO_ITEM CSL_CITATION {"citationID":"1bjca9f34q","properties":{"formattedCitation":"\\super 32\\nosupersub{}","plainCitation":"32","noteIndex":0},"citationItems":[{"id":"FcLQwGOa/3Kb9pIPB","uris":["http://zotero.org/users/327441/items/WIX2MRM3"],"uri":["http://zotero.org/users/327441/items/WIX2MRM3"],"itemData":{"id":1160,"type":"article-journal","title":"Influence of ambient (outdoor) sources on residential indoor and personal PM2.5 concentrations: Analyses of RIOPA data","container-title":"Journal of Exposure Analysis and Environmental Epidemiology","page":"17-28","volume":"15","issue":"1","DOI":"10.1038/sj.jea.7500378","ISSN":"1053-4245","journalAbbreviation":"J Expo Anal Environ Epidemiol","author":[{"family":"Meng","given":"Qing Yu"},{"family":"Turpin","given":"Barbara J"},{"family":"Korn","given":"Leo"},{"family":"Weisel","given":"Clifford P"},{"family":"Morandi","given":"Maria"},{"family":"Colome","given":"Steven"},{"family":"Zhang","given":"Junfeng (Jim)"},{"family":"Stock","given":"Thomas"},{"family":"Spektor","given":"Dalia"},{"family":"Winer","given":"Arthur"},{"family":"Zhang","given":"Lin"},{"family":"Lee","given":"Jong Hoon"},{"family":"Giovanetti","given":"Robert"},{"family":"Cui","given":"William"},{"family":"Kwon","given":"Jaymin"},{"family":"Alimokhtari","given":"Shahnaz"},{"family":"Shendell","given":"Derek"},{"family":"Jones","given":"Jennifer"},{"family":"Farrar","given":"Corice"},{"family":"Maberti","given":"Silvia"}],"issued":{"date-parts":[["2005"]]}}}],"schema":"https://github.com/citation-style-language/schema/raw/master/csl-citation.json"} </w:instrText>
      </w:r>
      <w:r w:rsidRPr="00AA0679">
        <w:fldChar w:fldCharType="separate"/>
      </w:r>
      <w:r w:rsidR="00EF06F0" w:rsidRPr="00FE7D4D">
        <w:rPr>
          <w:rFonts w:cs="Times New Roman"/>
          <w:vertAlign w:val="superscript"/>
        </w:rPr>
        <w:t>32</w:t>
      </w:r>
      <w:r w:rsidRPr="00D764B3">
        <w:fldChar w:fldCharType="end"/>
      </w:r>
      <w:r w:rsidRPr="00FE7D4D">
        <w:t xml:space="preserve"> Similarly, MESA Air measured indoor and outdoor PM</w:t>
      </w:r>
      <w:r w:rsidRPr="00FE7D4D">
        <w:rPr>
          <w:vertAlign w:val="subscript"/>
        </w:rPr>
        <w:t>2.5</w:t>
      </w:r>
      <w:r w:rsidRPr="00FE7D4D">
        <w:t xml:space="preserve"> concentrations concurrently over a 2-week period in 208 homes in warm seasons and 264 homes </w:t>
      </w:r>
      <w:r w:rsidRPr="00FE7D4D">
        <w:lastRenderedPageBreak/>
        <w:t>in cold seasons in seven U.S. cities. Both studies are unique in that they included large sample sizes of homes in multiple U.S. cities and also reported distributions of PM</w:t>
      </w:r>
      <w:r w:rsidRPr="00FE7D4D">
        <w:rPr>
          <w:vertAlign w:val="subscript"/>
        </w:rPr>
        <w:t>2.5</w:t>
      </w:r>
      <w:r w:rsidRPr="00FE7D4D">
        <w:t xml:space="preserve"> infiltration factors, which can be either directly or indirectly used to estimate the relative contributions of both indoor and outdoor sources to indoor PM</w:t>
      </w:r>
      <w:r w:rsidRPr="00FE7D4D">
        <w:rPr>
          <w:vertAlign w:val="subscript"/>
        </w:rPr>
        <w:t>2.5</w:t>
      </w:r>
      <w:r w:rsidRPr="00FE7D4D">
        <w:t xml:space="preserve"> concentrations in the sample residences. Because the two studies differed in their population demographics and geographic locations, we use them to conduct three versions of Scenario 1, including sampling input parameters affecting indoor concentrations of PM</w:t>
      </w:r>
      <w:r w:rsidRPr="00FE7D4D">
        <w:rPr>
          <w:vertAlign w:val="subscript"/>
        </w:rPr>
        <w:t>2.5</w:t>
      </w:r>
      <w:r w:rsidRPr="00FE7D4D">
        <w:t xml:space="preserve"> of indoor and outdoor origin from: (a) RIOPA only, (b) MESA only, and (c) </w:t>
      </w:r>
      <w:r w:rsidR="000118DF" w:rsidRPr="00FE7D4D">
        <w:t xml:space="preserve">equally </w:t>
      </w:r>
      <w:r w:rsidRPr="00FE7D4D">
        <w:t xml:space="preserve">from </w:t>
      </w:r>
      <w:r w:rsidR="009C486E" w:rsidRPr="00FE7D4D">
        <w:t xml:space="preserve">both </w:t>
      </w:r>
      <w:r w:rsidRPr="00FE7D4D">
        <w:t>RIOPA and MESA. For Scenarios 1a and 1b, we assume that either RIOPA or MESA is generally representative of the entire U.S. residential building stock. Because this may not be a valid assumption for either study, Scenario 1c assumes that, when sampled together with equal weighting, the two studies are more generally representative than either study alone.</w:t>
      </w:r>
    </w:p>
    <w:p w14:paraId="068D5CDA" w14:textId="7A22946C" w:rsidR="00BD1B30" w:rsidRPr="00FE7D4D" w:rsidRDefault="001B7D31" w:rsidP="001B7D31">
      <w:pPr>
        <w:pStyle w:val="NoSpacing"/>
        <w:rPr>
          <w:lang w:bidi="fa-IR"/>
        </w:rPr>
      </w:pPr>
      <w:r w:rsidRPr="00FE7D4D">
        <w:t>For the RIOPA</w:t>
      </w:r>
      <w:r w:rsidR="001452FE" w:rsidRPr="00FE7D4D">
        <w:t>-only</w:t>
      </w:r>
      <w:r w:rsidRPr="00FE7D4D">
        <w:t xml:space="preserve"> scenario, we estimated distributions of annual average residential </w:t>
      </w:r>
      <w:r w:rsidR="008B21E1" w:rsidRPr="00FE7D4D">
        <w:t xml:space="preserve">indoor </w:t>
      </w:r>
      <w:r w:rsidRPr="00FE7D4D">
        <w:t>PM</w:t>
      </w:r>
      <w:r w:rsidRPr="00FE7D4D">
        <w:rPr>
          <w:vertAlign w:val="subscript"/>
        </w:rPr>
        <w:t>2.5</w:t>
      </w:r>
      <w:r w:rsidRPr="00FE7D4D">
        <w:t xml:space="preserve"> concentrations of outdoor origin for the year 2012 by sampling from distributions of infiltration factors reported in the study homes and multiplying them </w:t>
      </w:r>
      <w:r w:rsidR="008B21E1" w:rsidRPr="00FE7D4D">
        <w:t xml:space="preserve">by samples drawn from distributions of </w:t>
      </w:r>
      <w:r w:rsidRPr="00FE7D4D">
        <w:t>the U.S. annual average outdoor PM</w:t>
      </w:r>
      <w:r w:rsidRPr="00FE7D4D">
        <w:rPr>
          <w:vertAlign w:val="subscript"/>
        </w:rPr>
        <w:t>2.5</w:t>
      </w:r>
      <w:r w:rsidRPr="00FE7D4D">
        <w:t xml:space="preserve"> concentration for 2012</w:t>
      </w:r>
      <w:r w:rsidR="00BD1B30" w:rsidRPr="00FE7D4D">
        <w:t>, as described in the main text</w:t>
      </w:r>
      <w:r w:rsidRPr="00FE7D4D">
        <w:t xml:space="preserve">. </w:t>
      </w:r>
      <w:r w:rsidRPr="00FE7D4D">
        <w:rPr>
          <w:rFonts w:cs="Times New Roman"/>
        </w:rPr>
        <w:t>Meng et al.</w:t>
      </w:r>
      <w:r w:rsidRPr="00FE7D4D">
        <w:t xml:space="preserve"> (2005) modeled the distributions of outdoor PM</w:t>
      </w:r>
      <w:r w:rsidRPr="00FE7D4D">
        <w:rPr>
          <w:vertAlign w:val="subscript"/>
        </w:rPr>
        <w:t>2.5</w:t>
      </w:r>
      <w:r w:rsidRPr="00FE7D4D">
        <w:t xml:space="preserve"> infiltration factors of a subset of 114 of the study homes that had one complete set of 48-hour measurements, resulting in a mean (±SD) of 0.54 ± 0.16.</w:t>
      </w:r>
      <w:r w:rsidRPr="00D764B3">
        <w:fldChar w:fldCharType="begin"/>
      </w:r>
      <w:r w:rsidR="00701571" w:rsidRPr="00FE7D4D">
        <w:instrText xml:space="preserve"> ADDIN ZOTERO_ITEM CSL_CITATION {"citationID":"UZ0TEhWE","properties":{"formattedCitation":"\\super 33\\nosupersub{}","plainCitation":"33","noteIndex":0},"citationItems":[{"id":"FcLQwGOa/c0vg1jil","uris":["http://zotero.org/users/327441/items/7Q86A2P7"],"uri":["http://zotero.org/users/327441/items/7Q86A2P7"],"itemData":{"id":206,"type":"article-journal","title":"PM2.5 of ambient origin: estimates and exposure errors relevant to PM epidemiology","container-title":"Environmental Science &amp; Technology","page":"5105-5112","volume":"39","issue":"14","source":"CrossRef","DOI":"10.1021/es048226f","ISSN":"0013-936X, 1520-5851","shortTitle":"PM               2.5               of Ambient Origin","author":[{"family":"Meng","given":"Qing Yu"},{"family":"Turpin","given":"Barbara J"},{"family":"Polidori","given":"Andrea"},{"family":"Lee","given":"Jong Hoon"},{"family":"Weisel","given":"Clifford"},{"family":"Morandi","given":"Maria"},{"family":"Colome","given":"Steven"},{"family":"Stock","given":"Thomas"},{"family":"Winer","given":"Arthur"},{"family":"Zhang","given":"Jenfeng (Jim)"}],"issued":{"date-parts":[["2005",7]]}},"suppress-author":true}],"schema":"https://github.com/citation-style-language/schema/raw/master/csl-citation.json"} </w:instrText>
      </w:r>
      <w:r w:rsidRPr="00AA0679">
        <w:fldChar w:fldCharType="separate"/>
      </w:r>
      <w:r w:rsidR="00EF06F0" w:rsidRPr="00FE7D4D">
        <w:rPr>
          <w:rFonts w:cs="Times New Roman"/>
          <w:vertAlign w:val="superscript"/>
        </w:rPr>
        <w:t>33</w:t>
      </w:r>
      <w:r w:rsidRPr="00D764B3">
        <w:fldChar w:fldCharType="end"/>
      </w:r>
      <w:r w:rsidRPr="00FE7D4D">
        <w:t xml:space="preserve"> We fit a beta distribution to the reported mean ± SD infiltration factors from RIOPA, resulting in </w:t>
      </w:r>
      <w:r w:rsidRPr="00FE7D4D">
        <w:rPr>
          <w:lang w:bidi="fa-IR"/>
        </w:rPr>
        <w:t>shape factors of α = 4.70 and</w:t>
      </w:r>
      <w:r w:rsidRPr="00FE7D4D">
        <w:rPr>
          <w:rFonts w:cs="Times New Roman"/>
          <w:b/>
          <w:sz w:val="20"/>
          <w:szCs w:val="20"/>
        </w:rPr>
        <w:t xml:space="preserve"> </w:t>
      </w:r>
      <w:r w:rsidRPr="00FE7D4D">
        <w:rPr>
          <w:rFonts w:cs="Times New Roman"/>
        </w:rPr>
        <w:t>β</w:t>
      </w:r>
      <w:r w:rsidRPr="00FE7D4D">
        <w:rPr>
          <w:lang w:bidi="fa-IR"/>
        </w:rPr>
        <w:t xml:space="preserve"> = 4.00</w:t>
      </w:r>
      <w:r w:rsidR="00C03DDE" w:rsidRPr="00FE7D4D">
        <w:rPr>
          <w:lang w:bidi="fa-IR"/>
        </w:rPr>
        <w:t xml:space="preserve"> (Figure S1)</w:t>
      </w:r>
      <w:r w:rsidRPr="00FE7D4D">
        <w:rPr>
          <w:lang w:bidi="fa-IR"/>
        </w:rPr>
        <w:t xml:space="preserve">. </w:t>
      </w:r>
    </w:p>
    <w:p w14:paraId="7D4D6DAB" w14:textId="247C31FC" w:rsidR="001B7D31" w:rsidRPr="00FE7D4D" w:rsidRDefault="00BD1B30" w:rsidP="001B7D31">
      <w:pPr>
        <w:pStyle w:val="NoSpacing"/>
      </w:pPr>
      <w:r w:rsidRPr="00FE7D4D">
        <w:t>To obtain distributions of the indoor PM</w:t>
      </w:r>
      <w:r w:rsidRPr="00FE7D4D">
        <w:rPr>
          <w:vertAlign w:val="subscript"/>
        </w:rPr>
        <w:t>2.5</w:t>
      </w:r>
      <w:r w:rsidRPr="00FE7D4D">
        <w:t xml:space="preserve"> concentration resulting from indoor sources alone</w:t>
      </w:r>
      <w:r w:rsidR="001B7D31" w:rsidRPr="00FE7D4D">
        <w:t>, lognormal distributions were</w:t>
      </w:r>
      <w:r w:rsidRPr="00FE7D4D">
        <w:t xml:space="preserve"> first</w:t>
      </w:r>
      <w:r w:rsidR="001B7D31" w:rsidRPr="00FE7D4D">
        <w:t xml:space="preserve"> fit to match the reported means and standard deviations of indoor and outdoor PM</w:t>
      </w:r>
      <w:r w:rsidR="001B7D31" w:rsidRPr="00FE7D4D">
        <w:rPr>
          <w:vertAlign w:val="subscript"/>
        </w:rPr>
        <w:t>2.5</w:t>
      </w:r>
      <w:r w:rsidR="001B7D31" w:rsidRPr="00FE7D4D">
        <w:t xml:space="preserve"> concentrations from the RIOPA study, as shown in Table </w:t>
      </w:r>
      <w:r w:rsidR="008B2831" w:rsidRPr="00FE7D4D">
        <w:t>S</w:t>
      </w:r>
      <w:r w:rsidR="001B7D31" w:rsidRPr="00FE7D4D">
        <w:t xml:space="preserve">2. </w:t>
      </w:r>
      <w:r w:rsidRPr="00FE7D4D">
        <w:t xml:space="preserve">Next, </w:t>
      </w:r>
      <w:r w:rsidRPr="00FE7D4D">
        <w:lastRenderedPageBreak/>
        <w:t>d</w:t>
      </w:r>
      <w:r w:rsidR="001B7D31" w:rsidRPr="00FE7D4D">
        <w:t>istributions for the indoor PM</w:t>
      </w:r>
      <w:r w:rsidR="001B7D31" w:rsidRPr="00FE7D4D">
        <w:rPr>
          <w:vertAlign w:val="subscript"/>
        </w:rPr>
        <w:t>2.5</w:t>
      </w:r>
      <w:r w:rsidR="001B7D31" w:rsidRPr="00FE7D4D">
        <w:t xml:space="preserve"> concentration resulting from </w:t>
      </w:r>
      <w:r w:rsidRPr="00FE7D4D">
        <w:t xml:space="preserve">only </w:t>
      </w:r>
      <w:r w:rsidR="001B7D31" w:rsidRPr="00FE7D4D">
        <w:t xml:space="preserve">indoor sources in the RIOPA residences were estimated using Equation </w:t>
      </w:r>
      <w:r w:rsidR="008B2831" w:rsidRPr="00FE7D4D">
        <w:t>S1</w:t>
      </w:r>
      <w:r w:rsidR="001B7D31" w:rsidRPr="00FE7D4D">
        <w:t xml:space="preserve"> combined with </w:t>
      </w:r>
      <w:r w:rsidRPr="00FE7D4D">
        <w:t xml:space="preserve">sampling from </w:t>
      </w:r>
      <w:r w:rsidR="001B7D31" w:rsidRPr="00FE7D4D">
        <w:t>lognormal distributions for indoor and outdoor PM</w:t>
      </w:r>
      <w:r w:rsidR="001B7D31" w:rsidRPr="00FE7D4D">
        <w:rPr>
          <w:vertAlign w:val="subscript"/>
        </w:rPr>
        <w:t>2.5</w:t>
      </w:r>
      <w:r w:rsidR="001B7D31" w:rsidRPr="00FE7D4D">
        <w:t xml:space="preserve"> concentrations and the beta distribution for outdoor PM</w:t>
      </w:r>
      <w:r w:rsidR="001B7D31" w:rsidRPr="00FE7D4D">
        <w:rPr>
          <w:vertAlign w:val="subscript"/>
        </w:rPr>
        <w:t>2.5</w:t>
      </w:r>
      <w:r w:rsidR="001B7D31" w:rsidRPr="00FE7D4D">
        <w:t xml:space="preserve"> infiltration factors. Using this approach, we make the necessary assumption that Δ</w:t>
      </w:r>
      <w:r w:rsidR="001B7D31" w:rsidRPr="00FE7D4D">
        <w:rPr>
          <w:i/>
        </w:rPr>
        <w:t>C</w:t>
      </w:r>
      <w:r w:rsidR="001B7D31" w:rsidRPr="00FE7D4D">
        <w:rPr>
          <w:i/>
          <w:vertAlign w:val="subscript"/>
        </w:rPr>
        <w:t>PM2.5,AG,residences</w:t>
      </w:r>
      <w:r w:rsidR="001B7D31" w:rsidRPr="00FE7D4D">
        <w:t xml:space="preserve"> varies over time (i.e., from year to year) because ambient concentrations vary over time, and that infiltration factors are constant over time. Similarly, we assume that indoor emission sources, and thus Δ</w:t>
      </w:r>
      <w:r w:rsidR="001B7D31" w:rsidRPr="00FE7D4D">
        <w:rPr>
          <w:i/>
        </w:rPr>
        <w:t>C</w:t>
      </w:r>
      <w:r w:rsidR="001B7D31" w:rsidRPr="00FE7D4D">
        <w:rPr>
          <w:i/>
          <w:vertAlign w:val="subscript"/>
        </w:rPr>
        <w:t>PM2.5,IG,residences</w:t>
      </w:r>
      <w:r w:rsidR="001B7D31" w:rsidRPr="00FE7D4D">
        <w:t>, are also constant over time.</w:t>
      </w:r>
    </w:p>
    <w:tbl>
      <w:tblPr>
        <w:tblpPr w:leftFromText="180" w:rightFromText="180" w:vertAnchor="text" w:horzAnchor="margin" w:tblpY="120"/>
        <w:tblW w:w="9536" w:type="dxa"/>
        <w:tblCellMar>
          <w:left w:w="70" w:type="dxa"/>
          <w:right w:w="70" w:type="dxa"/>
        </w:tblCellMar>
        <w:tblLook w:val="0000" w:firstRow="0" w:lastRow="0" w:firstColumn="0" w:lastColumn="0" w:noHBand="0" w:noVBand="0"/>
      </w:tblPr>
      <w:tblGrid>
        <w:gridCol w:w="8890"/>
        <w:gridCol w:w="646"/>
      </w:tblGrid>
      <w:tr w:rsidR="001B7D31" w:rsidRPr="00FE7D4D" w14:paraId="64AACF8F" w14:textId="77777777" w:rsidTr="00E33E51">
        <w:trPr>
          <w:trHeight w:val="427"/>
        </w:trPr>
        <w:tc>
          <w:tcPr>
            <w:tcW w:w="8890" w:type="dxa"/>
          </w:tcPr>
          <w:p w14:paraId="1E752A7D" w14:textId="77777777" w:rsidR="001B7D31" w:rsidRPr="00FE7D4D" w:rsidRDefault="00AA0679" w:rsidP="00E33E51">
            <w:pPr>
              <w:widowControl w:val="0"/>
              <w:spacing w:before="120" w:after="120"/>
              <w:jc w:val="center"/>
              <w:rPr>
                <w:snapToGrid w:val="0"/>
              </w:rPr>
            </w:pPr>
            <m:oMath>
              <m:sSub>
                <m:sSubPr>
                  <m:ctrlPr>
                    <w:rPr>
                      <w:rFonts w:ascii="Cambria Math" w:hAnsi="Cambria Math" w:cs="TimesNewRoman"/>
                      <w:i/>
                    </w:rPr>
                  </m:ctrlPr>
                </m:sSubPr>
                <m:e>
                  <m:r>
                    <w:rPr>
                      <w:rFonts w:ascii="Cambria Math" w:hAnsi="Cambria Math" w:cs="TimesNewRoman"/>
                    </w:rPr>
                    <m:t>C</m:t>
                  </m:r>
                </m:e>
                <m:sub>
                  <m:r>
                    <w:rPr>
                      <w:rFonts w:ascii="Cambria Math" w:hAnsi="Cambria Math" w:cs="TimesNewRoman"/>
                    </w:rPr>
                    <m:t>PM2.5,IG</m:t>
                  </m:r>
                  <m:r>
                    <w:rPr>
                      <w:rFonts w:ascii="Cambria Math" w:hAnsi="Cambria Math" w:cs="TimesNewRoman"/>
                    </w:rPr>
                    <m:t>, residence,</m:t>
                  </m:r>
                  <m:r>
                    <w:rPr>
                      <w:rFonts w:ascii="Cambria Math" w:hAnsi="Cambria Math" w:cs="TimesNewRoman"/>
                    </w:rPr>
                    <m:t>in</m:t>
                  </m:r>
                </m:sub>
              </m:sSub>
              <m:r>
                <w:rPr>
                  <w:rFonts w:ascii="Cambria Math" w:hAnsi="Cambria Math" w:cs="TimesNewRoman"/>
                </w:rPr>
                <m:t>=</m:t>
              </m:r>
              <m:sSub>
                <m:sSubPr>
                  <m:ctrlPr>
                    <w:rPr>
                      <w:rFonts w:ascii="Cambria Math" w:hAnsi="Cambria Math" w:cs="TimesNewRoman"/>
                      <w:i/>
                    </w:rPr>
                  </m:ctrlPr>
                </m:sSubPr>
                <m:e>
                  <m:r>
                    <w:rPr>
                      <w:rFonts w:ascii="Cambria Math" w:hAnsi="Cambria Math" w:cs="TimesNewRoman"/>
                    </w:rPr>
                    <m:t>C</m:t>
                  </m:r>
                </m:e>
                <m:sub>
                  <m:r>
                    <w:rPr>
                      <w:rFonts w:ascii="Cambria Math" w:hAnsi="Cambria Math" w:cs="TimesNewRoman"/>
                    </w:rPr>
                    <m:t>PM2.5, residence</m:t>
                  </m:r>
                </m:sub>
              </m:sSub>
              <m:r>
                <w:rPr>
                  <w:rFonts w:ascii="Cambria Math" w:hAnsi="Cambria Math" w:cs="TimesNewRoman"/>
                </w:rPr>
                <m:t>-(</m:t>
              </m:r>
              <m:sSub>
                <m:sSubPr>
                  <m:ctrlPr>
                    <w:rPr>
                      <w:rFonts w:ascii="Cambria Math" w:hAnsi="Cambria Math" w:cs="TimesNewRoman"/>
                      <w:i/>
                    </w:rPr>
                  </m:ctrlPr>
                </m:sSubPr>
                <m:e>
                  <m:r>
                    <w:rPr>
                      <w:rFonts w:ascii="Cambria Math" w:hAnsi="Cambria Math" w:cs="TimesNewRoman"/>
                    </w:rPr>
                    <m:t>C</m:t>
                  </m:r>
                </m:e>
                <m:sub>
                  <m:r>
                    <w:rPr>
                      <w:rFonts w:ascii="Cambria Math" w:hAnsi="Cambria Math" w:cs="TimesNewRoman"/>
                    </w:rPr>
                    <m:t>PM2.5, out</m:t>
                  </m:r>
                </m:sub>
              </m:sSub>
              <m:r>
                <w:rPr>
                  <w:rFonts w:ascii="Cambria Math" w:hAnsi="Cambria Math" w:cs="TimesNewRoman"/>
                </w:rPr>
                <m:t>*</m:t>
              </m:r>
              <m:sSub>
                <m:sSubPr>
                  <m:ctrlPr>
                    <w:rPr>
                      <w:rFonts w:ascii="Cambria Math" w:hAnsi="Cambria Math" w:cs="TimesNewRoman"/>
                      <w:i/>
                    </w:rPr>
                  </m:ctrlPr>
                </m:sSubPr>
                <m:e>
                  <m:r>
                    <w:rPr>
                      <w:rFonts w:ascii="Cambria Math" w:hAnsi="Cambria Math" w:cs="TimesNewRoman"/>
                    </w:rPr>
                    <m:t>F</m:t>
                  </m:r>
                </m:e>
                <m:sub>
                  <m:r>
                    <w:rPr>
                      <w:rFonts w:ascii="Cambria Math" w:hAnsi="Cambria Math" w:cs="TimesNewRoman"/>
                    </w:rPr>
                    <m:t>residence</m:t>
                  </m:r>
                </m:sub>
              </m:sSub>
              <m:r>
                <w:rPr>
                  <w:rFonts w:ascii="Cambria Math" w:hAnsi="Cambria Math" w:cs="TimesNewRoman"/>
                </w:rPr>
                <m:t>)</m:t>
              </m:r>
            </m:oMath>
            <w:r w:rsidR="001B7D31" w:rsidRPr="00FE7D4D">
              <w:rPr>
                <w:rFonts w:ascii="TimesNewRoman" w:hAnsi="TimesNewRoman" w:cs="TimesNewRoman"/>
              </w:rPr>
              <w:t xml:space="preserve"> </w:t>
            </w:r>
          </w:p>
        </w:tc>
        <w:tc>
          <w:tcPr>
            <w:tcW w:w="646" w:type="dxa"/>
            <w:vAlign w:val="center"/>
          </w:tcPr>
          <w:p w14:paraId="0FEBD082" w14:textId="19923691" w:rsidR="001B7D31" w:rsidRPr="00FE7D4D" w:rsidRDefault="001B7D31" w:rsidP="008B2831">
            <w:pPr>
              <w:widowControl w:val="0"/>
              <w:spacing w:before="120" w:after="120"/>
              <w:jc w:val="right"/>
              <w:rPr>
                <w:snapToGrid w:val="0"/>
              </w:rPr>
            </w:pPr>
            <w:r w:rsidRPr="00FE7D4D">
              <w:t>(</w:t>
            </w:r>
            <w:r w:rsidR="008B2831" w:rsidRPr="00FE7D4D">
              <w:t>S1</w:t>
            </w:r>
            <w:r w:rsidRPr="00FE7D4D">
              <w:t xml:space="preserve">) </w:t>
            </w:r>
          </w:p>
        </w:tc>
      </w:tr>
    </w:tbl>
    <w:p w14:paraId="07E993F8" w14:textId="77777777" w:rsidR="001B7D31" w:rsidRPr="00FE7D4D" w:rsidRDefault="001B7D31" w:rsidP="001B7D31">
      <w:pPr>
        <w:autoSpaceDE w:val="0"/>
        <w:autoSpaceDN w:val="0"/>
        <w:adjustRightInd w:val="0"/>
        <w:jc w:val="center"/>
        <w:rPr>
          <w:rFonts w:ascii="TimesNewRoman" w:hAnsi="TimesNewRoman" w:cs="TimesNewRoman" w:hint="eastAsia"/>
        </w:rPr>
      </w:pPr>
    </w:p>
    <w:p w14:paraId="26DE3D9A" w14:textId="511D095C" w:rsidR="001B7D31" w:rsidRPr="00FE7D4D" w:rsidRDefault="001B7D31" w:rsidP="001B7D31">
      <w:pPr>
        <w:pStyle w:val="NoSpacing"/>
        <w:ind w:firstLine="0"/>
      </w:pPr>
      <w:r w:rsidRPr="00FE7D4D">
        <w:rPr>
          <w:rFonts w:ascii="TimesNewRoman" w:hAnsi="TimesNewRoman" w:cs="TimesNewRoman" w:hint="eastAsia"/>
        </w:rPr>
        <w:t xml:space="preserve">where </w:t>
      </w:r>
      <m:oMath>
        <m:sSub>
          <m:sSubPr>
            <m:ctrlPr>
              <w:rPr>
                <w:rFonts w:ascii="Cambria Math" w:hAnsi="Cambria Math" w:cs="TimesNewRoman"/>
                <w:i/>
              </w:rPr>
            </m:ctrlPr>
          </m:sSubPr>
          <m:e>
            <m:r>
              <w:rPr>
                <w:rFonts w:ascii="Cambria Math" w:hAnsi="Cambria Math" w:cs="TimesNewRoman"/>
              </w:rPr>
              <m:t>C</m:t>
            </m:r>
          </m:e>
          <m:sub>
            <m:r>
              <w:rPr>
                <w:rFonts w:ascii="Cambria Math" w:hAnsi="Cambria Math" w:cs="TimesNewRoman"/>
              </w:rPr>
              <m:t>PM2.5,IG</m:t>
            </m:r>
            <m:r>
              <w:rPr>
                <w:rFonts w:ascii="Cambria Math" w:hAnsi="Cambria Math" w:cs="TimesNewRoman"/>
              </w:rPr>
              <m:t>, residence</m:t>
            </m:r>
          </m:sub>
        </m:sSub>
      </m:oMath>
      <w:r w:rsidRPr="00FE7D4D">
        <w:rPr>
          <w:rFonts w:ascii="TimesNewRoman" w:hAnsi="TimesNewRoman" w:cs="TimesNewRoman" w:hint="eastAsia"/>
        </w:rPr>
        <w:t xml:space="preserve"> is the indoor PM</w:t>
      </w:r>
      <w:r w:rsidRPr="00FE7D4D">
        <w:rPr>
          <w:rFonts w:ascii="TimesNewRoman" w:hAnsi="TimesNewRoman" w:cs="TimesNewRoman" w:hint="eastAsia"/>
          <w:vertAlign w:val="subscript"/>
        </w:rPr>
        <w:t>2.5</w:t>
      </w:r>
      <w:r w:rsidRPr="00FE7D4D">
        <w:rPr>
          <w:rFonts w:ascii="TimesNewRoman" w:hAnsi="TimesNewRoman" w:cs="TimesNewRoman" w:hint="eastAsia"/>
        </w:rPr>
        <w:t xml:space="preserve"> concentration of indoor origin estimated in the RIOPA residences (µg/m</w:t>
      </w:r>
      <w:r w:rsidRPr="00FE7D4D">
        <w:rPr>
          <w:rFonts w:ascii="TimesNewRoman" w:hAnsi="TimesNewRoman" w:cs="TimesNewRoman" w:hint="eastAsia"/>
          <w:vertAlign w:val="superscript"/>
        </w:rPr>
        <w:t>3</w:t>
      </w:r>
      <w:r w:rsidRPr="00FE7D4D">
        <w:rPr>
          <w:rFonts w:ascii="TimesNewRoman" w:hAnsi="TimesNewRoman" w:cs="TimesNewRoman" w:hint="eastAsia"/>
        </w:rPr>
        <w:t xml:space="preserve">); </w:t>
      </w:r>
      <m:oMath>
        <m:sSub>
          <m:sSubPr>
            <m:ctrlPr>
              <w:rPr>
                <w:rFonts w:ascii="Cambria Math" w:hAnsi="Cambria Math" w:cs="TimesNewRoman"/>
                <w:i/>
              </w:rPr>
            </m:ctrlPr>
          </m:sSubPr>
          <m:e>
            <m:r>
              <w:rPr>
                <w:rFonts w:ascii="Cambria Math" w:hAnsi="Cambria Math" w:cs="TimesNewRoman"/>
              </w:rPr>
              <m:t>C</m:t>
            </m:r>
          </m:e>
          <m:sub>
            <m:r>
              <w:rPr>
                <w:rFonts w:ascii="Cambria Math" w:hAnsi="Cambria Math" w:cs="TimesNewRoman"/>
              </w:rPr>
              <m:t>PM2.5, residence</m:t>
            </m:r>
          </m:sub>
        </m:sSub>
      </m:oMath>
      <w:r w:rsidRPr="00FE7D4D">
        <w:rPr>
          <w:rFonts w:ascii="TimesNewRoman" w:hAnsi="TimesNewRoman" w:cs="TimesNewRoman" w:hint="eastAsia"/>
        </w:rPr>
        <w:t xml:space="preserve"> is a sampled value of the indoor PM</w:t>
      </w:r>
      <w:r w:rsidRPr="00FE7D4D">
        <w:rPr>
          <w:rFonts w:ascii="TimesNewRoman" w:hAnsi="TimesNewRoman" w:cs="TimesNewRoman" w:hint="eastAsia"/>
          <w:vertAlign w:val="subscript"/>
        </w:rPr>
        <w:t>2.5</w:t>
      </w:r>
      <w:r w:rsidRPr="00FE7D4D">
        <w:rPr>
          <w:rFonts w:ascii="TimesNewRoman" w:hAnsi="TimesNewRoman" w:cs="TimesNewRoman" w:hint="eastAsia"/>
        </w:rPr>
        <w:t xml:space="preserve"> concentration in RIOPA residences based on the distributions fit to data reported in Meng et al. (2005)</w:t>
      </w:r>
      <w:r w:rsidRPr="00D764B3">
        <w:fldChar w:fldCharType="begin"/>
      </w:r>
      <w:r w:rsidR="00701571" w:rsidRPr="00FE7D4D">
        <w:instrText xml:space="preserve"> ADDIN ZOTERO_ITEM CSL_CITATION {"citationID":"N4TQI8Up","properties":{"formattedCitation":"\\super 32\\nosupersub{}","plainCitation":"32","noteIndex":0},"citationItems":[{"id":"FcLQwGOa/3Kb9pIPB","uris":["http://zotero.org/users/327441/items/WIX2MRM3"],"uri":["http://zotero.org/users/327441/items/WIX2MRM3"],"itemData":{"id":1160,"type":"article-journal","title":"Influence of ambient (outdoor) sources on residential indoor and personal PM2.5 concentrations: Analyses of RIOPA data","container-title":"Journal of Exposure Analysis and Environmental Epidemiology","page":"17-28","volume":"15","issue":"1","DOI":"10.1038/sj.jea.7500378","ISSN":"1053-4245","journalAbbreviation":"J Expo Anal Environ Epidemiol","author":[{"family":"Meng","given":"Qing Yu"},{"family":"Turpin","given":"Barbara J"},{"family":"Korn","given":"Leo"},{"family":"Weisel","given":"Clifford P"},{"family":"Morandi","given":"Maria"},{"family":"Colome","given":"Steven"},{"family":"Zhang","given":"Junfeng (Jim)"},{"family":"Stock","given":"Thomas"},{"family":"Spektor","given":"Dalia"},{"family":"Winer","given":"Arthur"},{"family":"Zhang","given":"Lin"},{"family":"Lee","given":"Jong Hoon"},{"family":"Giovanetti","given":"Robert"},{"family":"Cui","given":"William"},{"family":"Kwon","given":"Jaymin"},{"family":"Alimokhtari","given":"Shahnaz"},{"family":"Shendell","given":"Derek"},{"family":"Jones","given":"Jennifer"},{"family":"Farrar","given":"Corice"},{"family":"Maberti","given":"Silvia"}],"issued":{"date-parts":[["2005"]]}}}],"schema":"https://github.com/citation-style-language/schema/raw/master/csl-citation.json"} </w:instrText>
      </w:r>
      <w:r w:rsidRPr="00AA0679">
        <w:fldChar w:fldCharType="separate"/>
      </w:r>
      <w:r w:rsidR="00EF06F0" w:rsidRPr="00FE7D4D">
        <w:rPr>
          <w:rFonts w:cs="Times New Roman"/>
          <w:vertAlign w:val="superscript"/>
        </w:rPr>
        <w:t>32</w:t>
      </w:r>
      <w:r w:rsidRPr="00D764B3">
        <w:fldChar w:fldCharType="end"/>
      </w:r>
      <w:r w:rsidRPr="00FE7D4D">
        <w:rPr>
          <w:rFonts w:ascii="TimesNewRoman" w:hAnsi="TimesNewRoman" w:cs="TimesNewRoman" w:hint="eastAsia"/>
        </w:rPr>
        <w:t xml:space="preserve"> (µg/m</w:t>
      </w:r>
      <w:r w:rsidRPr="00FE7D4D">
        <w:rPr>
          <w:rFonts w:ascii="TimesNewRoman" w:hAnsi="TimesNewRoman" w:cs="TimesNewRoman" w:hint="eastAsia"/>
          <w:vertAlign w:val="superscript"/>
        </w:rPr>
        <w:t>3</w:t>
      </w:r>
      <w:r w:rsidRPr="00FE7D4D">
        <w:rPr>
          <w:rFonts w:ascii="TimesNewRoman" w:hAnsi="TimesNewRoman" w:cs="TimesNewRoman" w:hint="eastAsia"/>
        </w:rPr>
        <w:t xml:space="preserve">); </w:t>
      </w:r>
      <m:oMath>
        <m:sSub>
          <m:sSubPr>
            <m:ctrlPr>
              <w:rPr>
                <w:rFonts w:ascii="Cambria Math" w:hAnsi="Cambria Math" w:cs="TimesNewRoman"/>
                <w:i/>
              </w:rPr>
            </m:ctrlPr>
          </m:sSubPr>
          <m:e>
            <m:r>
              <w:rPr>
                <w:rFonts w:ascii="Cambria Math" w:hAnsi="Cambria Math" w:cs="TimesNewRoman"/>
              </w:rPr>
              <m:t>C</m:t>
            </m:r>
          </m:e>
          <m:sub>
            <m:r>
              <w:rPr>
                <w:rFonts w:ascii="Cambria Math" w:hAnsi="Cambria Math" w:cs="TimesNewRoman"/>
              </w:rPr>
              <m:t>PM2.5, out</m:t>
            </m:r>
          </m:sub>
        </m:sSub>
      </m:oMath>
      <w:r w:rsidRPr="00FE7D4D">
        <w:rPr>
          <w:rFonts w:ascii="TimesNewRoman" w:hAnsi="TimesNewRoman" w:cs="TimesNewRoman" w:hint="eastAsia"/>
        </w:rPr>
        <w:t xml:space="preserve"> is a sampled value of the simultaneous outdoor PM</w:t>
      </w:r>
      <w:r w:rsidRPr="00FE7D4D">
        <w:rPr>
          <w:rFonts w:ascii="TimesNewRoman" w:hAnsi="TimesNewRoman" w:cs="TimesNewRoman" w:hint="eastAsia"/>
          <w:vertAlign w:val="subscript"/>
        </w:rPr>
        <w:t>2.5</w:t>
      </w:r>
      <w:r w:rsidRPr="00FE7D4D">
        <w:rPr>
          <w:rFonts w:ascii="TimesNewRoman" w:hAnsi="TimesNewRoman" w:cs="TimesNewRoman" w:hint="eastAsia"/>
        </w:rPr>
        <w:t xml:space="preserve"> concentration in the RIOPA study based on the distributions fit to data reported in Meng et al. (2005)</w:t>
      </w:r>
      <w:r w:rsidRPr="00D764B3">
        <w:fldChar w:fldCharType="begin"/>
      </w:r>
      <w:r w:rsidR="00701571" w:rsidRPr="00FE7D4D">
        <w:instrText xml:space="preserve"> ADDIN ZOTERO_ITEM CSL_CITATION {"citationID":"E3mRCKSI","properties":{"formattedCitation":"\\super 32\\nosupersub{}","plainCitation":"32","noteIndex":0},"citationItems":[{"id":"FcLQwGOa/3Kb9pIPB","uris":["http://zotero.org/users/327441/items/WIX2MRM3"],"uri":["http://zotero.org/users/327441/items/WIX2MRM3"],"itemData":{"id":1160,"type":"article-journal","title":"Influence of ambient (outdoor) sources on residential indoor and personal PM2.5 concentrations: Analyses of RIOPA data","container-title":"Journal of Exposure Analysis and Environmental Epidemiology","page":"17-28","volume":"15","issue":"1","DOI":"10.1038/sj.jea.7500378","ISSN":"1053-4245","journalAbbreviation":"J Expo Anal Environ Epidemiol","author":[{"family":"Meng","given":"Qing Yu"},{"family":"Turpin","given":"Barbara J"},{"family":"Korn","given":"Leo"},{"family":"Weisel","given":"Clifford P"},{"family":"Morandi","given":"Maria"},{"family":"Colome","given":"Steven"},{"family":"Zhang","given":"Junfeng (Jim)"},{"family":"Stock","given":"Thomas"},{"family":"Spektor","given":"Dalia"},{"family":"Winer","given":"Arthur"},{"family":"Zhang","given":"Lin"},{"family":"Lee","given":"Jong Hoon"},{"family":"Giovanetti","given":"Robert"},{"family":"Cui","given":"William"},{"family":"Kwon","given":"Jaymin"},{"family":"Alimokhtari","given":"Shahnaz"},{"family":"Shendell","given":"Derek"},{"family":"Jones","given":"Jennifer"},{"family":"Farrar","given":"Corice"},{"family":"Maberti","given":"Silvia"}],"issued":{"date-parts":[["2005"]]}}}],"schema":"https://github.com/citation-style-language/schema/raw/master/csl-citation.json"} </w:instrText>
      </w:r>
      <w:r w:rsidRPr="00AA0679">
        <w:fldChar w:fldCharType="separate"/>
      </w:r>
      <w:r w:rsidR="00EF06F0" w:rsidRPr="00FE7D4D">
        <w:rPr>
          <w:rFonts w:cs="Times New Roman"/>
          <w:vertAlign w:val="superscript"/>
        </w:rPr>
        <w:t>32</w:t>
      </w:r>
      <w:r w:rsidRPr="00D764B3">
        <w:fldChar w:fldCharType="end"/>
      </w:r>
      <w:r w:rsidRPr="00FE7D4D">
        <w:rPr>
          <w:rFonts w:ascii="TimesNewRoman" w:hAnsi="TimesNewRoman" w:cs="TimesNewRoman" w:hint="eastAsia"/>
        </w:rPr>
        <w:t xml:space="preserve"> (µg/m</w:t>
      </w:r>
      <w:r w:rsidRPr="00FE7D4D">
        <w:rPr>
          <w:rFonts w:ascii="TimesNewRoman" w:hAnsi="TimesNewRoman" w:cs="TimesNewRoman" w:hint="eastAsia"/>
          <w:vertAlign w:val="superscript"/>
        </w:rPr>
        <w:t>3</w:t>
      </w:r>
      <w:r w:rsidRPr="00FE7D4D">
        <w:rPr>
          <w:rFonts w:ascii="TimesNewRoman" w:hAnsi="TimesNewRoman" w:cs="TimesNewRoman" w:hint="eastAsia"/>
        </w:rPr>
        <w:t xml:space="preserve">); and </w:t>
      </w:r>
      <m:oMath>
        <m:sSub>
          <m:sSubPr>
            <m:ctrlPr>
              <w:rPr>
                <w:rFonts w:ascii="Cambria Math" w:hAnsi="Cambria Math"/>
                <w:i/>
              </w:rPr>
            </m:ctrlPr>
          </m:sSubPr>
          <m:e>
            <m:r>
              <w:rPr>
                <w:rFonts w:ascii="Cambria Math" w:hAnsi="Cambria Math"/>
              </w:rPr>
              <m:t>F</m:t>
            </m:r>
          </m:e>
          <m:sub>
            <m:r>
              <w:rPr>
                <w:rFonts w:ascii="Cambria Math" w:hAnsi="Cambria Math"/>
              </w:rPr>
              <m:t>residence</m:t>
            </m:r>
          </m:sub>
        </m:sSub>
      </m:oMath>
      <w:r w:rsidRPr="00FE7D4D">
        <w:rPr>
          <w:rFonts w:ascii="TimesNewRoman" w:hAnsi="TimesNewRoman" w:cs="TimesNewRoman" w:hint="eastAsia"/>
        </w:rPr>
        <w:t xml:space="preserve"> </w:t>
      </w:r>
      <w:r w:rsidRPr="00FE7D4D">
        <w:t>is a sampled value of the corresponding outdoor PM</w:t>
      </w:r>
      <w:r w:rsidRPr="00FE7D4D">
        <w:rPr>
          <w:vertAlign w:val="subscript"/>
        </w:rPr>
        <w:t>2.5</w:t>
      </w:r>
      <w:r w:rsidRPr="00FE7D4D">
        <w:t xml:space="preserve"> infiltration factor for the same RIOPA residences based on the distributions fit to data reported in Meng et al. (2005)</w:t>
      </w:r>
      <w:r w:rsidRPr="00D764B3">
        <w:fldChar w:fldCharType="begin"/>
      </w:r>
      <w:r w:rsidR="00701571" w:rsidRPr="00FE7D4D">
        <w:instrText xml:space="preserve"> ADDIN ZOTERO_ITEM CSL_CITATION {"citationID":"AV7dUjSr","properties":{"formattedCitation":"\\super 33\\nosupersub{}","plainCitation":"33","noteIndex":0},"citationItems":[{"id":"FcLQwGOa/c0vg1jil","uris":["http://zotero.org/users/327441/items/7Q86A2P7"],"uri":["http://zotero.org/users/327441/items/7Q86A2P7"],"itemData":{"id":206,"type":"article-journal","title":"PM2.5 of ambient origin: estimates and exposure errors relevant to PM epidemiology","container-title":"Environmental Science &amp; Technology","page":"5105-5112","volume":"39","issue":"14","source":"CrossRef","DOI":"10.1021/es048226f","ISSN":"0013-936X, 1520-5851","shortTitle":"PM               2.5               of Ambient Origin","author":[{"family":"Meng","given":"Qing Yu"},{"family":"Turpin","given":"Barbara J"},{"family":"Polidori","given":"Andrea"},{"family":"Lee","given":"Jong Hoon"},{"family":"Weisel","given":"Clifford"},{"family":"Morandi","given":"Maria"},{"family":"Colome","given":"Steven"},{"family":"Stock","given":"Thomas"},{"family":"Winer","given":"Arthur"},{"family":"Zhang","given":"Jenfeng (Jim)"}],"issued":{"date-parts":[["2005",7]]}},"suppress-author":true}],"schema":"https://github.com/citation-style-language/schema/raw/master/csl-citation.json"} </w:instrText>
      </w:r>
      <w:r w:rsidRPr="00AA0679">
        <w:fldChar w:fldCharType="separate"/>
      </w:r>
      <w:r w:rsidR="00EF06F0" w:rsidRPr="00FE7D4D">
        <w:rPr>
          <w:rFonts w:cs="Times New Roman"/>
          <w:vertAlign w:val="superscript"/>
        </w:rPr>
        <w:t>33</w:t>
      </w:r>
      <w:r w:rsidRPr="00D764B3">
        <w:fldChar w:fldCharType="end"/>
      </w:r>
      <w:r w:rsidRPr="00FE7D4D">
        <w:t xml:space="preserve"> (-). Using this approach, we estimate that the average contribution of indoor sources to indoor PM</w:t>
      </w:r>
      <w:r w:rsidRPr="00FE7D4D">
        <w:rPr>
          <w:vertAlign w:val="subscript"/>
        </w:rPr>
        <w:t>2.5</w:t>
      </w:r>
      <w:r w:rsidRPr="00FE7D4D">
        <w:t xml:space="preserve"> concentrations in the RIOPA study was ~9.5 µg/m</w:t>
      </w:r>
      <w:r w:rsidRPr="00FE7D4D">
        <w:rPr>
          <w:vertAlign w:val="superscript"/>
        </w:rPr>
        <w:t>3</w:t>
      </w:r>
      <w:r w:rsidRPr="00FE7D4D">
        <w:t>, or ~63% of the total indoor PM</w:t>
      </w:r>
      <w:r w:rsidRPr="00FE7D4D">
        <w:rPr>
          <w:vertAlign w:val="subscript"/>
        </w:rPr>
        <w:t>2.5</w:t>
      </w:r>
      <w:r w:rsidRPr="00FE7D4D">
        <w:t xml:space="preserve"> concentration, with ~37% coming from outdoor sources, on average.</w:t>
      </w:r>
    </w:p>
    <w:p w14:paraId="36EE12BD" w14:textId="53BDC69B" w:rsidR="001B7D31" w:rsidRPr="00FE7D4D" w:rsidRDefault="001B7D31" w:rsidP="001B7D31">
      <w:pPr>
        <w:pStyle w:val="NoSpacing"/>
      </w:pPr>
      <w:r w:rsidRPr="00FE7D4D">
        <w:t xml:space="preserve">For the MESA Air scenario, </w:t>
      </w:r>
      <w:r w:rsidR="003327FD" w:rsidRPr="00FE7D4D">
        <w:t xml:space="preserve">we also created </w:t>
      </w:r>
      <w:r w:rsidRPr="00FE7D4D">
        <w:t>distributions of annual average residential PM</w:t>
      </w:r>
      <w:r w:rsidRPr="00FE7D4D">
        <w:rPr>
          <w:vertAlign w:val="subscript"/>
        </w:rPr>
        <w:t>2.5</w:t>
      </w:r>
      <w:r w:rsidRPr="00FE7D4D">
        <w:t xml:space="preserve"> concentrations of indoor and outdoor origin for 2012 by sampling from distributions of infiltration factors and indoor PM</w:t>
      </w:r>
      <w:r w:rsidRPr="00FE7D4D">
        <w:rPr>
          <w:vertAlign w:val="subscript"/>
        </w:rPr>
        <w:t>2.5</w:t>
      </w:r>
      <w:r w:rsidRPr="00FE7D4D">
        <w:t xml:space="preserve"> concentrations that were attributable to indoor sources, as both were reported directly by Allen et al. (2012).</w:t>
      </w:r>
      <w:r w:rsidRPr="00D764B3">
        <w:fldChar w:fldCharType="begin"/>
      </w:r>
      <w:r w:rsidR="00701571" w:rsidRPr="00FE7D4D">
        <w:instrText xml:space="preserve"> ADDIN ZOTERO_ITEM CSL_CITATION {"citationID":"Rz4UDNPp","properties":{"formattedCitation":"\\super 34\\nosupersub{}","plainCitation":"34","noteIndex":0},"citationItems":[{"id":"FcLQwGOa/xdKIQzBF","uris":["http://zotero.org/users/327441/items/FGU6FJ77"],"uri":["http://zotero.org/users/327441/items/FGU6FJ77"],"itemData":{"id":533,"type":"article-journal","title":"Modeling the residential infiltration of outdoor PM2.5 in the Multi-Ethnic Study of Atherosclerosis and Air Pollution (MESA Air)","container-title":"Environmental Health Perspectives","page":"824-830","volume":"120","issue":"6","source":"CrossRef","DOI":"10.1289/ehp.1104447","ISSN":"0091-6765","author":[{"family":"Allen","given":"Ryan W."},{"family":"Adar","given":"Sara D."},{"family":"Avol","given":"Ed"},{"family":"Cohen","given":"Martin"},{"family":"Curl","given":"Cynthia L."},{"family":"Larson","given":"Timothy"},{"family":"Liu","given":"L.-J. Sally"},{"family":"Sheppard","given":"Lianne"},{"family":"Kaufman","given":"Joel D."}],"issued":{"date-parts":[["2012",2,22]]}}}],"schema":"https://github.com/citation-style-language/schema/raw/master/csl-citation.json"} </w:instrText>
      </w:r>
      <w:r w:rsidRPr="00AA0679">
        <w:fldChar w:fldCharType="separate"/>
      </w:r>
      <w:r w:rsidR="00EF06F0" w:rsidRPr="00FE7D4D">
        <w:rPr>
          <w:rFonts w:cs="Times New Roman"/>
          <w:vertAlign w:val="superscript"/>
        </w:rPr>
        <w:t>34</w:t>
      </w:r>
      <w:r w:rsidRPr="00D764B3">
        <w:fldChar w:fldCharType="end"/>
      </w:r>
      <w:r w:rsidRPr="00FE7D4D">
        <w:t xml:space="preserve"> Similar to RIOPA, a beta distribution was fit to the reported mean ± SD infiltration factors (0.62±0.21), with </w:t>
      </w:r>
      <w:r w:rsidRPr="00FE7D4D">
        <w:rPr>
          <w:lang w:bidi="fa-IR"/>
        </w:rPr>
        <w:t>shape factors of α = 2.69 and</w:t>
      </w:r>
      <w:r w:rsidRPr="00FE7D4D">
        <w:rPr>
          <w:rFonts w:cs="Times New Roman"/>
          <w:b/>
          <w:sz w:val="20"/>
          <w:szCs w:val="20"/>
        </w:rPr>
        <w:t xml:space="preserve"> </w:t>
      </w:r>
      <w:r w:rsidRPr="00FE7D4D">
        <w:rPr>
          <w:rFonts w:cs="Times New Roman"/>
        </w:rPr>
        <w:t>β</w:t>
      </w:r>
      <w:r w:rsidRPr="00FE7D4D">
        <w:rPr>
          <w:lang w:bidi="fa-IR"/>
        </w:rPr>
        <w:t xml:space="preserve"> = </w:t>
      </w:r>
      <w:r w:rsidRPr="00FE7D4D">
        <w:rPr>
          <w:lang w:bidi="fa-IR"/>
        </w:rPr>
        <w:lastRenderedPageBreak/>
        <w:t>1.65</w:t>
      </w:r>
      <w:r w:rsidR="00C03DDE" w:rsidRPr="00FE7D4D">
        <w:rPr>
          <w:lang w:bidi="fa-IR"/>
        </w:rPr>
        <w:t xml:space="preserve"> (Figure S1)</w:t>
      </w:r>
      <w:r w:rsidRPr="00FE7D4D">
        <w:rPr>
          <w:lang w:bidi="fa-IR"/>
        </w:rPr>
        <w:t xml:space="preserve">. </w:t>
      </w:r>
      <w:r w:rsidRPr="00FE7D4D">
        <w:t>We also fit lognormal distributions to the summary statistics for indoor PM</w:t>
      </w:r>
      <w:r w:rsidRPr="00FE7D4D">
        <w:rPr>
          <w:vertAlign w:val="subscript"/>
        </w:rPr>
        <w:t>2.5</w:t>
      </w:r>
      <w:r w:rsidRPr="00FE7D4D">
        <w:t xml:space="preserve"> concentrations that were attributable to indoor sources (i.e., </w:t>
      </w:r>
      <m:oMath>
        <m:sSub>
          <m:sSubPr>
            <m:ctrlPr>
              <w:rPr>
                <w:rFonts w:ascii="Cambria Math" w:hAnsi="Cambria Math" w:cs="TimesNewRoman"/>
                <w:i/>
              </w:rPr>
            </m:ctrlPr>
          </m:sSubPr>
          <m:e>
            <m:r>
              <w:rPr>
                <w:rFonts w:ascii="Cambria Math" w:hAnsi="Cambria Math" w:cs="TimesNewRoman"/>
              </w:rPr>
              <m:t>C</m:t>
            </m:r>
          </m:e>
          <m:sub>
            <m:r>
              <w:rPr>
                <w:rFonts w:ascii="Cambria Math" w:hAnsi="Cambria Math" w:cs="TimesNewRoman"/>
              </w:rPr>
              <m:t>PM</m:t>
            </m:r>
            <m:r>
              <w:rPr>
                <w:rFonts w:ascii="Cambria Math" w:hAnsi="Cambria Math" w:cs="TimesNewRoman"/>
              </w:rPr>
              <m:t>2.5, residence,</m:t>
            </m:r>
            <m:r>
              <w:rPr>
                <w:rFonts w:ascii="Cambria Math" w:hAnsi="Cambria Math" w:cs="TimesNewRoman"/>
              </w:rPr>
              <m:t>in</m:t>
            </m:r>
          </m:sub>
        </m:sSub>
      </m:oMath>
      <w:r w:rsidRPr="00FE7D4D">
        <w:t xml:space="preserve">) in Allen et al. (2012), using the average of cold and warm seasons to represent an assumed annual average (Table </w:t>
      </w:r>
      <w:r w:rsidR="000676D1" w:rsidRPr="00FE7D4D">
        <w:t>S</w:t>
      </w:r>
      <w:r w:rsidRPr="00FE7D4D">
        <w:t>2). Using this approach, the average contribution of indoor sources to indoor PM</w:t>
      </w:r>
      <w:r w:rsidRPr="00FE7D4D">
        <w:rPr>
          <w:vertAlign w:val="subscript"/>
        </w:rPr>
        <w:t>2.5</w:t>
      </w:r>
      <w:r w:rsidRPr="00FE7D4D">
        <w:t xml:space="preserve"> concentrations in MESA Air was ~2.76 µg/m</w:t>
      </w:r>
      <w:r w:rsidRPr="00FE7D4D">
        <w:rPr>
          <w:vertAlign w:val="superscript"/>
        </w:rPr>
        <w:t>3</w:t>
      </w:r>
      <w:r w:rsidRPr="00FE7D4D">
        <w:t>, or only ~30% of the total indoor PM</w:t>
      </w:r>
      <w:r w:rsidRPr="00FE7D4D">
        <w:rPr>
          <w:vertAlign w:val="subscript"/>
        </w:rPr>
        <w:t>2.5</w:t>
      </w:r>
      <w:r w:rsidRPr="00FE7D4D">
        <w:t xml:space="preserve"> concentration, on average, with ~70% coming from outdoor sources. Clearly, the MESA and RIOPA scenarios represent very different assumptions for the relative contributions of indoor and ambient sources to residential indoor PM</w:t>
      </w:r>
      <w:r w:rsidRPr="00FE7D4D">
        <w:rPr>
          <w:vertAlign w:val="subscript"/>
        </w:rPr>
        <w:t>2.5</w:t>
      </w:r>
      <w:r w:rsidRPr="00FE7D4D">
        <w:t xml:space="preserve"> concentrations.</w:t>
      </w:r>
      <w:r w:rsidR="00856F57" w:rsidRPr="00FE7D4D">
        <w:t xml:space="preserve"> For the combined </w:t>
      </w:r>
      <w:r w:rsidR="00252A26" w:rsidRPr="00FE7D4D">
        <w:t xml:space="preserve">50/50 </w:t>
      </w:r>
      <w:r w:rsidR="00856F57" w:rsidRPr="00FE7D4D">
        <w:t>RIOPA</w:t>
      </w:r>
      <w:r w:rsidR="00252A26" w:rsidRPr="00FE7D4D">
        <w:t>/</w:t>
      </w:r>
      <w:r w:rsidR="00856F57" w:rsidRPr="00FE7D4D">
        <w:t>MESA scenario, we sampled from each of the generated distributions equally.</w:t>
      </w:r>
    </w:p>
    <w:p w14:paraId="7BBC91B9" w14:textId="5DFA27C2" w:rsidR="00C47808" w:rsidRPr="00FE7D4D" w:rsidRDefault="00C47808" w:rsidP="001B7D31">
      <w:pPr>
        <w:pStyle w:val="NoSpacing"/>
      </w:pPr>
      <w:r w:rsidRPr="00FE7D4D">
        <w:t xml:space="preserve">In an attempt to </w:t>
      </w:r>
      <w:r w:rsidR="001452FE" w:rsidRPr="00FE7D4D">
        <w:t xml:space="preserve">verify </w:t>
      </w:r>
      <w:r w:rsidRPr="00FE7D4D">
        <w:t xml:space="preserve">our model framework, we also repeated </w:t>
      </w:r>
      <w:r w:rsidR="000676D1" w:rsidRPr="00FE7D4D">
        <w:t xml:space="preserve">Scenario </w:t>
      </w:r>
      <w:r w:rsidRPr="00FE7D4D">
        <w:t>1 with inputs modified to match those used by Fann et al. (2017)</w:t>
      </w:r>
      <w:r w:rsidRPr="00D764B3">
        <w:fldChar w:fldCharType="begin"/>
      </w:r>
      <w:r w:rsidR="00701571" w:rsidRPr="00FE7D4D">
        <w:instrText xml:space="preserve"> ADDIN ZOTERO_ITEM CSL_CITATION {"citationID":"EGhJyutB","properties":{"formattedCitation":"\\super 35\\nosupersub{}","plainCitation":"35","noteIndex":0},"citationItems":[{"id":"FcLQwGOa/Sziqp31a","uris":["http://zotero.org/users/327441/items/98D497MS"],"uri":["http://zotero.org/users/327441/items/98D497MS"],"itemData":{"id":3498,"type":"article-journal","title":"Estimated Changes in Life Expectancy and Adult Mortality Resulting from Declining PM2.5 Exposures in the Contiguous United States: 1980–2010","container-title":"Environmental Health Perspectives","volume":"125","issue":"9","source":"Crossref","URL":"http://ehp.niehs.nih.gov/EHP507","DOI":"10.1289/EHP507","ISSN":"0091-6765, 1552-9924","shortTitle":"Estimated Changes in Life Expectancy and Adult Mortality Resulting from Declining PM2.5 Exposures in the Contiguous United States","language":"en","author":[{"family":"Fann","given":"Neal"},{"family":"Kim","given":"Sun-Young"},{"family":"Olives","given":"Casey"},{"family":"Sheppard","given":"Lianne"}],"issued":{"date-parts":[["2017",9,6]]},"accessed":{"date-parts":[["2018",5,21]]}}}],"schema":"https://github.com/citation-style-language/schema/raw/master/csl-citation.json"} </w:instrText>
      </w:r>
      <w:r w:rsidRPr="00AA0679">
        <w:fldChar w:fldCharType="separate"/>
      </w:r>
      <w:r w:rsidR="00EF06F0" w:rsidRPr="00FE7D4D">
        <w:rPr>
          <w:rFonts w:cs="Times New Roman"/>
          <w:vertAlign w:val="superscript"/>
        </w:rPr>
        <w:t>35</w:t>
      </w:r>
      <w:r w:rsidRPr="00BA011A">
        <w:fldChar w:fldCharType="end"/>
      </w:r>
      <w:r w:rsidRPr="00FE7D4D">
        <w:t xml:space="preserve"> to estimate the ambient PM</w:t>
      </w:r>
      <w:r w:rsidRPr="00FE7D4D">
        <w:rPr>
          <w:vertAlign w:val="subscript"/>
        </w:rPr>
        <w:t>2.5</w:t>
      </w:r>
      <w:r w:rsidRPr="00FE7D4D">
        <w:t xml:space="preserve"> mortality burden in the US in 2010. In theory, our model framework should be able to reasonably recreate mortality estimates made using only outdoor PM</w:t>
      </w:r>
      <w:r w:rsidRPr="00FE7D4D">
        <w:rPr>
          <w:vertAlign w:val="subscript"/>
        </w:rPr>
        <w:t>2.5</w:t>
      </w:r>
      <w:r w:rsidRPr="00FE7D4D">
        <w:t xml:space="preserve"> concentrations as surrogates for exposure (i.e., the approach used in Fann et al. 2017) since outdoor concentrations should be appropriately re-assigned in the model as exposure estimates in various microenvironments. We re-ran the analysis using the following inputs for the US adult population 35 years and older in 2010: </w:t>
      </w:r>
      <w:r w:rsidRPr="00FE7D4D">
        <w:rPr>
          <w:i/>
        </w:rPr>
        <w:t>Pop</w:t>
      </w:r>
      <w:r w:rsidRPr="00FE7D4D">
        <w:t xml:space="preserve"> = 162,828,035; </w:t>
      </w:r>
      <w:r w:rsidRPr="00FE7D4D">
        <w:rPr>
          <w:i/>
        </w:rPr>
        <w:t>y</w:t>
      </w:r>
      <w:r w:rsidRPr="00FE7D4D">
        <w:rPr>
          <w:vertAlign w:val="subscript"/>
        </w:rPr>
        <w:t>0</w:t>
      </w:r>
      <w:r w:rsidRPr="00FE7D4D">
        <w:t xml:space="preserve"> = 1450.8 per 100,000 persons per year, </w:t>
      </w:r>
      <w:r w:rsidRPr="00FE7D4D">
        <w:rPr>
          <w:i/>
        </w:rPr>
        <w:t>β</w:t>
      </w:r>
      <w:r w:rsidRPr="00FE7D4D">
        <w:rPr>
          <w:i/>
          <w:vertAlign w:val="subscript"/>
        </w:rPr>
        <w:t>PM2.5</w:t>
      </w:r>
      <w:r w:rsidRPr="00FE7D4D">
        <w:t xml:space="preserve"> = 0.583 mean with SD of 0.096 (</w:t>
      </w:r>
      <w:r w:rsidR="00BD640A" w:rsidRPr="00FE7D4D">
        <w:t xml:space="preserve">and a </w:t>
      </w:r>
      <w:r w:rsidRPr="00FE7D4D">
        <w:t xml:space="preserve">beta distribution fit through </w:t>
      </w:r>
      <w:r w:rsidR="00BD640A" w:rsidRPr="00FE7D4D">
        <w:t xml:space="preserve">the </w:t>
      </w:r>
      <w:r w:rsidRPr="00FE7D4D">
        <w:t>mean and SD), population-weighted average outdoor PM</w:t>
      </w:r>
      <w:r w:rsidRPr="00FE7D4D">
        <w:rPr>
          <w:vertAlign w:val="subscript"/>
        </w:rPr>
        <w:t>2.5</w:t>
      </w:r>
      <w:r w:rsidRPr="00FE7D4D">
        <w:t xml:space="preserve"> concentration of 8.8 µg/m</w:t>
      </w:r>
      <w:r w:rsidRPr="00FE7D4D">
        <w:rPr>
          <w:vertAlign w:val="superscript"/>
        </w:rPr>
        <w:t>3</w:t>
      </w:r>
      <w:r w:rsidRPr="00FE7D4D">
        <w:t xml:space="preserve"> (taken directly from Fann et al. 2017), and a threshold outdoor PM</w:t>
      </w:r>
      <w:r w:rsidRPr="00FE7D4D">
        <w:rPr>
          <w:vertAlign w:val="subscript"/>
        </w:rPr>
        <w:t>2.5</w:t>
      </w:r>
      <w:r w:rsidRPr="00FE7D4D">
        <w:t xml:space="preserve"> concentration of zero. Using the model framework with these assumptions and keeping all other assumptions from the </w:t>
      </w:r>
      <w:r w:rsidR="001452FE" w:rsidRPr="00FE7D4D">
        <w:t xml:space="preserve">50/50 </w:t>
      </w:r>
      <w:r w:rsidRPr="00FE7D4D">
        <w:t>RIOPA/MESA combined scenario the same, our best estimate (i.e., median value) of the total annual mortality burden associated with exposure to PM</w:t>
      </w:r>
      <w:r w:rsidRPr="00FE7D4D">
        <w:rPr>
          <w:vertAlign w:val="subscript"/>
        </w:rPr>
        <w:t>2.5</w:t>
      </w:r>
      <w:r w:rsidRPr="00FE7D4D">
        <w:t xml:space="preserve"> of both indoor and outdoor origin across all microenvironments in 2010 was ~198,100 deaths (IQR </w:t>
      </w:r>
      <w:r w:rsidRPr="00FE7D4D">
        <w:lastRenderedPageBreak/>
        <w:t>of ~149,600 to ~281,100). The relative microenvironmental exposure contributions were similar to those in Figure 2c in the main text, and our best estimate of the mortality burden associated with exposure to PM</w:t>
      </w:r>
      <w:r w:rsidRPr="00FE7D4D">
        <w:rPr>
          <w:vertAlign w:val="subscript"/>
        </w:rPr>
        <w:t>2.5</w:t>
      </w:r>
      <w:r w:rsidRPr="00FE7D4D">
        <w:t xml:space="preserve"> of outdoor origin summed across all microenvironments was ~124,500 deaths (IQR of ~49,400 to ~169,700). The </w:t>
      </w:r>
      <w:r w:rsidR="00011780" w:rsidRPr="00FE7D4D">
        <w:t xml:space="preserve">result </w:t>
      </w:r>
      <w:r w:rsidRPr="00FE7D4D">
        <w:t>was very similar to the central estimate of ~120,000 (95% CI of 83,000 to 160,000) annual deaths made by Fann et al. (2017),</w:t>
      </w:r>
      <w:r w:rsidRPr="00D764B3">
        <w:fldChar w:fldCharType="begin"/>
      </w:r>
      <w:r w:rsidR="00701571" w:rsidRPr="00FE7D4D">
        <w:instrText xml:space="preserve"> ADDIN ZOTERO_ITEM CSL_CITATION {"citationID":"lLWuDl4m","properties":{"formattedCitation":"\\super 35\\nosupersub{}","plainCitation":"35","noteIndex":0},"citationItems":[{"id":"FcLQwGOa/Sziqp31a","uris":["http://zotero.org/users/327441/items/98D497MS"],"uri":["http://zotero.org/users/327441/items/98D497MS"],"itemData":{"id":3498,"type":"article-journal","title":"Estimated Changes in Life Expectancy and Adult Mortality Resulting from Declining PM2.5 Exposures in the Contiguous United States: 1980–2010","container-title":"Environmental Health Perspectives","volume":"125","issue":"9","source":"Crossref","URL":"http://ehp.niehs.nih.gov/EHP507","DOI":"10.1289/EHP507","ISSN":"0091-6765, 1552-9924","shortTitle":"Estimated Changes in Life Expectancy and Adult Mortality Resulting from Declining PM2.5 Exposures in the Contiguous United States","language":"en","author":[{"family":"Fann","given":"Neal"},{"family":"Kim","given":"Sun-Young"},{"family":"Olives","given":"Casey"},{"family":"Sheppard","given":"Lianne"}],"issued":{"date-parts":[["2017",9,6]]},"accessed":{"date-parts":[["2018",5,21]]}}}],"schema":"https://github.com/citation-style-language/schema/raw/master/csl-citation.json"} </w:instrText>
      </w:r>
      <w:r w:rsidRPr="00AA0679">
        <w:fldChar w:fldCharType="separate"/>
      </w:r>
      <w:r w:rsidR="00EF06F0" w:rsidRPr="00FE7D4D">
        <w:rPr>
          <w:rFonts w:cs="Times New Roman"/>
          <w:vertAlign w:val="superscript"/>
        </w:rPr>
        <w:t>35</w:t>
      </w:r>
      <w:r w:rsidRPr="00BA011A">
        <w:fldChar w:fldCharType="end"/>
      </w:r>
      <w:r w:rsidRPr="00FE7D4D">
        <w:t xml:space="preserve"> which serves as a reasonable check on the validity of our modeling approach and the accuracy of our results, at least for PM</w:t>
      </w:r>
      <w:r w:rsidRPr="00FE7D4D">
        <w:rPr>
          <w:vertAlign w:val="subscript"/>
        </w:rPr>
        <w:t>2.5</w:t>
      </w:r>
      <w:r w:rsidRPr="00FE7D4D">
        <w:t xml:space="preserve"> of ambient origin, even though we consider much less detail in geographical variations in population and ambient exposures</w:t>
      </w:r>
      <w:r w:rsidR="00011780" w:rsidRPr="00FE7D4D">
        <w:t xml:space="preserve"> than Fann et al. (2017)</w:t>
      </w:r>
      <w:r w:rsidRPr="00FE7D4D">
        <w:t>. For comparison, the estimated mortality burden associated with indoor PM</w:t>
      </w:r>
      <w:r w:rsidRPr="00FE7D4D">
        <w:rPr>
          <w:vertAlign w:val="subscript"/>
        </w:rPr>
        <w:t>2.5</w:t>
      </w:r>
      <w:r w:rsidRPr="00FE7D4D">
        <w:t xml:space="preserve"> sources in this scenario was ~73,600 deaths (IQR of ~10,700 to ~118,300).</w:t>
      </w:r>
    </w:p>
    <w:p w14:paraId="41B98999" w14:textId="77777777" w:rsidR="000510C0" w:rsidRPr="00FE7D4D" w:rsidRDefault="000510C0" w:rsidP="000510C0">
      <w:pPr>
        <w:pStyle w:val="NoSpacing"/>
      </w:pPr>
    </w:p>
    <w:p w14:paraId="132C0F18" w14:textId="460851B7" w:rsidR="004C0685" w:rsidRPr="00FE7D4D" w:rsidRDefault="00A52372" w:rsidP="00A52372">
      <w:pPr>
        <w:pStyle w:val="Heading1"/>
      </w:pPr>
      <w:bookmarkStart w:id="3" w:name="_Toc399490407"/>
      <w:r w:rsidRPr="00FE7D4D">
        <w:t xml:space="preserve">Scenario 3: Global Burden of Disease Integrated Exposure-Response </w:t>
      </w:r>
      <w:r w:rsidR="00BE3587" w:rsidRPr="00FE7D4D">
        <w:t>m</w:t>
      </w:r>
      <w:r w:rsidRPr="00FE7D4D">
        <w:t>odel</w:t>
      </w:r>
      <w:bookmarkEnd w:id="3"/>
    </w:p>
    <w:p w14:paraId="691EC475" w14:textId="733C344B" w:rsidR="00545470" w:rsidRPr="00FE7D4D" w:rsidRDefault="00A52372" w:rsidP="00545470">
      <w:pPr>
        <w:pStyle w:val="NoSpacing"/>
      </w:pPr>
      <w:r w:rsidRPr="00FE7D4D">
        <w:t>T</w:t>
      </w:r>
      <w:r w:rsidR="00545470" w:rsidRPr="00FE7D4D">
        <w:t>he Global Burden of Disease (GBD) study</w:t>
      </w:r>
      <w:r w:rsidR="005A1081" w:rsidRPr="00FE7D4D">
        <w:t xml:space="preserve"> and others</w:t>
      </w:r>
      <w:r w:rsidR="005A1081" w:rsidRPr="00D764B3">
        <w:fldChar w:fldCharType="begin"/>
      </w:r>
      <w:r w:rsidR="00701571" w:rsidRPr="00FE7D4D">
        <w:instrText xml:space="preserve"> ADDIN ZOTERO_ITEM CSL_CITATION {"citationID":"gyQwXQ01","properties":{"formattedCitation":"\\super 36\\uc0\\u8211{}40\\nosupersub{}","plainCitation":"36–40","noteIndex":0},"citationItems":[{"id":"FcLQwGOa/MafmwXC6","uris":["http://zotero.org/users/327441/items/ACDQKZAK"],"uri":["http://zotero.org/users/327441/items/ACDQKZAK"],"itemData":{"id":3485,"type":"article-journal","title":"Addressing Global Mortality from Ambient PM&lt;sub&gt;2.5&lt;/sub&gt;","container-title":"Environmental Science &amp; Technology","page":"8057-8066","volume":"49","issue":"13","source":"Crossref","DOI":"10.1021/acs.est.5b01236","ISSN":"0013-936X, 1520-5851","language":"en","author":[{"family":"Apte","given":"Joshua S."},{"family":"Marshall","given":"Julian D."},{"family":"Cohen","given":"Aaron J."},{"family":"Brauer","given":"Michael"}],"issued":{"date-parts":[["2015",7,7]]}}},{"id":"FcLQwGOa/oGvrUb3x","uris":["http://zotero.org/users/327441/items/KX48B2FC"],"uri":["http://zotero.org/users/327441/items/KX48B2FC"],"itemData":{"id":2470,"type":"article-journal","title":"The contribution of outdoor air pollution sources to premature mortality on a global scale","container-title":"Nature","page":"367-371","volume":"525","issue":"7569","source":"CrossRef","DOI":"10.1038/nature15371","ISSN":"0028-0836, 1476-4687","author":[{"family":"Lelieveld","given":"J."},{"family":"Evans","given":"J. S."},{"family":"Fnais","given":"M."},{"family":"Giannadaki","given":"D."},{"family":"Pozzer","given":"A."}],"issued":{"date-parts":[["2015",9,16]]}}},{"id":"FcLQwGOa/ZP5fu4E3","uris":["http://zotero.org/users/327441/items/MPPNK878"],"uri":["http://zotero.org/users/327441/items/MPPNK878"],"itemData":{"id":2978,"type":"article-journal","title":"Air Pollution in China: Mapping of Concentrations and Sources","container-title":"PLOS ONE","page":"e0135749","volume":"10","issue":"8","source":"CrossRef","DOI":"10.1371/journal.pone.0135749","ISSN":"1932-6203","shortTitle":"Air Pollution in China","language":"en","author":[{"family":"Rohde","given":"Robert A."},{"family":"Muller","given":"Richard A."}],"editor":[{"family":"Ding","given":"Aijun"}],"issued":{"date-parts":[["2015",8,20]]}}},{"id":"FcLQwGOa/8DZ5FKj0","uris":["http://zotero.org/users/327441/items/XMJMJ74M"],"uri":["http://zotero.org/users/327441/items/XMJMJ74M"],"itemData":{"id":3464,"type":"article-journal","title":"Estimates and 25-year trends of the global burden of disease attributable to ambient air pollution: an analysis of data from the Global Burden of Diseases Study 2015","container-title":"The Lancet","page":"1907-1918","volume":"389","issue":"10082","source":"Crossref","DOI":"10.1016/S0140-6736(17)30505-6","ISSN":"01406736","shortTitle":"Estimates and 25-year trends of the global burden of disease attributable to ambient air pollution","language":"en","author":[{"family":"Cohen","given":"Aaron J"},{"family":"Brauer","given":"Michael"},{"family":"Burnett","given":"Richard"},{"family":"Anderson","given":"H Ross"},{"family":"Frostad","given":"Joseph"},{"family":"Estep","given":"Kara"},{"family":"Balakrishnan","given":"Kalpana"},{"family":"Brunekreef","given":"Bert"},{"family":"Dandona","given":"Lalit"},{"family":"Dandona","given":"Rakhi"},{"family":"Feigin","given":"Valery"},{"family":"Freedman","given":"Greg"},{"family":"Hubbell","given":"Bryan"},{"family":"Jobling","given":"Amelia"},{"family":"Kan","given":"Haidong"},{"family":"Knibbs","given":"Luke"},{"family":"Liu","given":"Yang"},{"family":"Martin","given":"Randall"},{"family":"Morawska","given":"Lidia"},{"family":"Pope","given":"C Arden"},{"family":"Shin","given":"Hwashin"},{"family":"Straif","given":"Kurt"},{"family":"Shaddick","given":"Gavin"},{"family":"Thomas","given":"Matthew"},{"family":"Dingenen","given":"Rita","non-dropping-particle":"van"},{"family":"Donkelaar","given":"Aaron","non-dropping-particle":"van"},{"family":"Vos","given":"Theo"},{"family":"Murray","given":"Christopher J L"},{"family":"Forouzanfar","given":"Mohammad H"}],"issued":{"date-parts":[["2017",5]]}}},{"id":"FcLQwGOa/He4hKwMD","uris":["http://zotero.org/users/327441/items/7URK8ZQM"],"uri":["http://zotero.org/users/327441/items/7URK8ZQM"],"itemData":{"id":3493,"type":"article-journal","title":"Ambient PM2.5 exposure and expected premature mortality to 2100 in India under climate change scenarios","container-title":"Nature Communications","volume":"9","issue":"1","source":"Crossref","URL":"http://www.nature.com/articles/s41467-017-02755-y","DOI":"10.1038/s41467-017-02755-y","ISSN":"2041-1723","language":"en","author":[{"family":"Chowdhury","given":"Sourangsu"},{"family":"Dey","given":"Sagnik"},{"family":"Smith","given":"Kirk R."}],"issued":{"date-parts":[["2018",12]]},"accessed":{"date-parts":[["2018",5,18]]}}}],"schema":"https://github.com/citation-style-language/schema/raw/master/csl-citation.json"} </w:instrText>
      </w:r>
      <w:r w:rsidR="005A1081" w:rsidRPr="00AA0679">
        <w:fldChar w:fldCharType="separate"/>
      </w:r>
      <w:r w:rsidR="005A1081" w:rsidRPr="00FE7D4D">
        <w:rPr>
          <w:rFonts w:cs="Times New Roman"/>
          <w:vertAlign w:val="superscript"/>
        </w:rPr>
        <w:t>36–40</w:t>
      </w:r>
      <w:r w:rsidR="005A1081" w:rsidRPr="00BA011A">
        <w:fldChar w:fldCharType="end"/>
      </w:r>
      <w:r w:rsidR="005A1081" w:rsidRPr="00FE7D4D">
        <w:t xml:space="preserve"> have</w:t>
      </w:r>
      <w:r w:rsidR="00F37028" w:rsidRPr="00FE7D4D">
        <w:t xml:space="preserve"> </w:t>
      </w:r>
      <w:r w:rsidR="005A1081" w:rsidRPr="00FE7D4D">
        <w:t xml:space="preserve">used </w:t>
      </w:r>
      <w:r w:rsidR="00EA5B20" w:rsidRPr="00FE7D4D">
        <w:t xml:space="preserve">the </w:t>
      </w:r>
      <w:r w:rsidR="00545470" w:rsidRPr="00FE7D4D">
        <w:t xml:space="preserve">integrated exposure-response (IER) </w:t>
      </w:r>
      <w:r w:rsidR="00EA5B20" w:rsidRPr="00FE7D4D">
        <w:t>model developed by</w:t>
      </w:r>
      <w:r w:rsidR="00F37028" w:rsidRPr="00FE7D4D">
        <w:t xml:space="preserve"> Burnett et al. (2014),</w:t>
      </w:r>
      <w:r w:rsidR="005A1081" w:rsidRPr="00D764B3">
        <w:fldChar w:fldCharType="begin"/>
      </w:r>
      <w:r w:rsidR="00701571" w:rsidRPr="00FE7D4D">
        <w:instrText xml:space="preserve"> ADDIN ZOTERO_ITEM CSL_CITATION {"citationID":"wXvQlOoj","properties":{"formattedCitation":"\\super 41\\nosupersub{}","plainCitation":"41","noteIndex":0},"citationItems":[{"id":"FcLQwGOa/PYXvmSf9","uris":["http://zotero.org/users/327441/items/467I6Q22"],"uri":["http://zotero.org/users/327441/items/467I6Q22"],"itemData":{"id":2583,"type":"article-journal","title":"An Integrated Risk Function for Estimating the Global Burden of Disease Attributable to Ambient Fine Particulate Matter Exposure","container-title":"Environmental Health Perspectives","source":"CrossRef","URL":"http://ehp.niehs.nih.gov/1307049/","DOI":"10.1289/ehp.1307049","ISSN":"0091-6765","language":"en","author":[{"family":"Burnett","given":"Richard T."},{"family":"Pope","given":"C. Arden","suffix":"III"},{"family":"Ezzati","given":"Majid"},{"family":"Olives","given":"Casey"},{"family":"Lim","given":"Stephen S."},{"family":"Mehta","given":"Sumi"},{"family":"Shin","given":"Hwashin H."},{"family":"Singh","given":"Gitanjali"},{"family":"Hubbell","given":"Bryan"},{"family":"Brauer","given":"Michael"},{"family":"Anderson","given":"H Ross"},{"family":"Smith","given":"Kirk R."},{"family":"Balmes","given":"John R."},{"family":"Bruce","given":"Nigel G."},{"family":"Kan","given":"Haidong"},{"family":"Laden","given":"Francine"},{"family":"Prüss-Ustün","given":"Annette"},{"family":"Turner","given":"Michelle C."},{"family":"Gapstur","given":"Susan M."},{"family":"Diver","given":"W. Ryan"},{"family":"Cohen","given":"Aaron"}],"issued":{"date-parts":[["2014",2,11]]},"accessed":{"date-parts":[["2016",3,28]]}}}],"schema":"https://github.com/citation-style-language/schema/raw/master/csl-citation.json"} </w:instrText>
      </w:r>
      <w:r w:rsidR="005A1081" w:rsidRPr="00AA0679">
        <w:fldChar w:fldCharType="separate"/>
      </w:r>
      <w:r w:rsidR="005A1081" w:rsidRPr="00FE7D4D">
        <w:rPr>
          <w:rFonts w:cs="Times New Roman"/>
          <w:vertAlign w:val="superscript"/>
        </w:rPr>
        <w:t>41</w:t>
      </w:r>
      <w:r w:rsidR="005A1081" w:rsidRPr="00BA011A">
        <w:fldChar w:fldCharType="end"/>
      </w:r>
      <w:r w:rsidR="00F37028" w:rsidRPr="00FE7D4D">
        <w:t xml:space="preserve"> which </w:t>
      </w:r>
      <w:r w:rsidR="00545470" w:rsidRPr="00FE7D4D">
        <w:t>estimates the relative risk (RR</w:t>
      </w:r>
      <w:r w:rsidR="00545470" w:rsidRPr="00FE7D4D">
        <w:rPr>
          <w:i/>
          <w:vertAlign w:val="subscript"/>
        </w:rPr>
        <w:t>i</w:t>
      </w:r>
      <w:r w:rsidR="00545470" w:rsidRPr="00FE7D4D">
        <w:t>) of long-term exposure to a wide range of PM</w:t>
      </w:r>
      <w:r w:rsidR="00545470" w:rsidRPr="00FE7D4D">
        <w:rPr>
          <w:vertAlign w:val="subscript"/>
        </w:rPr>
        <w:t>2.5</w:t>
      </w:r>
      <w:r w:rsidR="00545470" w:rsidRPr="00FE7D4D">
        <w:t xml:space="preserve"> concentrations and sources for multiple causes of mortality using Equation </w:t>
      </w:r>
      <w:r w:rsidR="006B13B2" w:rsidRPr="00FE7D4D">
        <w:t>S</w:t>
      </w:r>
      <w:r w:rsidR="00C1370A" w:rsidRPr="00FE7D4D">
        <w:t>2</w:t>
      </w:r>
      <w:r w:rsidR="00545470" w:rsidRPr="00FE7D4D">
        <w:t>.</w:t>
      </w:r>
    </w:p>
    <w:tbl>
      <w:tblPr>
        <w:tblpPr w:leftFromText="180" w:rightFromText="180" w:vertAnchor="text" w:horzAnchor="margin" w:tblpY="120"/>
        <w:tblW w:w="9536" w:type="dxa"/>
        <w:tblCellMar>
          <w:left w:w="70" w:type="dxa"/>
          <w:right w:w="70" w:type="dxa"/>
        </w:tblCellMar>
        <w:tblLook w:val="0000" w:firstRow="0" w:lastRow="0" w:firstColumn="0" w:lastColumn="0" w:noHBand="0" w:noVBand="0"/>
      </w:tblPr>
      <w:tblGrid>
        <w:gridCol w:w="8370"/>
        <w:gridCol w:w="1166"/>
      </w:tblGrid>
      <w:tr w:rsidR="00545470" w:rsidRPr="00FE7D4D" w14:paraId="1B7FCC5D" w14:textId="77777777" w:rsidTr="005C5AFE">
        <w:trPr>
          <w:trHeight w:val="427"/>
        </w:trPr>
        <w:tc>
          <w:tcPr>
            <w:tcW w:w="8370" w:type="dxa"/>
          </w:tcPr>
          <w:p w14:paraId="5C63B9B5" w14:textId="77777777" w:rsidR="00545470" w:rsidRPr="00FE7D4D" w:rsidRDefault="00AA0679" w:rsidP="00545470">
            <w:pPr>
              <w:widowControl w:val="0"/>
              <w:spacing w:before="120" w:after="120"/>
              <w:jc w:val="center"/>
              <w:rPr>
                <w:snapToGrid w:val="0"/>
              </w:rPr>
            </w:pPr>
            <m:oMath>
              <m:sSub>
                <m:sSubPr>
                  <m:ctrlPr>
                    <w:rPr>
                      <w:rFonts w:ascii="Cambria Math" w:hAnsi="Cambria Math"/>
                      <w:i/>
                      <w:snapToGrid w:val="0"/>
                    </w:rPr>
                  </m:ctrlPr>
                </m:sSubPr>
                <m:e>
                  <m:r>
                    <w:rPr>
                      <w:rFonts w:ascii="Cambria Math" w:hAnsi="Cambria Math"/>
                      <w:snapToGrid w:val="0"/>
                    </w:rPr>
                    <m:t>RR</m:t>
                  </m:r>
                </m:e>
                <m:sub>
                  <m:r>
                    <w:rPr>
                      <w:rFonts w:ascii="Cambria Math" w:hAnsi="Cambria Math"/>
                      <w:snapToGrid w:val="0"/>
                    </w:rPr>
                    <m:t>i</m:t>
                  </m:r>
                </m:sub>
              </m:sSub>
              <m:r>
                <w:rPr>
                  <w:rFonts w:ascii="Cambria Math" w:hAnsi="Cambria Math"/>
                  <w:snapToGrid w:val="0"/>
                </w:rPr>
                <m:t>=1+</m:t>
              </m:r>
              <m:sSub>
                <m:sSubPr>
                  <m:ctrlPr>
                    <w:rPr>
                      <w:rFonts w:ascii="Cambria Math" w:hAnsi="Cambria Math"/>
                      <w:i/>
                      <w:snapToGrid w:val="0"/>
                    </w:rPr>
                  </m:ctrlPr>
                </m:sSubPr>
                <m:e>
                  <m:r>
                    <w:rPr>
                      <w:rFonts w:ascii="Cambria Math" w:hAnsi="Cambria Math"/>
                      <w:snapToGrid w:val="0"/>
                    </w:rPr>
                    <m:t>α</m:t>
                  </m:r>
                </m:e>
                <m:sub>
                  <m:r>
                    <w:rPr>
                      <w:rFonts w:ascii="Cambria Math" w:hAnsi="Cambria Math"/>
                      <w:snapToGrid w:val="0"/>
                    </w:rPr>
                    <m:t>i</m:t>
                  </m:r>
                </m:sub>
              </m:sSub>
              <m:d>
                <m:dPr>
                  <m:begChr m:val="["/>
                  <m:endChr m:val="]"/>
                  <m:ctrlPr>
                    <w:rPr>
                      <w:rFonts w:ascii="Cambria Math" w:hAnsi="Cambria Math"/>
                      <w:i/>
                      <w:snapToGrid w:val="0"/>
                    </w:rPr>
                  </m:ctrlPr>
                </m:dPr>
                <m:e>
                  <m:r>
                    <w:rPr>
                      <w:rFonts w:ascii="Cambria Math" w:hAnsi="Cambria Math"/>
                      <w:snapToGrid w:val="0"/>
                    </w:rPr>
                    <m:t>1-</m:t>
                  </m:r>
                  <m:sSup>
                    <m:sSupPr>
                      <m:ctrlPr>
                        <w:rPr>
                          <w:rFonts w:ascii="Cambria Math" w:hAnsi="Cambria Math"/>
                          <w:snapToGrid w:val="0"/>
                        </w:rPr>
                      </m:ctrlPr>
                    </m:sSupPr>
                    <m:e>
                      <m:r>
                        <w:rPr>
                          <w:rFonts w:ascii="Cambria Math" w:hAnsi="Cambria Math"/>
                          <w:snapToGrid w:val="0"/>
                        </w:rPr>
                        <m:t>e</m:t>
                      </m:r>
                    </m:e>
                    <m:sup>
                      <m:sSup>
                        <m:sSupPr>
                          <m:ctrlPr>
                            <w:rPr>
                              <w:rFonts w:ascii="Cambria Math" w:hAnsi="Cambria Math"/>
                              <w:i/>
                              <w:snapToGrid w:val="0"/>
                            </w:rPr>
                          </m:ctrlPr>
                        </m:sSupPr>
                        <m:e>
                          <m:r>
                            <w:rPr>
                              <w:rFonts w:ascii="Cambria Math" w:hAnsi="Cambria Math"/>
                              <w:snapToGrid w:val="0"/>
                            </w:rPr>
                            <m:t>-</m:t>
                          </m:r>
                          <m:sSub>
                            <m:sSubPr>
                              <m:ctrlPr>
                                <w:rPr>
                                  <w:rFonts w:ascii="Cambria Math" w:hAnsi="Cambria Math"/>
                                  <w:i/>
                                  <w:snapToGrid w:val="0"/>
                                </w:rPr>
                              </m:ctrlPr>
                            </m:sSubPr>
                            <m:e>
                              <m:r>
                                <w:rPr>
                                  <w:rFonts w:ascii="Cambria Math" w:hAnsi="Cambria Math"/>
                                  <w:snapToGrid w:val="0"/>
                                </w:rPr>
                                <m:t>γ</m:t>
                              </m:r>
                            </m:e>
                            <m:sub>
                              <m:r>
                                <w:rPr>
                                  <w:rFonts w:ascii="Cambria Math" w:hAnsi="Cambria Math"/>
                                  <w:snapToGrid w:val="0"/>
                                </w:rPr>
                                <m:t>i</m:t>
                              </m:r>
                            </m:sub>
                          </m:sSub>
                          <m:r>
                            <w:rPr>
                              <w:rFonts w:ascii="Cambria Math" w:hAnsi="Cambria Math"/>
                              <w:snapToGrid w:val="0"/>
                            </w:rPr>
                            <m:t>(</m:t>
                          </m:r>
                          <m:r>
                            <w:rPr>
                              <w:rFonts w:ascii="Cambria Math" w:hAnsi="Cambria Math"/>
                              <w:snapToGrid w:val="0"/>
                            </w:rPr>
                            <m:t>C-</m:t>
                          </m:r>
                          <m:sSub>
                            <m:sSubPr>
                              <m:ctrlPr>
                                <w:rPr>
                                  <w:rFonts w:ascii="Cambria Math" w:hAnsi="Cambria Math"/>
                                  <w:i/>
                                  <w:snapToGrid w:val="0"/>
                                </w:rPr>
                              </m:ctrlPr>
                            </m:sSubPr>
                            <m:e>
                              <m:r>
                                <w:rPr>
                                  <w:rFonts w:ascii="Cambria Math" w:hAnsi="Cambria Math"/>
                                  <w:snapToGrid w:val="0"/>
                                </w:rPr>
                                <m:t>C</m:t>
                              </m:r>
                            </m:e>
                            <m:sub>
                              <m:r>
                                <w:rPr>
                                  <w:rFonts w:ascii="Cambria Math" w:hAnsi="Cambria Math"/>
                                  <w:snapToGrid w:val="0"/>
                                </w:rPr>
                                <m:t>0</m:t>
                              </m:r>
                            </m:sub>
                          </m:sSub>
                          <m:r>
                            <w:rPr>
                              <w:rFonts w:ascii="Cambria Math" w:hAnsi="Cambria Math"/>
                              <w:snapToGrid w:val="0"/>
                            </w:rPr>
                            <m:t>)</m:t>
                          </m:r>
                        </m:e>
                        <m:sup>
                          <m:sSub>
                            <m:sSubPr>
                              <m:ctrlPr>
                                <w:rPr>
                                  <w:rFonts w:ascii="Cambria Math" w:hAnsi="Cambria Math"/>
                                  <w:i/>
                                  <w:snapToGrid w:val="0"/>
                                </w:rPr>
                              </m:ctrlPr>
                            </m:sSubPr>
                            <m:e>
                              <m:r>
                                <w:rPr>
                                  <w:rFonts w:ascii="Cambria Math" w:hAnsi="Cambria Math"/>
                                  <w:snapToGrid w:val="0"/>
                                </w:rPr>
                                <m:t>δ</m:t>
                              </m:r>
                            </m:e>
                            <m:sub>
                              <m:r>
                                <w:rPr>
                                  <w:rFonts w:ascii="Cambria Math" w:hAnsi="Cambria Math"/>
                                  <w:snapToGrid w:val="0"/>
                                </w:rPr>
                                <m:t>i</m:t>
                              </m:r>
                            </m:sub>
                          </m:sSub>
                        </m:sup>
                      </m:sSup>
                    </m:sup>
                  </m:sSup>
                </m:e>
              </m:d>
            </m:oMath>
            <w:r w:rsidR="00545470" w:rsidRPr="00FE7D4D">
              <w:rPr>
                <w:snapToGrid w:val="0"/>
              </w:rPr>
              <w:t xml:space="preserve">    for</w:t>
            </w:r>
            <w:r w:rsidR="00545470" w:rsidRPr="00FE7D4D">
              <w:rPr>
                <w:i/>
                <w:snapToGrid w:val="0"/>
              </w:rPr>
              <w:t xml:space="preserve"> C</w:t>
            </w:r>
            <w:r w:rsidR="00545470" w:rsidRPr="00FE7D4D">
              <w:rPr>
                <w:snapToGrid w:val="0"/>
              </w:rPr>
              <w:t xml:space="preserve"> </w:t>
            </w:r>
            <w:r w:rsidR="00545470" w:rsidRPr="00FE7D4D">
              <w:t xml:space="preserve">&gt; </w:t>
            </w:r>
            <w:r w:rsidR="00545470" w:rsidRPr="00FE7D4D">
              <w:rPr>
                <w:i/>
              </w:rPr>
              <w:t>C</w:t>
            </w:r>
            <w:r w:rsidR="00545470" w:rsidRPr="00FE7D4D">
              <w:rPr>
                <w:vertAlign w:val="subscript"/>
              </w:rPr>
              <w:t>0</w:t>
            </w:r>
          </w:p>
        </w:tc>
        <w:tc>
          <w:tcPr>
            <w:tcW w:w="1166" w:type="dxa"/>
            <w:vAlign w:val="center"/>
          </w:tcPr>
          <w:p w14:paraId="78D84298" w14:textId="459CB51E" w:rsidR="00545470" w:rsidRPr="00FE7D4D" w:rsidRDefault="00545470" w:rsidP="00C1370A">
            <w:pPr>
              <w:widowControl w:val="0"/>
              <w:spacing w:before="120" w:after="120"/>
              <w:jc w:val="right"/>
              <w:rPr>
                <w:snapToGrid w:val="0"/>
              </w:rPr>
            </w:pPr>
            <w:r w:rsidRPr="00FE7D4D">
              <w:t>(</w:t>
            </w:r>
            <w:r w:rsidR="006B13B2" w:rsidRPr="00FE7D4D">
              <w:t>S</w:t>
            </w:r>
            <w:r w:rsidR="00C1370A" w:rsidRPr="00FE7D4D">
              <w:t>2</w:t>
            </w:r>
            <w:r w:rsidR="00E56207" w:rsidRPr="00FE7D4D">
              <w:t>-a</w:t>
            </w:r>
            <w:r w:rsidRPr="00FE7D4D">
              <w:t xml:space="preserve">) </w:t>
            </w:r>
          </w:p>
        </w:tc>
      </w:tr>
      <w:tr w:rsidR="00545470" w:rsidRPr="00FE7D4D" w14:paraId="7A988A33" w14:textId="77777777" w:rsidTr="005C5AFE">
        <w:trPr>
          <w:trHeight w:val="427"/>
        </w:trPr>
        <w:tc>
          <w:tcPr>
            <w:tcW w:w="8370" w:type="dxa"/>
          </w:tcPr>
          <w:p w14:paraId="10CFCB1A" w14:textId="77777777" w:rsidR="00545470" w:rsidRPr="00FE7D4D" w:rsidRDefault="00AA0679" w:rsidP="00545470">
            <w:pPr>
              <w:widowControl w:val="0"/>
              <w:spacing w:before="120" w:after="120"/>
              <w:jc w:val="center"/>
              <w:rPr>
                <w:snapToGrid w:val="0"/>
              </w:rPr>
            </w:pPr>
            <m:oMath>
              <m:sSub>
                <m:sSubPr>
                  <m:ctrlPr>
                    <w:rPr>
                      <w:rFonts w:ascii="Cambria Math" w:hAnsi="Cambria Math"/>
                      <w:i/>
                      <w:snapToGrid w:val="0"/>
                    </w:rPr>
                  </m:ctrlPr>
                </m:sSubPr>
                <m:e>
                  <m:r>
                    <w:rPr>
                      <w:rFonts w:ascii="Cambria Math" w:hAnsi="Cambria Math"/>
                      <w:snapToGrid w:val="0"/>
                    </w:rPr>
                    <m:t>RR</m:t>
                  </m:r>
                </m:e>
                <m:sub>
                  <m:r>
                    <w:rPr>
                      <w:rFonts w:ascii="Cambria Math" w:hAnsi="Cambria Math"/>
                      <w:snapToGrid w:val="0"/>
                    </w:rPr>
                    <m:t>i</m:t>
                  </m:r>
                </m:sub>
              </m:sSub>
              <m:r>
                <w:rPr>
                  <w:rFonts w:ascii="Cambria Math" w:hAnsi="Cambria Math"/>
                  <w:snapToGrid w:val="0"/>
                </w:rPr>
                <m:t>=1</m:t>
              </m:r>
            </m:oMath>
            <w:r w:rsidR="00545470" w:rsidRPr="00FE7D4D">
              <w:rPr>
                <w:snapToGrid w:val="0"/>
              </w:rPr>
              <w:t xml:space="preserve">    for </w:t>
            </w:r>
            <w:r w:rsidR="00545470" w:rsidRPr="00FE7D4D">
              <w:rPr>
                <w:i/>
                <w:snapToGrid w:val="0"/>
              </w:rPr>
              <w:t>C</w:t>
            </w:r>
            <w:r w:rsidR="00545470" w:rsidRPr="00FE7D4D">
              <w:rPr>
                <w:snapToGrid w:val="0"/>
              </w:rPr>
              <w:t xml:space="preserve"> </w:t>
            </w:r>
            <w:r w:rsidR="00545470" w:rsidRPr="00FE7D4D">
              <w:t xml:space="preserve">≤ </w:t>
            </w:r>
            <w:r w:rsidR="00545470" w:rsidRPr="00FE7D4D">
              <w:rPr>
                <w:i/>
              </w:rPr>
              <w:t>C</w:t>
            </w:r>
            <w:r w:rsidR="00545470" w:rsidRPr="00FE7D4D">
              <w:rPr>
                <w:vertAlign w:val="subscript"/>
              </w:rPr>
              <w:t>0</w:t>
            </w:r>
          </w:p>
        </w:tc>
        <w:tc>
          <w:tcPr>
            <w:tcW w:w="1166" w:type="dxa"/>
            <w:vAlign w:val="center"/>
          </w:tcPr>
          <w:p w14:paraId="0EAF6A95" w14:textId="750B1DB9" w:rsidR="00545470" w:rsidRPr="00AA0679" w:rsidRDefault="00545470" w:rsidP="00C1370A">
            <w:pPr>
              <w:keepNext/>
              <w:keepLines/>
              <w:widowControl w:val="0"/>
              <w:spacing w:before="120" w:after="120"/>
              <w:jc w:val="right"/>
              <w:outlineLvl w:val="4"/>
            </w:pPr>
            <w:r w:rsidRPr="00FE7D4D">
              <w:t>(</w:t>
            </w:r>
            <w:r w:rsidR="00E56207" w:rsidRPr="00FE7D4D">
              <w:t>S2-b</w:t>
            </w:r>
            <w:r w:rsidRPr="00FE7D4D">
              <w:t>)</w:t>
            </w:r>
          </w:p>
        </w:tc>
      </w:tr>
    </w:tbl>
    <w:p w14:paraId="48FACFF2" w14:textId="77777777" w:rsidR="00545470" w:rsidRPr="00FE7D4D" w:rsidRDefault="00545470" w:rsidP="00545470">
      <w:pPr>
        <w:pStyle w:val="NoSpacing"/>
        <w:ind w:firstLine="0"/>
      </w:pPr>
    </w:p>
    <w:p w14:paraId="590855D9" w14:textId="6BD02ACF" w:rsidR="00545470" w:rsidRPr="00FE7D4D" w:rsidRDefault="00545470" w:rsidP="00545470">
      <w:pPr>
        <w:pStyle w:val="NoSpacing"/>
        <w:ind w:firstLine="0"/>
      </w:pPr>
      <w:r w:rsidRPr="00FE7D4D">
        <w:t xml:space="preserve">where </w:t>
      </w:r>
      <w:r w:rsidRPr="00FE7D4D">
        <w:rPr>
          <w:i/>
        </w:rPr>
        <w:t>C</w:t>
      </w:r>
      <w:r w:rsidRPr="00FE7D4D">
        <w:t xml:space="preserve"> is the exposure concentration (μg/m</w:t>
      </w:r>
      <w:r w:rsidRPr="00FE7D4D">
        <w:rPr>
          <w:vertAlign w:val="superscript"/>
        </w:rPr>
        <w:t>3</w:t>
      </w:r>
      <w:r w:rsidRPr="00FE7D4D">
        <w:t xml:space="preserve">), </w:t>
      </w:r>
      <w:r w:rsidRPr="00FE7D4D">
        <w:rPr>
          <w:i/>
        </w:rPr>
        <w:t>C</w:t>
      </w:r>
      <w:r w:rsidRPr="00FE7D4D">
        <w:rPr>
          <w:vertAlign w:val="subscript"/>
        </w:rPr>
        <w:t>0</w:t>
      </w:r>
      <w:r w:rsidRPr="00FE7D4D">
        <w:t xml:space="preserve"> is the concentration below which there is an assumption of no additional risk (μg/m</w:t>
      </w:r>
      <w:r w:rsidRPr="00FE7D4D">
        <w:rPr>
          <w:vertAlign w:val="superscript"/>
        </w:rPr>
        <w:t>3</w:t>
      </w:r>
      <w:r w:rsidRPr="00FE7D4D">
        <w:t xml:space="preserve">), </w:t>
      </w:r>
      <w:r w:rsidRPr="00FE7D4D">
        <w:rPr>
          <w:i/>
        </w:rPr>
        <w:t>i</w:t>
      </w:r>
      <w:r w:rsidRPr="00FE7D4D">
        <w:t xml:space="preserve"> is one of five causes of mortality, and </w:t>
      </w:r>
      <w:r w:rsidRPr="00FE7D4D">
        <w:rPr>
          <w:i/>
        </w:rPr>
        <w:t>α</w:t>
      </w:r>
      <w:r w:rsidRPr="00FE7D4D">
        <w:rPr>
          <w:i/>
          <w:vertAlign w:val="subscript"/>
        </w:rPr>
        <w:t>i</w:t>
      </w:r>
      <w:r w:rsidRPr="00FE7D4D">
        <w:t xml:space="preserve">, </w:t>
      </w:r>
      <w:r w:rsidRPr="00FE7D4D">
        <w:rPr>
          <w:i/>
        </w:rPr>
        <w:t>γ</w:t>
      </w:r>
      <w:r w:rsidRPr="00FE7D4D">
        <w:rPr>
          <w:i/>
          <w:vertAlign w:val="subscript"/>
        </w:rPr>
        <w:t>i</w:t>
      </w:r>
      <w:r w:rsidRPr="00FE7D4D">
        <w:t xml:space="preserve">, and </w:t>
      </w:r>
      <w:r w:rsidRPr="00FE7D4D">
        <w:rPr>
          <w:i/>
        </w:rPr>
        <w:t>δ</w:t>
      </w:r>
      <w:r w:rsidRPr="00FE7D4D">
        <w:rPr>
          <w:i/>
          <w:vertAlign w:val="subscript"/>
        </w:rPr>
        <w:t>i</w:t>
      </w:r>
      <w:r w:rsidRPr="00FE7D4D">
        <w:t xml:space="preserve"> are statistical parameters that result from fitting the model to RR results from a large number of global epidemiological studies for each mortality endpoint. </w:t>
      </w:r>
      <w:r w:rsidR="00D21420" w:rsidRPr="00FE7D4D">
        <w:t xml:space="preserve">The premature mortality </w:t>
      </w:r>
      <w:r w:rsidR="00D21420" w:rsidRPr="00FE7D4D">
        <w:rPr>
          <w:i/>
        </w:rPr>
        <w:t>M</w:t>
      </w:r>
      <w:r w:rsidR="00D21420" w:rsidRPr="00FE7D4D">
        <w:t xml:space="preserve"> for </w:t>
      </w:r>
      <w:r w:rsidR="00201E53" w:rsidRPr="00FE7D4D">
        <w:t xml:space="preserve">a </w:t>
      </w:r>
      <w:r w:rsidR="00201E53" w:rsidRPr="00FE7D4D">
        <w:lastRenderedPageBreak/>
        <w:t>given</w:t>
      </w:r>
      <w:r w:rsidR="00D21420" w:rsidRPr="00FE7D4D">
        <w:t xml:space="preserve"> population range </w:t>
      </w:r>
      <w:r w:rsidR="00E56207" w:rsidRPr="00FE7D4D">
        <w:rPr>
          <w:i/>
        </w:rPr>
        <w:t>j</w:t>
      </w:r>
      <w:r w:rsidR="00D21420" w:rsidRPr="00FE7D4D">
        <w:t xml:space="preserve"> and disease endpoint </w:t>
      </w:r>
      <w:r w:rsidR="00D21420" w:rsidRPr="00FE7D4D">
        <w:rPr>
          <w:i/>
        </w:rPr>
        <w:t>i</w:t>
      </w:r>
      <w:r w:rsidR="00D21420" w:rsidRPr="00FE7D4D">
        <w:t xml:space="preserve"> is estimated for a given region using Equation </w:t>
      </w:r>
      <w:r w:rsidR="00E56207" w:rsidRPr="00FE7D4D">
        <w:t>S3</w:t>
      </w:r>
      <w:r w:rsidR="00D21420" w:rsidRPr="00FE7D4D">
        <w:t>.</w:t>
      </w:r>
      <w:r w:rsidR="007A7F71" w:rsidRPr="00D764B3">
        <w:fldChar w:fldCharType="begin"/>
      </w:r>
      <w:r w:rsidR="00701571" w:rsidRPr="00FE7D4D">
        <w:instrText xml:space="preserve"> ADDIN ZOTERO_ITEM CSL_CITATION {"citationID":"My7vKQbM","properties":{"formattedCitation":"\\super 36\\nosupersub{}","plainCitation":"36","noteIndex":0},"citationItems":[{"id":"FcLQwGOa/MafmwXC6","uris":["http://zotero.org/users/327441/items/ACDQKZAK"],"uri":["http://zotero.org/users/327441/items/ACDQKZAK"],"itemData":{"id":3485,"type":"article-journal","title":"Addressing Global Mortality from Ambient PM&lt;sub&gt;2.5&lt;/sub&gt;","container-title":"Environmental Science &amp; Technology","page":"8057-8066","volume":"49","issue":"13","source":"Crossref","DOI":"10.1021/acs.est.5b01236","ISSN":"0013-936X, 1520-5851","language":"en","author":[{"family":"Apte","given":"Joshua S."},{"family":"Marshall","given":"Julian D."},{"family":"Cohen","given":"Aaron J."},{"family":"Brauer","given":"Michael"}],"issued":{"date-parts":[["2015",7,7]]}}}],"schema":"https://github.com/citation-style-language/schema/raw/master/csl-citation.json"} </w:instrText>
      </w:r>
      <w:r w:rsidR="007A7F71" w:rsidRPr="00AA0679">
        <w:fldChar w:fldCharType="separate"/>
      </w:r>
      <w:r w:rsidR="00290CA9" w:rsidRPr="00FE7D4D">
        <w:rPr>
          <w:rFonts w:cs="Times New Roman"/>
          <w:vertAlign w:val="superscript"/>
        </w:rPr>
        <w:t>36</w:t>
      </w:r>
      <w:r w:rsidR="007A7F71" w:rsidRPr="00D764B3">
        <w:fldChar w:fldCharType="end"/>
      </w:r>
    </w:p>
    <w:tbl>
      <w:tblPr>
        <w:tblpPr w:leftFromText="180" w:rightFromText="180" w:vertAnchor="text" w:horzAnchor="margin" w:tblpY="120"/>
        <w:tblW w:w="9536" w:type="dxa"/>
        <w:tblCellMar>
          <w:left w:w="70" w:type="dxa"/>
          <w:right w:w="70" w:type="dxa"/>
        </w:tblCellMar>
        <w:tblLook w:val="0000" w:firstRow="0" w:lastRow="0" w:firstColumn="0" w:lastColumn="0" w:noHBand="0" w:noVBand="0"/>
      </w:tblPr>
      <w:tblGrid>
        <w:gridCol w:w="8890"/>
        <w:gridCol w:w="646"/>
      </w:tblGrid>
      <w:tr w:rsidR="00D21420" w:rsidRPr="00FE7D4D" w14:paraId="1CE31EF3" w14:textId="77777777" w:rsidTr="00201E53">
        <w:trPr>
          <w:trHeight w:val="427"/>
        </w:trPr>
        <w:tc>
          <w:tcPr>
            <w:tcW w:w="8890" w:type="dxa"/>
          </w:tcPr>
          <w:p w14:paraId="6E8A19AC" w14:textId="0EA19306" w:rsidR="00D21420" w:rsidRPr="00FE7D4D" w:rsidRDefault="00AA0679" w:rsidP="00126003">
            <w:pPr>
              <w:widowControl w:val="0"/>
              <w:spacing w:before="120" w:after="120" w:line="480" w:lineRule="auto"/>
              <w:jc w:val="center"/>
              <w:rPr>
                <w:snapToGrid w:val="0"/>
              </w:rPr>
            </w:pPr>
            <m:oMath>
              <m:sSub>
                <m:sSubPr>
                  <m:ctrlPr>
                    <w:rPr>
                      <w:rFonts w:ascii="Cambria Math" w:hAnsi="Cambria Math"/>
                      <w:i/>
                      <w:snapToGrid w:val="0"/>
                    </w:rPr>
                  </m:ctrlPr>
                </m:sSubPr>
                <m:e>
                  <m:r>
                    <w:rPr>
                      <w:rFonts w:ascii="Cambria Math" w:hAnsi="Cambria Math"/>
                      <w:snapToGrid w:val="0"/>
                    </w:rPr>
                    <m:t>M</m:t>
                  </m:r>
                </m:e>
                <m:sub>
                  <m:r>
                    <w:rPr>
                      <w:rFonts w:ascii="Cambria Math" w:hAnsi="Cambria Math"/>
                      <w:snapToGrid w:val="0"/>
                    </w:rPr>
                    <m:t>i,j</m:t>
                  </m:r>
                </m:sub>
              </m:sSub>
              <m:r>
                <w:rPr>
                  <w:rFonts w:ascii="Cambria Math" w:hAnsi="Cambria Math"/>
                  <w:snapToGrid w:val="0"/>
                </w:rPr>
                <m:t>=</m:t>
              </m:r>
              <m:sSub>
                <m:sSubPr>
                  <m:ctrlPr>
                    <w:rPr>
                      <w:rFonts w:ascii="Cambria Math" w:hAnsi="Cambria Math"/>
                      <w:i/>
                      <w:snapToGrid w:val="0"/>
                    </w:rPr>
                  </m:ctrlPr>
                </m:sSubPr>
                <m:e>
                  <m:r>
                    <w:rPr>
                      <w:rFonts w:ascii="Cambria Math" w:hAnsi="Cambria Math"/>
                      <w:snapToGrid w:val="0"/>
                    </w:rPr>
                    <m:t>Pop</m:t>
                  </m:r>
                </m:e>
                <m:sub>
                  <m:r>
                    <w:rPr>
                      <w:rFonts w:ascii="Cambria Math" w:hAnsi="Cambria Math"/>
                      <w:snapToGrid w:val="0"/>
                    </w:rPr>
                    <m:t>j</m:t>
                  </m:r>
                </m:sub>
              </m:sSub>
              <m:sSub>
                <m:sSubPr>
                  <m:ctrlPr>
                    <w:rPr>
                      <w:rFonts w:ascii="Cambria Math" w:hAnsi="Cambria Math"/>
                      <w:i/>
                      <w:snapToGrid w:val="0"/>
                    </w:rPr>
                  </m:ctrlPr>
                </m:sSubPr>
                <m:e>
                  <m:acc>
                    <m:accPr>
                      <m:ctrlPr>
                        <w:rPr>
                          <w:rFonts w:ascii="Cambria Math" w:hAnsi="Cambria Math"/>
                          <w:i/>
                          <w:snapToGrid w:val="0"/>
                        </w:rPr>
                      </m:ctrlPr>
                    </m:accPr>
                    <m:e>
                      <m:sSub>
                        <m:sSubPr>
                          <m:ctrlPr>
                            <w:rPr>
                              <w:rFonts w:ascii="Cambria Math" w:hAnsi="Cambria Math"/>
                              <w:i/>
                              <w:snapToGrid w:val="0"/>
                            </w:rPr>
                          </m:ctrlPr>
                        </m:sSubPr>
                        <m:e>
                          <m:r>
                            <w:rPr>
                              <w:rFonts w:ascii="Cambria Math" w:hAnsi="Cambria Math"/>
                              <w:snapToGrid w:val="0"/>
                            </w:rPr>
                            <m:t>y</m:t>
                          </m:r>
                        </m:e>
                        <m:sub>
                          <m:r>
                            <w:rPr>
                              <w:rFonts w:ascii="Cambria Math" w:hAnsi="Cambria Math"/>
                              <w:snapToGrid w:val="0"/>
                            </w:rPr>
                            <m:t>0</m:t>
                          </m:r>
                        </m:sub>
                      </m:sSub>
                    </m:e>
                  </m:acc>
                </m:e>
                <m:sub>
                  <m:r>
                    <w:rPr>
                      <w:rFonts w:ascii="Cambria Math" w:hAnsi="Cambria Math"/>
                      <w:snapToGrid w:val="0"/>
                    </w:rPr>
                    <m:t>i</m:t>
                  </m:r>
                  <m:r>
                    <w:rPr>
                      <w:rFonts w:ascii="Cambria Math" w:hAnsi="Cambria Math"/>
                      <w:snapToGrid w:val="0"/>
                    </w:rPr>
                    <m:t>,j</m:t>
                  </m:r>
                </m:sub>
              </m:sSub>
              <m:r>
                <w:rPr>
                  <w:rFonts w:ascii="Cambria Math" w:hAnsi="Cambria Math"/>
                  <w:snapToGrid w:val="0"/>
                </w:rPr>
                <m:t>(</m:t>
              </m:r>
              <m:sSub>
                <m:sSubPr>
                  <m:ctrlPr>
                    <w:rPr>
                      <w:rFonts w:ascii="Cambria Math" w:hAnsi="Cambria Math"/>
                      <w:i/>
                      <w:snapToGrid w:val="0"/>
                    </w:rPr>
                  </m:ctrlPr>
                </m:sSubPr>
                <m:e>
                  <m:r>
                    <w:rPr>
                      <w:rFonts w:ascii="Cambria Math" w:hAnsi="Cambria Math"/>
                      <w:snapToGrid w:val="0"/>
                    </w:rPr>
                    <m:t>RR</m:t>
                  </m:r>
                </m:e>
                <m:sub>
                  <m:r>
                    <w:rPr>
                      <w:rFonts w:ascii="Cambria Math" w:hAnsi="Cambria Math"/>
                      <w:snapToGrid w:val="0"/>
                    </w:rPr>
                    <m:t>i,j</m:t>
                  </m:r>
                </m:sub>
              </m:sSub>
              <m:d>
                <m:dPr>
                  <m:ctrlPr>
                    <w:rPr>
                      <w:rFonts w:ascii="Cambria Math" w:hAnsi="Cambria Math"/>
                      <w:i/>
                      <w:snapToGrid w:val="0"/>
                    </w:rPr>
                  </m:ctrlPr>
                </m:dPr>
                <m:e>
                  <m:r>
                    <w:rPr>
                      <w:rFonts w:ascii="Cambria Math" w:hAnsi="Cambria Math"/>
                      <w:snapToGrid w:val="0"/>
                    </w:rPr>
                    <m:t>C</m:t>
                  </m:r>
                </m:e>
              </m:d>
              <m:r>
                <w:rPr>
                  <w:rFonts w:ascii="Cambria Math" w:hAnsi="Cambria Math"/>
                  <w:snapToGrid w:val="0"/>
                </w:rPr>
                <m:t>)-1)</m:t>
              </m:r>
            </m:oMath>
            <w:r w:rsidR="00D21420" w:rsidRPr="00FE7D4D">
              <w:rPr>
                <w:snapToGrid w:val="0"/>
              </w:rPr>
              <w:t xml:space="preserve">    where</w:t>
            </w:r>
            <w:r w:rsidR="00D21420" w:rsidRPr="00FE7D4D">
              <w:rPr>
                <w:i/>
                <w:snapToGrid w:val="0"/>
              </w:rPr>
              <w:t xml:space="preserve"> </w:t>
            </w:r>
            <m:oMath>
              <m:sSub>
                <m:sSubPr>
                  <m:ctrlPr>
                    <w:rPr>
                      <w:rFonts w:ascii="Cambria Math" w:hAnsi="Cambria Math"/>
                      <w:i/>
                      <w:snapToGrid w:val="0"/>
                    </w:rPr>
                  </m:ctrlPr>
                </m:sSubPr>
                <m:e>
                  <m:acc>
                    <m:accPr>
                      <m:ctrlPr>
                        <w:rPr>
                          <w:rFonts w:ascii="Cambria Math" w:hAnsi="Cambria Math"/>
                          <w:i/>
                          <w:snapToGrid w:val="0"/>
                        </w:rPr>
                      </m:ctrlPr>
                    </m:accPr>
                    <m:e>
                      <m:sSub>
                        <m:sSubPr>
                          <m:ctrlPr>
                            <w:rPr>
                              <w:rFonts w:ascii="Cambria Math" w:hAnsi="Cambria Math"/>
                              <w:i/>
                              <w:snapToGrid w:val="0"/>
                            </w:rPr>
                          </m:ctrlPr>
                        </m:sSubPr>
                        <m:e>
                          <m:r>
                            <w:rPr>
                              <w:rFonts w:ascii="Cambria Math" w:hAnsi="Cambria Math"/>
                              <w:snapToGrid w:val="0"/>
                            </w:rPr>
                            <m:t>y</m:t>
                          </m:r>
                        </m:e>
                        <m:sub>
                          <m:r>
                            <w:rPr>
                              <w:rFonts w:ascii="Cambria Math" w:hAnsi="Cambria Math"/>
                              <w:snapToGrid w:val="0"/>
                            </w:rPr>
                            <m:t>0</m:t>
                          </m:r>
                        </m:sub>
                      </m:sSub>
                    </m:e>
                  </m:acc>
                </m:e>
                <m:sub>
                  <m:r>
                    <w:rPr>
                      <w:rFonts w:ascii="Cambria Math" w:hAnsi="Cambria Math"/>
                      <w:snapToGrid w:val="0"/>
                    </w:rPr>
                    <m:t>i,j</m:t>
                  </m:r>
                </m:sub>
              </m:sSub>
              <m:r>
                <w:rPr>
                  <w:rFonts w:ascii="Cambria Math" w:hAnsi="Cambria Math"/>
                  <w:snapToGrid w:val="0"/>
                </w:rPr>
                <m:t>=</m:t>
              </m:r>
              <m:f>
                <m:fPr>
                  <m:ctrlPr>
                    <w:rPr>
                      <w:rFonts w:ascii="Cambria Math" w:hAnsi="Cambria Math"/>
                      <w:i/>
                      <w:snapToGrid w:val="0"/>
                    </w:rPr>
                  </m:ctrlPr>
                </m:fPr>
                <m:num>
                  <m:sSub>
                    <m:sSubPr>
                      <m:ctrlPr>
                        <w:rPr>
                          <w:rFonts w:ascii="Cambria Math" w:hAnsi="Cambria Math"/>
                          <w:i/>
                          <w:snapToGrid w:val="0"/>
                        </w:rPr>
                      </m:ctrlPr>
                    </m:sSubPr>
                    <m:e>
                      <m:sSub>
                        <m:sSubPr>
                          <m:ctrlPr>
                            <w:rPr>
                              <w:rFonts w:ascii="Cambria Math" w:hAnsi="Cambria Math"/>
                              <w:i/>
                              <w:snapToGrid w:val="0"/>
                            </w:rPr>
                          </m:ctrlPr>
                        </m:sSubPr>
                        <m:e>
                          <m:r>
                            <w:rPr>
                              <w:rFonts w:ascii="Cambria Math" w:hAnsi="Cambria Math"/>
                              <w:snapToGrid w:val="0"/>
                            </w:rPr>
                            <m:t>y</m:t>
                          </m:r>
                        </m:e>
                        <m:sub>
                          <m:r>
                            <w:rPr>
                              <w:rFonts w:ascii="Cambria Math" w:hAnsi="Cambria Math"/>
                              <w:snapToGrid w:val="0"/>
                            </w:rPr>
                            <m:t>0</m:t>
                          </m:r>
                        </m:sub>
                      </m:sSub>
                    </m:e>
                    <m:sub>
                      <m:r>
                        <w:rPr>
                          <w:rFonts w:ascii="Cambria Math" w:hAnsi="Cambria Math"/>
                          <w:snapToGrid w:val="0"/>
                        </w:rPr>
                        <m:t>i,</m:t>
                      </m:r>
                      <m:r>
                        <w:rPr>
                          <w:rFonts w:ascii="Cambria Math" w:hAnsi="Cambria Math"/>
                          <w:snapToGrid w:val="0"/>
                        </w:rPr>
                        <m:t>j</m:t>
                      </m:r>
                    </m:sub>
                  </m:sSub>
                </m:num>
                <m:den>
                  <m:sSub>
                    <m:sSubPr>
                      <m:ctrlPr>
                        <w:rPr>
                          <w:rFonts w:ascii="Cambria Math" w:hAnsi="Cambria Math"/>
                          <w:i/>
                          <w:snapToGrid w:val="0"/>
                        </w:rPr>
                      </m:ctrlPr>
                    </m:sSubPr>
                    <m:e>
                      <m:acc>
                        <m:accPr>
                          <m:chr m:val="̅"/>
                          <m:ctrlPr>
                            <w:rPr>
                              <w:rFonts w:ascii="Cambria Math" w:hAnsi="Cambria Math"/>
                              <w:i/>
                              <w:snapToGrid w:val="0"/>
                            </w:rPr>
                          </m:ctrlPr>
                        </m:accPr>
                        <m:e>
                          <m:r>
                            <w:rPr>
                              <w:rFonts w:ascii="Cambria Math" w:hAnsi="Cambria Math"/>
                              <w:snapToGrid w:val="0"/>
                            </w:rPr>
                            <m:t>RR</m:t>
                          </m:r>
                        </m:e>
                      </m:acc>
                    </m:e>
                    <m:sub>
                      <m:r>
                        <w:rPr>
                          <w:rFonts w:ascii="Cambria Math" w:hAnsi="Cambria Math"/>
                          <w:snapToGrid w:val="0"/>
                        </w:rPr>
                        <m:t>i</m:t>
                      </m:r>
                    </m:sub>
                  </m:sSub>
                </m:den>
              </m:f>
            </m:oMath>
          </w:p>
        </w:tc>
        <w:tc>
          <w:tcPr>
            <w:tcW w:w="646" w:type="dxa"/>
            <w:vAlign w:val="center"/>
          </w:tcPr>
          <w:p w14:paraId="4307CA27" w14:textId="68CB0C35" w:rsidR="00D21420" w:rsidRPr="00FE7D4D" w:rsidRDefault="00D21420" w:rsidP="00C1370A">
            <w:pPr>
              <w:widowControl w:val="0"/>
              <w:spacing w:before="120" w:after="120" w:line="480" w:lineRule="auto"/>
              <w:jc w:val="right"/>
              <w:rPr>
                <w:snapToGrid w:val="0"/>
              </w:rPr>
            </w:pPr>
            <w:r w:rsidRPr="00FE7D4D">
              <w:t>(</w:t>
            </w:r>
            <w:r w:rsidR="00E56207" w:rsidRPr="00FE7D4D">
              <w:t>S3</w:t>
            </w:r>
            <w:r w:rsidRPr="00FE7D4D">
              <w:t xml:space="preserve">) </w:t>
            </w:r>
          </w:p>
        </w:tc>
      </w:tr>
    </w:tbl>
    <w:p w14:paraId="2CB5E169" w14:textId="59F881E5" w:rsidR="00D21420" w:rsidRPr="00FE7D4D" w:rsidRDefault="00201E53" w:rsidP="00201E53">
      <w:pPr>
        <w:pStyle w:val="NoSpacing"/>
        <w:ind w:firstLine="0"/>
      </w:pPr>
      <w:r w:rsidRPr="00FE7D4D">
        <w:t>where</w:t>
      </w:r>
      <w:r w:rsidR="006336B3" w:rsidRPr="00FE7D4D">
        <w:t xml:space="preserve"> </w:t>
      </w:r>
      <m:oMath>
        <m:sSub>
          <m:sSubPr>
            <m:ctrlPr>
              <w:rPr>
                <w:rFonts w:ascii="Cambria Math" w:hAnsi="Cambria Math"/>
                <w:i/>
                <w:snapToGrid w:val="0"/>
              </w:rPr>
            </m:ctrlPr>
          </m:sSubPr>
          <m:e>
            <m:r>
              <w:rPr>
                <w:rFonts w:ascii="Cambria Math" w:hAnsi="Cambria Math"/>
                <w:snapToGrid w:val="0"/>
              </w:rPr>
              <m:t>Pop</m:t>
            </m:r>
          </m:e>
          <m:sub>
            <m:r>
              <w:rPr>
                <w:rFonts w:ascii="Cambria Math" w:hAnsi="Cambria Math"/>
                <w:snapToGrid w:val="0"/>
              </w:rPr>
              <m:t>j</m:t>
            </m:r>
          </m:sub>
        </m:sSub>
      </m:oMath>
      <w:r w:rsidR="006336B3" w:rsidRPr="00FE7D4D">
        <w:t xml:space="preserve"> is the region’s population</w:t>
      </w:r>
      <w:r w:rsidR="00E56207" w:rsidRPr="00FE7D4D">
        <w:t xml:space="preserve"> </w:t>
      </w:r>
      <w:r w:rsidR="006336B3" w:rsidRPr="00FE7D4D">
        <w:t xml:space="preserve">for age range </w:t>
      </w:r>
      <w:r w:rsidR="00E56207" w:rsidRPr="00FE7D4D">
        <w:rPr>
          <w:i/>
        </w:rPr>
        <w:t>j</w:t>
      </w:r>
      <w:r w:rsidR="006336B3" w:rsidRPr="00FE7D4D">
        <w:t xml:space="preserve"> and</w:t>
      </w:r>
      <w:r w:rsidRPr="00FE7D4D">
        <w:t xml:space="preserve"> </w:t>
      </w:r>
      <m:oMath>
        <m:sSub>
          <m:sSubPr>
            <m:ctrlPr>
              <w:rPr>
                <w:rFonts w:ascii="Cambria Math" w:hAnsi="Cambria Math"/>
                <w:i/>
                <w:snapToGrid w:val="0"/>
              </w:rPr>
            </m:ctrlPr>
          </m:sSubPr>
          <m:e>
            <m:sSub>
              <m:sSubPr>
                <m:ctrlPr>
                  <w:rPr>
                    <w:rFonts w:ascii="Cambria Math" w:eastAsiaTheme="minorEastAsia" w:hAnsi="Cambria Math" w:cstheme="minorBidi"/>
                    <w:i/>
                    <w:snapToGrid w:val="0"/>
                  </w:rPr>
                </m:ctrlPr>
              </m:sSubPr>
              <m:e>
                <m:r>
                  <w:rPr>
                    <w:rFonts w:ascii="Cambria Math" w:hAnsi="Cambria Math"/>
                    <w:snapToGrid w:val="0"/>
                  </w:rPr>
                  <m:t>y</m:t>
                </m:r>
              </m:e>
              <m:sub>
                <m:r>
                  <w:rPr>
                    <w:rFonts w:ascii="Cambria Math" w:hAnsi="Cambria Math"/>
                    <w:snapToGrid w:val="0"/>
                  </w:rPr>
                  <m:t>0</m:t>
                </m:r>
              </m:sub>
            </m:sSub>
          </m:e>
          <m:sub>
            <m:r>
              <w:rPr>
                <w:rFonts w:ascii="Cambria Math" w:hAnsi="Cambria Math"/>
                <w:snapToGrid w:val="0"/>
              </w:rPr>
              <m:t>i,j</m:t>
            </m:r>
          </m:sub>
        </m:sSub>
      </m:oMath>
      <w:r w:rsidRPr="00FE7D4D">
        <w:t xml:space="preserve"> is the region’s annual average disease incidence for population</w:t>
      </w:r>
      <w:r w:rsidR="004E414F" w:rsidRPr="00FE7D4D">
        <w:t xml:space="preserve"> age</w:t>
      </w:r>
      <w:r w:rsidRPr="00FE7D4D">
        <w:t xml:space="preserve"> </w:t>
      </w:r>
      <w:r w:rsidR="006336B3" w:rsidRPr="00FE7D4D">
        <w:t xml:space="preserve">range </w:t>
      </w:r>
      <w:r w:rsidR="00EF327E" w:rsidRPr="00FE7D4D">
        <w:rPr>
          <w:i/>
        </w:rPr>
        <w:t>j</w:t>
      </w:r>
      <w:r w:rsidR="006336B3" w:rsidRPr="00FE7D4D">
        <w:t xml:space="preserve">, and </w:t>
      </w:r>
      <m:oMath>
        <m:sSub>
          <m:sSubPr>
            <m:ctrlPr>
              <w:rPr>
                <w:rFonts w:ascii="Cambria Math" w:hAnsi="Cambria Math"/>
                <w:i/>
                <w:snapToGrid w:val="0"/>
              </w:rPr>
            </m:ctrlPr>
          </m:sSubPr>
          <m:e>
            <m:acc>
              <m:accPr>
                <m:chr m:val="̅"/>
                <m:ctrlPr>
                  <w:rPr>
                    <w:rFonts w:ascii="Cambria Math" w:hAnsi="Cambria Math"/>
                    <w:i/>
                    <w:snapToGrid w:val="0"/>
                  </w:rPr>
                </m:ctrlPr>
              </m:accPr>
              <m:e>
                <m:r>
                  <w:rPr>
                    <w:rFonts w:ascii="Cambria Math" w:hAnsi="Cambria Math"/>
                    <w:snapToGrid w:val="0"/>
                  </w:rPr>
                  <m:t>RR</m:t>
                </m:r>
              </m:e>
            </m:acc>
          </m:e>
          <m:sub>
            <m:r>
              <w:rPr>
                <w:rFonts w:ascii="Cambria Math" w:hAnsi="Cambria Math"/>
                <w:snapToGrid w:val="0"/>
              </w:rPr>
              <m:t>i</m:t>
            </m:r>
          </m:sub>
        </m:sSub>
      </m:oMath>
      <w:r w:rsidR="006336B3" w:rsidRPr="00FE7D4D">
        <w:rPr>
          <w:snapToGrid w:val="0"/>
        </w:rPr>
        <w:t xml:space="preserve"> is the average population-weighted relative risk for endpoint </w:t>
      </w:r>
      <w:r w:rsidR="006336B3" w:rsidRPr="00FE7D4D">
        <w:rPr>
          <w:i/>
          <w:snapToGrid w:val="0"/>
        </w:rPr>
        <w:t>i</w:t>
      </w:r>
      <w:r w:rsidR="006336B3" w:rsidRPr="00FE7D4D">
        <w:t xml:space="preserve">, as shown in Equation </w:t>
      </w:r>
      <w:r w:rsidR="000446FD" w:rsidRPr="00FE7D4D">
        <w:t>S4</w:t>
      </w:r>
      <w:r w:rsidR="006336B3" w:rsidRPr="00FE7D4D">
        <w:t>.</w:t>
      </w:r>
      <w:r w:rsidR="007A7F71" w:rsidRPr="00D764B3">
        <w:fldChar w:fldCharType="begin"/>
      </w:r>
      <w:r w:rsidR="00701571" w:rsidRPr="00FE7D4D">
        <w:instrText xml:space="preserve"> ADDIN ZOTERO_ITEM CSL_CITATION {"citationID":"OWCSiM2u","properties":{"formattedCitation":"\\super 36\\nosupersub{}","plainCitation":"36","noteIndex":0},"citationItems":[{"id":"FcLQwGOa/MafmwXC6","uris":["http://zotero.org/users/327441/items/ACDQKZAK"],"uri":["http://zotero.org/users/327441/items/ACDQKZAK"],"itemData":{"id":3485,"type":"article-journal","title":"Addressing Global Mortality from Ambient PM&lt;sub&gt;2.5&lt;/sub&gt;","container-title":"Environmental Science &amp; Technology","page":"8057-8066","volume":"49","issue":"13","source":"Crossref","DOI":"10.1021/acs.est.5b01236","ISSN":"0013-936X, 1520-5851","language":"en","author":[{"family":"Apte","given":"Joshua S."},{"family":"Marshall","given":"Julian D."},{"family":"Cohen","given":"Aaron J."},{"family":"Brauer","given":"Michael"}],"issued":{"date-parts":[["2015",7,7]]}}}],"schema":"https://github.com/citation-style-language/schema/raw/master/csl-citation.json"} </w:instrText>
      </w:r>
      <w:r w:rsidR="007A7F71" w:rsidRPr="00AA0679">
        <w:fldChar w:fldCharType="separate"/>
      </w:r>
      <w:r w:rsidR="00290CA9" w:rsidRPr="00FE7D4D">
        <w:rPr>
          <w:rFonts w:cs="Times New Roman"/>
          <w:vertAlign w:val="superscript"/>
        </w:rPr>
        <w:t>36</w:t>
      </w:r>
      <w:r w:rsidR="007A7F71" w:rsidRPr="00D764B3">
        <w:fldChar w:fldCharType="end"/>
      </w:r>
    </w:p>
    <w:tbl>
      <w:tblPr>
        <w:tblpPr w:leftFromText="180" w:rightFromText="180" w:vertAnchor="text" w:horzAnchor="margin" w:tblpY="120"/>
        <w:tblW w:w="9536" w:type="dxa"/>
        <w:tblCellMar>
          <w:left w:w="70" w:type="dxa"/>
          <w:right w:w="70" w:type="dxa"/>
        </w:tblCellMar>
        <w:tblLook w:val="0000" w:firstRow="0" w:lastRow="0" w:firstColumn="0" w:lastColumn="0" w:noHBand="0" w:noVBand="0"/>
      </w:tblPr>
      <w:tblGrid>
        <w:gridCol w:w="8890"/>
        <w:gridCol w:w="646"/>
      </w:tblGrid>
      <w:tr w:rsidR="00BC21A7" w:rsidRPr="00FE7D4D" w14:paraId="15D33B96" w14:textId="77777777" w:rsidTr="00E33E51">
        <w:trPr>
          <w:trHeight w:val="427"/>
        </w:trPr>
        <w:tc>
          <w:tcPr>
            <w:tcW w:w="8890" w:type="dxa"/>
          </w:tcPr>
          <w:p w14:paraId="22A52C92" w14:textId="3923156C" w:rsidR="00BC21A7" w:rsidRPr="00FE7D4D" w:rsidRDefault="00AA0679" w:rsidP="006465CF">
            <w:pPr>
              <w:widowControl w:val="0"/>
              <w:spacing w:before="120" w:after="120" w:line="480" w:lineRule="auto"/>
              <w:jc w:val="center"/>
              <w:rPr>
                <w:snapToGrid w:val="0"/>
              </w:rPr>
            </w:pPr>
            <m:oMathPara>
              <m:oMath>
                <m:sSub>
                  <m:sSubPr>
                    <m:ctrlPr>
                      <w:rPr>
                        <w:rFonts w:ascii="Cambria Math" w:hAnsi="Cambria Math"/>
                        <w:i/>
                        <w:snapToGrid w:val="0"/>
                      </w:rPr>
                    </m:ctrlPr>
                  </m:sSubPr>
                  <m:e>
                    <m:acc>
                      <m:accPr>
                        <m:chr m:val="̅"/>
                        <m:ctrlPr>
                          <w:rPr>
                            <w:rFonts w:ascii="Cambria Math" w:hAnsi="Cambria Math"/>
                            <w:i/>
                            <w:snapToGrid w:val="0"/>
                          </w:rPr>
                        </m:ctrlPr>
                      </m:accPr>
                      <m:e>
                        <m:r>
                          <w:rPr>
                            <w:rFonts w:ascii="Cambria Math" w:hAnsi="Cambria Math"/>
                            <w:snapToGrid w:val="0"/>
                          </w:rPr>
                          <m:t>RR</m:t>
                        </m:r>
                      </m:e>
                    </m:acc>
                  </m:e>
                  <m:sub>
                    <m:r>
                      <w:rPr>
                        <w:rFonts w:ascii="Cambria Math" w:hAnsi="Cambria Math"/>
                        <w:snapToGrid w:val="0"/>
                      </w:rPr>
                      <m:t>i</m:t>
                    </m:r>
                  </m:sub>
                </m:sSub>
                <m:r>
                  <w:rPr>
                    <w:rFonts w:ascii="Cambria Math" w:hAnsi="Cambria Math"/>
                    <w:snapToGrid w:val="0"/>
                  </w:rPr>
                  <m:t>=</m:t>
                </m:r>
                <m:f>
                  <m:fPr>
                    <m:ctrlPr>
                      <w:rPr>
                        <w:rFonts w:ascii="Cambria Math" w:hAnsi="Cambria Math"/>
                        <w:i/>
                        <w:snapToGrid w:val="0"/>
                      </w:rPr>
                    </m:ctrlPr>
                  </m:fPr>
                  <m:num>
                    <m:nary>
                      <m:naryPr>
                        <m:chr m:val="∑"/>
                        <m:limLoc m:val="undOvr"/>
                        <m:ctrlPr>
                          <w:rPr>
                            <w:rFonts w:ascii="Cambria Math" w:hAnsi="Cambria Math"/>
                            <w:i/>
                            <w:snapToGrid w:val="0"/>
                          </w:rPr>
                        </m:ctrlPr>
                      </m:naryPr>
                      <m:sub>
                        <m:r>
                          <w:rPr>
                            <w:rFonts w:ascii="Cambria Math" w:hAnsi="Cambria Math"/>
                            <w:snapToGrid w:val="0"/>
                          </w:rPr>
                          <m:t>j=1</m:t>
                        </m:r>
                      </m:sub>
                      <m:sup>
                        <m:sSub>
                          <m:sSubPr>
                            <m:ctrlPr>
                              <w:rPr>
                                <w:rFonts w:ascii="Cambria Math" w:hAnsi="Cambria Math"/>
                                <w:i/>
                                <w:snapToGrid w:val="0"/>
                              </w:rPr>
                            </m:ctrlPr>
                          </m:sSubPr>
                          <m:e>
                            <m:r>
                              <w:rPr>
                                <w:rFonts w:ascii="Cambria Math" w:hAnsi="Cambria Math"/>
                                <w:snapToGrid w:val="0"/>
                              </w:rPr>
                              <m:t>N</m:t>
                            </m:r>
                          </m:e>
                          <m:sub>
                            <m:r>
                              <w:rPr>
                                <w:rFonts w:ascii="Cambria Math" w:hAnsi="Cambria Math"/>
                                <w:snapToGrid w:val="0"/>
                              </w:rPr>
                              <m:t>i</m:t>
                            </m:r>
                          </m:sub>
                        </m:sSub>
                      </m:sup>
                      <m:e>
                        <m:sSub>
                          <m:sSubPr>
                            <m:ctrlPr>
                              <w:rPr>
                                <w:rFonts w:ascii="Cambria Math" w:hAnsi="Cambria Math"/>
                                <w:i/>
                                <w:snapToGrid w:val="0"/>
                              </w:rPr>
                            </m:ctrlPr>
                          </m:sSubPr>
                          <m:e>
                            <m:r>
                              <w:rPr>
                                <w:rFonts w:ascii="Cambria Math" w:hAnsi="Cambria Math"/>
                                <w:snapToGrid w:val="0"/>
                              </w:rPr>
                              <m:t>Pop</m:t>
                            </m:r>
                          </m:e>
                          <m:sub>
                            <m:r>
                              <w:rPr>
                                <w:rFonts w:ascii="Cambria Math" w:hAnsi="Cambria Math"/>
                                <w:snapToGrid w:val="0"/>
                              </w:rPr>
                              <m:t>j</m:t>
                            </m:r>
                          </m:sub>
                        </m:sSub>
                        <m:sSub>
                          <m:sSubPr>
                            <m:ctrlPr>
                              <w:rPr>
                                <w:rFonts w:ascii="Cambria Math" w:hAnsi="Cambria Math"/>
                                <w:i/>
                                <w:snapToGrid w:val="0"/>
                              </w:rPr>
                            </m:ctrlPr>
                          </m:sSubPr>
                          <m:e>
                            <m:r>
                              <w:rPr>
                                <w:rFonts w:ascii="Cambria Math" w:hAnsi="Cambria Math"/>
                                <w:snapToGrid w:val="0"/>
                              </w:rPr>
                              <m:t>RR</m:t>
                            </m:r>
                          </m:e>
                          <m:sub>
                            <m:r>
                              <w:rPr>
                                <w:rFonts w:ascii="Cambria Math" w:hAnsi="Cambria Math"/>
                                <w:snapToGrid w:val="0"/>
                              </w:rPr>
                              <m:t>i,j</m:t>
                            </m:r>
                          </m:sub>
                        </m:sSub>
                        <m:d>
                          <m:dPr>
                            <m:ctrlPr>
                              <w:rPr>
                                <w:rFonts w:ascii="Cambria Math" w:hAnsi="Cambria Math"/>
                                <w:i/>
                                <w:snapToGrid w:val="0"/>
                              </w:rPr>
                            </m:ctrlPr>
                          </m:dPr>
                          <m:e>
                            <m:r>
                              <w:rPr>
                                <w:rFonts w:ascii="Cambria Math" w:hAnsi="Cambria Math"/>
                                <w:snapToGrid w:val="0"/>
                              </w:rPr>
                              <m:t>C</m:t>
                            </m:r>
                          </m:e>
                        </m:d>
                      </m:e>
                    </m:nary>
                  </m:num>
                  <m:den>
                    <m:nary>
                      <m:naryPr>
                        <m:chr m:val="∑"/>
                        <m:limLoc m:val="undOvr"/>
                        <m:ctrlPr>
                          <w:rPr>
                            <w:rFonts w:ascii="Cambria Math" w:hAnsi="Cambria Math"/>
                            <w:i/>
                            <w:snapToGrid w:val="0"/>
                          </w:rPr>
                        </m:ctrlPr>
                      </m:naryPr>
                      <m:sub>
                        <m:r>
                          <w:rPr>
                            <w:rFonts w:ascii="Cambria Math" w:hAnsi="Cambria Math"/>
                            <w:snapToGrid w:val="0"/>
                          </w:rPr>
                          <m:t>j=1</m:t>
                        </m:r>
                      </m:sub>
                      <m:sup>
                        <m:r>
                          <w:rPr>
                            <w:rFonts w:ascii="Cambria Math" w:hAnsi="Cambria Math"/>
                            <w:snapToGrid w:val="0"/>
                          </w:rPr>
                          <m:t>N</m:t>
                        </m:r>
                      </m:sup>
                      <m:e>
                        <m:sSub>
                          <m:sSubPr>
                            <m:ctrlPr>
                              <w:rPr>
                                <w:rFonts w:ascii="Cambria Math" w:hAnsi="Cambria Math"/>
                                <w:i/>
                                <w:snapToGrid w:val="0"/>
                              </w:rPr>
                            </m:ctrlPr>
                          </m:sSubPr>
                          <m:e>
                            <m:r>
                              <w:rPr>
                                <w:rFonts w:ascii="Cambria Math" w:hAnsi="Cambria Math"/>
                                <w:snapToGrid w:val="0"/>
                              </w:rPr>
                              <m:t>Pop</m:t>
                            </m:r>
                          </m:e>
                          <m:sub>
                            <m:r>
                              <w:rPr>
                                <w:rFonts w:ascii="Cambria Math" w:hAnsi="Cambria Math"/>
                                <w:snapToGrid w:val="0"/>
                              </w:rPr>
                              <m:t>j</m:t>
                            </m:r>
                          </m:sub>
                        </m:sSub>
                      </m:e>
                    </m:nary>
                  </m:den>
                </m:f>
              </m:oMath>
            </m:oMathPara>
          </w:p>
        </w:tc>
        <w:tc>
          <w:tcPr>
            <w:tcW w:w="646" w:type="dxa"/>
            <w:vAlign w:val="center"/>
          </w:tcPr>
          <w:p w14:paraId="35ABAB31" w14:textId="31ED2D5A" w:rsidR="00BC21A7" w:rsidRPr="00FE7D4D" w:rsidRDefault="00BC21A7" w:rsidP="00C1370A">
            <w:pPr>
              <w:widowControl w:val="0"/>
              <w:spacing w:before="120" w:after="120" w:line="480" w:lineRule="auto"/>
              <w:jc w:val="right"/>
              <w:rPr>
                <w:snapToGrid w:val="0"/>
              </w:rPr>
            </w:pPr>
            <w:r w:rsidRPr="00FE7D4D">
              <w:t>(</w:t>
            </w:r>
            <w:r w:rsidR="000446FD" w:rsidRPr="00FE7D4D">
              <w:t>S4</w:t>
            </w:r>
            <w:r w:rsidRPr="00FE7D4D">
              <w:t xml:space="preserve">) </w:t>
            </w:r>
          </w:p>
        </w:tc>
      </w:tr>
    </w:tbl>
    <w:p w14:paraId="091D407E" w14:textId="77777777" w:rsidR="007E22B1" w:rsidRPr="00FE7D4D" w:rsidRDefault="00E65500" w:rsidP="005C5AFE">
      <w:pPr>
        <w:pStyle w:val="NoSpacing"/>
        <w:ind w:firstLine="0"/>
      </w:pPr>
      <w:r w:rsidRPr="00FE7D4D">
        <w:t xml:space="preserve">where </w:t>
      </w:r>
      <m:oMath>
        <m:sSub>
          <m:sSubPr>
            <m:ctrlPr>
              <w:rPr>
                <w:rFonts w:ascii="Cambria Math" w:eastAsiaTheme="minorEastAsia" w:hAnsi="Cambria Math" w:cstheme="minorBidi"/>
                <w:i/>
                <w:snapToGrid w:val="0"/>
              </w:rPr>
            </m:ctrlPr>
          </m:sSubPr>
          <m:e>
            <m:r>
              <w:rPr>
                <w:rFonts w:ascii="Cambria Math" w:hAnsi="Cambria Math"/>
                <w:snapToGrid w:val="0"/>
              </w:rPr>
              <m:t>N</m:t>
            </m:r>
          </m:e>
          <m:sub>
            <m:r>
              <w:rPr>
                <w:rFonts w:ascii="Cambria Math" w:hAnsi="Cambria Math"/>
                <w:snapToGrid w:val="0"/>
              </w:rPr>
              <m:t>i</m:t>
            </m:r>
          </m:sub>
        </m:sSub>
      </m:oMath>
      <w:r w:rsidR="00C7474B" w:rsidRPr="00FE7D4D">
        <w:t xml:space="preserve"> is </w:t>
      </w:r>
      <w:r w:rsidRPr="00FE7D4D">
        <w:t xml:space="preserve">the total number of age ranges for </w:t>
      </w:r>
      <w:r w:rsidRPr="00FE7D4D">
        <w:rPr>
          <w:snapToGrid w:val="0"/>
        </w:rPr>
        <w:t xml:space="preserve">endpoint </w:t>
      </w:r>
      <w:r w:rsidRPr="00FE7D4D">
        <w:rPr>
          <w:i/>
          <w:snapToGrid w:val="0"/>
        </w:rPr>
        <w:t>i</w:t>
      </w:r>
      <w:r w:rsidRPr="00FE7D4D">
        <w:t xml:space="preserve">. </w:t>
      </w:r>
    </w:p>
    <w:p w14:paraId="2FD244FE" w14:textId="4FC278D8" w:rsidR="00545470" w:rsidRPr="00FE7D4D" w:rsidRDefault="00545470" w:rsidP="00701571">
      <w:pPr>
        <w:pStyle w:val="NoSpacing"/>
      </w:pPr>
      <w:r w:rsidRPr="00FE7D4D">
        <w:t xml:space="preserve">The IER methodology was developed in part because the </w:t>
      </w:r>
      <w:r w:rsidR="00E30DA6" w:rsidRPr="00FE7D4D">
        <w:t>exposure</w:t>
      </w:r>
      <w:r w:rsidR="00A52372" w:rsidRPr="00FE7D4D">
        <w:t xml:space="preserve">-response function </w:t>
      </w:r>
      <w:r w:rsidRPr="00FE7D4D">
        <w:t>in Equation 1</w:t>
      </w:r>
      <w:r w:rsidR="00A52372" w:rsidRPr="00FE7D4D">
        <w:t xml:space="preserve"> in the main text</w:t>
      </w:r>
      <w:r w:rsidRPr="00FE7D4D">
        <w:t xml:space="preserve"> is based on epidemiology cohort studies in the U.S. and Europe with outdoor PM</w:t>
      </w:r>
      <w:r w:rsidRPr="00FE7D4D">
        <w:rPr>
          <w:vertAlign w:val="subscript"/>
        </w:rPr>
        <w:t>2.5</w:t>
      </w:r>
      <w:r w:rsidRPr="00FE7D4D">
        <w:t xml:space="preserve"> concentrations typically below 30 µg/m</w:t>
      </w:r>
      <w:r w:rsidRPr="00FE7D4D">
        <w:rPr>
          <w:vertAlign w:val="superscript"/>
        </w:rPr>
        <w:t>3</w:t>
      </w:r>
      <w:r w:rsidRPr="00FE7D4D">
        <w:t>, which may not be representative for countries with much higher ambient air pollution levels</w:t>
      </w:r>
      <w:r w:rsidRPr="00D764B3">
        <w:fldChar w:fldCharType="begin"/>
      </w:r>
      <w:r w:rsidR="00701571" w:rsidRPr="00FE7D4D">
        <w:instrText xml:space="preserve"> ADDIN ZOTERO_ITEM CSL_CITATION {"citationID":"t7H6bYks","properties":{"formattedCitation":"\\super 37\\nosupersub{}","plainCitation":"37","noteIndex":0},"citationItems":[{"id":"FcLQwGOa/oGvrUb3x","uris":["http://zotero.org/users/327441/items/KX48B2FC"],"uri":["http://zotero.org/users/327441/items/KX48B2FC"],"itemData":{"id":2470,"type":"article-journal","title":"The contribution of outdoor air pollution sources to premature mortality on a global scale","container-title":"Nature","page":"367-371","volume":"525","issue":"7569","source":"CrossRef","DOI":"10.1038/nature15371","ISSN":"0028-0836, 1476-4687","author":[{"family":"Lelieveld","given":"J."},{"family":"Evans","given":"J. S."},{"family":"Fnais","given":"M."},{"family":"Giannadaki","given":"D."},{"family":"Pozzer","given":"A."}],"issued":{"date-parts":[["2015",9,16]]}}}],"schema":"https://github.com/citation-style-language/schema/raw/master/csl-citation.json"} </w:instrText>
      </w:r>
      <w:r w:rsidRPr="00AA0679">
        <w:fldChar w:fldCharType="separate"/>
      </w:r>
      <w:r w:rsidR="00701571" w:rsidRPr="00FE7D4D">
        <w:rPr>
          <w:rFonts w:cs="Times New Roman"/>
          <w:vertAlign w:val="superscript"/>
        </w:rPr>
        <w:t>37</w:t>
      </w:r>
      <w:r w:rsidRPr="00D764B3">
        <w:fldChar w:fldCharType="end"/>
      </w:r>
      <w:r w:rsidRPr="00FE7D4D">
        <w:t xml:space="preserve"> or for other, higher, PM</w:t>
      </w:r>
      <w:r w:rsidRPr="00FE7D4D">
        <w:rPr>
          <w:vertAlign w:val="subscript"/>
        </w:rPr>
        <w:t>2.5</w:t>
      </w:r>
      <w:r w:rsidRPr="00FE7D4D">
        <w:t xml:space="preserve"> exposures such as </w:t>
      </w:r>
      <w:r w:rsidR="00D309AE" w:rsidRPr="00FE7D4D">
        <w:t>secondhand- or active-</w:t>
      </w:r>
      <w:r w:rsidRPr="00FE7D4D">
        <w:t>smoking. Therefore, the IER methodology integrates estimates of the RR of multiple causes of mortality, including ischemic heart disease (IHD), cerebrovascular disease (stroke), chronic obstructive pulmonary disease (COPD), and lung cancer (LC) for adults over 25, as well as acute lower respiratory infection (ALRI) for children under 5, that have been associated with a wide range of PM</w:t>
      </w:r>
      <w:r w:rsidRPr="00FE7D4D">
        <w:rPr>
          <w:vertAlign w:val="subscript"/>
        </w:rPr>
        <w:t>2.5</w:t>
      </w:r>
      <w:r w:rsidRPr="00FE7D4D">
        <w:t xml:space="preserve"> exposure concentrations (i.e., from 0 to ~30,000 µg/m</w:t>
      </w:r>
      <w:r w:rsidRPr="00FE7D4D">
        <w:rPr>
          <w:vertAlign w:val="superscript"/>
        </w:rPr>
        <w:t>3</w:t>
      </w:r>
      <w:r w:rsidRPr="00FE7D4D">
        <w:t>) resulting from a variety of PM</w:t>
      </w:r>
      <w:r w:rsidRPr="00FE7D4D">
        <w:rPr>
          <w:vertAlign w:val="subscript"/>
        </w:rPr>
        <w:t>2.5</w:t>
      </w:r>
      <w:r w:rsidRPr="00FE7D4D">
        <w:t xml:space="preserve"> sources, including ambient air pollution, secondhand smoke, active smoking, and household air pollution. RR estimates are then converted to population-wide excess mortality estimates using age-specific mortality and demographic data. </w:t>
      </w:r>
    </w:p>
    <w:p w14:paraId="7DBDF528" w14:textId="5497DE38" w:rsidR="00A52372" w:rsidRPr="00FE7D4D" w:rsidRDefault="00545470" w:rsidP="00701571">
      <w:pPr>
        <w:spacing w:line="480" w:lineRule="auto"/>
        <w:ind w:firstLine="720"/>
      </w:pPr>
      <w:r w:rsidRPr="00FE7D4D">
        <w:lastRenderedPageBreak/>
        <w:t>As an example application of the IER approach, Cohen et al. (2015) estimated that approximately 88,400 deaths (95% CI: 66,800-115,000) were associated with outdoor PM</w:t>
      </w:r>
      <w:r w:rsidRPr="00FE7D4D">
        <w:rPr>
          <w:vertAlign w:val="subscript"/>
        </w:rPr>
        <w:t>2.5</w:t>
      </w:r>
      <w:r w:rsidRPr="00FE7D4D">
        <w:t xml:space="preserve"> exposures in the U.S. in 2015.</w:t>
      </w:r>
      <w:r w:rsidRPr="00FE7D4D">
        <w:fldChar w:fldCharType="begin"/>
      </w:r>
      <w:r w:rsidR="00701571" w:rsidRPr="00FE7D4D">
        <w:instrText xml:space="preserve"> ADDIN ZOTERO_ITEM CSL_CITATION {"citationID":"A3Wt9qFy","properties":{"formattedCitation":"\\super 39\\nosupersub{}","plainCitation":"39","noteIndex":0},"citationItems":[{"id":"FcLQwGOa/8DZ5FKj0","uris":["http://zotero.org/users/327441/items/XMJMJ74M"],"uri":["http://zotero.org/users/327441/items/XMJMJ74M"],"itemData":{"id":3464,"type":"article-journal","title":"Estimates and 25-year trends of the global burden of disease attributable to ambient air pollution: an analysis of data from the Global Burden of Diseases Study 2015","container-title":"The Lancet","page":"1907-1918","volume":"389","issue":"10082","source":"Crossref","DOI":"10.1016/S0140-6736(17)30505-6","ISSN":"01406736","shortTitle":"Estimates and 25-year trends of the global burden of disease attributable to ambient air pollution","language":"en","author":[{"family":"Cohen","given":"Aaron J"},{"family":"Brauer","given":"Michael"},{"family":"Burnett","given":"Richard"},{"family":"Anderson","given":"H Ross"},{"family":"Frostad","given":"Joseph"},{"family":"Estep","given":"Kara"},{"family":"Balakrishnan","given":"Kalpana"},{"family":"Brunekreef","given":"Bert"},{"family":"Dandona","given":"Lalit"},{"family":"Dandona","given":"Rakhi"},{"family":"Feigin","given":"Valery"},{"family":"Freedman","given":"Greg"},{"family":"Hubbell","given":"Bryan"},{"family":"Jobling","given":"Amelia"},{"family":"Kan","given":"Haidong"},{"family":"Knibbs","given":"Luke"},{"family":"Liu","given":"Yang"},{"family":"Martin","given":"Randall"},{"family":"Morawska","given":"Lidia"},{"family":"Pope","given":"C Arden"},{"family":"Shin","given":"Hwashin"},{"family":"Straif","given":"Kurt"},{"family":"Shaddick","given":"Gavin"},{"family":"Thomas","given":"Matthew"},{"family":"Dingenen","given":"Rita","non-dropping-particle":"van"},{"family":"Donkelaar","given":"Aaron","non-dropping-particle":"van"},{"family":"Vos","given":"Theo"},{"family":"Murray","given":"Christopher J L"},{"family":"Forouzanfar","given":"Mohammad H"}],"issued":{"date-parts":[["2017",5]]}}}],"schema":"https://github.com/citation-style-language/schema/raw/master/csl-citation.json"} </w:instrText>
      </w:r>
      <w:r w:rsidRPr="00AA0679">
        <w:fldChar w:fldCharType="separate"/>
      </w:r>
      <w:r w:rsidR="00290CA9" w:rsidRPr="00FE7D4D">
        <w:rPr>
          <w:rFonts w:cs="Times New Roman"/>
          <w:vertAlign w:val="superscript"/>
        </w:rPr>
        <w:t>39</w:t>
      </w:r>
      <w:r w:rsidRPr="00FE7D4D">
        <w:fldChar w:fldCharType="end"/>
      </w:r>
      <w:r w:rsidRPr="00FE7D4D">
        <w:t xml:space="preserve"> </w:t>
      </w:r>
      <w:r w:rsidR="004E414F" w:rsidRPr="00FE7D4D">
        <w:t>Similarly, Apte et al. (2015) estimated that approximately 103,000 deaths (CI unknown) were associated with outdoor PM</w:t>
      </w:r>
      <w:r w:rsidR="004E414F" w:rsidRPr="00FE7D4D">
        <w:rPr>
          <w:vertAlign w:val="subscript"/>
        </w:rPr>
        <w:t>2.5</w:t>
      </w:r>
      <w:r w:rsidR="004E414F" w:rsidRPr="00FE7D4D">
        <w:t xml:space="preserve"> exposures in the U.S. in 2010.</w:t>
      </w:r>
      <w:r w:rsidR="004E414F" w:rsidRPr="00FE7D4D">
        <w:fldChar w:fldCharType="begin"/>
      </w:r>
      <w:r w:rsidR="00701571" w:rsidRPr="00FE7D4D">
        <w:instrText xml:space="preserve"> ADDIN ZOTERO_ITEM CSL_CITATION {"citationID":"7wx5354Z","properties":{"formattedCitation":"\\super 36\\nosupersub{}","plainCitation":"36","noteIndex":0},"citationItems":[{"id":"FcLQwGOa/MafmwXC6","uris":["http://zotero.org/users/327441/items/ACDQKZAK"],"uri":["http://zotero.org/users/327441/items/ACDQKZAK"],"itemData":{"id":3485,"type":"article-journal","title":"Addressing Global Mortality from Ambient PM&lt;sub&gt;2.5&lt;/sub&gt;","container-title":"Environmental Science &amp; Technology","page":"8057-8066","volume":"49","issue":"13","source":"Crossref","DOI":"10.1021/acs.est.5b01236","ISSN":"0013-936X, 1520-5851","language":"en","author":[{"family":"Apte","given":"Joshua S."},{"family":"Marshall","given":"Julian D."},{"family":"Cohen","given":"Aaron J."},{"family":"Brauer","given":"Michael"}],"issued":{"date-parts":[["2015",7,7]]}}}],"schema":"https://github.com/citation-style-language/schema/raw/master/csl-citation.json"} </w:instrText>
      </w:r>
      <w:r w:rsidR="004E414F" w:rsidRPr="00AA0679">
        <w:fldChar w:fldCharType="separate"/>
      </w:r>
      <w:r w:rsidR="00290CA9" w:rsidRPr="00FE7D4D">
        <w:rPr>
          <w:rFonts w:cs="Times New Roman"/>
          <w:vertAlign w:val="superscript"/>
        </w:rPr>
        <w:t>36</w:t>
      </w:r>
      <w:r w:rsidR="004E414F" w:rsidRPr="00FE7D4D">
        <w:fldChar w:fldCharType="end"/>
      </w:r>
      <w:r w:rsidR="004E414F" w:rsidRPr="00FE7D4D">
        <w:t xml:space="preserve"> </w:t>
      </w:r>
      <w:r w:rsidR="00A52372" w:rsidRPr="00FE7D4D">
        <w:t>As another example, Wang et al. (2017)</w:t>
      </w:r>
      <w:r w:rsidR="0045121D" w:rsidRPr="00FE7D4D">
        <w:fldChar w:fldCharType="begin"/>
      </w:r>
      <w:r w:rsidR="00701571" w:rsidRPr="00FE7D4D">
        <w:instrText xml:space="preserve"> ADDIN ZOTERO_ITEM CSL_CITATION {"citationID":"AyPDXJAP","properties":{"formattedCitation":"\\super 42\\nosupersub{}","plainCitation":"42","noteIndex":0},"citationItems":[{"id":"FcLQwGOa/qWxjQwKC","uris":["http://zotero.org/users/327441/items/XSQUJ7D4"],"uri":["http://zotero.org/users/327441/items/XSQUJ7D4"],"itemData":{"id":3541,"type":"article-journal","title":"Historical Trends in PM2.5-Related Premature Mortality during 1990–2010 across the Northern Hemisphere","container-title":"Environmental Health Perspectives","volume":"125","issue":"3","source":"Crossref","URL":"http://ehp.niehs.nih.gov/EHP298","DOI":"10.1289/EHP298","ISSN":"0091-6765","author":[{"family":"Wang","given":"Jiandong"},{"family":"Xing","given":"Jia"},{"family":"Mathur","given":"Rohit"},{"family":"Pleim","given":"Jonathan E."},{"family":"Wang","given":"Shuxiao"},{"family":"Hogrefe","given":"Christian"},{"family":"Gan","given":"Chuen-Meei"},{"family":"Wong","given":"David C."},{"family":"Hao","given":"Jiming"}],"issued":{"date-parts":[["2016",8,19]]},"accessed":{"date-parts":[["2018",6,13]]}}}],"schema":"https://github.com/citation-style-language/schema/raw/master/csl-citation.json"} </w:instrText>
      </w:r>
      <w:r w:rsidR="0045121D" w:rsidRPr="00AA0679">
        <w:fldChar w:fldCharType="separate"/>
      </w:r>
      <w:r w:rsidR="0045121D" w:rsidRPr="00FE7D4D">
        <w:rPr>
          <w:rFonts w:cs="Times New Roman"/>
          <w:vertAlign w:val="superscript"/>
        </w:rPr>
        <w:t>42</w:t>
      </w:r>
      <w:r w:rsidR="0045121D" w:rsidRPr="00FE7D4D">
        <w:fldChar w:fldCharType="end"/>
      </w:r>
      <w:r w:rsidR="00A52372" w:rsidRPr="00FE7D4D">
        <w:t xml:space="preserve"> used the </w:t>
      </w:r>
      <w:r w:rsidR="008656EF" w:rsidRPr="00FE7D4D">
        <w:t>IER model</w:t>
      </w:r>
      <w:r w:rsidR="00145414" w:rsidRPr="00FE7D4D">
        <w:t xml:space="preserve"> – combined</w:t>
      </w:r>
      <w:r w:rsidR="008656EF" w:rsidRPr="00FE7D4D">
        <w:t xml:space="preserve"> </w:t>
      </w:r>
      <w:r w:rsidR="00A52372" w:rsidRPr="00FE7D4D">
        <w:t>with look-up tables for RR values across a range of ambient PM</w:t>
      </w:r>
      <w:r w:rsidR="00A52372" w:rsidRPr="00FE7D4D">
        <w:rPr>
          <w:vertAlign w:val="subscript"/>
        </w:rPr>
        <w:t>2.5</w:t>
      </w:r>
      <w:r w:rsidR="00A52372" w:rsidRPr="00FE7D4D">
        <w:t xml:space="preserve"> concentrations from 5.8 to 410 µg/m</w:t>
      </w:r>
      <w:r w:rsidR="00A52372" w:rsidRPr="00FE7D4D">
        <w:rPr>
          <w:vertAlign w:val="superscript"/>
        </w:rPr>
        <w:t>3</w:t>
      </w:r>
      <w:r w:rsidR="00A52372" w:rsidRPr="00FE7D4D">
        <w:t xml:space="preserve"> </w:t>
      </w:r>
      <w:r w:rsidR="00145414" w:rsidRPr="00FE7D4D">
        <w:t xml:space="preserve">provided by Apte et al. </w:t>
      </w:r>
      <w:r w:rsidR="00453FA9" w:rsidRPr="00FE7D4D">
        <w:t>(</w:t>
      </w:r>
      <w:r w:rsidR="00145414" w:rsidRPr="00FE7D4D">
        <w:t>2015</w:t>
      </w:r>
      <w:r w:rsidR="00453FA9" w:rsidRPr="00FE7D4D">
        <w:t>)</w:t>
      </w:r>
      <w:r w:rsidR="00453FA9" w:rsidRPr="00FE7D4D">
        <w:fldChar w:fldCharType="begin"/>
      </w:r>
      <w:r w:rsidR="005A1081" w:rsidRPr="00FE7D4D">
        <w:instrText xml:space="preserve"> ADDIN ZOTERO_ITEM CSL_CITATION {"citationID":"tnYj6fyy","properties":{"formattedCitation":"\\super 37\\nosupersub{}","plainCitation":"37","noteIndex":0},"citationItems":[{"id":3485,"uris":["http://zotero.org/users/327441/items/ACDQKZAK"],"uri":["http://zotero.org/users/327441/items/ACDQKZAK"],"itemData":{"id":3485,"type":"article-journal","title":"Addressing Global Mortality from Ambient PM&lt;sub&gt;2.5&lt;/sub&gt;","container-title":"Environmental Science &amp; Technology","page":"8057-8066","volume":"49","issue":"13","source":"Crossref","DOI":"10.1021/acs.est.5b01236","ISSN":"0013-936X, 1520-5851","language":"en","author":[{"family":"Apte","given":"Joshua S."},{"family":"Marshall","given":"Julian D."},{"family":"Cohen","given":"Aaron J."},{"family":"Brauer","given":"Michael"}],"issued":{"date-parts":[["2015",7,7]]}}}],"schema":"https://github.com/citation-style-language/schema/raw/master/csl-citation.json"} </w:instrText>
      </w:r>
      <w:r w:rsidR="00453FA9" w:rsidRPr="00AA0679">
        <w:fldChar w:fldCharType="separate"/>
      </w:r>
      <w:r w:rsidR="00EF06F0" w:rsidRPr="00FE7D4D">
        <w:rPr>
          <w:rFonts w:cs="Times New Roman"/>
          <w:vertAlign w:val="superscript"/>
        </w:rPr>
        <w:t>37</w:t>
      </w:r>
      <w:r w:rsidR="00453FA9" w:rsidRPr="00FE7D4D">
        <w:fldChar w:fldCharType="end"/>
      </w:r>
      <w:r w:rsidR="00145414" w:rsidRPr="00FE7D4D">
        <w:t xml:space="preserve"> – to estimate the mortality burden associated with ambient PM</w:t>
      </w:r>
      <w:r w:rsidR="00145414" w:rsidRPr="00FE7D4D">
        <w:rPr>
          <w:vertAlign w:val="subscript"/>
        </w:rPr>
        <w:t>2.5</w:t>
      </w:r>
      <w:r w:rsidR="00145414" w:rsidRPr="00FE7D4D">
        <w:t xml:space="preserve"> exposure in high-income North America (i.e., Canada and the U.S.) to be</w:t>
      </w:r>
      <w:r w:rsidR="004E414F" w:rsidRPr="00FE7D4D">
        <w:t xml:space="preserve"> only</w:t>
      </w:r>
      <w:r w:rsidR="00145414" w:rsidRPr="00FE7D4D">
        <w:t xml:space="preserve"> ~51,000 deaths in 2010.</w:t>
      </w:r>
      <w:r w:rsidR="00A44E55" w:rsidRPr="00FE7D4D">
        <w:t xml:space="preserve"> We approximate the U.S. mortality burden from this </w:t>
      </w:r>
      <w:r w:rsidR="004E414F" w:rsidRPr="00FE7D4D">
        <w:t xml:space="preserve">same </w:t>
      </w:r>
      <w:r w:rsidR="00A44E55" w:rsidRPr="00FE7D4D">
        <w:t xml:space="preserve">estimate to be </w:t>
      </w:r>
      <w:r w:rsidR="008C5A11" w:rsidRPr="00FE7D4D">
        <w:t xml:space="preserve">in the range of </w:t>
      </w:r>
      <w:r w:rsidR="00A44E55" w:rsidRPr="00FE7D4D">
        <w:t>~45,000 given that Canada ha</w:t>
      </w:r>
      <w:r w:rsidR="007A3338" w:rsidRPr="00FE7D4D">
        <w:t>d</w:t>
      </w:r>
      <w:r w:rsidR="00A44E55" w:rsidRPr="00FE7D4D">
        <w:t xml:space="preserve"> ~11% of the population of the U.S. </w:t>
      </w:r>
      <w:r w:rsidR="007A3338" w:rsidRPr="00FE7D4D">
        <w:t>in 2010.</w:t>
      </w:r>
      <w:r w:rsidR="00391D20" w:rsidRPr="00FE7D4D">
        <w:t xml:space="preserve"> </w:t>
      </w:r>
      <w:r w:rsidR="00136D0A" w:rsidRPr="00FE7D4D">
        <w:t xml:space="preserve">Another </w:t>
      </w:r>
      <w:r w:rsidR="00970D54" w:rsidRPr="00AA0679">
        <w:t xml:space="preserve">more </w:t>
      </w:r>
      <w:r w:rsidR="00136D0A" w:rsidRPr="00FE7D4D">
        <w:t>recent study introduce</w:t>
      </w:r>
      <w:r w:rsidR="00970D54" w:rsidRPr="00AA0679">
        <w:t>d</w:t>
      </w:r>
      <w:r w:rsidR="00136D0A" w:rsidRPr="00FE7D4D">
        <w:t xml:space="preserve"> the Global Exposure Mortality Model (GEMM)</w:t>
      </w:r>
      <w:r w:rsidR="00970D54" w:rsidRPr="00AA0679">
        <w:t>, building on the IER model,</w:t>
      </w:r>
      <w:r w:rsidR="00136D0A" w:rsidRPr="00FE7D4D">
        <w:t xml:space="preserve"> for estimating global mortality associated with ambient PM</w:t>
      </w:r>
      <w:r w:rsidR="00136D0A" w:rsidRPr="00AA0679">
        <w:rPr>
          <w:vertAlign w:val="subscript"/>
        </w:rPr>
        <w:t>2.5</w:t>
      </w:r>
      <w:r w:rsidR="00136D0A" w:rsidRPr="00FE7D4D">
        <w:t xml:space="preserve"> exposures</w:t>
      </w:r>
      <w:r w:rsidR="0039268B" w:rsidRPr="00FE7D4D">
        <w:t>. Their estimat</w:t>
      </w:r>
      <w:r w:rsidR="00FB3EC2" w:rsidRPr="00FE7D4D">
        <w:t>e</w:t>
      </w:r>
      <w:r w:rsidR="0039268B" w:rsidRPr="00FE7D4D">
        <w:t xml:space="preserve"> of excess </w:t>
      </w:r>
      <w:r w:rsidR="00970D54" w:rsidRPr="00AA0679">
        <w:t xml:space="preserve">all-cause </w:t>
      </w:r>
      <w:r w:rsidR="0039268B" w:rsidRPr="00FE7D4D">
        <w:t xml:space="preserve">mortality </w:t>
      </w:r>
      <w:r w:rsidR="00970D54" w:rsidRPr="00AA0679">
        <w:t>attributable</w:t>
      </w:r>
      <w:r w:rsidR="0039268B" w:rsidRPr="00FE7D4D">
        <w:t xml:space="preserve"> to ambient PM</w:t>
      </w:r>
      <w:r w:rsidR="0039268B" w:rsidRPr="00FE7D4D">
        <w:rPr>
          <w:vertAlign w:val="subscript"/>
        </w:rPr>
        <w:t>2.5</w:t>
      </w:r>
      <w:r w:rsidR="0039268B" w:rsidRPr="00FE7D4D">
        <w:t xml:space="preserve">  in North America</w:t>
      </w:r>
      <w:r w:rsidR="00970D54" w:rsidRPr="00AA0679">
        <w:t xml:space="preserve"> in 2015</w:t>
      </w:r>
      <w:r w:rsidR="0039268B" w:rsidRPr="00FE7D4D">
        <w:t xml:space="preserve"> </w:t>
      </w:r>
      <w:r w:rsidR="00970D54" w:rsidRPr="00AA0679">
        <w:t>was</w:t>
      </w:r>
      <w:r w:rsidR="00FB3EC2" w:rsidRPr="00FE7D4D">
        <w:t xml:space="preserve"> </w:t>
      </w:r>
      <w:r w:rsidR="00970D54" w:rsidRPr="00AA0679">
        <w:t>~</w:t>
      </w:r>
      <w:r w:rsidR="00FB3EC2" w:rsidRPr="00FE7D4D">
        <w:t xml:space="preserve">213,000 </w:t>
      </w:r>
      <w:r w:rsidR="0039268B" w:rsidRPr="00FE7D4D">
        <w:t xml:space="preserve">deaths, while the same estimate using </w:t>
      </w:r>
      <w:r w:rsidR="00970D54" w:rsidRPr="00AA0679">
        <w:t xml:space="preserve">the </w:t>
      </w:r>
      <w:r w:rsidR="0039268B" w:rsidRPr="00FE7D4D">
        <w:t>IER approach was only 95,000</w:t>
      </w:r>
      <w:r w:rsidR="00D764B3">
        <w:t>, suggesting that the IER model underestimates all-cause mortality</w:t>
      </w:r>
      <w:bookmarkStart w:id="4" w:name="_GoBack"/>
      <w:bookmarkEnd w:id="4"/>
      <w:r w:rsidR="00970D54" w:rsidRPr="00AA0679">
        <w:t>.</w:t>
      </w:r>
      <w:r w:rsidR="00701571" w:rsidRPr="00FE7D4D">
        <w:fldChar w:fldCharType="begin"/>
      </w:r>
      <w:r w:rsidR="00701571" w:rsidRPr="00FE7D4D">
        <w:instrText xml:space="preserve"> ADDIN ZOTERO_ITEM CSL_CITATION {"citationID":"pNJGnS3b","properties":{"formattedCitation":"\\super 43\\nosupersub{}","plainCitation":"43","noteIndex":0},"citationItems":[{"id":104,"uris":["http://zotero.org/users/local/aid6iayj/items/PKT386B3"],"uri":["http://zotero.org/users/local/aid6iayj/items/PKT386B3"],"itemData":{"id":104,"type":"article-journal","title":"Global estimates of mortality associated with long-term exposure to outdoor fine particulate matter","container-title":"Proceedings of the National Academy of Sciences","page":"201803222","source":"www.pnas.org","abstract":"Exposure to ambient fine particulate matter (PM2.5) is a major global health concern. Quantitative estimates of attributable mortality are based on disease-specific hazard ratio models that incorporate risk information from multiple PM2.5 sources (outdoor and indoor air pollution from use of solid fuels and secondhand and active smoking), requiring assumptions about equivalent exposure and toxicity. We relax these contentious assumptions by constructing a PM2.5-mortality hazard ratio function based only on cohort studies of outdoor air pollution that covers the global exposure range. We modeled the shape of the association between PM2.5 and nonaccidental mortality using data from 41 cohorts from 16 countries—the Global Exposure Mortality Model (GEMM). We then constructed GEMMs for five specific causes of death examined by the global burden of disease (GBD). The GEMM predicts 8.9 million [95% confidence interval (CI): 7.5–10.3] deaths in 2015, a figure 30% larger than that predicted by the sum of deaths among the five specific causes (6.9; 95% CI: 4.9–8.5) and 120% larger than the risk function used in the GBD (4.0; 95% CI: 3.3–4.8). Differences between the GEMM and GBD risk functions are larger for a 20% reduction in concentrations, with the GEMM predicting 220% higher excess deaths. These results suggest that PM2.5 exposure may be related to additional causes of death than the five considered by the GBD and that incorporation of risk information from other, nonoutdoor, particle sources leads to underestimation of disease burden, especially at higher concentrations.","DOI":"10.1073/pnas.1803222115","ISSN":"0027-8424, 1091-6490","note":"PMID: 30181279","journalAbbreviation":"PNAS","language":"en","author":[{"family":"Burnett","given":"Richard"},{"family":"Chen","given":"Hong"},{"family":"Szyszkowicz","given":"Mieczysław"},{"family":"Fann","given":"Neal"},{"family":"Hubbell","given":"Bryan"},{"family":"Pope","given":"C. Arden"},{"family":"Apte","given":"Joshua S."},{"family":"Brauer","given":"Michael"},{"family":"Cohen","given":"Aaron"},{"family":"Weichenthal","given":"Scott"},{"family":"Coggins","given":"Jay"},{"family":"Di","given":"Qian"},{"family":"Brunekreef","given":"Bert"},{"family":"Frostad","given":"Joseph"},{"family":"Lim","given":"Stephen S."},{"family":"Kan","given":"Haidong"},{"family":"Walker","given":"Katherine D."},{"family":"Thurston","given":"George D."},{"family":"Hayes","given":"Richard B."},{"family":"Lim","given":"Chris C."},{"family":"Turner","given":"Michelle C."},{"family":"Jerrett","given":"Michael"},{"family":"Krewski","given":"Daniel"},{"family":"Gapstur","given":"Susan M."},{"family":"Diver","given":"W. Ryan"},{"family":"Ostro","given":"Bart"},{"family":"Goldberg","given":"Debbie"},{"family":"Crouse","given":"Daniel L."},{"family":"Martin","given":"Randall V."},{"family":"Peters","given":"Paul"},{"family":"Pinault","given":"Lauren"},{"family":"Tjepkema","given":"Michael"},{"family":"Donkelaar","given":"Aaron","dropping-particle":"van"},{"family":"Villeneuve","given":"Paul J."},{"family":"Miller","given":"Anthony B."},{"family":"Yin","given":"Peng"},{"family":"Zhou","given":"Maigeng"},{"family":"Wang","given":"Lijun"},{"family":"Janssen","given":"Nicole A. H."},{"family":"Marra","given":"Marten"},{"family":"Atkinson","given":"Richard W."},{"family":"Tsang","given":"Hilda"},{"family":"Thach","given":"Thuan Quoc"},{"family":"Cannon","given":"John B."},{"family":"Allen","given":"Ryan T."},{"family":"Hart","given":"Jaime E."},{"family":"Laden","given":"Francine"},{"family":"Cesaroni","given":"Giulia"},{"family":"Forastiere","given":"Francesco"},{"family":"Weinmayr","given":"Gudrun"},{"family":"Jaensch","given":"Andrea"},{"family":"Nagel","given":"Gabriele"},{"family":"Concin","given":"Hans"},{"family":"Spadaro","given":"Joseph V."}],"issued":{"date-parts":[["2018",8,29]]}}}],"schema":"https://github.com/citation-style-language/schema/raw/master/csl-citation.json"} </w:instrText>
      </w:r>
      <w:r w:rsidR="00701571" w:rsidRPr="00AA0679">
        <w:fldChar w:fldCharType="separate"/>
      </w:r>
      <w:r w:rsidR="00701571" w:rsidRPr="00FE7D4D">
        <w:rPr>
          <w:rFonts w:cs="Times New Roman"/>
          <w:vertAlign w:val="superscript"/>
        </w:rPr>
        <w:t>43</w:t>
      </w:r>
      <w:r w:rsidR="00701571" w:rsidRPr="00FE7D4D">
        <w:fldChar w:fldCharType="end"/>
      </w:r>
      <w:r w:rsidR="00FB3EC2" w:rsidRPr="00FE7D4D">
        <w:t xml:space="preserve"> </w:t>
      </w:r>
    </w:p>
    <w:p w14:paraId="30EBD154" w14:textId="151B9286" w:rsidR="00A94C0D" w:rsidRPr="00FE7D4D" w:rsidRDefault="00A94C0D" w:rsidP="00701571">
      <w:pPr>
        <w:spacing w:line="480" w:lineRule="auto"/>
        <w:ind w:firstLine="720"/>
      </w:pPr>
      <w:r w:rsidRPr="00FE7D4D">
        <w:t xml:space="preserve">For comparison purposes, we re-ran a version of </w:t>
      </w:r>
      <w:r w:rsidR="00F811EF" w:rsidRPr="00FE7D4D">
        <w:t xml:space="preserve">Scenario 1 </w:t>
      </w:r>
      <w:r w:rsidRPr="00FE7D4D">
        <w:t xml:space="preserve">using the IER </w:t>
      </w:r>
      <w:r w:rsidR="00EF4951" w:rsidRPr="00FE7D4D">
        <w:t xml:space="preserve">model </w:t>
      </w:r>
      <w:r w:rsidRPr="00FE7D4D">
        <w:t>approach</w:t>
      </w:r>
      <w:r w:rsidR="00EF4951" w:rsidRPr="00FE7D4D">
        <w:t xml:space="preserve"> (i.e., substituting Equations S1-</w:t>
      </w:r>
      <w:r w:rsidR="00645C0B" w:rsidRPr="00FE7D4D">
        <w:t>S</w:t>
      </w:r>
      <w:r w:rsidR="00EF4951" w:rsidRPr="00FE7D4D">
        <w:t>4 for Equation 1</w:t>
      </w:r>
      <w:r w:rsidR="00F811EF" w:rsidRPr="00FE7D4D">
        <w:t xml:space="preserve"> in the Monte Carlo analysis</w:t>
      </w:r>
      <w:r w:rsidR="00EF4951" w:rsidRPr="00FE7D4D">
        <w:t>)</w:t>
      </w:r>
      <w:r w:rsidRPr="00FE7D4D">
        <w:t xml:space="preserve"> to estimate the premature mortality for adults 35 years and older attributable to IHD, stroke, COPD, and LC</w:t>
      </w:r>
      <w:r w:rsidR="00F811EF" w:rsidRPr="00FE7D4D">
        <w:t>. W</w:t>
      </w:r>
      <w:r w:rsidRPr="00FE7D4D">
        <w:t>e excluded ALRI in young children because of its extre</w:t>
      </w:r>
      <w:r w:rsidR="00F811EF" w:rsidRPr="00FE7D4D">
        <w:t>mely low prevalence in the U.S</w:t>
      </w:r>
      <w:r w:rsidRPr="00FE7D4D">
        <w:t>. W</w:t>
      </w:r>
      <w:r w:rsidR="003E65DD" w:rsidRPr="00FE7D4D">
        <w:t>e</w:t>
      </w:r>
      <w:r w:rsidR="006E1A42" w:rsidRPr="00FE7D4D">
        <w:t xml:space="preserve"> considered one age range (i.e.</w:t>
      </w:r>
      <w:r w:rsidRPr="00FE7D4D">
        <w:t>,</w:t>
      </w:r>
      <w:r w:rsidR="006E1A42" w:rsidRPr="00FE7D4D">
        <w:t xml:space="preserve"> 35 years </w:t>
      </w:r>
      <w:r w:rsidRPr="00FE7D4D">
        <w:t xml:space="preserve">and </w:t>
      </w:r>
      <w:r w:rsidR="006E1A42" w:rsidRPr="00FE7D4D">
        <w:t>old</w:t>
      </w:r>
      <w:r w:rsidRPr="00FE7D4D">
        <w:t>er</w:t>
      </w:r>
      <w:r w:rsidR="006E1A42" w:rsidRPr="00FE7D4D">
        <w:t>) for COPD and LC, and ten age ranges for IHD and stroke</w:t>
      </w:r>
      <w:r w:rsidRPr="00FE7D4D">
        <w:t xml:space="preserve"> (i.e., 35-40, 40-45, 45-50, 50-55, 55-60, 60-65, 65-70, 70-75, 75-80, and +80 years old)</w:t>
      </w:r>
      <w:r w:rsidR="006E1A42" w:rsidRPr="00FE7D4D">
        <w:t>. Table S3 summarizes the</w:t>
      </w:r>
      <w:r w:rsidRPr="00FE7D4D">
        <w:t xml:space="preserve"> population and disease incidence for each of these age groups and disease conditions gathered from the CDC WONDER system.</w:t>
      </w:r>
      <w:r w:rsidRPr="00FE7D4D">
        <w:fldChar w:fldCharType="begin"/>
      </w:r>
      <w:r w:rsidR="00701571" w:rsidRPr="00FE7D4D">
        <w:instrText xml:space="preserve"> ADDIN ZOTERO_ITEM CSL_CITATION {"citationID":"VAksquDP","properties":{"formattedCitation":"\\super 44\\nosupersub{}","plainCitation":"44","noteIndex":0},"citationItems":[{"id":"FcLQwGOa/LLuXiR0L","uris":["http://zotero.org/users/327441/items/E7AGMY6T"],"uri":["http://zotero.org/users/327441/items/E7AGMY6T"],"itemData":{"id":3507,"type":"post-weblog","title":"National Center for Health Statistics WONDER Online Database: Compressed Mortality File 1999-2016 Series 20, No. 2V","container-title":"CDC WONDER","URL":"https://wonder.cdc.gov/cmf-icd10.htm","author":[{"family":"CDC","given":""}],"issued":{"date-parts":[["2017"]]},"accessed":{"date-parts":[["2018",5,22]]}}}],"schema":"https://github.com/citation-style-language/schema/raw/master/csl-citation.json"} </w:instrText>
      </w:r>
      <w:r w:rsidRPr="00AA0679">
        <w:fldChar w:fldCharType="separate"/>
      </w:r>
      <w:r w:rsidR="00701571" w:rsidRPr="00FE7D4D">
        <w:rPr>
          <w:rFonts w:cs="Times New Roman"/>
          <w:vertAlign w:val="superscript"/>
        </w:rPr>
        <w:t>44</w:t>
      </w:r>
      <w:r w:rsidRPr="00FE7D4D">
        <w:fldChar w:fldCharType="end"/>
      </w:r>
      <w:r w:rsidR="0045121D" w:rsidRPr="00FE7D4D">
        <w:t xml:space="preserve"> We used the RR </w:t>
      </w:r>
      <w:r w:rsidR="0045121D" w:rsidRPr="00FE7D4D">
        <w:lastRenderedPageBreak/>
        <w:t>look-up tables from Apte et al. (2015)</w:t>
      </w:r>
      <w:r w:rsidR="0045121D" w:rsidRPr="00FE7D4D">
        <w:fldChar w:fldCharType="begin"/>
      </w:r>
      <w:r w:rsidR="005A1081" w:rsidRPr="00FE7D4D">
        <w:instrText xml:space="preserve"> ADDIN ZOTERO_ITEM CSL_CITATION {"citationID":"nrBIjBut","properties":{"formattedCitation":"\\super 37\\nosupersub{}","plainCitation":"37","noteIndex":0},"citationItems":[{"id":3485,"uris":["http://zotero.org/users/327441/items/ACDQKZAK"],"uri":["http://zotero.org/users/327441/items/ACDQKZAK"],"itemData":{"id":3485,"type":"article-journal","title":"Addressing Global Mortality from Ambient PM&lt;sub&gt;2.5&lt;/sub&gt;","container-title":"Environmental Science &amp; Technology","page":"8057-8066","volume":"49","issue":"13","source":"Crossref","DOI":"10.1021/acs.est.5b01236","ISSN":"0013-936X, 1520-5851","language":"en","author":[{"family":"Apte","given":"Joshua S."},{"family":"Marshall","given":"Julian D."},{"family":"Cohen","given":"Aaron J."},{"family":"Brauer","given":"Michael"}],"issued":{"date-parts":[["2015",7,7]]}}}],"schema":"https://github.com/citation-style-language/schema/raw/master/csl-citation.json"} </w:instrText>
      </w:r>
      <w:r w:rsidR="0045121D" w:rsidRPr="00AA0679">
        <w:fldChar w:fldCharType="separate"/>
      </w:r>
      <w:r w:rsidR="0045121D" w:rsidRPr="00FE7D4D">
        <w:rPr>
          <w:rFonts w:cs="Times New Roman"/>
          <w:vertAlign w:val="superscript"/>
        </w:rPr>
        <w:t>37</w:t>
      </w:r>
      <w:r w:rsidR="0045121D" w:rsidRPr="00FE7D4D">
        <w:fldChar w:fldCharType="end"/>
      </w:r>
      <w:r w:rsidR="0045121D" w:rsidRPr="00FE7D4D">
        <w:t xml:space="preserve"> similar to Wang et al. (2017)</w:t>
      </w:r>
      <w:r w:rsidR="0045121D" w:rsidRPr="00FE7D4D">
        <w:fldChar w:fldCharType="begin"/>
      </w:r>
      <w:r w:rsidR="005A1081" w:rsidRPr="00FE7D4D">
        <w:instrText xml:space="preserve"> ADDIN ZOTERO_ITEM CSL_CITATION {"citationID":"tSnk8bJy","properties":{"formattedCitation":"\\super 42\\nosupersub{}","plainCitation":"42","noteIndex":0},"citationItems":[{"id":3541,"uris":["http://zotero.org/users/327441/items/XSQUJ7D4"],"uri":["http://zotero.org/users/327441/items/XSQUJ7D4"],"itemData":{"id":3541,"type":"article-journal","title":"Historical Trends in PM2.5-Related Premature Mortality during 1990–2010 across the Northern Hemisphere","container-title":"Environmental Health Perspectives","volume":"125","issue":"3","source":"Crossref","URL":"http://ehp.niehs.nih.gov/EHP298","DOI":"10.1289/EHP298","ISSN":"0091-6765","author":[{"family":"Wang","given":"Jiandong"},{"family":"Xing","given":"Jia"},{"family":"Mathur","given":"Rohit"},{"family":"Pleim","given":"Jonathan E."},{"family":"Wang","given":"Shuxiao"},{"family":"Hogrefe","given":"Christian"},{"family":"Gan","given":"Chuen-Meei"},{"family":"Wong","given":"David C."},{"family":"Hao","given":"Jiming"}],"issued":{"date-parts":[["2016",8,19]]},"accessed":{"date-parts":[["2018",6,13]]}}}],"schema":"https://github.com/citation-style-language/schema/raw/master/csl-citation.json"} </w:instrText>
      </w:r>
      <w:r w:rsidR="0045121D" w:rsidRPr="00AA0679">
        <w:fldChar w:fldCharType="separate"/>
      </w:r>
      <w:r w:rsidR="0045121D" w:rsidRPr="00FE7D4D">
        <w:rPr>
          <w:rFonts w:cs="Times New Roman"/>
          <w:vertAlign w:val="superscript"/>
        </w:rPr>
        <w:t>42</w:t>
      </w:r>
      <w:r w:rsidR="0045121D" w:rsidRPr="00FE7D4D">
        <w:fldChar w:fldCharType="end"/>
      </w:r>
      <w:r w:rsidR="00CF53BD" w:rsidRPr="00FE7D4D">
        <w:t xml:space="preserve"> to assign </w:t>
      </w:r>
      <w:r w:rsidR="00C3691D" w:rsidRPr="00FE7D4D">
        <w:t>a RR value for each mortality endpoint and modeled concentration.</w:t>
      </w:r>
      <w:r w:rsidR="001D49E8" w:rsidRPr="00FE7D4D">
        <w:t xml:space="preserve"> This necessitates making the assumption of a 5.8 µg/m</w:t>
      </w:r>
      <w:r w:rsidR="001D49E8" w:rsidRPr="00FE7D4D">
        <w:rPr>
          <w:vertAlign w:val="superscript"/>
        </w:rPr>
        <w:t>3</w:t>
      </w:r>
      <w:r w:rsidR="001D49E8" w:rsidRPr="00FE7D4D">
        <w:t xml:space="preserve"> threshold concentration, below which no additional mortality is assumed.</w:t>
      </w:r>
    </w:p>
    <w:p w14:paraId="14A592D5" w14:textId="271AF2B0" w:rsidR="00353756" w:rsidRPr="00FE7D4D" w:rsidRDefault="00EF06C8" w:rsidP="008667D0">
      <w:pPr>
        <w:pStyle w:val="NoSpacing"/>
      </w:pPr>
      <w:r w:rsidRPr="00FE7D4D">
        <w:t>Using the IER approach</w:t>
      </w:r>
      <w:r w:rsidR="00351833" w:rsidRPr="00FE7D4D">
        <w:t xml:space="preserve"> with inputs from Scenario 1</w:t>
      </w:r>
      <w:r w:rsidRPr="00FE7D4D">
        <w:t>, we estimate</w:t>
      </w:r>
      <w:r w:rsidR="00351833" w:rsidRPr="00FE7D4D">
        <w:t xml:space="preserve"> that the total mortality associated with PM</w:t>
      </w:r>
      <w:r w:rsidR="00351833" w:rsidRPr="00FE7D4D">
        <w:rPr>
          <w:vertAlign w:val="subscript"/>
        </w:rPr>
        <w:t>2.5</w:t>
      </w:r>
      <w:r w:rsidR="00351833" w:rsidRPr="00FE7D4D">
        <w:t xml:space="preserve"> exposure from all sources and across all microenvironments is ~38,400 deaths annually</w:t>
      </w:r>
      <w:r w:rsidR="00A64200" w:rsidRPr="00FE7D4D">
        <w:t xml:space="preserve"> (Table S4)</w:t>
      </w:r>
      <w:r w:rsidR="00351833" w:rsidRPr="00FE7D4D">
        <w:t>. We estimate that</w:t>
      </w:r>
      <w:r w:rsidRPr="00FE7D4D">
        <w:t xml:space="preserve"> exposure to PM</w:t>
      </w:r>
      <w:r w:rsidRPr="00FE7D4D">
        <w:rPr>
          <w:vertAlign w:val="subscript"/>
        </w:rPr>
        <w:t>2.5</w:t>
      </w:r>
      <w:r w:rsidRPr="00FE7D4D">
        <w:t xml:space="preserve"> of outdoor origin across all microenvironments accounted for ~24,000 deaths in 2012 (IQR of ~9,200 to ~32,700 deaths), </w:t>
      </w:r>
      <w:r w:rsidR="00351833" w:rsidRPr="00FE7D4D">
        <w:t>and</w:t>
      </w:r>
      <w:r w:rsidRPr="00FE7D4D">
        <w:t xml:space="preserve"> exposure to PM</w:t>
      </w:r>
      <w:r w:rsidRPr="00FE7D4D">
        <w:rPr>
          <w:vertAlign w:val="subscript"/>
        </w:rPr>
        <w:t>2.5</w:t>
      </w:r>
      <w:r w:rsidRPr="00FE7D4D">
        <w:t xml:space="preserve"> of indoor origin across all microenvironments accounted for ~14,400 deaths (IQR of ~2,000 to ~22,400). </w:t>
      </w:r>
      <w:r w:rsidR="002C57F5" w:rsidRPr="00FE7D4D">
        <w:t>Results from the IER scenario are drastically lower than results from Scenario 1 and 2 for seve</w:t>
      </w:r>
      <w:r w:rsidR="00FA5E59" w:rsidRPr="00FE7D4D">
        <w:t xml:space="preserve">ral reasons, </w:t>
      </w:r>
      <w:r w:rsidR="001821F9" w:rsidRPr="00FE7D4D">
        <w:t xml:space="preserve">primarily </w:t>
      </w:r>
      <w:r w:rsidR="00FA5E59" w:rsidRPr="00FE7D4D">
        <w:t>including: (1) the use of a 5.8 µg/m</w:t>
      </w:r>
      <w:r w:rsidR="00FA5E59" w:rsidRPr="00FE7D4D">
        <w:rPr>
          <w:vertAlign w:val="superscript"/>
        </w:rPr>
        <w:t>3</w:t>
      </w:r>
      <w:r w:rsidR="00FA5E59" w:rsidRPr="00FE7D4D">
        <w:t xml:space="preserve"> threshold concentration compared to the no-threshold assumption; (2) </w:t>
      </w:r>
      <w:r w:rsidR="0050538E" w:rsidRPr="00FE7D4D">
        <w:t xml:space="preserve">the IER model presents a different model form and parameter fits that may yield different effect estimates from the traditional exposure-response (E-R) function and effect estimates used herein; </w:t>
      </w:r>
      <w:r w:rsidR="002241C9" w:rsidRPr="00FE7D4D">
        <w:t xml:space="preserve">and </w:t>
      </w:r>
      <w:r w:rsidR="0050538E" w:rsidRPr="00FE7D4D">
        <w:t xml:space="preserve">(3) the IER model is fit through ambient air pollution studies at the low end of the concentration range, and is </w:t>
      </w:r>
      <w:r w:rsidR="00DF287A" w:rsidRPr="00FE7D4D">
        <w:t xml:space="preserve">thus </w:t>
      </w:r>
      <w:r w:rsidR="0050538E" w:rsidRPr="00FE7D4D">
        <w:t>not modified for microenvironmental exposures to PM</w:t>
      </w:r>
      <w:r w:rsidR="0050538E" w:rsidRPr="00FE7D4D">
        <w:rPr>
          <w:vertAlign w:val="subscript"/>
        </w:rPr>
        <w:t>2.5</w:t>
      </w:r>
      <w:r w:rsidR="0050538E" w:rsidRPr="00FE7D4D">
        <w:t xml:space="preserve"> of outdoor origin that would have occurred in the original cohort studies</w:t>
      </w:r>
      <w:r w:rsidR="002241C9" w:rsidRPr="00FE7D4D">
        <w:t>.</w:t>
      </w:r>
      <w:r w:rsidR="0050538E" w:rsidRPr="00FE7D4D">
        <w:t xml:space="preserve"> </w:t>
      </w:r>
      <w:r w:rsidR="008667D0" w:rsidRPr="00FE7D4D">
        <w:t>Results for the total mortality associated with PM</w:t>
      </w:r>
      <w:r w:rsidR="008667D0" w:rsidRPr="00FE7D4D">
        <w:rPr>
          <w:vertAlign w:val="subscript"/>
        </w:rPr>
        <w:t>2.5</w:t>
      </w:r>
      <w:r w:rsidR="008667D0" w:rsidRPr="00FE7D4D">
        <w:t xml:space="preserve"> of outdoor origin from the IER scenario are also lower than previous estimates, including: just over half of that reported by Wang et al. (2017)</w:t>
      </w:r>
      <w:r w:rsidR="008667D0" w:rsidRPr="00D764B3">
        <w:fldChar w:fldCharType="begin"/>
      </w:r>
      <w:r w:rsidR="00701571" w:rsidRPr="00FE7D4D">
        <w:instrText xml:space="preserve"> ADDIN ZOTERO_ITEM CSL_CITATION {"citationID":"wJa4Ba3F","properties":{"formattedCitation":"\\super 42\\nosupersub{}","plainCitation":"42","noteIndex":0},"citationItems":[{"id":"FcLQwGOa/qWxjQwKC","uris":["http://zotero.org/users/327441/items/XSQUJ7D4"],"uri":["http://zotero.org/users/327441/items/XSQUJ7D4"],"itemData":{"id":3541,"type":"article-journal","title":"Historical Trends in PM2.5-Related Premature Mortality during 1990–2010 across the Northern Hemisphere","container-title":"Environmental Health Perspectives","volume":"125","issue":"3","source":"Crossref","URL":"http://ehp.niehs.nih.gov/EHP298","DOI":"10.1289/EHP298","ISSN":"0091-6765","author":[{"family":"Wang","given":"Jiandong"},{"family":"Xing","given":"Jia"},{"family":"Mathur","given":"Rohit"},{"family":"Pleim","given":"Jonathan E."},{"family":"Wang","given":"Shuxiao"},{"family":"Hogrefe","given":"Christian"},{"family":"Gan","given":"Chuen-Meei"},{"family":"Wong","given":"David C."},{"family":"Hao","given":"Jiming"}],"issued":{"date-parts":[["2016",8,19]]},"accessed":{"date-parts":[["2018",6,13]]}}}],"schema":"https://github.com/citation-style-language/schema/raw/master/csl-citation.json"} </w:instrText>
      </w:r>
      <w:r w:rsidR="008667D0" w:rsidRPr="00AA0679">
        <w:fldChar w:fldCharType="separate"/>
      </w:r>
      <w:r w:rsidR="008667D0" w:rsidRPr="00FE7D4D">
        <w:rPr>
          <w:rFonts w:cs="Times New Roman"/>
          <w:vertAlign w:val="superscript"/>
        </w:rPr>
        <w:t>42</w:t>
      </w:r>
      <w:r w:rsidR="008667D0" w:rsidRPr="00D764B3">
        <w:fldChar w:fldCharType="end"/>
      </w:r>
      <w:r w:rsidR="008667D0" w:rsidRPr="00FE7D4D">
        <w:t xml:space="preserve"> (mostly attributed to our </w:t>
      </w:r>
      <w:r w:rsidR="004F4B7B" w:rsidRPr="00FE7D4D">
        <w:t>modification</w:t>
      </w:r>
      <w:r w:rsidR="008667D0" w:rsidRPr="00FE7D4D">
        <w:t xml:space="preserve"> of ambient origin exposures by microenvironmental infiltration factors), and approximately one-quarter of that reported by Cohen et al. (2015)</w:t>
      </w:r>
      <w:r w:rsidR="008667D0" w:rsidRPr="00D764B3">
        <w:fldChar w:fldCharType="begin"/>
      </w:r>
      <w:r w:rsidR="00701571" w:rsidRPr="00FE7D4D">
        <w:instrText xml:space="preserve"> ADDIN ZOTERO_ITEM CSL_CITATION {"citationID":"ZRzCELCi","properties":{"formattedCitation":"\\super 39\\nosupersub{}","plainCitation":"39","noteIndex":0},"citationItems":[{"id":"FcLQwGOa/8DZ5FKj0","uris":["http://zotero.org/users/327441/items/XMJMJ74M"],"uri":["http://zotero.org/users/327441/items/XMJMJ74M"],"itemData":{"id":3464,"type":"article-journal","title":"Estimates and 25-year trends of the global burden of disease attributable to ambient air pollution: an analysis of data from the Global Burden of Diseases Study 2015","container-title":"The Lancet","page":"1907-1918","volume":"389","issue":"10082","source":"Crossref","DOI":"10.1016/S0140-6736(17)30505-6","ISSN":"01406736","shortTitle":"Estimates and 25-year trends of the global burden of disease attributable to ambient air pollution","language":"en","author":[{"family":"Cohen","given":"Aaron J"},{"family":"Brauer","given":"Michael"},{"family":"Burnett","given":"Richard"},{"family":"Anderson","given":"H Ross"},{"family":"Frostad","given":"Joseph"},{"family":"Estep","given":"Kara"},{"family":"Balakrishnan","given":"Kalpana"},{"family":"Brunekreef","given":"Bert"},{"family":"Dandona","given":"Lalit"},{"family":"Dandona","given":"Rakhi"},{"family":"Feigin","given":"Valery"},{"family":"Freedman","given":"Greg"},{"family":"Hubbell","given":"Bryan"},{"family":"Jobling","given":"Amelia"},{"family":"Kan","given":"Haidong"},{"family":"Knibbs","given":"Luke"},{"family":"Liu","given":"Yang"},{"family":"Martin","given":"Randall"},{"family":"Morawska","given":"Lidia"},{"family":"Pope","given":"C Arden"},{"family":"Shin","given":"Hwashin"},{"family":"Straif","given":"Kurt"},{"family":"Shaddick","given":"Gavin"},{"family":"Thomas","given":"Matthew"},{"family":"Dingenen","given":"Rita","non-dropping-particle":"van"},{"family":"Donkelaar","given":"Aaron","non-dropping-particle":"van"},{"family":"Vos","given":"Theo"},{"family":"Murray","given":"Christopher J L"},{"family":"Forouzanfar","given":"Mohammad H"}],"issued":{"date-parts":[["2017",5]]}}}],"schema":"https://github.com/citation-style-language/schema/raw/master/csl-citation.json"} </w:instrText>
      </w:r>
      <w:r w:rsidR="008667D0" w:rsidRPr="00AA0679">
        <w:fldChar w:fldCharType="separate"/>
      </w:r>
      <w:r w:rsidR="008667D0" w:rsidRPr="00FE7D4D">
        <w:rPr>
          <w:rFonts w:cs="Times New Roman"/>
          <w:vertAlign w:val="superscript"/>
        </w:rPr>
        <w:t>39</w:t>
      </w:r>
      <w:r w:rsidR="008667D0" w:rsidRPr="00D764B3">
        <w:fldChar w:fldCharType="end"/>
      </w:r>
      <w:r w:rsidR="008667D0" w:rsidRPr="00FE7D4D">
        <w:t xml:space="preserve"> and Apte et al. (2015)</w:t>
      </w:r>
      <w:r w:rsidR="008667D0" w:rsidRPr="00D764B3">
        <w:fldChar w:fldCharType="begin"/>
      </w:r>
      <w:r w:rsidR="00701571" w:rsidRPr="00FE7D4D">
        <w:instrText xml:space="preserve"> ADDIN ZOTERO_ITEM CSL_CITATION {"citationID":"rXgjs2Vh","properties":{"formattedCitation":"\\super 36\\nosupersub{}","plainCitation":"36","noteIndex":0},"citationItems":[{"id":"FcLQwGOa/MafmwXC6","uris":["http://zotero.org/users/327441/items/ACDQKZAK"],"uri":["http://zotero.org/users/327441/items/ACDQKZAK"],"itemData":{"id":3485,"type":"article-journal","title":"Addressing Global Mortality from Ambient PM&lt;sub&gt;2.5&lt;/sub&gt;","container-title":"Environmental Science &amp; Technology","page":"8057-8066","volume":"49","issue":"13","source":"Crossref","DOI":"10.1021/acs.est.5b01236","ISSN":"0013-936X, 1520-5851","language":"en","author":[{"family":"Apte","given":"Joshua S."},{"family":"Marshall","given":"Julian D."},{"family":"Cohen","given":"Aaron J."},{"family":"Brauer","given":"Michael"}],"issued":{"date-parts":[["2015",7,7]]}}}],"schema":"https://github.com/citation-style-language/schema/raw/master/csl-citation.json"} </w:instrText>
      </w:r>
      <w:r w:rsidR="008667D0" w:rsidRPr="00AA0679">
        <w:fldChar w:fldCharType="separate"/>
      </w:r>
      <w:r w:rsidR="008667D0" w:rsidRPr="00FE7D4D">
        <w:rPr>
          <w:rFonts w:cs="Times New Roman"/>
          <w:vertAlign w:val="superscript"/>
        </w:rPr>
        <w:t>36</w:t>
      </w:r>
      <w:r w:rsidR="008667D0" w:rsidRPr="00D764B3">
        <w:fldChar w:fldCharType="end"/>
      </w:r>
      <w:r w:rsidR="008667D0" w:rsidRPr="00FE7D4D">
        <w:t xml:space="preserve"> (mostly attributed of the aforementioned underlying discrepancies that exist between Wang et al. and Cohen et al. and Apte et al.</w:t>
      </w:r>
      <w:r w:rsidR="004F4B7B" w:rsidRPr="00FE7D4D">
        <w:t xml:space="preserve">, for reasons that are not </w:t>
      </w:r>
      <w:r w:rsidR="0007276F" w:rsidRPr="00FE7D4D">
        <w:t xml:space="preserve">immediately </w:t>
      </w:r>
      <w:r w:rsidR="004F4B7B" w:rsidRPr="00FE7D4D">
        <w:t>clear</w:t>
      </w:r>
      <w:r w:rsidR="008667D0" w:rsidRPr="00FE7D4D">
        <w:t>).</w:t>
      </w:r>
    </w:p>
    <w:p w14:paraId="20FF4DAF" w14:textId="067E21B5" w:rsidR="00C16FED" w:rsidRPr="00FE7D4D" w:rsidRDefault="00353756" w:rsidP="00545902">
      <w:pPr>
        <w:pStyle w:val="NoSpacing"/>
      </w:pPr>
      <w:r w:rsidRPr="00FE7D4D">
        <w:lastRenderedPageBreak/>
        <w:t xml:space="preserve">For these </w:t>
      </w:r>
      <w:r w:rsidR="009F553A" w:rsidRPr="00FE7D4D">
        <w:t xml:space="preserve">varied </w:t>
      </w:r>
      <w:r w:rsidRPr="00FE7D4D">
        <w:t xml:space="preserve">reasons, </w:t>
      </w:r>
      <w:r w:rsidR="00C450E9" w:rsidRPr="00FE7D4D">
        <w:t xml:space="preserve">a comparison between the IER approach in Scenario 3 and the E-R approaches in Scenario 1 and 2 is not </w:t>
      </w:r>
      <w:r w:rsidR="00072ECD" w:rsidRPr="00FE7D4D">
        <w:t xml:space="preserve">directly </w:t>
      </w:r>
      <w:r w:rsidR="00C450E9" w:rsidRPr="00FE7D4D">
        <w:t xml:space="preserve">valid without some </w:t>
      </w:r>
      <w:r w:rsidR="009F553A" w:rsidRPr="00FE7D4D">
        <w:t xml:space="preserve">additional </w:t>
      </w:r>
      <w:r w:rsidR="00C450E9" w:rsidRPr="00FE7D4D">
        <w:t xml:space="preserve">modification. </w:t>
      </w:r>
      <w:r w:rsidR="009F553A" w:rsidRPr="00FE7D4D">
        <w:t>Therefore</w:t>
      </w:r>
      <w:r w:rsidR="00EF4951" w:rsidRPr="00FE7D4D">
        <w:t>, we re-ran Scenario 1</w:t>
      </w:r>
      <w:r w:rsidR="00061154" w:rsidRPr="00FE7D4D">
        <w:t xml:space="preserve"> </w:t>
      </w:r>
      <w:r w:rsidR="00E961AB" w:rsidRPr="00FE7D4D">
        <w:t xml:space="preserve">again </w:t>
      </w:r>
      <w:r w:rsidR="00061154" w:rsidRPr="00FE7D4D">
        <w:t>using the original E-R model form</w:t>
      </w:r>
      <w:r w:rsidR="00980194" w:rsidRPr="00FE7D4D">
        <w:t xml:space="preserve"> </w:t>
      </w:r>
      <w:r w:rsidR="00E961AB" w:rsidRPr="00FE7D4D">
        <w:t xml:space="preserve">(i.e., Equation 1 in the main text) </w:t>
      </w:r>
      <w:r w:rsidR="00061154" w:rsidRPr="00FE7D4D">
        <w:t>with the following changes</w:t>
      </w:r>
      <w:r w:rsidR="00980194" w:rsidRPr="00FE7D4D">
        <w:t xml:space="preserve"> to provide a more appropriate comparison to the IER model</w:t>
      </w:r>
      <w:r w:rsidR="00061154" w:rsidRPr="00FE7D4D">
        <w:t>: (1) we introduced a threshold concentration of 5.8 µg/m</w:t>
      </w:r>
      <w:r w:rsidR="00061154" w:rsidRPr="00FE7D4D">
        <w:rPr>
          <w:vertAlign w:val="superscript"/>
        </w:rPr>
        <w:t>3</w:t>
      </w:r>
      <w:r w:rsidR="00E961AB" w:rsidRPr="00FE7D4D">
        <w:t xml:space="preserve"> to each model iteration</w:t>
      </w:r>
      <w:r w:rsidR="00073F70" w:rsidRPr="00FE7D4D">
        <w:t>, below</w:t>
      </w:r>
      <w:r w:rsidR="00980194" w:rsidRPr="00FE7D4D">
        <w:t xml:space="preserve"> which no excess mortality </w:t>
      </w:r>
      <w:r w:rsidR="00E961AB" w:rsidRPr="00FE7D4D">
        <w:t>is assumed to occur</w:t>
      </w:r>
      <w:r w:rsidR="00061154" w:rsidRPr="00FE7D4D">
        <w:t xml:space="preserve">; </w:t>
      </w:r>
      <w:r w:rsidR="00073F70" w:rsidRPr="00FE7D4D">
        <w:t xml:space="preserve">(2) we </w:t>
      </w:r>
      <w:r w:rsidR="00980194" w:rsidRPr="00FE7D4D">
        <w:t xml:space="preserve">used unmodified effect estimates (i.e., assuming </w:t>
      </w:r>
      <w:r w:rsidR="00980194" w:rsidRPr="00FE7D4D">
        <w:rPr>
          <w:lang w:bidi="fa-IR"/>
        </w:rPr>
        <w:t>Σ</w:t>
      </w:r>
      <w:r w:rsidR="00980194" w:rsidRPr="00FE7D4D">
        <w:rPr>
          <w:i/>
          <w:lang w:bidi="fa-IR"/>
        </w:rPr>
        <w:t>F</w:t>
      </w:r>
      <w:r w:rsidR="00980194" w:rsidRPr="00FE7D4D">
        <w:rPr>
          <w:i/>
          <w:vertAlign w:val="subscript"/>
          <w:lang w:bidi="fa-IR"/>
        </w:rPr>
        <w:t>j</w:t>
      </w:r>
      <w:r w:rsidR="00980194" w:rsidRPr="00FE7D4D">
        <w:rPr>
          <w:lang w:bidi="fa-IR"/>
        </w:rPr>
        <w:t>×</w:t>
      </w:r>
      <w:r w:rsidR="00980194" w:rsidRPr="00FE7D4D">
        <w:rPr>
          <w:i/>
          <w:lang w:bidi="fa-IR"/>
        </w:rPr>
        <w:t>t</w:t>
      </w:r>
      <w:r w:rsidR="00980194" w:rsidRPr="00FE7D4D">
        <w:rPr>
          <w:i/>
          <w:vertAlign w:val="subscript"/>
          <w:lang w:bidi="fa-IR"/>
        </w:rPr>
        <w:t>j</w:t>
      </w:r>
      <w:r w:rsidR="00980194" w:rsidRPr="00FE7D4D">
        <w:t xml:space="preserve"> = 1 in Equation </w:t>
      </w:r>
      <w:r w:rsidR="00BE3587" w:rsidRPr="00FE7D4D">
        <w:t>4</w:t>
      </w:r>
      <w:r w:rsidR="00E961AB" w:rsidRPr="00FE7D4D">
        <w:t xml:space="preserve"> in the main text</w:t>
      </w:r>
      <w:r w:rsidR="00980194" w:rsidRPr="00FE7D4D">
        <w:t>)</w:t>
      </w:r>
      <w:r w:rsidR="00E961AB" w:rsidRPr="00FE7D4D">
        <w:t xml:space="preserve"> rather than our modified effect estimates</w:t>
      </w:r>
      <w:r w:rsidR="00545902" w:rsidRPr="00FE7D4D">
        <w:t>; and (3) we used both our primary all-cause mortality endpoint effect estimate (</w:t>
      </w:r>
      <w:r w:rsidR="00EF06C8" w:rsidRPr="00FE7D4D">
        <w:t>i.e.</w:t>
      </w:r>
      <w:r w:rsidR="00545902" w:rsidRPr="00FE7D4D">
        <w:t xml:space="preserve">, </w:t>
      </w:r>
      <w:r w:rsidR="00545902" w:rsidRPr="00FE7D4D">
        <w:rPr>
          <w:i/>
          <w:iCs/>
        </w:rPr>
        <w:t>β</w:t>
      </w:r>
      <w:r w:rsidR="00EF06C8" w:rsidRPr="00FE7D4D">
        <w:t xml:space="preserve"> </w:t>
      </w:r>
      <w:r w:rsidR="00545902" w:rsidRPr="00FE7D4D">
        <w:t xml:space="preserve">= </w:t>
      </w:r>
      <w:r w:rsidR="00EF06C8" w:rsidRPr="00FE7D4D">
        <w:t>0.0070</w:t>
      </w:r>
      <w:r w:rsidR="00EF06C8" w:rsidRPr="00FE7D4D">
        <w:rPr>
          <w:b/>
          <w:bCs/>
          <w:sz w:val="20"/>
          <w:szCs w:val="20"/>
        </w:rPr>
        <w:t xml:space="preserve"> </w:t>
      </w:r>
      <w:r w:rsidR="00EF06C8" w:rsidRPr="00FE7D4D">
        <w:t>per µg/m</w:t>
      </w:r>
      <w:r w:rsidR="00EF06C8" w:rsidRPr="00FE7D4D">
        <w:rPr>
          <w:vertAlign w:val="superscript"/>
        </w:rPr>
        <w:t>3</w:t>
      </w:r>
      <w:r w:rsidR="00EF06C8" w:rsidRPr="00FE7D4D">
        <w:t>)</w:t>
      </w:r>
      <w:r w:rsidR="00545902" w:rsidRPr="00D764B3">
        <w:fldChar w:fldCharType="begin"/>
      </w:r>
      <w:r w:rsidR="005A1081" w:rsidRPr="00FE7D4D">
        <w:instrText xml:space="preserve"> ADDIN ZOTERO_ITEM CSL_CITATION {"citationID":"aLgNi9oU","properties":{"formattedCitation":"\\super 17\\nosupersub{}","plainCitation":"17","noteIndex":0},"citationItems":[{"id":2941,"uris":["http://zotero.org/users/327441/items/CBBJW8UU"],"uri":["http://zotero.org/users/327441/items/CBBJW8UU"],"itemData":{"id":2941,"type":"article-journal","title":"Characterizing the Long-Term PM &lt;sub&gt;2.5&lt;/sub&gt; Concentration-Response Function: Comparing the Strengths and Weaknesses of Research Synthesis Approaches: Characterizing Long-Term PM &lt;sub&gt;2.5&lt;/sub&gt; Concentration-Response Function","container-title":"Risk Analysis","page":"1693-1707","volume":"36","issue":"9","source":"CrossRef","DOI":"10.1111/risa.12435","ISSN":"02724332","shortTitle":"Characterizing the Long-Term PM &lt;sub&gt;2.5&lt;/sub&gt; Concentration-Response Function","language":"en","author":[{"family":"Fann","given":"Neal"},{"family":"Gilmore","given":"Elisabeth A."},{"family":"Walker","given":"Katherine"}],"issued":{"date-parts":[["2016",9]]}}}],"schema":"https://github.com/citation-style-language/schema/raw/master/csl-citation.json"} </w:instrText>
      </w:r>
      <w:r w:rsidR="00545902" w:rsidRPr="00AA0679">
        <w:fldChar w:fldCharType="separate"/>
      </w:r>
      <w:r w:rsidR="00545902" w:rsidRPr="00FE7D4D">
        <w:rPr>
          <w:rFonts w:cs="Times New Roman"/>
          <w:vertAlign w:val="superscript"/>
        </w:rPr>
        <w:t>17</w:t>
      </w:r>
      <w:r w:rsidR="00545902" w:rsidRPr="00D764B3">
        <w:fldChar w:fldCharType="end"/>
      </w:r>
      <w:r w:rsidR="00EF06C8" w:rsidRPr="00FE7D4D">
        <w:t xml:space="preserve"> </w:t>
      </w:r>
      <w:r w:rsidR="00545902" w:rsidRPr="00FE7D4D">
        <w:t>and</w:t>
      </w:r>
      <w:r w:rsidR="00EF06C8" w:rsidRPr="00FE7D4D">
        <w:t xml:space="preserve"> a lower </w:t>
      </w:r>
      <w:r w:rsidR="00545902" w:rsidRPr="00FE7D4D">
        <w:t xml:space="preserve">effect </w:t>
      </w:r>
      <w:r w:rsidR="00EF06C8" w:rsidRPr="00FE7D4D">
        <w:t>estimate</w:t>
      </w:r>
      <w:r w:rsidR="00545902" w:rsidRPr="00FE7D4D">
        <w:t xml:space="preserve"> that has been used in other recent studies (i.e., </w:t>
      </w:r>
      <w:r w:rsidR="00545902" w:rsidRPr="00FE7D4D">
        <w:rPr>
          <w:i/>
          <w:iCs/>
        </w:rPr>
        <w:t>β</w:t>
      </w:r>
      <w:r w:rsidR="00545902" w:rsidRPr="00FE7D4D">
        <w:t xml:space="preserve"> =</w:t>
      </w:r>
      <w:r w:rsidR="00EF06C8" w:rsidRPr="00FE7D4D">
        <w:t xml:space="preserve"> 0.0058</w:t>
      </w:r>
      <w:r w:rsidR="00EF06C8" w:rsidRPr="00FE7D4D">
        <w:rPr>
          <w:b/>
          <w:bCs/>
          <w:sz w:val="20"/>
          <w:szCs w:val="20"/>
        </w:rPr>
        <w:t xml:space="preserve"> </w:t>
      </w:r>
      <w:r w:rsidR="00EF06C8" w:rsidRPr="00FE7D4D">
        <w:t>per µg/m</w:t>
      </w:r>
      <w:r w:rsidR="00EF06C8" w:rsidRPr="00FE7D4D">
        <w:rPr>
          <w:vertAlign w:val="superscript"/>
        </w:rPr>
        <w:t>3</w:t>
      </w:r>
      <w:r w:rsidR="00545902" w:rsidRPr="00FE7D4D">
        <w:t>)</w:t>
      </w:r>
      <w:r w:rsidR="00545902" w:rsidRPr="00D764B3">
        <w:fldChar w:fldCharType="begin"/>
      </w:r>
      <w:r w:rsidR="00545902" w:rsidRPr="00FE7D4D">
        <w:instrText xml:space="preserve"> ADDIN ZOTERO_ITEM CSL_CITATION {"citationID":"fLJWcC40","properties":{"formattedCitation":"\\super 5\\nosupersub{}","plainCitation":"5","noteIndex":0},"citationItems":[{"id":"2Yfmzog2/jOjIR3Dj","uris":["http://zotero.org/users/local/0dVlBblu/items/Z6QS83Z5"],"uri":["http://zotero.org/users/local/0dVlBblu/items/Z6QS83Z5"],"itemData":{"id":"EcP1pyTw/aCRtkJtr","type":"article-journal","title":"Extended follow-up and spatial analysis of the American Cancer Society study linking particulate air pollution and mortality.","container-title":"Research report (Health Effects Institute)","page":"5-114; discussion 115-36","issue":"140","source":"europepmc.org","abstract":"Abstract: We conducted an extended follow-up and spatial analysis of the American Cancer Society (ACS) Cancer Prevention Study II (CPS-II) cohort in order...","ISSN":"1041-5505","note":"PMID: 19627030","journalAbbreviation":"Res Rep Health Eff Inst","language":"eng","author":[{"family":"Krewski","given":"D"},{"family":"Jerrett","given":"Michael"},{"family":"Rt","given":"Burnett"},{"family":"R","given":"Ma"},{"family":"E","given":"Hughes"},{"family":"Y","given":"Shi"},{"family":"Mc","given":"Turner"},{"family":"3rd","given":"Pope CA"},{"family":"G","given":"Thurston"},{"family":"Ee","given":"Calle"},{"family":"Mj","given":"Thun"},{"family":"B","given":"Beckerman"},{"family":"P","given":"DeLuca"},{"family":"N","given":"Finkelstein"},{"family":"K","given":"Ito"},{"family":"Dk","given":"Moore"},{"family":"Kb","given":"Newbold"},{"family":"T","given":"Ramsay"},{"family":"Z","given":"Ross"},{"family":"H","given":"Shin"},{"family":"B","given":"Tempalski"}],"issued":{"date-parts":[["2009"]],"season":"2009"},"PMID":"19627030"}}],"schema":"https://github.com/citation-style-language/schema/raw/master/csl-citation.json"} </w:instrText>
      </w:r>
      <w:r w:rsidR="00545902" w:rsidRPr="00AA0679">
        <w:fldChar w:fldCharType="separate"/>
      </w:r>
      <w:r w:rsidR="00545902" w:rsidRPr="00FE7D4D">
        <w:rPr>
          <w:rFonts w:cs="Times New Roman"/>
          <w:vertAlign w:val="superscript"/>
        </w:rPr>
        <w:t>5</w:t>
      </w:r>
      <w:r w:rsidR="00545902" w:rsidRPr="00D764B3">
        <w:fldChar w:fldCharType="end"/>
      </w:r>
      <w:r w:rsidR="00545902" w:rsidRPr="00FE7D4D">
        <w:t xml:space="preserve"> because we are uncertain as to which effect estimate </w:t>
      </w:r>
      <w:r w:rsidR="00E961AB" w:rsidRPr="00FE7D4D">
        <w:t>would</w:t>
      </w:r>
      <w:r w:rsidR="00545902" w:rsidRPr="00FE7D4D">
        <w:t xml:space="preserve"> yield similar mortality predictions as the IER approach with RR</w:t>
      </w:r>
      <w:r w:rsidR="00CF2C69" w:rsidRPr="00FE7D4D">
        <w:t>s</w:t>
      </w:r>
      <w:r w:rsidR="00545902" w:rsidRPr="00FE7D4D">
        <w:t xml:space="preserve"> from Apte et al. (2015).</w:t>
      </w:r>
      <w:r w:rsidR="00545902" w:rsidRPr="00D764B3">
        <w:fldChar w:fldCharType="begin"/>
      </w:r>
      <w:r w:rsidR="005A1081" w:rsidRPr="00FE7D4D">
        <w:instrText xml:space="preserve"> ADDIN ZOTERO_ITEM CSL_CITATION {"citationID":"KxaqzSv5","properties":{"formattedCitation":"\\super 37\\nosupersub{}","plainCitation":"37","noteIndex":0},"citationItems":[{"id":3485,"uris":["http://zotero.org/users/327441/items/ACDQKZAK"],"uri":["http://zotero.org/users/327441/items/ACDQKZAK"],"itemData":{"id":3485,"type":"article-journal","title":"Addressing Global Mortality from Ambient PM&lt;sub&gt;2.5&lt;/sub&gt;","container-title":"Environmental Science &amp; Technology","page":"8057-8066","volume":"49","issue":"13","source":"Crossref","DOI":"10.1021/acs.est.5b01236","ISSN":"0013-936X, 1520-5851","language":"en","author":[{"family":"Apte","given":"Joshua S."},{"family":"Marshall","given":"Julian D."},{"family":"Cohen","given":"Aaron J."},{"family":"Brauer","given":"Michael"}],"issued":{"date-parts":[["2015",7,7]]}}}],"schema":"https://github.com/citation-style-language/schema/raw/master/csl-citation.json"} </w:instrText>
      </w:r>
      <w:r w:rsidR="00545902" w:rsidRPr="00AA0679">
        <w:fldChar w:fldCharType="separate"/>
      </w:r>
      <w:r w:rsidR="00545902" w:rsidRPr="00FE7D4D">
        <w:rPr>
          <w:rFonts w:cs="Times New Roman"/>
          <w:vertAlign w:val="superscript"/>
        </w:rPr>
        <w:t>37</w:t>
      </w:r>
      <w:r w:rsidR="00545902" w:rsidRPr="00D764B3">
        <w:fldChar w:fldCharType="end"/>
      </w:r>
      <w:r w:rsidR="00545902" w:rsidRPr="00FE7D4D">
        <w:t xml:space="preserve"> </w:t>
      </w:r>
    </w:p>
    <w:p w14:paraId="62059347" w14:textId="6B3FF177" w:rsidR="000740E8" w:rsidRPr="00FE7D4D" w:rsidRDefault="00545902" w:rsidP="00701571">
      <w:pPr>
        <w:pStyle w:val="NoSpacing"/>
      </w:pPr>
      <w:r w:rsidRPr="00FE7D4D">
        <w:t xml:space="preserve">Results from the </w:t>
      </w:r>
      <w:r w:rsidR="00FA1E2B" w:rsidRPr="00FE7D4D">
        <w:t>two additional</w:t>
      </w:r>
      <w:r w:rsidRPr="00FE7D4D">
        <w:t xml:space="preserve"> Scenario </w:t>
      </w:r>
      <w:r w:rsidR="00FA1E2B" w:rsidRPr="00FE7D4D">
        <w:t xml:space="preserve">1 </w:t>
      </w:r>
      <w:r w:rsidRPr="00FE7D4D">
        <w:t>case studies are shown in Table S4</w:t>
      </w:r>
      <w:r w:rsidR="00FA1E2B" w:rsidRPr="00FE7D4D">
        <w:t xml:space="preserve"> below the GBD IER case studies</w:t>
      </w:r>
      <w:r w:rsidRPr="00FE7D4D">
        <w:t>.</w:t>
      </w:r>
      <w:r w:rsidR="00EF06C8" w:rsidRPr="00FE7D4D">
        <w:t xml:space="preserve"> </w:t>
      </w:r>
      <w:r w:rsidR="000740E8" w:rsidRPr="00FE7D4D">
        <w:t>The median total mortality estimate</w:t>
      </w:r>
      <w:r w:rsidR="00FA1E2B" w:rsidRPr="00FE7D4D">
        <w:t>s</w:t>
      </w:r>
      <w:r w:rsidR="000740E8" w:rsidRPr="00FE7D4D">
        <w:t xml:space="preserve"> using the </w:t>
      </w:r>
      <w:r w:rsidR="00FA1E2B" w:rsidRPr="00FE7D4D">
        <w:t xml:space="preserve">generic </w:t>
      </w:r>
      <w:r w:rsidR="000740E8" w:rsidRPr="00FE7D4D">
        <w:t>E-R model</w:t>
      </w:r>
      <w:r w:rsidR="00FA1E2B" w:rsidRPr="00FE7D4D">
        <w:t xml:space="preserve"> (Equation 1 in the main text)</w:t>
      </w:r>
      <w:r w:rsidR="000740E8" w:rsidRPr="00FE7D4D">
        <w:t xml:space="preserve"> with </w:t>
      </w:r>
      <w:r w:rsidR="000740E8" w:rsidRPr="00FE7D4D">
        <w:rPr>
          <w:i/>
          <w:iCs/>
        </w:rPr>
        <w:t>β</w:t>
      </w:r>
      <w:r w:rsidR="000740E8" w:rsidRPr="00FE7D4D">
        <w:t xml:space="preserve"> = 0.0070</w:t>
      </w:r>
      <w:r w:rsidR="000740E8" w:rsidRPr="00FE7D4D">
        <w:rPr>
          <w:b/>
          <w:bCs/>
          <w:sz w:val="20"/>
          <w:szCs w:val="20"/>
        </w:rPr>
        <w:t xml:space="preserve"> </w:t>
      </w:r>
      <w:r w:rsidR="000740E8" w:rsidRPr="00FE7D4D">
        <w:t>per µg/m</w:t>
      </w:r>
      <w:r w:rsidR="000740E8" w:rsidRPr="00FE7D4D">
        <w:rPr>
          <w:vertAlign w:val="superscript"/>
        </w:rPr>
        <w:t>3</w:t>
      </w:r>
      <w:r w:rsidR="000740E8" w:rsidRPr="00FE7D4D">
        <w:t xml:space="preserve"> and </w:t>
      </w:r>
      <w:r w:rsidR="000740E8" w:rsidRPr="00FE7D4D">
        <w:rPr>
          <w:i/>
          <w:iCs/>
        </w:rPr>
        <w:t>β</w:t>
      </w:r>
      <w:r w:rsidR="000740E8" w:rsidRPr="00FE7D4D">
        <w:t xml:space="preserve"> = 0.0058</w:t>
      </w:r>
      <w:r w:rsidR="000740E8" w:rsidRPr="00FE7D4D">
        <w:rPr>
          <w:b/>
          <w:bCs/>
          <w:sz w:val="20"/>
          <w:szCs w:val="20"/>
        </w:rPr>
        <w:t xml:space="preserve"> </w:t>
      </w:r>
      <w:r w:rsidR="000740E8" w:rsidRPr="00FE7D4D">
        <w:t>per µg/m</w:t>
      </w:r>
      <w:r w:rsidR="000740E8" w:rsidRPr="00FE7D4D">
        <w:rPr>
          <w:vertAlign w:val="superscript"/>
        </w:rPr>
        <w:t>3</w:t>
      </w:r>
      <w:r w:rsidR="000740E8" w:rsidRPr="00FE7D4D">
        <w:t xml:space="preserve"> </w:t>
      </w:r>
      <w:r w:rsidR="00FA1E2B" w:rsidRPr="00FE7D4D">
        <w:t>were</w:t>
      </w:r>
      <w:r w:rsidR="000740E8" w:rsidRPr="00FE7D4D">
        <w:t xml:space="preserve"> ~42,600 and ~36,000 deaths annually, respectively</w:t>
      </w:r>
      <w:r w:rsidR="003F22E0" w:rsidRPr="00FE7D4D">
        <w:t xml:space="preserve">. Results from </w:t>
      </w:r>
      <w:r w:rsidR="000740E8" w:rsidRPr="00FE7D4D">
        <w:t xml:space="preserve">the IER model </w:t>
      </w:r>
      <w:r w:rsidR="00FA1E2B" w:rsidRPr="00FE7D4D">
        <w:t>application</w:t>
      </w:r>
      <w:r w:rsidR="000740E8" w:rsidRPr="00FE7D4D">
        <w:t xml:space="preserve"> </w:t>
      </w:r>
      <w:r w:rsidR="00FA1E2B" w:rsidRPr="00FE7D4D">
        <w:t>were</w:t>
      </w:r>
      <w:r w:rsidR="003F22E0" w:rsidRPr="00FE7D4D">
        <w:t xml:space="preserve"> approximately </w:t>
      </w:r>
      <w:r w:rsidR="00FA1E2B" w:rsidRPr="00FE7D4D">
        <w:t xml:space="preserve">in </w:t>
      </w:r>
      <w:r w:rsidR="003F22E0" w:rsidRPr="00FE7D4D">
        <w:t>between these two</w:t>
      </w:r>
      <w:r w:rsidR="00C66D96" w:rsidRPr="00FE7D4D">
        <w:t xml:space="preserve"> estimates</w:t>
      </w:r>
      <w:r w:rsidR="003F22E0" w:rsidRPr="00FE7D4D">
        <w:t>, which suggests that</w:t>
      </w:r>
      <w:r w:rsidR="00813B2E" w:rsidRPr="00FE7D4D">
        <w:t xml:space="preserve"> the </w:t>
      </w:r>
      <w:r w:rsidR="00383B36" w:rsidRPr="00FE7D4D">
        <w:t xml:space="preserve">application of the </w:t>
      </w:r>
      <w:r w:rsidR="00813B2E" w:rsidRPr="00FE7D4D">
        <w:t xml:space="preserve">IER model </w:t>
      </w:r>
      <w:r w:rsidR="00383B36" w:rsidRPr="00FE7D4D">
        <w:t>yields mortality estimates</w:t>
      </w:r>
      <w:r w:rsidR="00813B2E" w:rsidRPr="00FE7D4D">
        <w:t xml:space="preserve"> </w:t>
      </w:r>
      <w:r w:rsidR="007C1953" w:rsidRPr="00FE7D4D">
        <w:t xml:space="preserve">that </w:t>
      </w:r>
      <w:r w:rsidR="00813B2E" w:rsidRPr="00FE7D4D">
        <w:t xml:space="preserve">are </w:t>
      </w:r>
      <w:r w:rsidR="007C1953" w:rsidRPr="00FE7D4D">
        <w:t>approximately</w:t>
      </w:r>
      <w:r w:rsidR="00383B36" w:rsidRPr="00FE7D4D">
        <w:t xml:space="preserve"> equivalent</w:t>
      </w:r>
      <w:r w:rsidR="00813B2E" w:rsidRPr="00FE7D4D">
        <w:t xml:space="preserve"> to</w:t>
      </w:r>
      <w:r w:rsidR="003F22E0" w:rsidRPr="00FE7D4D">
        <w:t xml:space="preserve"> </w:t>
      </w:r>
      <w:r w:rsidR="007C1953" w:rsidRPr="00FE7D4D">
        <w:t xml:space="preserve">applying </w:t>
      </w:r>
      <w:r w:rsidR="00813B2E" w:rsidRPr="00FE7D4D">
        <w:t xml:space="preserve">the E-R model form with </w:t>
      </w:r>
      <w:r w:rsidR="00383B36" w:rsidRPr="00FE7D4D">
        <w:t>the assumption of</w:t>
      </w:r>
      <w:r w:rsidR="00813B2E" w:rsidRPr="00FE7D4D">
        <w:t xml:space="preserve"> </w:t>
      </w:r>
      <w:r w:rsidR="00383B36" w:rsidRPr="00FE7D4D">
        <w:t>a</w:t>
      </w:r>
      <w:r w:rsidR="00F9487C" w:rsidRPr="00FE7D4D">
        <w:t>n unmodified</w:t>
      </w:r>
      <w:r w:rsidR="00383B36" w:rsidRPr="00FE7D4D">
        <w:t xml:space="preserve"> </w:t>
      </w:r>
      <w:r w:rsidR="00813B2E" w:rsidRPr="00FE7D4D">
        <w:t xml:space="preserve">total all-cause mortality </w:t>
      </w:r>
      <w:r w:rsidR="00D70F56" w:rsidRPr="00FE7D4D">
        <w:t xml:space="preserve">excess </w:t>
      </w:r>
      <w:r w:rsidR="007C1953" w:rsidRPr="00FE7D4D">
        <w:t>RR</w:t>
      </w:r>
      <w:r w:rsidR="00383B36" w:rsidRPr="00FE7D4D">
        <w:t xml:space="preserve"> of </w:t>
      </w:r>
      <w:r w:rsidR="00813B2E" w:rsidRPr="00FE7D4D">
        <w:t>~</w:t>
      </w:r>
      <w:r w:rsidR="0032533A" w:rsidRPr="00FE7D4D">
        <w:t>6 to ~</w:t>
      </w:r>
      <w:r w:rsidR="007C1953" w:rsidRPr="00FE7D4D">
        <w:t>7</w:t>
      </w:r>
      <w:r w:rsidR="00813B2E" w:rsidRPr="00FE7D4D">
        <w:t>% per 10 µg/m</w:t>
      </w:r>
      <w:r w:rsidR="00813B2E" w:rsidRPr="00FE7D4D">
        <w:rPr>
          <w:vertAlign w:val="superscript"/>
        </w:rPr>
        <w:t>3</w:t>
      </w:r>
      <w:r w:rsidR="00DB0B57" w:rsidRPr="00FE7D4D">
        <w:t xml:space="preserve"> with a threshold of 5.8 µg/m</w:t>
      </w:r>
      <w:r w:rsidR="00DB0B57" w:rsidRPr="00FE7D4D">
        <w:rPr>
          <w:vertAlign w:val="superscript"/>
        </w:rPr>
        <w:t>3</w:t>
      </w:r>
      <w:r w:rsidR="00DB0B57" w:rsidRPr="00FE7D4D">
        <w:t>.</w:t>
      </w:r>
      <w:r w:rsidR="004A35B2" w:rsidRPr="00FE7D4D">
        <w:t xml:space="preserve"> Importantly, the similarities in both model results using the same or equivalent inputs also suggests that the vast majority of the difference in mortality estimates between Scenario 3 and Scenarios 1 and 2 is driven by the assumption of a 5.8 µg/m</w:t>
      </w:r>
      <w:r w:rsidR="004A35B2" w:rsidRPr="00FE7D4D">
        <w:rPr>
          <w:vertAlign w:val="superscript"/>
        </w:rPr>
        <w:t>3</w:t>
      </w:r>
      <w:r w:rsidR="004A35B2" w:rsidRPr="00FE7D4D">
        <w:t xml:space="preserve"> threshold concentration in Scenario 3 compared to a zero threshold concentration in Scenarios 1 and 2.</w:t>
      </w:r>
      <w:r w:rsidR="002A12C4" w:rsidRPr="00FE7D4D">
        <w:t xml:space="preserve"> This is a critical discrepancy that the research community must address if</w:t>
      </w:r>
      <w:r w:rsidR="00E222A7" w:rsidRPr="00FE7D4D">
        <w:t xml:space="preserve"> analyses like </w:t>
      </w:r>
      <w:r w:rsidR="00E222A7" w:rsidRPr="00FE7D4D">
        <w:lastRenderedPageBreak/>
        <w:t>this and others are to be relied upon for</w:t>
      </w:r>
      <w:r w:rsidR="002A12C4" w:rsidRPr="00FE7D4D">
        <w:t xml:space="preserve"> </w:t>
      </w:r>
      <w:r w:rsidR="00E222A7" w:rsidRPr="00FE7D4D">
        <w:t xml:space="preserve">informing </w:t>
      </w:r>
      <w:r w:rsidR="002A12C4" w:rsidRPr="00FE7D4D">
        <w:t xml:space="preserve">high-level policy decisions. </w:t>
      </w:r>
      <w:r w:rsidR="00925F96" w:rsidRPr="00FE7D4D">
        <w:t>Our original assumption of a no threshold concentration is consistent with a number of studies that have demonstrated or suggested that there is no evidence of a population threshold in the relationship between long-term exposure to ambient PM</w:t>
      </w:r>
      <w:r w:rsidR="00925F96" w:rsidRPr="00FE7D4D">
        <w:rPr>
          <w:vertAlign w:val="subscript"/>
        </w:rPr>
        <w:t>2.5</w:t>
      </w:r>
      <w:r w:rsidR="00925F96" w:rsidRPr="00FE7D4D">
        <w:t xml:space="preserve"> and mortality.</w:t>
      </w:r>
      <w:r w:rsidR="00925F96" w:rsidRPr="00D764B3">
        <w:fldChar w:fldCharType="begin"/>
      </w:r>
      <w:r w:rsidR="00701571" w:rsidRPr="00FE7D4D">
        <w:instrText xml:space="preserve"> ADDIN ZOTERO_ITEM CSL_CITATION {"citationID":"wrrGqKKe","properties":{"formattedCitation":"\\super 8,45\\uc0\\u8211{}47\\nosupersub{}","plainCitation":"8,45–47","noteIndex":0},"citationItems":[{"id":"FcLQwGOa/AOfBD6sb","uris":["http://zotero.org/users/327441/items/HNMPGQWX"],"uri":["http://zotero.org/users/327441/items/HNMPGQWX"],"itemData":{"id":2179,"type":"article-journal","title":"Expert Judgment Assessment of the Mortality Impact of Changes in Ambient Fine Particulate Matter in the U.S.","container-title":"Environmental Science &amp; Technology","page":"2268-2274","volume":"42","issue":"7","source":"CrossRef","DOI":"10.1021/es0713882","ISSN":"0013-936X, 1520-5851","language":"en","author":[{"family":"Roman","given":"Henry A."},{"family":"Walker","given":"Katherine D."},{"family":"Walsh","given":"Tyra L."},{"family":"Conner","given":"Lisa"},{"family":"Richmond","given":"Harvey M."},{"family":"Hubbell","given":"Bryan J."},{"family":"Kinney","given":"Patrick L."}],"issued":{"date-parts":[["2008",4]]}}},{"id":"FcLQwGOa/UeirJyyc","uris":["http://zotero.org/users/327441/items/TZ2WJQZG"],"uri":["http://zotero.org/users/327441/items/TZ2WJQZG"],"itemData":{"id":3050,"type":"article-journal","title":"Risk of Nonaccidental and Cardiovascular Mortality in Relation to Long-term Exposure to Low Concentrations of Fine Particulate Matter: A Canadian National-Level Cohort Study","container-title":"Environmental Health Perspectives","page":"708-714","volume":"120","issue":"5","source":"CrossRef","DOI":"10.1289/ehp.1104049","ISSN":"0091-6765","shortTitle":"Risk of Nonaccidental and Cardiovascular Mortality in Relation to Long-term Exposure to Low Concentrations of Fine Particulate Matter","language":"en","author":[{"family":"Crouse","given":"Dan L."},{"family":"Peters","given":"Paul A."},{"family":"Donkelaar","given":"Aaron","non-dropping-particle":"van"},{"family":"Goldberg","given":"Mark S."},{"family":"Villeneuve","given":"Paul J."},{"family":"Brion","given":"Orly"},{"family":"Khan","given":"Saeeda"},{"family":"Atari","given":"Dominic Odwa"},{"family":"Jerrett","given":"Michael"},{"family":"Pope","given":"C. Arden"},{"family":"Brauer","given":"Michael"},{"family":"Brook","given":"Jeffrey R."},{"family":"Martin","given":"Randall V."},{"family":"Stieb","given":"David"},{"family":"Burnett","given":"Richard T."}],"issued":{"date-parts":[["2012",2,7]]}}},{"id":"FcLQwGOa/fBPofbwn","uris":["http://zotero.org/users/327441/items/VAJTTYLZ"],"uri":["http://zotero.org/users/327441/items/VAJTTYLZ"],"itemData":{"id":3505,"type":"article-journal","title":"The Effect of Dose and Timing of Dose on the Association between Airborne Particles and Survival","container-title":"Environmental Health Perspectives","page":"64-69","volume":"116","issue":"1","source":"Crossref","DOI":"10.1289/ehp.9955","ISSN":"0091-6765","language":"en","author":[{"family":"Schwartz","given":"Joel"},{"family":"Coull","given":"Brent"},{"family":"Laden","given":"Francine"},{"family":"Ryan","given":"Louise"}],"issued":{"date-parts":[["2007",10,5]]}}},{"id":"FcLQwGOa/z002znmA","uris":["http://zotero.org/users/327441/items/N82D6MAN"],"uri":["http://zotero.org/users/327441/items/N82D6MAN"],"itemData":{"id":3494,"type":"article-journal","title":"Risk estimates of mortality attributed to low concentrations of ambient fine particulate matter in the Canadian community health survey cohort","container-title":"Environmental Health","volume":"15","issue":"1","source":"Crossref","URL":"http://ehjournal.biomedcentral.com/articles/10.1186/s12940-016-0111-6","DOI":"10.1186/s12940-016-0111-6","ISSN":"1476-069X","language":"en","author":[{"family":"Pinault","given":"Lauren"},{"family":"Tjepkema","given":"Michael"},{"family":"Crouse","given":"Daniel L."},{"family":"Weichenthal","given":"Scott"},{"family":"Donkelaar","given":"Aaron","non-dropping-particle":"van"},{"family":"Martin","given":"Randall V."},{"family":"Brauer","given":"Michael"},{"family":"Chen","given":"Hong"},{"family":"Burnett","given":"Richard T."}],"issued":{"date-parts":[["2016",12]]},"accessed":{"date-parts":[["2018",5,18]]}}}],"schema":"https://github.com/citation-style-language/schema/raw/master/csl-citation.json"} </w:instrText>
      </w:r>
      <w:r w:rsidR="00925F96" w:rsidRPr="00AA0679">
        <w:fldChar w:fldCharType="separate"/>
      </w:r>
      <w:r w:rsidR="00701571" w:rsidRPr="00FE7D4D">
        <w:rPr>
          <w:rFonts w:cs="Times New Roman"/>
          <w:vertAlign w:val="superscript"/>
        </w:rPr>
        <w:t>8,45–47</w:t>
      </w:r>
      <w:r w:rsidR="00925F96" w:rsidRPr="00D764B3">
        <w:fldChar w:fldCharType="end"/>
      </w:r>
      <w:r w:rsidR="00314E75" w:rsidRPr="00FE7D4D">
        <w:t xml:space="preserve"> However, the majority of applications of the IER model have assumed either a threshold concentration of 5.8 µg/m</w:t>
      </w:r>
      <w:r w:rsidR="00314E75" w:rsidRPr="00FE7D4D">
        <w:rPr>
          <w:vertAlign w:val="superscript"/>
        </w:rPr>
        <w:t>3</w:t>
      </w:r>
      <w:r w:rsidR="00314E75" w:rsidRPr="00FE7D4D">
        <w:t xml:space="preserve"> </w:t>
      </w:r>
      <w:r w:rsidR="00290CA9" w:rsidRPr="00FE7D4D">
        <w:t xml:space="preserve">(e.g., </w:t>
      </w:r>
      <w:r w:rsidR="00290CA9" w:rsidRPr="00D764B3">
        <w:fldChar w:fldCharType="begin"/>
      </w:r>
      <w:r w:rsidR="00290CA9" w:rsidRPr="00FE7D4D">
        <w:instrText xml:space="preserve"> ADDIN ZOTERO_ITEM CSL_CITATION {"citationID":"EpnEY8AR","properties":{"formattedCitation":"\\super 36,42\\nosupersub{}","plainCitation":"36,42","noteIndex":0},"citationItems":[{"id":3485,"uris":["http://zotero.org/users/327441/items/ACDQKZAK"],"uri":["http://zotero.org/users/327441/items/ACDQKZAK"],"itemData":{"id":3485,"type":"article-journal","title":"Addressing Global Mortality from Ambient PM&lt;sub&gt;2.5&lt;/sub&gt;","container-title":"Environmental Science &amp; Technology","page":"8057-8066","volume":"49","issue":"13","source":"Crossref","DOI":"10.1021/acs.est.5b01236","ISSN":"0013-936X, 1520-5851","language":"en","author":[{"family":"Apte","given":"Joshua S."},{"family":"Marshall","given":"Julian D."},{"family":"Cohen","given":"Aaron J."},{"family":"Brauer","given":"Michael"}],"issued":{"date-parts":[["2015",7,7]]}}},{"id":3541,"uris":["http://zotero.org/users/327441/items/XSQUJ7D4"],"uri":["http://zotero.org/users/327441/items/XSQUJ7D4"],"itemData":{"id":3541,"type":"article-journal","title":"Historical Trends in PM2.5-Related Premature Mortality during 1990–2010 across the Northern Hemisphere","container-title":"Environmental Health Perspectives","volume":"125","issue":"3","source":"Crossref","URL":"http://ehp.niehs.nih.gov/EHP298","DOI":"10.1289/EHP298","ISSN":"0091-6765","author":[{"family":"Wang","given":"Jiandong"},{"family":"Xing","given":"Jia"},{"family":"Mathur","given":"Rohit"},{"family":"Pleim","given":"Jonathan E."},{"family":"Wang","given":"Shuxiao"},{"family":"Hogrefe","given":"Christian"},{"family":"Gan","given":"Chuen-Meei"},{"family":"Wong","given":"David C."},{"family":"Hao","given":"Jiming"}],"issued":{"date-parts":[["2016",8,19]]},"accessed":{"date-parts":[["2018",6,13]]}}}],"schema":"https://github.com/citation-style-language/schema/raw/master/csl-citation.json"} </w:instrText>
      </w:r>
      <w:r w:rsidR="00290CA9" w:rsidRPr="00AA0679">
        <w:fldChar w:fldCharType="separate"/>
      </w:r>
      <w:r w:rsidR="00290CA9" w:rsidRPr="00FE7D4D">
        <w:rPr>
          <w:rFonts w:cs="Times New Roman"/>
          <w:vertAlign w:val="superscript"/>
        </w:rPr>
        <w:t>36,42</w:t>
      </w:r>
      <w:r w:rsidR="00290CA9" w:rsidRPr="00D764B3">
        <w:fldChar w:fldCharType="end"/>
      </w:r>
      <w:r w:rsidR="00290CA9" w:rsidRPr="00FE7D4D">
        <w:t xml:space="preserve">) </w:t>
      </w:r>
      <w:r w:rsidR="00314E75" w:rsidRPr="00FE7D4D">
        <w:t>or a distribution between 2.4 and 5.8 µg/m</w:t>
      </w:r>
      <w:r w:rsidR="00314E75" w:rsidRPr="00FE7D4D">
        <w:rPr>
          <w:vertAlign w:val="superscript"/>
        </w:rPr>
        <w:t>3</w:t>
      </w:r>
      <w:r w:rsidR="002741F1" w:rsidRPr="00FE7D4D">
        <w:t xml:space="preserve"> (e.g., </w:t>
      </w:r>
      <w:r w:rsidR="00290CA9" w:rsidRPr="00D764B3">
        <w:fldChar w:fldCharType="begin"/>
      </w:r>
      <w:r w:rsidR="00290CA9" w:rsidRPr="00FE7D4D">
        <w:instrText xml:space="preserve"> ADDIN ZOTERO_ITEM CSL_CITATION {"citationID":"RX2aMkhZ","properties":{"formattedCitation":"\\super 39\\nosupersub{}","plainCitation":"39","noteIndex":0},"citationItems":[{"id":3464,"uris":["http://zotero.org/users/327441/items/XMJMJ74M"],"uri":["http://zotero.org/users/327441/items/XMJMJ74M"],"itemData":{"id":3464,"type":"article-journal","title":"Estimates and 25-year trends of the global burden of disease attributable to ambient air pollution: an analysis of data from the Global Burden of Diseases Study 2015","container-title":"The Lancet","page":"1907-1918","volume":"389","issue":"10082","source":"Crossref","DOI":"10.1016/S0140-6736(17)30505-6","ISSN":"01406736","shortTitle":"Estimates and 25-year trends of the global burden of disease attributable to ambient air pollution","language":"en","author":[{"family":"Cohen","given":"Aaron J"},{"family":"Brauer","given":"Michael"},{"family":"Burnett","given":"Richard"},{"family":"Anderson","given":"H Ross"},{"family":"Frostad","given":"Joseph"},{"family":"Estep","given":"Kara"},{"family":"Balakrishnan","given":"Kalpana"},{"family":"Brunekreef","given":"Bert"},{"family":"Dandona","given":"Lalit"},{"family":"Dandona","given":"Rakhi"},{"family":"Feigin","given":"Valery"},{"family":"Freedman","given":"Greg"},{"family":"Hubbell","given":"Bryan"},{"family":"Jobling","given":"Amelia"},{"family":"Kan","given":"Haidong"},{"family":"Knibbs","given":"Luke"},{"family":"Liu","given":"Yang"},{"family":"Martin","given":"Randall"},{"family":"Morawska","given":"Lidia"},{"family":"Pope","given":"C Arden"},{"family":"Shin","given":"Hwashin"},{"family":"Straif","given":"Kurt"},{"family":"Shaddick","given":"Gavin"},{"family":"Thomas","given":"Matthew"},{"family":"Dingenen","given":"Rita","non-dropping-particle":"van"},{"family":"Donkelaar","given":"Aaron","non-dropping-particle":"van"},{"family":"Vos","given":"Theo"},{"family":"Murray","given":"Christopher J L"},{"family":"Forouzanfar","given":"Mohammad H"}],"issued":{"date-parts":[["2017",5]]}}}],"schema":"https://github.com/citation-style-language/schema/raw/master/csl-citation.json"} </w:instrText>
      </w:r>
      <w:r w:rsidR="00290CA9" w:rsidRPr="00AA0679">
        <w:fldChar w:fldCharType="separate"/>
      </w:r>
      <w:r w:rsidR="00290CA9" w:rsidRPr="00FE7D4D">
        <w:rPr>
          <w:rFonts w:cs="Times New Roman"/>
          <w:vertAlign w:val="superscript"/>
        </w:rPr>
        <w:t>39</w:t>
      </w:r>
      <w:r w:rsidR="00290CA9" w:rsidRPr="00D764B3">
        <w:fldChar w:fldCharType="end"/>
      </w:r>
      <w:r w:rsidR="002741F1" w:rsidRPr="00FE7D4D">
        <w:t>).</w:t>
      </w:r>
      <w:r w:rsidR="00314E75" w:rsidRPr="00FE7D4D">
        <w:t xml:space="preserve"> Since </w:t>
      </w:r>
      <w:r w:rsidR="002741F1" w:rsidRPr="00FE7D4D">
        <w:t>a large portion</w:t>
      </w:r>
      <w:r w:rsidR="00314E75" w:rsidRPr="00FE7D4D">
        <w:t xml:space="preserve"> of the mortality burden estimated using these types of risk assessment functions is attributable to PM</w:t>
      </w:r>
      <w:r w:rsidR="00314E75" w:rsidRPr="00FE7D4D">
        <w:rPr>
          <w:vertAlign w:val="subscript"/>
        </w:rPr>
        <w:t>2.5</w:t>
      </w:r>
      <w:r w:rsidR="00314E75" w:rsidRPr="00FE7D4D">
        <w:t xml:space="preserve"> concentrations</w:t>
      </w:r>
      <w:r w:rsidR="002741F1" w:rsidRPr="00FE7D4D">
        <w:t xml:space="preserve"> at the lower end of the curve</w:t>
      </w:r>
      <w:r w:rsidR="00314E75" w:rsidRPr="00FE7D4D">
        <w:t xml:space="preserve">, these two modeling assumptions can yield vastly different </w:t>
      </w:r>
      <w:r w:rsidR="006375E7" w:rsidRPr="00FE7D4D">
        <w:t>mortality estimates</w:t>
      </w:r>
      <w:r w:rsidR="00314E75" w:rsidRPr="00FE7D4D">
        <w:t>.</w:t>
      </w:r>
    </w:p>
    <w:p w14:paraId="2162CDCB" w14:textId="77777777" w:rsidR="003E3A3B" w:rsidRPr="00FE7D4D" w:rsidRDefault="003E3A3B" w:rsidP="00096503">
      <w:pPr>
        <w:pStyle w:val="Heading1"/>
      </w:pPr>
      <w:bookmarkStart w:id="5" w:name="_Toc399490408"/>
      <w:r w:rsidRPr="00FE7D4D">
        <w:t>References</w:t>
      </w:r>
      <w:bookmarkEnd w:id="5"/>
    </w:p>
    <w:p w14:paraId="5EFB499E" w14:textId="77777777" w:rsidR="00701571" w:rsidRPr="00AA0679" w:rsidRDefault="000F448E" w:rsidP="00AA0679">
      <w:pPr>
        <w:pStyle w:val="Bibliography"/>
        <w:tabs>
          <w:tab w:val="clear" w:pos="260"/>
          <w:tab w:val="left" w:pos="450"/>
        </w:tabs>
        <w:ind w:left="450" w:hanging="450"/>
        <w:rPr>
          <w:rFonts w:cs="Times New Roman"/>
        </w:rPr>
      </w:pPr>
      <w:r w:rsidRPr="00D764B3">
        <w:fldChar w:fldCharType="begin"/>
      </w:r>
      <w:r w:rsidR="00EF06F0" w:rsidRPr="00FE7D4D">
        <w:instrText xml:space="preserve"> ADDIN ZOTERO_BIBL {"uncited":[],"omitted":[],"custom":[]} CSL_BIBLIOGRAPHY </w:instrText>
      </w:r>
      <w:r w:rsidRPr="00AA0679">
        <w:fldChar w:fldCharType="separate"/>
      </w:r>
      <w:r w:rsidR="00701571" w:rsidRPr="00FE7D4D">
        <w:rPr>
          <w:rFonts w:cs="Times New Roman"/>
        </w:rPr>
        <w:t xml:space="preserve">1 </w:t>
      </w:r>
      <w:r w:rsidR="00701571" w:rsidRPr="00FE7D4D">
        <w:rPr>
          <w:rFonts w:cs="Times New Roman"/>
        </w:rPr>
        <w:tab/>
        <w:t xml:space="preserve">Di Q, Wang Y, Zanobetti A, Wang Y, Koutrakis P, Choirat C </w:t>
      </w:r>
      <w:r w:rsidR="00701571" w:rsidRPr="00FE7D4D">
        <w:rPr>
          <w:rFonts w:cs="Times New Roman"/>
          <w:i/>
          <w:iCs/>
        </w:rPr>
        <w:t>et al.</w:t>
      </w:r>
      <w:r w:rsidR="00701571" w:rsidRPr="00FE7D4D">
        <w:rPr>
          <w:rFonts w:cs="Times New Roman"/>
        </w:rPr>
        <w:t xml:space="preserve"> Air Pollution and Mortality in the Medicare Population. </w:t>
      </w:r>
      <w:r w:rsidR="00701571" w:rsidRPr="00AA0679">
        <w:rPr>
          <w:rFonts w:cs="Times New Roman"/>
          <w:i/>
          <w:iCs/>
        </w:rPr>
        <w:t>New England Journal of Medicine</w:t>
      </w:r>
      <w:r w:rsidR="00701571" w:rsidRPr="00AA0679">
        <w:rPr>
          <w:rFonts w:cs="Times New Roman"/>
        </w:rPr>
        <w:t xml:space="preserve"> 2017; </w:t>
      </w:r>
      <w:r w:rsidR="00701571" w:rsidRPr="00AA0679">
        <w:rPr>
          <w:rFonts w:cs="Times New Roman"/>
          <w:b/>
          <w:bCs/>
        </w:rPr>
        <w:t>376</w:t>
      </w:r>
      <w:r w:rsidR="00701571" w:rsidRPr="00AA0679">
        <w:rPr>
          <w:rFonts w:cs="Times New Roman"/>
        </w:rPr>
        <w:t>: 2513–2522.</w:t>
      </w:r>
    </w:p>
    <w:p w14:paraId="69441D82"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2 </w:t>
      </w:r>
      <w:r w:rsidRPr="00AA0679">
        <w:rPr>
          <w:rFonts w:cs="Times New Roman"/>
        </w:rPr>
        <w:tab/>
        <w:t xml:space="preserve">Dockery DW, Pope CA 3rd, Xu X, Spengler JD, Ware JH, Fay ME </w:t>
      </w:r>
      <w:r w:rsidRPr="00AA0679">
        <w:rPr>
          <w:rFonts w:cs="Times New Roman"/>
          <w:i/>
          <w:iCs/>
        </w:rPr>
        <w:t>et al.</w:t>
      </w:r>
      <w:r w:rsidRPr="00AA0679">
        <w:rPr>
          <w:rFonts w:cs="Times New Roman"/>
        </w:rPr>
        <w:t xml:space="preserve"> An association between air pollution and mortality in six U.S. cities. </w:t>
      </w:r>
      <w:r w:rsidRPr="00AA0679">
        <w:rPr>
          <w:rFonts w:cs="Times New Roman"/>
          <w:i/>
          <w:iCs/>
        </w:rPr>
        <w:t>N Engl J Med</w:t>
      </w:r>
      <w:r w:rsidRPr="00AA0679">
        <w:rPr>
          <w:rFonts w:cs="Times New Roman"/>
        </w:rPr>
        <w:t xml:space="preserve"> 1993; </w:t>
      </w:r>
      <w:r w:rsidRPr="00AA0679">
        <w:rPr>
          <w:rFonts w:cs="Times New Roman"/>
          <w:b/>
          <w:bCs/>
        </w:rPr>
        <w:t>329</w:t>
      </w:r>
      <w:r w:rsidRPr="00AA0679">
        <w:rPr>
          <w:rFonts w:cs="Times New Roman"/>
        </w:rPr>
        <w:t>: 1753–1759.</w:t>
      </w:r>
    </w:p>
    <w:p w14:paraId="752CE3FB"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3 </w:t>
      </w:r>
      <w:r w:rsidRPr="00AA0679">
        <w:rPr>
          <w:rFonts w:cs="Times New Roman"/>
        </w:rPr>
        <w:tab/>
        <w:t xml:space="preserve">Jerrett M, Burnett RT, Ma R, Pope CA, Krewski D, Newbold KB </w:t>
      </w:r>
      <w:r w:rsidRPr="00AA0679">
        <w:rPr>
          <w:rFonts w:cs="Times New Roman"/>
          <w:i/>
          <w:iCs/>
        </w:rPr>
        <w:t>et al.</w:t>
      </w:r>
      <w:r w:rsidRPr="00AA0679">
        <w:rPr>
          <w:rFonts w:cs="Times New Roman"/>
        </w:rPr>
        <w:t xml:space="preserve"> Spatial Analysis of Air Pollution and Mortality in Los Angeles: </w:t>
      </w:r>
      <w:r w:rsidRPr="00AA0679">
        <w:rPr>
          <w:rFonts w:cs="Times New Roman"/>
          <w:i/>
          <w:iCs/>
        </w:rPr>
        <w:t>Epidemiology</w:t>
      </w:r>
      <w:r w:rsidRPr="00AA0679">
        <w:rPr>
          <w:rFonts w:cs="Times New Roman"/>
        </w:rPr>
        <w:t xml:space="preserve"> 2005; </w:t>
      </w:r>
      <w:r w:rsidRPr="00AA0679">
        <w:rPr>
          <w:rFonts w:cs="Times New Roman"/>
          <w:b/>
          <w:bCs/>
        </w:rPr>
        <w:t>16</w:t>
      </w:r>
      <w:r w:rsidRPr="00AA0679">
        <w:rPr>
          <w:rFonts w:cs="Times New Roman"/>
        </w:rPr>
        <w:t>: 727–736.</w:t>
      </w:r>
    </w:p>
    <w:p w14:paraId="563319A1"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4 </w:t>
      </w:r>
      <w:r w:rsidRPr="00AA0679">
        <w:rPr>
          <w:rFonts w:cs="Times New Roman"/>
        </w:rPr>
        <w:tab/>
        <w:t xml:space="preserve">Krewski D, Jerrett M, Rt B, R M, E H, Y S </w:t>
      </w:r>
      <w:r w:rsidRPr="00AA0679">
        <w:rPr>
          <w:rFonts w:cs="Times New Roman"/>
          <w:i/>
          <w:iCs/>
        </w:rPr>
        <w:t>et al.</w:t>
      </w:r>
      <w:r w:rsidRPr="00AA0679">
        <w:rPr>
          <w:rFonts w:cs="Times New Roman"/>
        </w:rPr>
        <w:t xml:space="preserve"> Extended follow-up and spatial analysis of the American Cancer Society study linking particulate air pollution and mortality. </w:t>
      </w:r>
      <w:r w:rsidRPr="00AA0679">
        <w:rPr>
          <w:rFonts w:cs="Times New Roman"/>
          <w:i/>
          <w:iCs/>
        </w:rPr>
        <w:t>Res Rep Health Eff Inst</w:t>
      </w:r>
      <w:r w:rsidRPr="00AA0679">
        <w:rPr>
          <w:rFonts w:cs="Times New Roman"/>
        </w:rPr>
        <w:t xml:space="preserve"> 2009; : 5–114; discussion 115-36.</w:t>
      </w:r>
    </w:p>
    <w:p w14:paraId="016B22AA"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5 </w:t>
      </w:r>
      <w:r w:rsidRPr="00AA0679">
        <w:rPr>
          <w:rFonts w:cs="Times New Roman"/>
        </w:rPr>
        <w:tab/>
        <w:t xml:space="preserve">Laden F, Schwartz J, Speizer FE, Dockery DW. Reduction in Fine Particulate Air Pollution and Mortality: Extended Follow-up of the Harvard Six Cities Study. </w:t>
      </w:r>
      <w:r w:rsidRPr="00AA0679">
        <w:rPr>
          <w:rFonts w:cs="Times New Roman"/>
          <w:i/>
          <w:iCs/>
        </w:rPr>
        <w:t>Am J Respir Crit Care Med</w:t>
      </w:r>
      <w:r w:rsidRPr="00AA0679">
        <w:rPr>
          <w:rFonts w:cs="Times New Roman"/>
        </w:rPr>
        <w:t xml:space="preserve"> 2006; </w:t>
      </w:r>
      <w:r w:rsidRPr="00AA0679">
        <w:rPr>
          <w:rFonts w:cs="Times New Roman"/>
          <w:b/>
          <w:bCs/>
        </w:rPr>
        <w:t>173</w:t>
      </w:r>
      <w:r w:rsidRPr="00AA0679">
        <w:rPr>
          <w:rFonts w:cs="Times New Roman"/>
        </w:rPr>
        <w:t>: 667–672.</w:t>
      </w:r>
    </w:p>
    <w:p w14:paraId="061D79D3"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6 </w:t>
      </w:r>
      <w:r w:rsidRPr="00AA0679">
        <w:rPr>
          <w:rFonts w:cs="Times New Roman"/>
        </w:rPr>
        <w:tab/>
        <w:t xml:space="preserve">Pope CA, Thun MJ, Namboodiri MM, Dockery DW, Evans JS, Speizer FE </w:t>
      </w:r>
      <w:r w:rsidRPr="00AA0679">
        <w:rPr>
          <w:rFonts w:cs="Times New Roman"/>
          <w:i/>
          <w:iCs/>
        </w:rPr>
        <w:t>et al.</w:t>
      </w:r>
      <w:r w:rsidRPr="00AA0679">
        <w:rPr>
          <w:rFonts w:cs="Times New Roman"/>
        </w:rPr>
        <w:t xml:space="preserve"> Particulate Air Pollution as a Predictor of Mortality in a Prospective Study of U.S. Adults. </w:t>
      </w:r>
      <w:r w:rsidRPr="00AA0679">
        <w:rPr>
          <w:rFonts w:cs="Times New Roman"/>
          <w:i/>
          <w:iCs/>
        </w:rPr>
        <w:t>Am J Respir Crit Care Med</w:t>
      </w:r>
      <w:r w:rsidRPr="00AA0679">
        <w:rPr>
          <w:rFonts w:cs="Times New Roman"/>
        </w:rPr>
        <w:t xml:space="preserve"> 1995; </w:t>
      </w:r>
      <w:r w:rsidRPr="00AA0679">
        <w:rPr>
          <w:rFonts w:cs="Times New Roman"/>
          <w:b/>
          <w:bCs/>
        </w:rPr>
        <w:t>151</w:t>
      </w:r>
      <w:r w:rsidRPr="00AA0679">
        <w:rPr>
          <w:rFonts w:cs="Times New Roman"/>
        </w:rPr>
        <w:t>: 669–674.</w:t>
      </w:r>
    </w:p>
    <w:p w14:paraId="33D7519F"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7 </w:t>
      </w:r>
      <w:r w:rsidRPr="00AA0679">
        <w:rPr>
          <w:rFonts w:cs="Times New Roman"/>
        </w:rPr>
        <w:tab/>
        <w:t xml:space="preserve">Pope CA, Burnett RT, Thun MJ, Calle EE, Krewski D, Ito K </w:t>
      </w:r>
      <w:r w:rsidRPr="00AA0679">
        <w:rPr>
          <w:rFonts w:cs="Times New Roman"/>
          <w:i/>
          <w:iCs/>
        </w:rPr>
        <w:t>et al.</w:t>
      </w:r>
      <w:r w:rsidRPr="00AA0679">
        <w:rPr>
          <w:rFonts w:cs="Times New Roman"/>
        </w:rPr>
        <w:t xml:space="preserve"> Lung cancer, cardiopulmonary mortality, and long-term exposure to fine particulate air pollution. </w:t>
      </w:r>
      <w:r w:rsidRPr="00AA0679">
        <w:rPr>
          <w:rFonts w:cs="Times New Roman"/>
          <w:i/>
          <w:iCs/>
        </w:rPr>
        <w:t>JAMA</w:t>
      </w:r>
      <w:r w:rsidRPr="00AA0679">
        <w:rPr>
          <w:rFonts w:cs="Times New Roman"/>
        </w:rPr>
        <w:t xml:space="preserve"> 2002; </w:t>
      </w:r>
      <w:r w:rsidRPr="00AA0679">
        <w:rPr>
          <w:rFonts w:cs="Times New Roman"/>
          <w:b/>
          <w:bCs/>
        </w:rPr>
        <w:t>287</w:t>
      </w:r>
      <w:r w:rsidRPr="00AA0679">
        <w:rPr>
          <w:rFonts w:cs="Times New Roman"/>
        </w:rPr>
        <w:t>: 1132–1141.</w:t>
      </w:r>
    </w:p>
    <w:p w14:paraId="6663080D"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lastRenderedPageBreak/>
        <w:t xml:space="preserve">8 </w:t>
      </w:r>
      <w:r w:rsidRPr="00AA0679">
        <w:rPr>
          <w:rFonts w:cs="Times New Roman"/>
        </w:rPr>
        <w:tab/>
        <w:t xml:space="preserve">Roman HA, Walker KD, Walsh TL, Conner L, Richmond HM, Hubbell BJ </w:t>
      </w:r>
      <w:r w:rsidRPr="00AA0679">
        <w:rPr>
          <w:rFonts w:cs="Times New Roman"/>
          <w:i/>
          <w:iCs/>
        </w:rPr>
        <w:t>et al.</w:t>
      </w:r>
      <w:r w:rsidRPr="00AA0679">
        <w:rPr>
          <w:rFonts w:cs="Times New Roman"/>
        </w:rPr>
        <w:t xml:space="preserve"> Expert Judgment Assessment of the Mortality Impact of Changes in Ambient Fine Particulate Matter in the U.S. </w:t>
      </w:r>
      <w:r w:rsidRPr="00AA0679">
        <w:rPr>
          <w:rFonts w:cs="Times New Roman"/>
          <w:i/>
          <w:iCs/>
        </w:rPr>
        <w:t>Environmental Science &amp; Technology</w:t>
      </w:r>
      <w:r w:rsidRPr="00AA0679">
        <w:rPr>
          <w:rFonts w:cs="Times New Roman"/>
        </w:rPr>
        <w:t xml:space="preserve"> 2008; </w:t>
      </w:r>
      <w:r w:rsidRPr="00AA0679">
        <w:rPr>
          <w:rFonts w:cs="Times New Roman"/>
          <w:b/>
          <w:bCs/>
        </w:rPr>
        <w:t>42</w:t>
      </w:r>
      <w:r w:rsidRPr="00AA0679">
        <w:rPr>
          <w:rFonts w:cs="Times New Roman"/>
        </w:rPr>
        <w:t>: 2268–2274.</w:t>
      </w:r>
    </w:p>
    <w:p w14:paraId="0038B9A0"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9 </w:t>
      </w:r>
      <w:r w:rsidRPr="00AA0679">
        <w:rPr>
          <w:rFonts w:cs="Times New Roman"/>
        </w:rPr>
        <w:tab/>
        <w:t>US EPA. The Benefits and Costs of the Clean Air Act from 1990 to 2020. U.S. Environmental Protection Agency Office of Air and Radiation: Washington, DC, 2011http://www.epa.gov/cleanairactbenefits/feb11/fullreport_rev_a.pdf.</w:t>
      </w:r>
    </w:p>
    <w:p w14:paraId="1B35D14B"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10 </w:t>
      </w:r>
      <w:r w:rsidRPr="00AA0679">
        <w:rPr>
          <w:rFonts w:cs="Times New Roman"/>
        </w:rPr>
        <w:tab/>
        <w:t xml:space="preserve">Eftim SE, Samet JM, Janes H, McDermott A, Dominici F. Fine particulate matter and mortality: a comparison of the six cities and American Cancer Society cohorts with a medicare cohort. </w:t>
      </w:r>
      <w:r w:rsidRPr="00AA0679">
        <w:rPr>
          <w:rFonts w:cs="Times New Roman"/>
          <w:i/>
          <w:iCs/>
        </w:rPr>
        <w:t>Epidemiology</w:t>
      </w:r>
      <w:r w:rsidRPr="00AA0679">
        <w:rPr>
          <w:rFonts w:cs="Times New Roman"/>
        </w:rPr>
        <w:t xml:space="preserve"> 2008; </w:t>
      </w:r>
      <w:r w:rsidRPr="00AA0679">
        <w:rPr>
          <w:rFonts w:cs="Times New Roman"/>
          <w:b/>
          <w:bCs/>
        </w:rPr>
        <w:t>19</w:t>
      </w:r>
      <w:r w:rsidRPr="00AA0679">
        <w:rPr>
          <w:rFonts w:cs="Times New Roman"/>
        </w:rPr>
        <w:t>: 209–216.</w:t>
      </w:r>
    </w:p>
    <w:p w14:paraId="7AAAFD7D"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11 </w:t>
      </w:r>
      <w:r w:rsidRPr="00AA0679">
        <w:rPr>
          <w:rFonts w:cs="Times New Roman"/>
        </w:rPr>
        <w:tab/>
        <w:t xml:space="preserve">Hodas N, Meng Q, Lunden MM, Rich DQ, Özkaynak H, Baxter LK </w:t>
      </w:r>
      <w:r w:rsidRPr="00AA0679">
        <w:rPr>
          <w:rFonts w:cs="Times New Roman"/>
          <w:i/>
          <w:iCs/>
        </w:rPr>
        <w:t>et al.</w:t>
      </w:r>
      <w:r w:rsidRPr="00AA0679">
        <w:rPr>
          <w:rFonts w:cs="Times New Roman"/>
        </w:rPr>
        <w:t xml:space="preserve"> Variability in the fraction of ambient fine particulate matter found indoors and observed heterogeneity in health effect estimates. </w:t>
      </w:r>
      <w:r w:rsidRPr="00AA0679">
        <w:rPr>
          <w:rFonts w:cs="Times New Roman"/>
          <w:i/>
          <w:iCs/>
        </w:rPr>
        <w:t>Journal of Exposure Science and Environmental Epidemiology</w:t>
      </w:r>
      <w:r w:rsidRPr="00AA0679">
        <w:rPr>
          <w:rFonts w:cs="Times New Roman"/>
        </w:rPr>
        <w:t xml:space="preserve"> 2012; </w:t>
      </w:r>
      <w:r w:rsidRPr="00AA0679">
        <w:rPr>
          <w:rFonts w:cs="Times New Roman"/>
          <w:b/>
          <w:bCs/>
        </w:rPr>
        <w:t>22</w:t>
      </w:r>
      <w:r w:rsidRPr="00AA0679">
        <w:rPr>
          <w:rFonts w:cs="Times New Roman"/>
        </w:rPr>
        <w:t>: 448–454.</w:t>
      </w:r>
    </w:p>
    <w:p w14:paraId="0CCBAB6F"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12 </w:t>
      </w:r>
      <w:r w:rsidRPr="00AA0679">
        <w:rPr>
          <w:rFonts w:cs="Times New Roman"/>
        </w:rPr>
        <w:tab/>
        <w:t xml:space="preserve">Puett RC, Schwartz J, Hart JE, Yanosky JD, Speizer FE, Suh H </w:t>
      </w:r>
      <w:r w:rsidRPr="00AA0679">
        <w:rPr>
          <w:rFonts w:cs="Times New Roman"/>
          <w:i/>
          <w:iCs/>
        </w:rPr>
        <w:t>et al.</w:t>
      </w:r>
      <w:r w:rsidRPr="00AA0679">
        <w:rPr>
          <w:rFonts w:cs="Times New Roman"/>
        </w:rPr>
        <w:t xml:space="preserve"> Chronic particulate exposure, mortality, and coronary heart disease in the nurses’ health study. </w:t>
      </w:r>
      <w:r w:rsidRPr="00AA0679">
        <w:rPr>
          <w:rFonts w:cs="Times New Roman"/>
          <w:i/>
          <w:iCs/>
        </w:rPr>
        <w:t>Am J Epidemiol</w:t>
      </w:r>
      <w:r w:rsidRPr="00AA0679">
        <w:rPr>
          <w:rFonts w:cs="Times New Roman"/>
        </w:rPr>
        <w:t xml:space="preserve"> 2008; </w:t>
      </w:r>
      <w:r w:rsidRPr="00AA0679">
        <w:rPr>
          <w:rFonts w:cs="Times New Roman"/>
          <w:b/>
          <w:bCs/>
        </w:rPr>
        <w:t>168</w:t>
      </w:r>
      <w:r w:rsidRPr="00AA0679">
        <w:rPr>
          <w:rFonts w:cs="Times New Roman"/>
        </w:rPr>
        <w:t>: 1161–1168.</w:t>
      </w:r>
    </w:p>
    <w:p w14:paraId="7C7C8116"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13 </w:t>
      </w:r>
      <w:r w:rsidRPr="00AA0679">
        <w:rPr>
          <w:rFonts w:cs="Times New Roman"/>
        </w:rPr>
        <w:tab/>
        <w:t xml:space="preserve">Zeger SL, Dominici F, McDermott A, Samet JM. Mortality in the Medicare population and chronic exposure to fine particulate air pollution in urban centers (2000-2005). </w:t>
      </w:r>
      <w:r w:rsidRPr="00AA0679">
        <w:rPr>
          <w:rFonts w:cs="Times New Roman"/>
          <w:i/>
          <w:iCs/>
        </w:rPr>
        <w:t>Environ Health Perspect</w:t>
      </w:r>
      <w:r w:rsidRPr="00AA0679">
        <w:rPr>
          <w:rFonts w:cs="Times New Roman"/>
        </w:rPr>
        <w:t xml:space="preserve"> 2008; </w:t>
      </w:r>
      <w:r w:rsidRPr="00AA0679">
        <w:rPr>
          <w:rFonts w:cs="Times New Roman"/>
          <w:b/>
          <w:bCs/>
        </w:rPr>
        <w:t>116</w:t>
      </w:r>
      <w:r w:rsidRPr="00AA0679">
        <w:rPr>
          <w:rFonts w:cs="Times New Roman"/>
        </w:rPr>
        <w:t>: 1614–1619.</w:t>
      </w:r>
    </w:p>
    <w:p w14:paraId="4F7118EF"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14 </w:t>
      </w:r>
      <w:r w:rsidRPr="00AA0679">
        <w:rPr>
          <w:rFonts w:cs="Times New Roman"/>
        </w:rPr>
        <w:tab/>
        <w:t xml:space="preserve">Chen C, Zhao B, Weschler CJ. Indoor exposure to “outdoor PM10”. </w:t>
      </w:r>
      <w:r w:rsidRPr="00AA0679">
        <w:rPr>
          <w:rFonts w:cs="Times New Roman"/>
          <w:i/>
          <w:iCs/>
        </w:rPr>
        <w:t>Epidemiology</w:t>
      </w:r>
      <w:r w:rsidRPr="00AA0679">
        <w:rPr>
          <w:rFonts w:cs="Times New Roman"/>
        </w:rPr>
        <w:t xml:space="preserve"> 2012; </w:t>
      </w:r>
      <w:r w:rsidRPr="00AA0679">
        <w:rPr>
          <w:rFonts w:cs="Times New Roman"/>
          <w:b/>
          <w:bCs/>
        </w:rPr>
        <w:t>23</w:t>
      </w:r>
      <w:r w:rsidRPr="00AA0679">
        <w:rPr>
          <w:rFonts w:cs="Times New Roman"/>
        </w:rPr>
        <w:t>: 870–878.</w:t>
      </w:r>
    </w:p>
    <w:p w14:paraId="40D6710D"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15 </w:t>
      </w:r>
      <w:r w:rsidRPr="00AA0679">
        <w:rPr>
          <w:rFonts w:cs="Times New Roman"/>
        </w:rPr>
        <w:tab/>
        <w:t xml:space="preserve">Ji W, Zhao B. Estimating mortality derived from indoor exposure to particles of outdoor origin. </w:t>
      </w:r>
      <w:r w:rsidRPr="00AA0679">
        <w:rPr>
          <w:rFonts w:cs="Times New Roman"/>
          <w:i/>
          <w:iCs/>
        </w:rPr>
        <w:t>PLOS ONE</w:t>
      </w:r>
      <w:r w:rsidRPr="00AA0679">
        <w:rPr>
          <w:rFonts w:cs="Times New Roman"/>
        </w:rPr>
        <w:t xml:space="preserve"> 2015; </w:t>
      </w:r>
      <w:r w:rsidRPr="00AA0679">
        <w:rPr>
          <w:rFonts w:cs="Times New Roman"/>
          <w:b/>
          <w:bCs/>
        </w:rPr>
        <w:t>10</w:t>
      </w:r>
      <w:r w:rsidRPr="00AA0679">
        <w:rPr>
          <w:rFonts w:cs="Times New Roman"/>
        </w:rPr>
        <w:t>: e0124238.</w:t>
      </w:r>
    </w:p>
    <w:p w14:paraId="7DBBCC98"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16 </w:t>
      </w:r>
      <w:r w:rsidRPr="00AA0679">
        <w:rPr>
          <w:rFonts w:cs="Times New Roman"/>
        </w:rPr>
        <w:tab/>
        <w:t xml:space="preserve">Bell ML, Ebisu K, Peng RD, Dominici F. Adverse Health Effects of Particulate Air Pollution: Modification by Air Conditioning. </w:t>
      </w:r>
      <w:r w:rsidRPr="00AA0679">
        <w:rPr>
          <w:rFonts w:cs="Times New Roman"/>
          <w:i/>
          <w:iCs/>
        </w:rPr>
        <w:t>Epidemiology</w:t>
      </w:r>
      <w:r w:rsidRPr="00AA0679">
        <w:rPr>
          <w:rFonts w:cs="Times New Roman"/>
        </w:rPr>
        <w:t xml:space="preserve"> 2009; </w:t>
      </w:r>
      <w:r w:rsidRPr="00AA0679">
        <w:rPr>
          <w:rFonts w:cs="Times New Roman"/>
          <w:b/>
          <w:bCs/>
        </w:rPr>
        <w:t>20</w:t>
      </w:r>
      <w:r w:rsidRPr="00AA0679">
        <w:rPr>
          <w:rFonts w:cs="Times New Roman"/>
        </w:rPr>
        <w:t>: 682–686.</w:t>
      </w:r>
    </w:p>
    <w:p w14:paraId="28A4F15C"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17 </w:t>
      </w:r>
      <w:r w:rsidRPr="00AA0679">
        <w:rPr>
          <w:rFonts w:cs="Times New Roman"/>
        </w:rPr>
        <w:tab/>
        <w:t xml:space="preserve">Fann N, Gilmore EA, Walker K. Characterizing the Long-Term PM </w:t>
      </w:r>
      <w:r w:rsidRPr="00AA0679">
        <w:rPr>
          <w:rFonts w:cs="Times New Roman"/>
          <w:vertAlign w:val="subscript"/>
        </w:rPr>
        <w:t>2.5</w:t>
      </w:r>
      <w:r w:rsidRPr="00AA0679">
        <w:rPr>
          <w:rFonts w:cs="Times New Roman"/>
        </w:rPr>
        <w:t xml:space="preserve"> Concentration-Response Function: Comparing the Strengths and Weaknesses of Research Synthesis Approaches: Characterizing Long-Term PM </w:t>
      </w:r>
      <w:r w:rsidRPr="00AA0679">
        <w:rPr>
          <w:rFonts w:cs="Times New Roman"/>
          <w:vertAlign w:val="subscript"/>
        </w:rPr>
        <w:t>2.5</w:t>
      </w:r>
      <w:r w:rsidRPr="00AA0679">
        <w:rPr>
          <w:rFonts w:cs="Times New Roman"/>
        </w:rPr>
        <w:t xml:space="preserve"> Concentration-Response Function. </w:t>
      </w:r>
      <w:r w:rsidRPr="00AA0679">
        <w:rPr>
          <w:rFonts w:cs="Times New Roman"/>
          <w:i/>
          <w:iCs/>
        </w:rPr>
        <w:t>Risk Analysis</w:t>
      </w:r>
      <w:r w:rsidRPr="00AA0679">
        <w:rPr>
          <w:rFonts w:cs="Times New Roman"/>
        </w:rPr>
        <w:t xml:space="preserve"> 2016; </w:t>
      </w:r>
      <w:r w:rsidRPr="00AA0679">
        <w:rPr>
          <w:rFonts w:cs="Times New Roman"/>
          <w:b/>
          <w:bCs/>
        </w:rPr>
        <w:t>36</w:t>
      </w:r>
      <w:r w:rsidRPr="00AA0679">
        <w:rPr>
          <w:rFonts w:cs="Times New Roman"/>
        </w:rPr>
        <w:t>: 1693–1707.</w:t>
      </w:r>
    </w:p>
    <w:p w14:paraId="5ACC1FED"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18 </w:t>
      </w:r>
      <w:r w:rsidRPr="00AA0679">
        <w:rPr>
          <w:rFonts w:cs="Times New Roman"/>
        </w:rPr>
        <w:tab/>
        <w:t xml:space="preserve">Hoek G, Krishnan RM, Beelen R, Peters A, Ostro B, Brunekreef B </w:t>
      </w:r>
      <w:r w:rsidRPr="00AA0679">
        <w:rPr>
          <w:rFonts w:cs="Times New Roman"/>
          <w:i/>
          <w:iCs/>
        </w:rPr>
        <w:t>et al.</w:t>
      </w:r>
      <w:r w:rsidRPr="00AA0679">
        <w:rPr>
          <w:rFonts w:cs="Times New Roman"/>
        </w:rPr>
        <w:t xml:space="preserve"> Long-term air pollution exposure and cardio- respiratory mortality: a review. </w:t>
      </w:r>
      <w:r w:rsidRPr="00AA0679">
        <w:rPr>
          <w:rFonts w:cs="Times New Roman"/>
          <w:i/>
          <w:iCs/>
        </w:rPr>
        <w:t>Environmental Health</w:t>
      </w:r>
      <w:r w:rsidRPr="00AA0679">
        <w:rPr>
          <w:rFonts w:cs="Times New Roman"/>
        </w:rPr>
        <w:t xml:space="preserve"> 2013; </w:t>
      </w:r>
      <w:r w:rsidRPr="00AA0679">
        <w:rPr>
          <w:rFonts w:cs="Times New Roman"/>
          <w:b/>
          <w:bCs/>
        </w:rPr>
        <w:t>12</w:t>
      </w:r>
      <w:r w:rsidRPr="00AA0679">
        <w:rPr>
          <w:rFonts w:cs="Times New Roman"/>
        </w:rPr>
        <w:t>. doi:10.1186/1476-069X-12-43.</w:t>
      </w:r>
    </w:p>
    <w:p w14:paraId="63F1A834"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19 </w:t>
      </w:r>
      <w:r w:rsidRPr="00AA0679">
        <w:rPr>
          <w:rFonts w:cs="Times New Roman"/>
        </w:rPr>
        <w:tab/>
        <w:t xml:space="preserve">Rackes A, Ben-David T, Waring MS. Outcome-based ventilation: A framework for assessing performance, health, and energy impacts to inform office building ventilation decisions. </w:t>
      </w:r>
      <w:r w:rsidRPr="00AA0679">
        <w:rPr>
          <w:rFonts w:cs="Times New Roman"/>
          <w:i/>
          <w:iCs/>
        </w:rPr>
        <w:t>Indoor Air</w:t>
      </w:r>
      <w:r w:rsidRPr="00AA0679">
        <w:rPr>
          <w:rFonts w:cs="Times New Roman"/>
        </w:rPr>
        <w:t xml:space="preserve"> 2018. doi:10.1111/ina.12466.</w:t>
      </w:r>
    </w:p>
    <w:p w14:paraId="48CEBC51"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lastRenderedPageBreak/>
        <w:t xml:space="preserve">20 </w:t>
      </w:r>
      <w:r w:rsidRPr="00AA0679">
        <w:rPr>
          <w:rFonts w:cs="Times New Roman"/>
        </w:rPr>
        <w:tab/>
        <w:t xml:space="preserve">Klepeis NE, Nelson WC, Ott WR, Robinson JP, Tsang AM, Switzer P </w:t>
      </w:r>
      <w:r w:rsidRPr="00AA0679">
        <w:rPr>
          <w:rFonts w:cs="Times New Roman"/>
          <w:i/>
          <w:iCs/>
        </w:rPr>
        <w:t>et al.</w:t>
      </w:r>
      <w:r w:rsidRPr="00AA0679">
        <w:rPr>
          <w:rFonts w:cs="Times New Roman"/>
        </w:rPr>
        <w:t xml:space="preserve"> The National Human Activity Pattern Survey (NHAPS): a resource for assessing exposure to environmental pollutants. </w:t>
      </w:r>
      <w:r w:rsidRPr="00AA0679">
        <w:rPr>
          <w:rFonts w:cs="Times New Roman"/>
          <w:i/>
          <w:iCs/>
        </w:rPr>
        <w:t>J Expo Anal Environ Epidemiol</w:t>
      </w:r>
      <w:r w:rsidRPr="00AA0679">
        <w:rPr>
          <w:rFonts w:cs="Times New Roman"/>
        </w:rPr>
        <w:t xml:space="preserve"> 2001; </w:t>
      </w:r>
      <w:r w:rsidRPr="00AA0679">
        <w:rPr>
          <w:rFonts w:cs="Times New Roman"/>
          <w:b/>
          <w:bCs/>
        </w:rPr>
        <w:t>11</w:t>
      </w:r>
      <w:r w:rsidRPr="00AA0679">
        <w:rPr>
          <w:rFonts w:cs="Times New Roman"/>
        </w:rPr>
        <w:t>: 231–252.</w:t>
      </w:r>
    </w:p>
    <w:p w14:paraId="3E1B38B5"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21 </w:t>
      </w:r>
      <w:r w:rsidRPr="00AA0679">
        <w:rPr>
          <w:rFonts w:cs="Times New Roman"/>
        </w:rPr>
        <w:tab/>
        <w:t xml:space="preserve">Chen C, Zhao B. Review of relationship between indoor and outdoor particles: I/O ratio, infiltration factor and penetration factor. </w:t>
      </w:r>
      <w:r w:rsidRPr="00AA0679">
        <w:rPr>
          <w:rFonts w:cs="Times New Roman"/>
          <w:i/>
          <w:iCs/>
        </w:rPr>
        <w:t>Atmos Environ</w:t>
      </w:r>
      <w:r w:rsidRPr="00AA0679">
        <w:rPr>
          <w:rFonts w:cs="Times New Roman"/>
        </w:rPr>
        <w:t xml:space="preserve"> 2011; </w:t>
      </w:r>
      <w:r w:rsidRPr="00AA0679">
        <w:rPr>
          <w:rFonts w:cs="Times New Roman"/>
          <w:b/>
          <w:bCs/>
        </w:rPr>
        <w:t>45</w:t>
      </w:r>
      <w:r w:rsidRPr="00AA0679">
        <w:rPr>
          <w:rFonts w:cs="Times New Roman"/>
        </w:rPr>
        <w:t>: 275–288.</w:t>
      </w:r>
    </w:p>
    <w:p w14:paraId="355B43F5"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22 </w:t>
      </w:r>
      <w:r w:rsidRPr="00AA0679">
        <w:rPr>
          <w:rFonts w:cs="Times New Roman"/>
        </w:rPr>
        <w:tab/>
        <w:t xml:space="preserve">Ben-David T, Rackes A, Waring MS. Alternative ventilation strategies in U.S. offices: Saving energy while enhancing work performance, reducing absenteeism, and considering outdoor pollutant exposure tradeoffs. </w:t>
      </w:r>
      <w:r w:rsidRPr="00AA0679">
        <w:rPr>
          <w:rFonts w:cs="Times New Roman"/>
          <w:i/>
          <w:iCs/>
        </w:rPr>
        <w:t>Building and Environment</w:t>
      </w:r>
      <w:r w:rsidRPr="00AA0679">
        <w:rPr>
          <w:rFonts w:cs="Times New Roman"/>
        </w:rPr>
        <w:t xml:space="preserve"> 2017; </w:t>
      </w:r>
      <w:r w:rsidRPr="00AA0679">
        <w:rPr>
          <w:rFonts w:cs="Times New Roman"/>
          <w:b/>
          <w:bCs/>
        </w:rPr>
        <w:t>116</w:t>
      </w:r>
      <w:r w:rsidRPr="00AA0679">
        <w:rPr>
          <w:rFonts w:cs="Times New Roman"/>
        </w:rPr>
        <w:t>: 140–157.</w:t>
      </w:r>
    </w:p>
    <w:p w14:paraId="094ADD6E"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23 </w:t>
      </w:r>
      <w:r w:rsidRPr="00AA0679">
        <w:rPr>
          <w:rFonts w:cs="Times New Roman"/>
        </w:rPr>
        <w:tab/>
        <w:t xml:space="preserve">Hänninen OO, Palonen J, Tuomisto JT, Yli-Tuomi T, Seppanen O, Jantunen MJ. Reduction potential of urban PM2.5 mortality risk using modern ventilation systems in buildings. </w:t>
      </w:r>
      <w:r w:rsidRPr="00AA0679">
        <w:rPr>
          <w:rFonts w:cs="Times New Roman"/>
          <w:i/>
          <w:iCs/>
        </w:rPr>
        <w:t>Indoor Air</w:t>
      </w:r>
      <w:r w:rsidRPr="00AA0679">
        <w:rPr>
          <w:rFonts w:cs="Times New Roman"/>
        </w:rPr>
        <w:t xml:space="preserve"> 2005; </w:t>
      </w:r>
      <w:r w:rsidRPr="00AA0679">
        <w:rPr>
          <w:rFonts w:cs="Times New Roman"/>
          <w:b/>
          <w:bCs/>
        </w:rPr>
        <w:t>15</w:t>
      </w:r>
      <w:r w:rsidRPr="00AA0679">
        <w:rPr>
          <w:rFonts w:cs="Times New Roman"/>
        </w:rPr>
        <w:t>: 246–256.</w:t>
      </w:r>
    </w:p>
    <w:p w14:paraId="181D8D1F"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24 </w:t>
      </w:r>
      <w:r w:rsidRPr="00AA0679">
        <w:rPr>
          <w:rFonts w:cs="Times New Roman"/>
        </w:rPr>
        <w:tab/>
        <w:t xml:space="preserve">Fromme H, Diemer J, Dietrich S, Cyrys J, Heinrich J, Lang W </w:t>
      </w:r>
      <w:r w:rsidRPr="00AA0679">
        <w:rPr>
          <w:rFonts w:cs="Times New Roman"/>
          <w:i/>
          <w:iCs/>
        </w:rPr>
        <w:t>et al.</w:t>
      </w:r>
      <w:r w:rsidRPr="00AA0679">
        <w:rPr>
          <w:rFonts w:cs="Times New Roman"/>
        </w:rPr>
        <w:t xml:space="preserve"> Chemical and morphological properties of particulate matter (PM10, PM2.5) in school classrooms and outdoor air. </w:t>
      </w:r>
      <w:r w:rsidRPr="00AA0679">
        <w:rPr>
          <w:rFonts w:cs="Times New Roman"/>
          <w:i/>
          <w:iCs/>
        </w:rPr>
        <w:t>Atmospheric Environment</w:t>
      </w:r>
      <w:r w:rsidRPr="00AA0679">
        <w:rPr>
          <w:rFonts w:cs="Times New Roman"/>
        </w:rPr>
        <w:t xml:space="preserve"> 2008; </w:t>
      </w:r>
      <w:r w:rsidRPr="00AA0679">
        <w:rPr>
          <w:rFonts w:cs="Times New Roman"/>
          <w:b/>
          <w:bCs/>
        </w:rPr>
        <w:t>42</w:t>
      </w:r>
      <w:r w:rsidRPr="00AA0679">
        <w:rPr>
          <w:rFonts w:cs="Times New Roman"/>
        </w:rPr>
        <w:t>: 6597–6605.</w:t>
      </w:r>
    </w:p>
    <w:p w14:paraId="40BB8EAA"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25 </w:t>
      </w:r>
      <w:r w:rsidRPr="00AA0679">
        <w:rPr>
          <w:rFonts w:cs="Times New Roman"/>
        </w:rPr>
        <w:tab/>
        <w:t xml:space="preserve">Rivas I, Viana M, Moreno T, Bouso L, Pandolfi M, Alvarez-Pedrerol M </w:t>
      </w:r>
      <w:r w:rsidRPr="00AA0679">
        <w:rPr>
          <w:rFonts w:cs="Times New Roman"/>
          <w:i/>
          <w:iCs/>
        </w:rPr>
        <w:t>et al.</w:t>
      </w:r>
      <w:r w:rsidRPr="00AA0679">
        <w:rPr>
          <w:rFonts w:cs="Times New Roman"/>
        </w:rPr>
        <w:t xml:space="preserve"> Outdoor infiltration and indoor contribution of UFP and BC, OC, secondary inorganic ions and metals in PM 2.5 in schools. </w:t>
      </w:r>
      <w:r w:rsidRPr="00AA0679">
        <w:rPr>
          <w:rFonts w:cs="Times New Roman"/>
          <w:i/>
          <w:iCs/>
        </w:rPr>
        <w:t>Atmospheric Environment</w:t>
      </w:r>
      <w:r w:rsidRPr="00AA0679">
        <w:rPr>
          <w:rFonts w:cs="Times New Roman"/>
        </w:rPr>
        <w:t xml:space="preserve"> 2015; </w:t>
      </w:r>
      <w:r w:rsidRPr="00AA0679">
        <w:rPr>
          <w:rFonts w:cs="Times New Roman"/>
          <w:b/>
          <w:bCs/>
        </w:rPr>
        <w:t>106</w:t>
      </w:r>
      <w:r w:rsidRPr="00AA0679">
        <w:rPr>
          <w:rFonts w:cs="Times New Roman"/>
        </w:rPr>
        <w:t>: 129–138.</w:t>
      </w:r>
    </w:p>
    <w:p w14:paraId="765CF6A2"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26 </w:t>
      </w:r>
      <w:r w:rsidRPr="00AA0679">
        <w:rPr>
          <w:rFonts w:cs="Times New Roman"/>
        </w:rPr>
        <w:tab/>
        <w:t xml:space="preserve">Hudda N, Fruin SA. Models for Predicting the Ratio of Particulate Pollutant Concentrations Inside Vehicles to Roadways. </w:t>
      </w:r>
      <w:r w:rsidRPr="00AA0679">
        <w:rPr>
          <w:rFonts w:cs="Times New Roman"/>
          <w:i/>
          <w:iCs/>
        </w:rPr>
        <w:t>Environmental Science &amp; Technology</w:t>
      </w:r>
      <w:r w:rsidRPr="00AA0679">
        <w:rPr>
          <w:rFonts w:cs="Times New Roman"/>
        </w:rPr>
        <w:t xml:space="preserve"> 2013; </w:t>
      </w:r>
      <w:r w:rsidRPr="00AA0679">
        <w:rPr>
          <w:rFonts w:cs="Times New Roman"/>
          <w:b/>
          <w:bCs/>
        </w:rPr>
        <w:t>47</w:t>
      </w:r>
      <w:r w:rsidRPr="00AA0679">
        <w:rPr>
          <w:rFonts w:cs="Times New Roman"/>
        </w:rPr>
        <w:t>: 11048–11055.</w:t>
      </w:r>
    </w:p>
    <w:p w14:paraId="676E8DC0"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27 </w:t>
      </w:r>
      <w:r w:rsidRPr="00AA0679">
        <w:rPr>
          <w:rFonts w:cs="Times New Roman"/>
        </w:rPr>
        <w:tab/>
        <w:t xml:space="preserve">Wu X, Apte MG, Bennett DH. Indoor Particle Levels in Small- and Medium-Sized Commercial Buildings in California. </w:t>
      </w:r>
      <w:r w:rsidRPr="00AA0679">
        <w:rPr>
          <w:rFonts w:cs="Times New Roman"/>
          <w:i/>
          <w:iCs/>
        </w:rPr>
        <w:t>Environmental Science &amp; Technology</w:t>
      </w:r>
      <w:r w:rsidRPr="00AA0679">
        <w:rPr>
          <w:rFonts w:cs="Times New Roman"/>
        </w:rPr>
        <w:t xml:space="preserve"> 2012; </w:t>
      </w:r>
      <w:r w:rsidRPr="00AA0679">
        <w:rPr>
          <w:rFonts w:cs="Times New Roman"/>
          <w:b/>
          <w:bCs/>
        </w:rPr>
        <w:t>46</w:t>
      </w:r>
      <w:r w:rsidRPr="00AA0679">
        <w:rPr>
          <w:rFonts w:cs="Times New Roman"/>
        </w:rPr>
        <w:t>: 12355–12363.</w:t>
      </w:r>
    </w:p>
    <w:p w14:paraId="1740E3FB"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28 </w:t>
      </w:r>
      <w:r w:rsidRPr="00AA0679">
        <w:rPr>
          <w:rFonts w:cs="Times New Roman"/>
        </w:rPr>
        <w:tab/>
        <w:t xml:space="preserve">Karner AA, Eisinger DS, Niemeier DA. Near-Roadway Air Quality: Synthesizing the Findings from Real-World Data. </w:t>
      </w:r>
      <w:r w:rsidRPr="00AA0679">
        <w:rPr>
          <w:rFonts w:cs="Times New Roman"/>
          <w:i/>
          <w:iCs/>
        </w:rPr>
        <w:t>Environmental Science &amp; Technology</w:t>
      </w:r>
      <w:r w:rsidRPr="00AA0679">
        <w:rPr>
          <w:rFonts w:cs="Times New Roman"/>
        </w:rPr>
        <w:t xml:space="preserve"> 2010; </w:t>
      </w:r>
      <w:r w:rsidRPr="00AA0679">
        <w:rPr>
          <w:rFonts w:cs="Times New Roman"/>
          <w:b/>
          <w:bCs/>
        </w:rPr>
        <w:t>44</w:t>
      </w:r>
      <w:r w:rsidRPr="00AA0679">
        <w:rPr>
          <w:rFonts w:cs="Times New Roman"/>
        </w:rPr>
        <w:t>: 5334–5344.</w:t>
      </w:r>
    </w:p>
    <w:p w14:paraId="2F76D6DF"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29 </w:t>
      </w:r>
      <w:r w:rsidRPr="00AA0679">
        <w:rPr>
          <w:rFonts w:cs="Times New Roman"/>
        </w:rPr>
        <w:tab/>
        <w:t xml:space="preserve">Weisel CP, Zhang J, Turpin BJ, Morandi MT, Colome S, Stock TH </w:t>
      </w:r>
      <w:r w:rsidRPr="00AA0679">
        <w:rPr>
          <w:rFonts w:cs="Times New Roman"/>
          <w:i/>
          <w:iCs/>
        </w:rPr>
        <w:t>et al.</w:t>
      </w:r>
      <w:r w:rsidRPr="00AA0679">
        <w:rPr>
          <w:rFonts w:cs="Times New Roman"/>
        </w:rPr>
        <w:t xml:space="preserve"> Relationship of Indoor, Outdoor and Personal Air (RIOPA) study: study design, methods and quality assurance/control results. </w:t>
      </w:r>
      <w:r w:rsidRPr="00AA0679">
        <w:rPr>
          <w:rFonts w:cs="Times New Roman"/>
          <w:i/>
          <w:iCs/>
        </w:rPr>
        <w:t>Journal of Exposure Analysis and Environmental Epidemiology</w:t>
      </w:r>
      <w:r w:rsidRPr="00AA0679">
        <w:rPr>
          <w:rFonts w:cs="Times New Roman"/>
        </w:rPr>
        <w:t xml:space="preserve"> 2004; </w:t>
      </w:r>
      <w:r w:rsidRPr="00AA0679">
        <w:rPr>
          <w:rFonts w:cs="Times New Roman"/>
          <w:b/>
          <w:bCs/>
        </w:rPr>
        <w:t>15</w:t>
      </w:r>
      <w:r w:rsidRPr="00AA0679">
        <w:rPr>
          <w:rFonts w:cs="Times New Roman"/>
        </w:rPr>
        <w:t>: 123–137.</w:t>
      </w:r>
    </w:p>
    <w:p w14:paraId="7D1DF5CF"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30 </w:t>
      </w:r>
      <w:r w:rsidRPr="00AA0679">
        <w:rPr>
          <w:rFonts w:cs="Times New Roman"/>
        </w:rPr>
        <w:tab/>
        <w:t xml:space="preserve">Cohen MA, Adar SD, Allen RW, Avol E, Curl CL, Gould T </w:t>
      </w:r>
      <w:r w:rsidRPr="00AA0679">
        <w:rPr>
          <w:rFonts w:cs="Times New Roman"/>
          <w:i/>
          <w:iCs/>
        </w:rPr>
        <w:t>et al.</w:t>
      </w:r>
      <w:r w:rsidRPr="00AA0679">
        <w:rPr>
          <w:rFonts w:cs="Times New Roman"/>
        </w:rPr>
        <w:t xml:space="preserve"> Approach to Estimating Participant Pollutant Exposures in the Multi-Ethnic Study of Atherosclerosis and Air Pollution (MESA Air). </w:t>
      </w:r>
      <w:r w:rsidRPr="00AA0679">
        <w:rPr>
          <w:rFonts w:cs="Times New Roman"/>
          <w:i/>
          <w:iCs/>
        </w:rPr>
        <w:t>Environ Sci Technol</w:t>
      </w:r>
      <w:r w:rsidRPr="00AA0679">
        <w:rPr>
          <w:rFonts w:cs="Times New Roman"/>
        </w:rPr>
        <w:t xml:space="preserve"> 2009; </w:t>
      </w:r>
      <w:r w:rsidRPr="00AA0679">
        <w:rPr>
          <w:rFonts w:cs="Times New Roman"/>
          <w:b/>
          <w:bCs/>
        </w:rPr>
        <w:t>43</w:t>
      </w:r>
      <w:r w:rsidRPr="00AA0679">
        <w:rPr>
          <w:rFonts w:cs="Times New Roman"/>
        </w:rPr>
        <w:t>: 4687–4693.</w:t>
      </w:r>
    </w:p>
    <w:p w14:paraId="016C0D60"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31 </w:t>
      </w:r>
      <w:r w:rsidRPr="00AA0679">
        <w:rPr>
          <w:rFonts w:cs="Times New Roman"/>
        </w:rPr>
        <w:tab/>
        <w:t xml:space="preserve">Kaufman JD, Adar SD, Allen RW, Barr RG, Budoff MJ, Burke GL </w:t>
      </w:r>
      <w:r w:rsidRPr="00AA0679">
        <w:rPr>
          <w:rFonts w:cs="Times New Roman"/>
          <w:i/>
          <w:iCs/>
        </w:rPr>
        <w:t>et al.</w:t>
      </w:r>
      <w:r w:rsidRPr="00AA0679">
        <w:rPr>
          <w:rFonts w:cs="Times New Roman"/>
        </w:rPr>
        <w:t xml:space="preserve"> Prospective Study of Particulate Air Pollution Exposures, Subclinical Atherosclerosis, and Clinical Cardiovascular Disease: The Multi-Ethnic Study of Atherosclerosis and Air Pollution (MESA Air). </w:t>
      </w:r>
      <w:r w:rsidRPr="00AA0679">
        <w:rPr>
          <w:rFonts w:cs="Times New Roman"/>
          <w:i/>
          <w:iCs/>
        </w:rPr>
        <w:t>American Journal of Epidemiology</w:t>
      </w:r>
      <w:r w:rsidRPr="00AA0679">
        <w:rPr>
          <w:rFonts w:cs="Times New Roman"/>
        </w:rPr>
        <w:t xml:space="preserve"> 2012; </w:t>
      </w:r>
      <w:r w:rsidRPr="00AA0679">
        <w:rPr>
          <w:rFonts w:cs="Times New Roman"/>
          <w:b/>
          <w:bCs/>
        </w:rPr>
        <w:t>176</w:t>
      </w:r>
      <w:r w:rsidRPr="00AA0679">
        <w:rPr>
          <w:rFonts w:cs="Times New Roman"/>
        </w:rPr>
        <w:t>: 825–837.</w:t>
      </w:r>
    </w:p>
    <w:p w14:paraId="2949C310"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lastRenderedPageBreak/>
        <w:t xml:space="preserve">32 </w:t>
      </w:r>
      <w:r w:rsidRPr="00AA0679">
        <w:rPr>
          <w:rFonts w:cs="Times New Roman"/>
        </w:rPr>
        <w:tab/>
        <w:t xml:space="preserve">Meng QY, Turpin BJ, Korn L, Weisel CP, Morandi M, Colome S </w:t>
      </w:r>
      <w:r w:rsidRPr="00AA0679">
        <w:rPr>
          <w:rFonts w:cs="Times New Roman"/>
          <w:i/>
          <w:iCs/>
        </w:rPr>
        <w:t>et al.</w:t>
      </w:r>
      <w:r w:rsidRPr="00AA0679">
        <w:rPr>
          <w:rFonts w:cs="Times New Roman"/>
        </w:rPr>
        <w:t xml:space="preserve"> Influence of ambient (outdoor) sources on residential indoor and personal PM2.5 concentrations: Analyses of RIOPA data. </w:t>
      </w:r>
      <w:r w:rsidRPr="00AA0679">
        <w:rPr>
          <w:rFonts w:cs="Times New Roman"/>
          <w:i/>
          <w:iCs/>
        </w:rPr>
        <w:t>J Expo Anal Environ Epidemiol</w:t>
      </w:r>
      <w:r w:rsidRPr="00AA0679">
        <w:rPr>
          <w:rFonts w:cs="Times New Roman"/>
        </w:rPr>
        <w:t xml:space="preserve"> 2005; </w:t>
      </w:r>
      <w:r w:rsidRPr="00AA0679">
        <w:rPr>
          <w:rFonts w:cs="Times New Roman"/>
          <w:b/>
          <w:bCs/>
        </w:rPr>
        <w:t>15</w:t>
      </w:r>
      <w:r w:rsidRPr="00AA0679">
        <w:rPr>
          <w:rFonts w:cs="Times New Roman"/>
        </w:rPr>
        <w:t>: 17–28.</w:t>
      </w:r>
    </w:p>
    <w:p w14:paraId="0DCD1695"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33 </w:t>
      </w:r>
      <w:r w:rsidRPr="00AA0679">
        <w:rPr>
          <w:rFonts w:cs="Times New Roman"/>
        </w:rPr>
        <w:tab/>
        <w:t xml:space="preserve">Meng QY, Turpin BJ, Polidori A, Lee JH, Weisel C, Morandi M </w:t>
      </w:r>
      <w:r w:rsidRPr="00AA0679">
        <w:rPr>
          <w:rFonts w:cs="Times New Roman"/>
          <w:i/>
          <w:iCs/>
        </w:rPr>
        <w:t>et al.</w:t>
      </w:r>
      <w:r w:rsidRPr="00AA0679">
        <w:rPr>
          <w:rFonts w:cs="Times New Roman"/>
        </w:rPr>
        <w:t xml:space="preserve"> PM2.5 of ambient origin: estimates and exposure errors relevant to PM epidemiology. </w:t>
      </w:r>
      <w:r w:rsidRPr="00AA0679">
        <w:rPr>
          <w:rFonts w:cs="Times New Roman"/>
          <w:i/>
          <w:iCs/>
        </w:rPr>
        <w:t>Environmental Science &amp; Technology</w:t>
      </w:r>
      <w:r w:rsidRPr="00AA0679">
        <w:rPr>
          <w:rFonts w:cs="Times New Roman"/>
        </w:rPr>
        <w:t xml:space="preserve"> 2005; </w:t>
      </w:r>
      <w:r w:rsidRPr="00AA0679">
        <w:rPr>
          <w:rFonts w:cs="Times New Roman"/>
          <w:b/>
          <w:bCs/>
        </w:rPr>
        <w:t>39</w:t>
      </w:r>
      <w:r w:rsidRPr="00AA0679">
        <w:rPr>
          <w:rFonts w:cs="Times New Roman"/>
        </w:rPr>
        <w:t>: 5105–5112.</w:t>
      </w:r>
    </w:p>
    <w:p w14:paraId="0FE801F9"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34 </w:t>
      </w:r>
      <w:r w:rsidRPr="00AA0679">
        <w:rPr>
          <w:rFonts w:cs="Times New Roman"/>
        </w:rPr>
        <w:tab/>
        <w:t xml:space="preserve">Allen RW, Adar SD, Avol E, Cohen M, Curl CL, Larson T </w:t>
      </w:r>
      <w:r w:rsidRPr="00AA0679">
        <w:rPr>
          <w:rFonts w:cs="Times New Roman"/>
          <w:i/>
          <w:iCs/>
        </w:rPr>
        <w:t>et al.</w:t>
      </w:r>
      <w:r w:rsidRPr="00AA0679">
        <w:rPr>
          <w:rFonts w:cs="Times New Roman"/>
        </w:rPr>
        <w:t xml:space="preserve"> Modeling the residential infiltration of outdoor PM2.5 in the Multi-Ethnic Study of Atherosclerosis and Air Pollution (MESA Air). </w:t>
      </w:r>
      <w:r w:rsidRPr="00AA0679">
        <w:rPr>
          <w:rFonts w:cs="Times New Roman"/>
          <w:i/>
          <w:iCs/>
        </w:rPr>
        <w:t>Environmental Health Perspectives</w:t>
      </w:r>
      <w:r w:rsidRPr="00AA0679">
        <w:rPr>
          <w:rFonts w:cs="Times New Roman"/>
        </w:rPr>
        <w:t xml:space="preserve"> 2012; </w:t>
      </w:r>
      <w:r w:rsidRPr="00AA0679">
        <w:rPr>
          <w:rFonts w:cs="Times New Roman"/>
          <w:b/>
          <w:bCs/>
        </w:rPr>
        <w:t>120</w:t>
      </w:r>
      <w:r w:rsidRPr="00AA0679">
        <w:rPr>
          <w:rFonts w:cs="Times New Roman"/>
        </w:rPr>
        <w:t>: 824–830.</w:t>
      </w:r>
    </w:p>
    <w:p w14:paraId="52A07340"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35 </w:t>
      </w:r>
      <w:r w:rsidRPr="00AA0679">
        <w:rPr>
          <w:rFonts w:cs="Times New Roman"/>
        </w:rPr>
        <w:tab/>
        <w:t xml:space="preserve">Fann N, Kim S-Y, Olives C, Sheppard L. Estimated Changes in Life Expectancy and Adult Mortality Resulting from Declining PM2.5 Exposures in the Contiguous United States: 1980–2010. </w:t>
      </w:r>
      <w:r w:rsidRPr="00AA0679">
        <w:rPr>
          <w:rFonts w:cs="Times New Roman"/>
          <w:i/>
          <w:iCs/>
        </w:rPr>
        <w:t>Environmental Health Perspectives</w:t>
      </w:r>
      <w:r w:rsidRPr="00AA0679">
        <w:rPr>
          <w:rFonts w:cs="Times New Roman"/>
        </w:rPr>
        <w:t xml:space="preserve"> 2017; </w:t>
      </w:r>
      <w:r w:rsidRPr="00AA0679">
        <w:rPr>
          <w:rFonts w:cs="Times New Roman"/>
          <w:b/>
          <w:bCs/>
        </w:rPr>
        <w:t>125</w:t>
      </w:r>
      <w:r w:rsidRPr="00AA0679">
        <w:rPr>
          <w:rFonts w:cs="Times New Roman"/>
        </w:rPr>
        <w:t>. doi:10.1289/EHP507.</w:t>
      </w:r>
    </w:p>
    <w:p w14:paraId="707252E0"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36 </w:t>
      </w:r>
      <w:r w:rsidRPr="00AA0679">
        <w:rPr>
          <w:rFonts w:cs="Times New Roman"/>
        </w:rPr>
        <w:tab/>
        <w:t>Apte JS, Marshall JD, Cohen AJ, Brauer M. Addressing Global Mortality from Ambient PM</w:t>
      </w:r>
      <w:r w:rsidRPr="00AA0679">
        <w:rPr>
          <w:rFonts w:cs="Times New Roman"/>
          <w:vertAlign w:val="subscript"/>
        </w:rPr>
        <w:t>2.5</w:t>
      </w:r>
      <w:r w:rsidRPr="00AA0679">
        <w:rPr>
          <w:rFonts w:cs="Times New Roman"/>
        </w:rPr>
        <w:t xml:space="preserve">. </w:t>
      </w:r>
      <w:r w:rsidRPr="00AA0679">
        <w:rPr>
          <w:rFonts w:cs="Times New Roman"/>
          <w:i/>
          <w:iCs/>
        </w:rPr>
        <w:t>Environmental Science &amp; Technology</w:t>
      </w:r>
      <w:r w:rsidRPr="00AA0679">
        <w:rPr>
          <w:rFonts w:cs="Times New Roman"/>
        </w:rPr>
        <w:t xml:space="preserve"> 2015; </w:t>
      </w:r>
      <w:r w:rsidRPr="00AA0679">
        <w:rPr>
          <w:rFonts w:cs="Times New Roman"/>
          <w:b/>
          <w:bCs/>
        </w:rPr>
        <w:t>49</w:t>
      </w:r>
      <w:r w:rsidRPr="00AA0679">
        <w:rPr>
          <w:rFonts w:cs="Times New Roman"/>
        </w:rPr>
        <w:t>: 8057–8066.</w:t>
      </w:r>
    </w:p>
    <w:p w14:paraId="6CE23DD4"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37 </w:t>
      </w:r>
      <w:r w:rsidRPr="00AA0679">
        <w:rPr>
          <w:rFonts w:cs="Times New Roman"/>
        </w:rPr>
        <w:tab/>
        <w:t xml:space="preserve">Lelieveld J, Evans JS, Fnais M, Giannadaki D, Pozzer A. The contribution of outdoor air pollution sources to premature mortality on a global scale. </w:t>
      </w:r>
      <w:r w:rsidRPr="00AA0679">
        <w:rPr>
          <w:rFonts w:cs="Times New Roman"/>
          <w:i/>
          <w:iCs/>
        </w:rPr>
        <w:t>Nature</w:t>
      </w:r>
      <w:r w:rsidRPr="00AA0679">
        <w:rPr>
          <w:rFonts w:cs="Times New Roman"/>
        </w:rPr>
        <w:t xml:space="preserve"> 2015; </w:t>
      </w:r>
      <w:r w:rsidRPr="00AA0679">
        <w:rPr>
          <w:rFonts w:cs="Times New Roman"/>
          <w:b/>
          <w:bCs/>
        </w:rPr>
        <w:t>525</w:t>
      </w:r>
      <w:r w:rsidRPr="00AA0679">
        <w:rPr>
          <w:rFonts w:cs="Times New Roman"/>
        </w:rPr>
        <w:t>: 367–371.</w:t>
      </w:r>
    </w:p>
    <w:p w14:paraId="3E6AE1EE"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38 </w:t>
      </w:r>
      <w:r w:rsidRPr="00AA0679">
        <w:rPr>
          <w:rFonts w:cs="Times New Roman"/>
        </w:rPr>
        <w:tab/>
        <w:t xml:space="preserve">Rohde RA, Muller RA. Air Pollution in China: Mapping of Concentrations and Sources. </w:t>
      </w:r>
      <w:r w:rsidRPr="00AA0679">
        <w:rPr>
          <w:rFonts w:cs="Times New Roman"/>
          <w:i/>
          <w:iCs/>
        </w:rPr>
        <w:t>PLOS ONE</w:t>
      </w:r>
      <w:r w:rsidRPr="00AA0679">
        <w:rPr>
          <w:rFonts w:cs="Times New Roman"/>
        </w:rPr>
        <w:t xml:space="preserve"> 2015; </w:t>
      </w:r>
      <w:r w:rsidRPr="00AA0679">
        <w:rPr>
          <w:rFonts w:cs="Times New Roman"/>
          <w:b/>
          <w:bCs/>
        </w:rPr>
        <w:t>10</w:t>
      </w:r>
      <w:r w:rsidRPr="00AA0679">
        <w:rPr>
          <w:rFonts w:cs="Times New Roman"/>
        </w:rPr>
        <w:t>: e0135749.</w:t>
      </w:r>
    </w:p>
    <w:p w14:paraId="256A414D"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39 </w:t>
      </w:r>
      <w:r w:rsidRPr="00AA0679">
        <w:rPr>
          <w:rFonts w:cs="Times New Roman"/>
        </w:rPr>
        <w:tab/>
        <w:t xml:space="preserve">Cohen AJ, Brauer M, Burnett R, Anderson HR, Frostad J, Estep K </w:t>
      </w:r>
      <w:r w:rsidRPr="00AA0679">
        <w:rPr>
          <w:rFonts w:cs="Times New Roman"/>
          <w:i/>
          <w:iCs/>
        </w:rPr>
        <w:t>et al.</w:t>
      </w:r>
      <w:r w:rsidRPr="00AA0679">
        <w:rPr>
          <w:rFonts w:cs="Times New Roman"/>
        </w:rPr>
        <w:t xml:space="preserve"> Estimates and 25-year trends of the global burden of disease attributable to ambient air pollution: an analysis of data from the Global Burden of Diseases Study 2015. </w:t>
      </w:r>
      <w:r w:rsidRPr="00AA0679">
        <w:rPr>
          <w:rFonts w:cs="Times New Roman"/>
          <w:i/>
          <w:iCs/>
        </w:rPr>
        <w:t>The Lancet</w:t>
      </w:r>
      <w:r w:rsidRPr="00AA0679">
        <w:rPr>
          <w:rFonts w:cs="Times New Roman"/>
        </w:rPr>
        <w:t xml:space="preserve"> 2017; </w:t>
      </w:r>
      <w:r w:rsidRPr="00AA0679">
        <w:rPr>
          <w:rFonts w:cs="Times New Roman"/>
          <w:b/>
          <w:bCs/>
        </w:rPr>
        <w:t>389</w:t>
      </w:r>
      <w:r w:rsidRPr="00AA0679">
        <w:rPr>
          <w:rFonts w:cs="Times New Roman"/>
        </w:rPr>
        <w:t>: 1907–1918.</w:t>
      </w:r>
    </w:p>
    <w:p w14:paraId="7857F8A4"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40 </w:t>
      </w:r>
      <w:r w:rsidRPr="00AA0679">
        <w:rPr>
          <w:rFonts w:cs="Times New Roman"/>
        </w:rPr>
        <w:tab/>
        <w:t xml:space="preserve">Chowdhury S, Dey S, Smith KR. Ambient PM2.5 exposure and expected premature mortality to 2100 in India under climate change scenarios. </w:t>
      </w:r>
      <w:r w:rsidRPr="00AA0679">
        <w:rPr>
          <w:rFonts w:cs="Times New Roman"/>
          <w:i/>
          <w:iCs/>
        </w:rPr>
        <w:t>Nature Communications</w:t>
      </w:r>
      <w:r w:rsidRPr="00AA0679">
        <w:rPr>
          <w:rFonts w:cs="Times New Roman"/>
        </w:rPr>
        <w:t xml:space="preserve"> 2018; </w:t>
      </w:r>
      <w:r w:rsidRPr="00AA0679">
        <w:rPr>
          <w:rFonts w:cs="Times New Roman"/>
          <w:b/>
          <w:bCs/>
        </w:rPr>
        <w:t>9</w:t>
      </w:r>
      <w:r w:rsidRPr="00AA0679">
        <w:rPr>
          <w:rFonts w:cs="Times New Roman"/>
        </w:rPr>
        <w:t>. doi:10.1038/s41467-017-02755-y.</w:t>
      </w:r>
    </w:p>
    <w:p w14:paraId="61EAAB54"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41 </w:t>
      </w:r>
      <w:r w:rsidRPr="00AA0679">
        <w:rPr>
          <w:rFonts w:cs="Times New Roman"/>
        </w:rPr>
        <w:tab/>
        <w:t xml:space="preserve">Burnett RT, Pope CA III, Ezzati M, Olives C, Lim SS, Mehta S </w:t>
      </w:r>
      <w:r w:rsidRPr="00AA0679">
        <w:rPr>
          <w:rFonts w:cs="Times New Roman"/>
          <w:i/>
          <w:iCs/>
        </w:rPr>
        <w:t>et al.</w:t>
      </w:r>
      <w:r w:rsidRPr="00AA0679">
        <w:rPr>
          <w:rFonts w:cs="Times New Roman"/>
        </w:rPr>
        <w:t xml:space="preserve"> An Integrated Risk Function for Estimating the Global Burden of Disease Attributable to Ambient Fine Particulate Matter Exposure. </w:t>
      </w:r>
      <w:r w:rsidRPr="00AA0679">
        <w:rPr>
          <w:rFonts w:cs="Times New Roman"/>
          <w:i/>
          <w:iCs/>
        </w:rPr>
        <w:t>Environmental Health Perspectives</w:t>
      </w:r>
      <w:r w:rsidRPr="00AA0679">
        <w:rPr>
          <w:rFonts w:cs="Times New Roman"/>
        </w:rPr>
        <w:t xml:space="preserve"> 2014. doi:10.1289/ehp.1307049.</w:t>
      </w:r>
    </w:p>
    <w:p w14:paraId="02BBAA2F"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42 </w:t>
      </w:r>
      <w:r w:rsidRPr="00AA0679">
        <w:rPr>
          <w:rFonts w:cs="Times New Roman"/>
        </w:rPr>
        <w:tab/>
        <w:t xml:space="preserve">Wang J, Xing J, Mathur R, Pleim JE, Wang S, Hogrefe C </w:t>
      </w:r>
      <w:r w:rsidRPr="00AA0679">
        <w:rPr>
          <w:rFonts w:cs="Times New Roman"/>
          <w:i/>
          <w:iCs/>
        </w:rPr>
        <w:t>et al.</w:t>
      </w:r>
      <w:r w:rsidRPr="00AA0679">
        <w:rPr>
          <w:rFonts w:cs="Times New Roman"/>
        </w:rPr>
        <w:t xml:space="preserve"> Historical Trends in PM2.5-Related Premature Mortality during 1990–2010 across the Northern Hemisphere. </w:t>
      </w:r>
      <w:r w:rsidRPr="00AA0679">
        <w:rPr>
          <w:rFonts w:cs="Times New Roman"/>
          <w:i/>
          <w:iCs/>
        </w:rPr>
        <w:t>Environmental Health Perspectives</w:t>
      </w:r>
      <w:r w:rsidRPr="00AA0679">
        <w:rPr>
          <w:rFonts w:cs="Times New Roman"/>
        </w:rPr>
        <w:t xml:space="preserve"> 2016; </w:t>
      </w:r>
      <w:r w:rsidRPr="00AA0679">
        <w:rPr>
          <w:rFonts w:cs="Times New Roman"/>
          <w:b/>
          <w:bCs/>
        </w:rPr>
        <w:t>125</w:t>
      </w:r>
      <w:r w:rsidRPr="00AA0679">
        <w:rPr>
          <w:rFonts w:cs="Times New Roman"/>
        </w:rPr>
        <w:t>. doi:10.1289/EHP298.</w:t>
      </w:r>
    </w:p>
    <w:p w14:paraId="747C796E"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43 </w:t>
      </w:r>
      <w:r w:rsidRPr="00AA0679">
        <w:rPr>
          <w:rFonts w:cs="Times New Roman"/>
        </w:rPr>
        <w:tab/>
        <w:t xml:space="preserve">Burnett R, Chen H, Szyszkowicz M, Fann N, Hubbell B, Pope CA </w:t>
      </w:r>
      <w:r w:rsidRPr="00AA0679">
        <w:rPr>
          <w:rFonts w:cs="Times New Roman"/>
          <w:i/>
          <w:iCs/>
        </w:rPr>
        <w:t>et al.</w:t>
      </w:r>
      <w:r w:rsidRPr="00AA0679">
        <w:rPr>
          <w:rFonts w:cs="Times New Roman"/>
        </w:rPr>
        <w:t xml:space="preserve"> Global estimates of mortality associated with long-term exposure to outdoor fine particulate matter. </w:t>
      </w:r>
      <w:r w:rsidRPr="00AA0679">
        <w:rPr>
          <w:rFonts w:cs="Times New Roman"/>
          <w:i/>
          <w:iCs/>
        </w:rPr>
        <w:t>PNAS</w:t>
      </w:r>
      <w:r w:rsidRPr="00AA0679">
        <w:rPr>
          <w:rFonts w:cs="Times New Roman"/>
        </w:rPr>
        <w:t xml:space="preserve"> 2018; : 201803222.</w:t>
      </w:r>
    </w:p>
    <w:p w14:paraId="664B5F2E"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lastRenderedPageBreak/>
        <w:t xml:space="preserve">44 </w:t>
      </w:r>
      <w:r w:rsidRPr="00AA0679">
        <w:rPr>
          <w:rFonts w:cs="Times New Roman"/>
        </w:rPr>
        <w:tab/>
        <w:t>CDC. National Center for Health Statistics WONDER Online Database: Compressed Mortality File 1999-2016 Series 20, No. 2V. CDC WONDER. 2017.https://wonder.cdc.gov/cmf-icd10.htm (accessed 22 May2018).</w:t>
      </w:r>
    </w:p>
    <w:p w14:paraId="748F5FF8"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45 </w:t>
      </w:r>
      <w:r w:rsidRPr="00AA0679">
        <w:rPr>
          <w:rFonts w:cs="Times New Roman"/>
        </w:rPr>
        <w:tab/>
        <w:t xml:space="preserve">Crouse DL, Peters PA, van Donkelaar A, Goldberg MS, Villeneuve PJ, Brion O </w:t>
      </w:r>
      <w:r w:rsidRPr="00AA0679">
        <w:rPr>
          <w:rFonts w:cs="Times New Roman"/>
          <w:i/>
          <w:iCs/>
        </w:rPr>
        <w:t>et al.</w:t>
      </w:r>
      <w:r w:rsidRPr="00AA0679">
        <w:rPr>
          <w:rFonts w:cs="Times New Roman"/>
        </w:rPr>
        <w:t xml:space="preserve"> Risk of Nonaccidental and Cardiovascular Mortality in Relation to Long-term Exposure to Low Concentrations of Fine Particulate Matter: A Canadian National-Level Cohort Study. </w:t>
      </w:r>
      <w:r w:rsidRPr="00AA0679">
        <w:rPr>
          <w:rFonts w:cs="Times New Roman"/>
          <w:i/>
          <w:iCs/>
        </w:rPr>
        <w:t>Environmental Health Perspectives</w:t>
      </w:r>
      <w:r w:rsidRPr="00AA0679">
        <w:rPr>
          <w:rFonts w:cs="Times New Roman"/>
        </w:rPr>
        <w:t xml:space="preserve"> 2012; </w:t>
      </w:r>
      <w:r w:rsidRPr="00AA0679">
        <w:rPr>
          <w:rFonts w:cs="Times New Roman"/>
          <w:b/>
          <w:bCs/>
        </w:rPr>
        <w:t>120</w:t>
      </w:r>
      <w:r w:rsidRPr="00AA0679">
        <w:rPr>
          <w:rFonts w:cs="Times New Roman"/>
        </w:rPr>
        <w:t>: 708–714.</w:t>
      </w:r>
    </w:p>
    <w:p w14:paraId="3B619B64"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46 </w:t>
      </w:r>
      <w:r w:rsidRPr="00AA0679">
        <w:rPr>
          <w:rFonts w:cs="Times New Roman"/>
        </w:rPr>
        <w:tab/>
        <w:t xml:space="preserve">Schwartz J, Coull B, Laden F, Ryan L. The Effect of Dose and Timing of Dose on the Association between Airborne Particles and Survival. </w:t>
      </w:r>
      <w:r w:rsidRPr="00AA0679">
        <w:rPr>
          <w:rFonts w:cs="Times New Roman"/>
          <w:i/>
          <w:iCs/>
        </w:rPr>
        <w:t>Environmental Health Perspectives</w:t>
      </w:r>
      <w:r w:rsidRPr="00AA0679">
        <w:rPr>
          <w:rFonts w:cs="Times New Roman"/>
        </w:rPr>
        <w:t xml:space="preserve"> 2007; </w:t>
      </w:r>
      <w:r w:rsidRPr="00AA0679">
        <w:rPr>
          <w:rFonts w:cs="Times New Roman"/>
          <w:b/>
          <w:bCs/>
        </w:rPr>
        <w:t>116</w:t>
      </w:r>
      <w:r w:rsidRPr="00AA0679">
        <w:rPr>
          <w:rFonts w:cs="Times New Roman"/>
        </w:rPr>
        <w:t>: 64–69.</w:t>
      </w:r>
    </w:p>
    <w:p w14:paraId="2A930D31" w14:textId="77777777" w:rsidR="00701571" w:rsidRPr="00AA0679" w:rsidRDefault="00701571" w:rsidP="00AA0679">
      <w:pPr>
        <w:pStyle w:val="Bibliography"/>
        <w:tabs>
          <w:tab w:val="clear" w:pos="260"/>
          <w:tab w:val="left" w:pos="450"/>
        </w:tabs>
        <w:ind w:left="450" w:hanging="450"/>
        <w:rPr>
          <w:rFonts w:cs="Times New Roman"/>
        </w:rPr>
      </w:pPr>
      <w:r w:rsidRPr="00AA0679">
        <w:rPr>
          <w:rFonts w:cs="Times New Roman"/>
        </w:rPr>
        <w:t xml:space="preserve">47 </w:t>
      </w:r>
      <w:r w:rsidRPr="00AA0679">
        <w:rPr>
          <w:rFonts w:cs="Times New Roman"/>
        </w:rPr>
        <w:tab/>
        <w:t xml:space="preserve">Pinault L, Tjepkema M, Crouse DL, Weichenthal S, van Donkelaar A, Martin RV </w:t>
      </w:r>
      <w:r w:rsidRPr="00AA0679">
        <w:rPr>
          <w:rFonts w:cs="Times New Roman"/>
          <w:i/>
          <w:iCs/>
        </w:rPr>
        <w:t>et al.</w:t>
      </w:r>
      <w:r w:rsidRPr="00AA0679">
        <w:rPr>
          <w:rFonts w:cs="Times New Roman"/>
        </w:rPr>
        <w:t xml:space="preserve"> Risk estimates of mortality attributed to low concentrations of ambient fine particulate matter in the Canadian community health survey cohort. </w:t>
      </w:r>
      <w:r w:rsidRPr="00AA0679">
        <w:rPr>
          <w:rFonts w:cs="Times New Roman"/>
          <w:i/>
          <w:iCs/>
        </w:rPr>
        <w:t>Environmental Health</w:t>
      </w:r>
      <w:r w:rsidRPr="00AA0679">
        <w:rPr>
          <w:rFonts w:cs="Times New Roman"/>
        </w:rPr>
        <w:t xml:space="preserve"> 2016; </w:t>
      </w:r>
      <w:r w:rsidRPr="00AA0679">
        <w:rPr>
          <w:rFonts w:cs="Times New Roman"/>
          <w:b/>
          <w:bCs/>
        </w:rPr>
        <w:t>15</w:t>
      </w:r>
      <w:r w:rsidRPr="00AA0679">
        <w:rPr>
          <w:rFonts w:cs="Times New Roman"/>
        </w:rPr>
        <w:t>. doi:10.1186/s12940-016-0111-6.</w:t>
      </w:r>
    </w:p>
    <w:p w14:paraId="667DB6DE" w14:textId="36C53FA0" w:rsidR="003E3A3B" w:rsidRPr="00FE7D4D" w:rsidRDefault="000F448E" w:rsidP="00FE7D4D">
      <w:pPr>
        <w:tabs>
          <w:tab w:val="left" w:pos="450"/>
        </w:tabs>
        <w:ind w:left="450" w:hanging="450"/>
      </w:pPr>
      <w:r w:rsidRPr="00D764B3">
        <w:fldChar w:fldCharType="end"/>
      </w:r>
    </w:p>
    <w:p w14:paraId="7FDD3F7B" w14:textId="1CCE1EBB" w:rsidR="00605FD4" w:rsidRPr="00FE7D4D" w:rsidRDefault="00605FD4">
      <w:r w:rsidRPr="00FE7D4D">
        <w:br w:type="page"/>
      </w:r>
    </w:p>
    <w:p w14:paraId="2665982A" w14:textId="55771129" w:rsidR="00C03DDE" w:rsidRPr="00FE7D4D" w:rsidRDefault="00C03DDE" w:rsidP="00605FD4">
      <w:pPr>
        <w:pStyle w:val="Heading1"/>
      </w:pPr>
      <w:bookmarkStart w:id="6" w:name="_Toc399490409"/>
      <w:r w:rsidRPr="00FE7D4D">
        <w:lastRenderedPageBreak/>
        <w:t>Figures</w:t>
      </w:r>
      <w:bookmarkEnd w:id="6"/>
    </w:p>
    <w:p w14:paraId="228B4F89" w14:textId="77777777" w:rsidR="00C03DDE" w:rsidRPr="00FE7D4D" w:rsidRDefault="00C03DDE" w:rsidP="005C5AFE"/>
    <w:p w14:paraId="03C77259" w14:textId="77777777" w:rsidR="00C03DDE" w:rsidRPr="00FE7D4D" w:rsidRDefault="00C03DDE" w:rsidP="005C5AFE">
      <w:pPr>
        <w:keepNext/>
      </w:pPr>
      <w:r w:rsidRPr="00FE7D4D">
        <w:rPr>
          <w:noProof/>
        </w:rPr>
        <w:drawing>
          <wp:inline distT="0" distB="0" distL="0" distR="0" wp14:anchorId="28F89256" wp14:editId="746B29B5">
            <wp:extent cx="5943600" cy="297180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8"/>
                    <a:stretch>
                      <a:fillRect/>
                    </a:stretch>
                  </pic:blipFill>
                  <pic:spPr>
                    <a:xfrm>
                      <a:off x="0" y="0"/>
                      <a:ext cx="5943600" cy="2971800"/>
                    </a:xfrm>
                    <a:prstGeom prst="rect">
                      <a:avLst/>
                    </a:prstGeom>
                  </pic:spPr>
                </pic:pic>
              </a:graphicData>
            </a:graphic>
          </wp:inline>
        </w:drawing>
      </w:r>
    </w:p>
    <w:p w14:paraId="157A75E9" w14:textId="19BF51EB" w:rsidR="00C03DDE" w:rsidRPr="00FE7D4D" w:rsidRDefault="00C03DDE" w:rsidP="005C5AFE">
      <w:pPr>
        <w:pStyle w:val="Caption"/>
        <w:jc w:val="center"/>
      </w:pPr>
      <w:r w:rsidRPr="00FE7D4D">
        <w:t>Figure S</w:t>
      </w:r>
      <w:r w:rsidR="009A484A" w:rsidRPr="00AA0679">
        <w:fldChar w:fldCharType="begin"/>
      </w:r>
      <w:r w:rsidR="009A484A" w:rsidRPr="00FE7D4D">
        <w:instrText xml:space="preserve"> SEQ Figure \* ARABIC </w:instrText>
      </w:r>
      <w:r w:rsidR="009A484A" w:rsidRPr="00AA0679">
        <w:fldChar w:fldCharType="separate"/>
      </w:r>
      <w:r w:rsidRPr="00FE7D4D">
        <w:rPr>
          <w:noProof/>
        </w:rPr>
        <w:t>1</w:t>
      </w:r>
      <w:r w:rsidR="009A484A" w:rsidRPr="00AA0679">
        <w:rPr>
          <w:noProof/>
        </w:rPr>
        <w:fldChar w:fldCharType="end"/>
      </w:r>
      <w:r w:rsidRPr="00FE7D4D">
        <w:t>. Beta distributions of PM</w:t>
      </w:r>
      <w:r w:rsidRPr="00FE7D4D">
        <w:rPr>
          <w:vertAlign w:val="subscript"/>
        </w:rPr>
        <w:t>2.5</w:t>
      </w:r>
      <w:r w:rsidRPr="00FE7D4D">
        <w:t xml:space="preserve"> infiltration factors used in Scenario 1: a) two residential distributions (RIOPA and MESA) and b) other indoor environments and vehicles (which were also used in Scenario 2)</w:t>
      </w:r>
      <w:r w:rsidR="001C40D7" w:rsidRPr="00FE7D4D">
        <w:t>. Distribution shape factors are described in the SI text.</w:t>
      </w:r>
    </w:p>
    <w:p w14:paraId="7647E062" w14:textId="7E0E4058" w:rsidR="00C03DDE" w:rsidRPr="00FE7D4D" w:rsidRDefault="00C03DDE">
      <w:pPr>
        <w:rPr>
          <w:rFonts w:eastAsiaTheme="majorEastAsia" w:cstheme="majorBidi"/>
          <w:b/>
          <w:bCs/>
          <w:color w:val="000000" w:themeColor="text1"/>
          <w:szCs w:val="32"/>
        </w:rPr>
      </w:pPr>
      <w:r w:rsidRPr="00FE7D4D">
        <w:br w:type="page"/>
      </w:r>
    </w:p>
    <w:p w14:paraId="2A7DB37E" w14:textId="53DA3C4B" w:rsidR="003E3A3B" w:rsidRPr="00FE7D4D" w:rsidRDefault="00605FD4" w:rsidP="00605FD4">
      <w:pPr>
        <w:pStyle w:val="Heading1"/>
      </w:pPr>
      <w:bookmarkStart w:id="7" w:name="_Toc399490410"/>
      <w:r w:rsidRPr="00FE7D4D">
        <w:lastRenderedPageBreak/>
        <w:t>Tables</w:t>
      </w:r>
      <w:bookmarkEnd w:id="7"/>
    </w:p>
    <w:p w14:paraId="46082950" w14:textId="5732771F" w:rsidR="00605FD4" w:rsidRPr="00FE7D4D" w:rsidRDefault="00605FD4" w:rsidP="00605FD4">
      <w:pPr>
        <w:jc w:val="center"/>
        <w:rPr>
          <w:b/>
          <w:bCs/>
          <w:sz w:val="20"/>
          <w:szCs w:val="20"/>
        </w:rPr>
      </w:pPr>
      <w:r w:rsidRPr="00FE7D4D">
        <w:rPr>
          <w:b/>
          <w:bCs/>
          <w:sz w:val="20"/>
          <w:szCs w:val="20"/>
        </w:rPr>
        <w:t>Table S1. Summary of stair-step distribution characteristics for the amount of time spent in various microenvironments based on Figure 3 in Klepeis et al. (2001), used in all model scenarios</w:t>
      </w:r>
    </w:p>
    <w:tbl>
      <w:tblPr>
        <w:tblW w:w="9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4"/>
        <w:gridCol w:w="1261"/>
        <w:gridCol w:w="857"/>
        <w:gridCol w:w="1213"/>
        <w:gridCol w:w="905"/>
        <w:gridCol w:w="1255"/>
        <w:gridCol w:w="863"/>
        <w:gridCol w:w="1297"/>
        <w:gridCol w:w="821"/>
      </w:tblGrid>
      <w:tr w:rsidR="00605FD4" w:rsidRPr="00FE7D4D" w14:paraId="4793858C" w14:textId="77777777" w:rsidTr="00E33E51">
        <w:tc>
          <w:tcPr>
            <w:tcW w:w="894" w:type="dxa"/>
            <w:tcBorders>
              <w:right w:val="single" w:sz="12" w:space="0" w:color="auto"/>
            </w:tcBorders>
            <w:shd w:val="clear" w:color="auto" w:fill="auto"/>
            <w:vAlign w:val="center"/>
          </w:tcPr>
          <w:p w14:paraId="4225B023" w14:textId="77777777" w:rsidR="00605FD4" w:rsidRPr="00FE7D4D" w:rsidRDefault="00605FD4" w:rsidP="00E33E51">
            <w:pPr>
              <w:jc w:val="center"/>
              <w:rPr>
                <w:rFonts w:cs="Times New Roman"/>
                <w:b/>
                <w:bCs/>
                <w:sz w:val="20"/>
                <w:szCs w:val="20"/>
                <w:lang w:bidi="fa-IR"/>
              </w:rPr>
            </w:pPr>
          </w:p>
        </w:tc>
        <w:tc>
          <w:tcPr>
            <w:tcW w:w="2118" w:type="dxa"/>
            <w:gridSpan w:val="2"/>
            <w:tcBorders>
              <w:left w:val="single" w:sz="12" w:space="0" w:color="auto"/>
              <w:right w:val="single" w:sz="12" w:space="0" w:color="auto"/>
            </w:tcBorders>
            <w:shd w:val="clear" w:color="auto" w:fill="auto"/>
            <w:vAlign w:val="center"/>
          </w:tcPr>
          <w:p w14:paraId="3AE312E5"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Residences</w:t>
            </w:r>
          </w:p>
        </w:tc>
        <w:tc>
          <w:tcPr>
            <w:tcW w:w="2118" w:type="dxa"/>
            <w:gridSpan w:val="2"/>
            <w:tcBorders>
              <w:left w:val="single" w:sz="12" w:space="0" w:color="auto"/>
              <w:right w:val="single" w:sz="12" w:space="0" w:color="auto"/>
            </w:tcBorders>
            <w:shd w:val="clear" w:color="auto" w:fill="auto"/>
            <w:vAlign w:val="center"/>
          </w:tcPr>
          <w:p w14:paraId="3458AF69"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Vehicles</w:t>
            </w:r>
          </w:p>
        </w:tc>
        <w:tc>
          <w:tcPr>
            <w:tcW w:w="2118" w:type="dxa"/>
            <w:gridSpan w:val="2"/>
            <w:tcBorders>
              <w:left w:val="single" w:sz="12" w:space="0" w:color="auto"/>
              <w:right w:val="single" w:sz="12" w:space="0" w:color="auto"/>
            </w:tcBorders>
            <w:shd w:val="clear" w:color="auto" w:fill="auto"/>
            <w:vAlign w:val="center"/>
          </w:tcPr>
          <w:p w14:paraId="494E2F47"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Outdoors</w:t>
            </w:r>
          </w:p>
        </w:tc>
        <w:tc>
          <w:tcPr>
            <w:tcW w:w="2118" w:type="dxa"/>
            <w:gridSpan w:val="2"/>
            <w:tcBorders>
              <w:left w:val="single" w:sz="12" w:space="0" w:color="auto"/>
            </w:tcBorders>
            <w:shd w:val="clear" w:color="auto" w:fill="auto"/>
            <w:vAlign w:val="center"/>
          </w:tcPr>
          <w:p w14:paraId="5778925B"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Other indoor locations</w:t>
            </w:r>
          </w:p>
        </w:tc>
      </w:tr>
      <w:tr w:rsidR="00605FD4" w:rsidRPr="00FE7D4D" w14:paraId="118C86C6" w14:textId="77777777" w:rsidTr="00E33E51">
        <w:tc>
          <w:tcPr>
            <w:tcW w:w="894" w:type="dxa"/>
            <w:tcBorders>
              <w:right w:val="single" w:sz="12" w:space="0" w:color="auto"/>
            </w:tcBorders>
            <w:shd w:val="clear" w:color="auto" w:fill="auto"/>
            <w:vAlign w:val="center"/>
          </w:tcPr>
          <w:p w14:paraId="0177398F" w14:textId="77777777" w:rsidR="00605FD4" w:rsidRPr="00FE7D4D" w:rsidRDefault="00605FD4" w:rsidP="00E33E51">
            <w:pPr>
              <w:jc w:val="center"/>
              <w:rPr>
                <w:rFonts w:cs="Times New Roman"/>
                <w:b/>
                <w:bCs/>
                <w:sz w:val="20"/>
                <w:szCs w:val="20"/>
                <w:lang w:bidi="fa-IR"/>
              </w:rPr>
            </w:pPr>
          </w:p>
        </w:tc>
        <w:tc>
          <w:tcPr>
            <w:tcW w:w="1261" w:type="dxa"/>
            <w:tcBorders>
              <w:left w:val="single" w:sz="12" w:space="0" w:color="auto"/>
            </w:tcBorders>
            <w:shd w:val="clear" w:color="auto" w:fill="auto"/>
            <w:vAlign w:val="center"/>
          </w:tcPr>
          <w:p w14:paraId="55E7D36D"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Reported</w:t>
            </w:r>
          </w:p>
        </w:tc>
        <w:tc>
          <w:tcPr>
            <w:tcW w:w="857" w:type="dxa"/>
            <w:tcBorders>
              <w:right w:val="single" w:sz="12" w:space="0" w:color="auto"/>
            </w:tcBorders>
            <w:shd w:val="clear" w:color="auto" w:fill="auto"/>
            <w:vAlign w:val="center"/>
          </w:tcPr>
          <w:p w14:paraId="39A6EA72" w14:textId="77777777" w:rsidR="00605FD4" w:rsidRPr="00FE7D4D" w:rsidRDefault="00605FD4" w:rsidP="00E33E51">
            <w:pPr>
              <w:ind w:left="-110" w:right="-145"/>
              <w:jc w:val="center"/>
              <w:rPr>
                <w:rFonts w:cs="Times New Roman"/>
                <w:sz w:val="20"/>
                <w:szCs w:val="20"/>
                <w:lang w:bidi="fa-IR"/>
              </w:rPr>
            </w:pPr>
            <w:r w:rsidRPr="00FE7D4D">
              <w:rPr>
                <w:rFonts w:cs="Times New Roman"/>
                <w:sz w:val="20"/>
                <w:szCs w:val="20"/>
                <w:lang w:bidi="fa-IR"/>
              </w:rPr>
              <w:t>Modeled</w:t>
            </w:r>
          </w:p>
        </w:tc>
        <w:tc>
          <w:tcPr>
            <w:tcW w:w="1213" w:type="dxa"/>
            <w:tcBorders>
              <w:left w:val="single" w:sz="12" w:space="0" w:color="auto"/>
            </w:tcBorders>
            <w:shd w:val="clear" w:color="auto" w:fill="auto"/>
            <w:vAlign w:val="center"/>
          </w:tcPr>
          <w:p w14:paraId="537CE14B"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Reported</w:t>
            </w:r>
          </w:p>
        </w:tc>
        <w:tc>
          <w:tcPr>
            <w:tcW w:w="905" w:type="dxa"/>
            <w:tcBorders>
              <w:right w:val="single" w:sz="12" w:space="0" w:color="auto"/>
            </w:tcBorders>
            <w:shd w:val="clear" w:color="auto" w:fill="auto"/>
            <w:vAlign w:val="center"/>
          </w:tcPr>
          <w:p w14:paraId="78DBD7D4" w14:textId="77777777" w:rsidR="00605FD4" w:rsidRPr="00FE7D4D" w:rsidRDefault="00605FD4" w:rsidP="00E33E51">
            <w:pPr>
              <w:tabs>
                <w:tab w:val="left" w:pos="517"/>
              </w:tabs>
              <w:ind w:left="-113" w:right="-108"/>
              <w:jc w:val="center"/>
              <w:rPr>
                <w:rFonts w:cs="Times New Roman"/>
                <w:sz w:val="20"/>
                <w:szCs w:val="20"/>
                <w:lang w:bidi="fa-IR"/>
              </w:rPr>
            </w:pPr>
            <w:r w:rsidRPr="00FE7D4D">
              <w:rPr>
                <w:rFonts w:cs="Times New Roman"/>
                <w:sz w:val="20"/>
                <w:szCs w:val="20"/>
                <w:lang w:bidi="fa-IR"/>
              </w:rPr>
              <w:t>Modeled</w:t>
            </w:r>
          </w:p>
        </w:tc>
        <w:tc>
          <w:tcPr>
            <w:tcW w:w="1255" w:type="dxa"/>
            <w:tcBorders>
              <w:left w:val="single" w:sz="12" w:space="0" w:color="auto"/>
            </w:tcBorders>
            <w:shd w:val="clear" w:color="auto" w:fill="auto"/>
            <w:vAlign w:val="center"/>
          </w:tcPr>
          <w:p w14:paraId="24F3DB33"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Reported</w:t>
            </w:r>
          </w:p>
        </w:tc>
        <w:tc>
          <w:tcPr>
            <w:tcW w:w="863" w:type="dxa"/>
            <w:tcBorders>
              <w:right w:val="single" w:sz="12" w:space="0" w:color="auto"/>
            </w:tcBorders>
            <w:shd w:val="clear" w:color="auto" w:fill="auto"/>
            <w:vAlign w:val="center"/>
          </w:tcPr>
          <w:p w14:paraId="3A2CFEAE" w14:textId="77777777" w:rsidR="00605FD4" w:rsidRPr="00FE7D4D" w:rsidRDefault="00605FD4" w:rsidP="00E33E51">
            <w:pPr>
              <w:ind w:left="-108" w:right="-148"/>
              <w:jc w:val="center"/>
              <w:rPr>
                <w:rFonts w:cs="Times New Roman"/>
                <w:sz w:val="20"/>
                <w:szCs w:val="20"/>
                <w:lang w:bidi="fa-IR"/>
              </w:rPr>
            </w:pPr>
            <w:r w:rsidRPr="00FE7D4D">
              <w:rPr>
                <w:rFonts w:cs="Times New Roman"/>
                <w:sz w:val="20"/>
                <w:szCs w:val="20"/>
                <w:lang w:bidi="fa-IR"/>
              </w:rPr>
              <w:t>Modeled</w:t>
            </w:r>
          </w:p>
        </w:tc>
        <w:tc>
          <w:tcPr>
            <w:tcW w:w="1297" w:type="dxa"/>
            <w:tcBorders>
              <w:left w:val="single" w:sz="12" w:space="0" w:color="auto"/>
            </w:tcBorders>
            <w:shd w:val="clear" w:color="auto" w:fill="auto"/>
            <w:vAlign w:val="center"/>
          </w:tcPr>
          <w:p w14:paraId="6B333A2A"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Reported</w:t>
            </w:r>
          </w:p>
        </w:tc>
        <w:tc>
          <w:tcPr>
            <w:tcW w:w="821" w:type="dxa"/>
            <w:shd w:val="clear" w:color="auto" w:fill="auto"/>
            <w:vAlign w:val="center"/>
          </w:tcPr>
          <w:p w14:paraId="274B5F1C" w14:textId="77777777" w:rsidR="00605FD4" w:rsidRPr="00FE7D4D" w:rsidRDefault="00605FD4" w:rsidP="00E33E51">
            <w:pPr>
              <w:ind w:left="-108" w:right="-148"/>
              <w:jc w:val="center"/>
              <w:rPr>
                <w:rFonts w:cs="Times New Roman"/>
                <w:sz w:val="20"/>
                <w:szCs w:val="20"/>
                <w:lang w:bidi="fa-IR"/>
              </w:rPr>
            </w:pPr>
            <w:r w:rsidRPr="00FE7D4D">
              <w:rPr>
                <w:rFonts w:cs="Times New Roman"/>
                <w:sz w:val="20"/>
                <w:szCs w:val="20"/>
                <w:lang w:bidi="fa-IR"/>
              </w:rPr>
              <w:t>Modeled</w:t>
            </w:r>
          </w:p>
        </w:tc>
      </w:tr>
      <w:tr w:rsidR="00605FD4" w:rsidRPr="00FE7D4D" w14:paraId="31C18D65" w14:textId="77777777" w:rsidTr="00E33E51">
        <w:tc>
          <w:tcPr>
            <w:tcW w:w="894" w:type="dxa"/>
            <w:tcBorders>
              <w:right w:val="single" w:sz="12" w:space="0" w:color="auto"/>
            </w:tcBorders>
            <w:shd w:val="clear" w:color="auto" w:fill="auto"/>
            <w:vAlign w:val="center"/>
          </w:tcPr>
          <w:p w14:paraId="571B05FD"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Average(min)</w:t>
            </w:r>
          </w:p>
        </w:tc>
        <w:tc>
          <w:tcPr>
            <w:tcW w:w="1261" w:type="dxa"/>
            <w:tcBorders>
              <w:left w:val="single" w:sz="12" w:space="0" w:color="auto"/>
            </w:tcBorders>
            <w:shd w:val="clear" w:color="auto" w:fill="auto"/>
            <w:vAlign w:val="center"/>
          </w:tcPr>
          <w:p w14:paraId="42C18D42"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990</w:t>
            </w:r>
          </w:p>
        </w:tc>
        <w:tc>
          <w:tcPr>
            <w:tcW w:w="857" w:type="dxa"/>
            <w:tcBorders>
              <w:right w:val="single" w:sz="12" w:space="0" w:color="auto"/>
            </w:tcBorders>
            <w:shd w:val="clear" w:color="auto" w:fill="auto"/>
            <w:vAlign w:val="center"/>
          </w:tcPr>
          <w:p w14:paraId="1654E85B"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978</w:t>
            </w:r>
          </w:p>
        </w:tc>
        <w:tc>
          <w:tcPr>
            <w:tcW w:w="1213" w:type="dxa"/>
            <w:tcBorders>
              <w:left w:val="single" w:sz="12" w:space="0" w:color="auto"/>
            </w:tcBorders>
            <w:shd w:val="clear" w:color="auto" w:fill="auto"/>
            <w:vAlign w:val="center"/>
          </w:tcPr>
          <w:p w14:paraId="5262BA8F"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79</w:t>
            </w:r>
          </w:p>
        </w:tc>
        <w:tc>
          <w:tcPr>
            <w:tcW w:w="905" w:type="dxa"/>
            <w:tcBorders>
              <w:right w:val="single" w:sz="12" w:space="0" w:color="auto"/>
            </w:tcBorders>
            <w:shd w:val="clear" w:color="auto" w:fill="auto"/>
            <w:vAlign w:val="center"/>
          </w:tcPr>
          <w:p w14:paraId="309BCF13"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59</w:t>
            </w:r>
          </w:p>
        </w:tc>
        <w:tc>
          <w:tcPr>
            <w:tcW w:w="1255" w:type="dxa"/>
            <w:tcBorders>
              <w:left w:val="single" w:sz="12" w:space="0" w:color="auto"/>
            </w:tcBorders>
            <w:shd w:val="clear" w:color="auto" w:fill="auto"/>
            <w:vAlign w:val="center"/>
          </w:tcPr>
          <w:p w14:paraId="6463DE8C"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109</w:t>
            </w:r>
          </w:p>
        </w:tc>
        <w:tc>
          <w:tcPr>
            <w:tcW w:w="863" w:type="dxa"/>
            <w:tcBorders>
              <w:right w:val="single" w:sz="12" w:space="0" w:color="auto"/>
            </w:tcBorders>
            <w:shd w:val="clear" w:color="auto" w:fill="auto"/>
            <w:vAlign w:val="center"/>
          </w:tcPr>
          <w:p w14:paraId="665D881C"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98</w:t>
            </w:r>
          </w:p>
        </w:tc>
        <w:tc>
          <w:tcPr>
            <w:tcW w:w="1297" w:type="dxa"/>
            <w:tcBorders>
              <w:left w:val="single" w:sz="12" w:space="0" w:color="auto"/>
            </w:tcBorders>
            <w:shd w:val="clear" w:color="auto" w:fill="auto"/>
            <w:vAlign w:val="center"/>
          </w:tcPr>
          <w:p w14:paraId="2D3B7F8D"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262</w:t>
            </w:r>
          </w:p>
        </w:tc>
        <w:tc>
          <w:tcPr>
            <w:tcW w:w="821" w:type="dxa"/>
            <w:shd w:val="clear" w:color="auto" w:fill="auto"/>
            <w:vAlign w:val="center"/>
          </w:tcPr>
          <w:p w14:paraId="5E9914D8"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305</w:t>
            </w:r>
          </w:p>
        </w:tc>
      </w:tr>
      <w:tr w:rsidR="00605FD4" w:rsidRPr="00FE7D4D" w14:paraId="402CC8F9" w14:textId="77777777" w:rsidTr="00E33E51">
        <w:tc>
          <w:tcPr>
            <w:tcW w:w="9366" w:type="dxa"/>
            <w:gridSpan w:val="9"/>
            <w:shd w:val="clear" w:color="auto" w:fill="A6A6A6"/>
            <w:vAlign w:val="center"/>
          </w:tcPr>
          <w:p w14:paraId="695A16E2" w14:textId="77777777" w:rsidR="00605FD4" w:rsidRPr="00FE7D4D" w:rsidRDefault="00605FD4" w:rsidP="00E33E51">
            <w:pPr>
              <w:jc w:val="center"/>
              <w:rPr>
                <w:rFonts w:cs="Times New Roman"/>
                <w:b/>
                <w:bCs/>
                <w:sz w:val="20"/>
                <w:szCs w:val="20"/>
                <w:lang w:bidi="fa-IR"/>
              </w:rPr>
            </w:pPr>
          </w:p>
        </w:tc>
      </w:tr>
      <w:tr w:rsidR="00605FD4" w:rsidRPr="00FE7D4D" w14:paraId="2F47B0E6" w14:textId="77777777" w:rsidTr="00E33E51">
        <w:tc>
          <w:tcPr>
            <w:tcW w:w="894" w:type="dxa"/>
            <w:tcBorders>
              <w:right w:val="single" w:sz="12" w:space="0" w:color="auto"/>
            </w:tcBorders>
            <w:shd w:val="clear" w:color="auto" w:fill="auto"/>
            <w:vAlign w:val="center"/>
          </w:tcPr>
          <w:p w14:paraId="1126CF61"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Bin #</w:t>
            </w:r>
          </w:p>
        </w:tc>
        <w:tc>
          <w:tcPr>
            <w:tcW w:w="1261" w:type="dxa"/>
            <w:tcBorders>
              <w:left w:val="single" w:sz="12" w:space="0" w:color="auto"/>
            </w:tcBorders>
            <w:shd w:val="clear" w:color="auto" w:fill="auto"/>
            <w:vAlign w:val="center"/>
          </w:tcPr>
          <w:p w14:paraId="18EE6454"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Range (min)</w:t>
            </w:r>
          </w:p>
        </w:tc>
        <w:tc>
          <w:tcPr>
            <w:tcW w:w="857" w:type="dxa"/>
            <w:tcBorders>
              <w:right w:val="single" w:sz="12" w:space="0" w:color="auto"/>
            </w:tcBorders>
            <w:shd w:val="clear" w:color="auto" w:fill="auto"/>
            <w:vAlign w:val="center"/>
          </w:tcPr>
          <w:p w14:paraId="0C8BA4D0"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Prob.</w:t>
            </w:r>
          </w:p>
        </w:tc>
        <w:tc>
          <w:tcPr>
            <w:tcW w:w="1213" w:type="dxa"/>
            <w:tcBorders>
              <w:left w:val="single" w:sz="12" w:space="0" w:color="auto"/>
            </w:tcBorders>
            <w:shd w:val="clear" w:color="auto" w:fill="auto"/>
            <w:vAlign w:val="center"/>
          </w:tcPr>
          <w:p w14:paraId="643E7F2D" w14:textId="77777777" w:rsidR="00605FD4" w:rsidRPr="00FE7D4D" w:rsidRDefault="00605FD4" w:rsidP="00E33E51">
            <w:pPr>
              <w:ind w:left="-61"/>
              <w:jc w:val="center"/>
              <w:rPr>
                <w:rFonts w:cs="Times New Roman"/>
                <w:sz w:val="20"/>
                <w:szCs w:val="20"/>
                <w:lang w:bidi="fa-IR"/>
              </w:rPr>
            </w:pPr>
            <w:r w:rsidRPr="00FE7D4D">
              <w:rPr>
                <w:rFonts w:cs="Times New Roman"/>
                <w:sz w:val="20"/>
                <w:szCs w:val="20"/>
                <w:lang w:bidi="fa-IR"/>
              </w:rPr>
              <w:t>Range (min)</w:t>
            </w:r>
          </w:p>
        </w:tc>
        <w:tc>
          <w:tcPr>
            <w:tcW w:w="905" w:type="dxa"/>
            <w:tcBorders>
              <w:right w:val="single" w:sz="12" w:space="0" w:color="auto"/>
            </w:tcBorders>
            <w:shd w:val="clear" w:color="auto" w:fill="auto"/>
            <w:vAlign w:val="center"/>
          </w:tcPr>
          <w:p w14:paraId="4CA1C35A"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Prob.</w:t>
            </w:r>
          </w:p>
        </w:tc>
        <w:tc>
          <w:tcPr>
            <w:tcW w:w="1255" w:type="dxa"/>
            <w:tcBorders>
              <w:left w:val="single" w:sz="12" w:space="0" w:color="auto"/>
            </w:tcBorders>
            <w:shd w:val="clear" w:color="auto" w:fill="auto"/>
            <w:vAlign w:val="center"/>
          </w:tcPr>
          <w:p w14:paraId="74D04403"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Range (min)</w:t>
            </w:r>
          </w:p>
        </w:tc>
        <w:tc>
          <w:tcPr>
            <w:tcW w:w="863" w:type="dxa"/>
            <w:tcBorders>
              <w:right w:val="single" w:sz="12" w:space="0" w:color="auto"/>
            </w:tcBorders>
            <w:shd w:val="clear" w:color="auto" w:fill="auto"/>
            <w:vAlign w:val="center"/>
          </w:tcPr>
          <w:p w14:paraId="74CE0BA4"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Prob.</w:t>
            </w:r>
          </w:p>
        </w:tc>
        <w:tc>
          <w:tcPr>
            <w:tcW w:w="1297" w:type="dxa"/>
            <w:tcBorders>
              <w:left w:val="single" w:sz="12" w:space="0" w:color="auto"/>
            </w:tcBorders>
            <w:shd w:val="clear" w:color="auto" w:fill="auto"/>
            <w:vAlign w:val="center"/>
          </w:tcPr>
          <w:p w14:paraId="1FA189CB"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Range (min)</w:t>
            </w:r>
          </w:p>
        </w:tc>
        <w:tc>
          <w:tcPr>
            <w:tcW w:w="821" w:type="dxa"/>
            <w:shd w:val="clear" w:color="auto" w:fill="auto"/>
            <w:vAlign w:val="center"/>
          </w:tcPr>
          <w:p w14:paraId="132FE3ED"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Prob.</w:t>
            </w:r>
          </w:p>
        </w:tc>
      </w:tr>
      <w:tr w:rsidR="00605FD4" w:rsidRPr="00FE7D4D" w14:paraId="580BBB22" w14:textId="77777777" w:rsidTr="00E33E51">
        <w:tc>
          <w:tcPr>
            <w:tcW w:w="894" w:type="dxa"/>
            <w:tcBorders>
              <w:right w:val="single" w:sz="12" w:space="0" w:color="auto"/>
            </w:tcBorders>
            <w:shd w:val="clear" w:color="auto" w:fill="auto"/>
            <w:vAlign w:val="center"/>
          </w:tcPr>
          <w:p w14:paraId="6C5A2B10" w14:textId="77777777" w:rsidR="00605FD4" w:rsidRPr="00FE7D4D" w:rsidRDefault="00605FD4" w:rsidP="00E33E51">
            <w:pPr>
              <w:jc w:val="center"/>
              <w:rPr>
                <w:rFonts w:cs="Times New Roman"/>
                <w:sz w:val="20"/>
                <w:szCs w:val="20"/>
                <w:lang w:bidi="fa-IR"/>
              </w:rPr>
            </w:pPr>
            <w:r w:rsidRPr="00FE7D4D">
              <w:rPr>
                <w:sz w:val="20"/>
                <w:szCs w:val="20"/>
              </w:rPr>
              <w:t>1</w:t>
            </w:r>
          </w:p>
        </w:tc>
        <w:tc>
          <w:tcPr>
            <w:tcW w:w="1261" w:type="dxa"/>
            <w:tcBorders>
              <w:left w:val="single" w:sz="12" w:space="0" w:color="auto"/>
            </w:tcBorders>
            <w:shd w:val="clear" w:color="auto" w:fill="auto"/>
            <w:vAlign w:val="center"/>
          </w:tcPr>
          <w:p w14:paraId="5A32F7E7"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0-50</w:t>
            </w:r>
          </w:p>
        </w:tc>
        <w:tc>
          <w:tcPr>
            <w:tcW w:w="857" w:type="dxa"/>
            <w:tcBorders>
              <w:right w:val="single" w:sz="12" w:space="0" w:color="auto"/>
            </w:tcBorders>
            <w:shd w:val="clear" w:color="auto" w:fill="auto"/>
            <w:vAlign w:val="center"/>
          </w:tcPr>
          <w:p w14:paraId="705D32C1" w14:textId="77777777" w:rsidR="00605FD4" w:rsidRPr="00FE7D4D" w:rsidRDefault="00605FD4" w:rsidP="00E33E51">
            <w:pPr>
              <w:jc w:val="center"/>
              <w:rPr>
                <w:rFonts w:cs="Times New Roman"/>
                <w:sz w:val="20"/>
                <w:szCs w:val="20"/>
                <w:lang w:bidi="fa-IR"/>
              </w:rPr>
            </w:pPr>
            <w:r w:rsidRPr="00FE7D4D">
              <w:rPr>
                <w:rFonts w:cs="Times New Roman"/>
                <w:sz w:val="20"/>
                <w:szCs w:val="20"/>
              </w:rPr>
              <w:t>0.0085</w:t>
            </w:r>
          </w:p>
        </w:tc>
        <w:tc>
          <w:tcPr>
            <w:tcW w:w="1213" w:type="dxa"/>
            <w:tcBorders>
              <w:left w:val="single" w:sz="12" w:space="0" w:color="auto"/>
            </w:tcBorders>
            <w:shd w:val="clear" w:color="auto" w:fill="auto"/>
            <w:vAlign w:val="center"/>
          </w:tcPr>
          <w:p w14:paraId="42710E26"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0-60</w:t>
            </w:r>
          </w:p>
        </w:tc>
        <w:tc>
          <w:tcPr>
            <w:tcW w:w="905" w:type="dxa"/>
            <w:tcBorders>
              <w:right w:val="single" w:sz="12" w:space="0" w:color="auto"/>
            </w:tcBorders>
            <w:shd w:val="clear" w:color="auto" w:fill="auto"/>
            <w:vAlign w:val="center"/>
          </w:tcPr>
          <w:p w14:paraId="0638A159" w14:textId="77777777" w:rsidR="00605FD4" w:rsidRPr="00FE7D4D" w:rsidRDefault="00605FD4" w:rsidP="00E33E51">
            <w:pPr>
              <w:jc w:val="center"/>
              <w:rPr>
                <w:rFonts w:cs="Times New Roman"/>
                <w:sz w:val="20"/>
                <w:szCs w:val="20"/>
                <w:lang w:bidi="fa-IR"/>
              </w:rPr>
            </w:pPr>
            <w:r w:rsidRPr="00FE7D4D">
              <w:rPr>
                <w:rFonts w:cs="Times New Roman"/>
                <w:sz w:val="20"/>
                <w:szCs w:val="20"/>
              </w:rPr>
              <w:t>0.6475</w:t>
            </w:r>
          </w:p>
        </w:tc>
        <w:tc>
          <w:tcPr>
            <w:tcW w:w="1255" w:type="dxa"/>
            <w:tcBorders>
              <w:left w:val="single" w:sz="12" w:space="0" w:color="auto"/>
            </w:tcBorders>
            <w:shd w:val="clear" w:color="auto" w:fill="auto"/>
            <w:vAlign w:val="center"/>
          </w:tcPr>
          <w:p w14:paraId="45928921"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0-60</w:t>
            </w:r>
          </w:p>
        </w:tc>
        <w:tc>
          <w:tcPr>
            <w:tcW w:w="863" w:type="dxa"/>
            <w:tcBorders>
              <w:right w:val="single" w:sz="12" w:space="0" w:color="auto"/>
            </w:tcBorders>
            <w:shd w:val="clear" w:color="auto" w:fill="auto"/>
            <w:vAlign w:val="center"/>
          </w:tcPr>
          <w:p w14:paraId="21A3A0DD" w14:textId="77777777" w:rsidR="00605FD4" w:rsidRPr="00FE7D4D" w:rsidRDefault="00605FD4" w:rsidP="00E33E51">
            <w:pPr>
              <w:jc w:val="center"/>
              <w:rPr>
                <w:rFonts w:cs="Times New Roman"/>
                <w:sz w:val="20"/>
                <w:szCs w:val="20"/>
                <w:lang w:bidi="fa-IR"/>
              </w:rPr>
            </w:pPr>
            <w:r w:rsidRPr="00FE7D4D">
              <w:rPr>
                <w:sz w:val="20"/>
                <w:szCs w:val="20"/>
              </w:rPr>
              <w:t>0.5564</w:t>
            </w:r>
          </w:p>
        </w:tc>
        <w:tc>
          <w:tcPr>
            <w:tcW w:w="1297" w:type="dxa"/>
            <w:vMerge w:val="restart"/>
            <w:tcBorders>
              <w:left w:val="single" w:sz="12" w:space="0" w:color="auto"/>
            </w:tcBorders>
            <w:shd w:val="clear" w:color="auto" w:fill="auto"/>
            <w:textDirection w:val="btLr"/>
            <w:vAlign w:val="center"/>
          </w:tcPr>
          <w:p w14:paraId="1D5F0B04" w14:textId="77777777" w:rsidR="00605FD4" w:rsidRPr="00FE7D4D" w:rsidRDefault="00605FD4" w:rsidP="00E33E51">
            <w:pPr>
              <w:ind w:left="113" w:right="113"/>
              <w:jc w:val="center"/>
              <w:rPr>
                <w:rFonts w:cs="Times New Roman"/>
                <w:sz w:val="20"/>
                <w:szCs w:val="20"/>
                <w:lang w:bidi="fa-IR"/>
              </w:rPr>
            </w:pPr>
            <w:r w:rsidRPr="00FE7D4D">
              <w:rPr>
                <w:rFonts w:cs="Times New Roman"/>
                <w:sz w:val="20"/>
                <w:szCs w:val="20"/>
                <w:lang w:bidi="fa-IR"/>
              </w:rPr>
              <w:t>Back-calculated</w:t>
            </w:r>
          </w:p>
        </w:tc>
        <w:tc>
          <w:tcPr>
            <w:tcW w:w="821" w:type="dxa"/>
            <w:vMerge w:val="restart"/>
            <w:shd w:val="clear" w:color="auto" w:fill="auto"/>
            <w:textDirection w:val="btLr"/>
            <w:vAlign w:val="center"/>
          </w:tcPr>
          <w:p w14:paraId="62364BED" w14:textId="77777777" w:rsidR="00605FD4" w:rsidRPr="00FE7D4D" w:rsidRDefault="00605FD4" w:rsidP="00E33E51">
            <w:pPr>
              <w:ind w:left="113" w:right="113"/>
              <w:jc w:val="center"/>
              <w:rPr>
                <w:rFonts w:cs="Times New Roman"/>
                <w:sz w:val="20"/>
                <w:szCs w:val="20"/>
                <w:lang w:bidi="fa-IR"/>
              </w:rPr>
            </w:pPr>
            <w:r w:rsidRPr="00FE7D4D">
              <w:rPr>
                <w:rFonts w:cs="Times New Roman"/>
                <w:sz w:val="20"/>
                <w:szCs w:val="20"/>
                <w:lang w:bidi="fa-IR"/>
              </w:rPr>
              <w:t>Back-calculated</w:t>
            </w:r>
          </w:p>
        </w:tc>
      </w:tr>
      <w:tr w:rsidR="00605FD4" w:rsidRPr="00FE7D4D" w14:paraId="0B18BCF9" w14:textId="77777777" w:rsidTr="00E33E51">
        <w:tc>
          <w:tcPr>
            <w:tcW w:w="894" w:type="dxa"/>
            <w:tcBorders>
              <w:right w:val="single" w:sz="12" w:space="0" w:color="auto"/>
            </w:tcBorders>
            <w:shd w:val="clear" w:color="auto" w:fill="auto"/>
            <w:vAlign w:val="center"/>
          </w:tcPr>
          <w:p w14:paraId="5516E0BD" w14:textId="77777777" w:rsidR="00605FD4" w:rsidRPr="00FE7D4D" w:rsidRDefault="00605FD4" w:rsidP="00E33E51">
            <w:pPr>
              <w:jc w:val="center"/>
              <w:rPr>
                <w:rFonts w:cs="Times New Roman"/>
                <w:sz w:val="20"/>
                <w:szCs w:val="20"/>
                <w:lang w:bidi="fa-IR"/>
              </w:rPr>
            </w:pPr>
            <w:r w:rsidRPr="00FE7D4D">
              <w:rPr>
                <w:sz w:val="20"/>
                <w:szCs w:val="20"/>
              </w:rPr>
              <w:t>2</w:t>
            </w:r>
          </w:p>
        </w:tc>
        <w:tc>
          <w:tcPr>
            <w:tcW w:w="1261" w:type="dxa"/>
            <w:tcBorders>
              <w:left w:val="single" w:sz="12" w:space="0" w:color="auto"/>
            </w:tcBorders>
            <w:shd w:val="clear" w:color="auto" w:fill="auto"/>
            <w:vAlign w:val="center"/>
          </w:tcPr>
          <w:p w14:paraId="69B8A73F"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50-100</w:t>
            </w:r>
          </w:p>
        </w:tc>
        <w:tc>
          <w:tcPr>
            <w:tcW w:w="857" w:type="dxa"/>
            <w:tcBorders>
              <w:right w:val="single" w:sz="12" w:space="0" w:color="auto"/>
            </w:tcBorders>
            <w:shd w:val="clear" w:color="auto" w:fill="auto"/>
            <w:vAlign w:val="center"/>
          </w:tcPr>
          <w:p w14:paraId="6BF50E00" w14:textId="77777777" w:rsidR="00605FD4" w:rsidRPr="00FE7D4D" w:rsidRDefault="00605FD4" w:rsidP="00E33E51">
            <w:pPr>
              <w:jc w:val="center"/>
              <w:rPr>
                <w:rFonts w:cs="Times New Roman"/>
                <w:sz w:val="20"/>
                <w:szCs w:val="20"/>
                <w:lang w:bidi="fa-IR"/>
              </w:rPr>
            </w:pPr>
            <w:r w:rsidRPr="00FE7D4D">
              <w:rPr>
                <w:rFonts w:cs="Times New Roman"/>
                <w:sz w:val="20"/>
                <w:szCs w:val="20"/>
              </w:rPr>
              <w:t>0.0028</w:t>
            </w:r>
          </w:p>
        </w:tc>
        <w:tc>
          <w:tcPr>
            <w:tcW w:w="1213" w:type="dxa"/>
            <w:tcBorders>
              <w:left w:val="single" w:sz="12" w:space="0" w:color="auto"/>
            </w:tcBorders>
            <w:shd w:val="clear" w:color="auto" w:fill="auto"/>
            <w:vAlign w:val="center"/>
          </w:tcPr>
          <w:p w14:paraId="33270857"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60-120</w:t>
            </w:r>
          </w:p>
        </w:tc>
        <w:tc>
          <w:tcPr>
            <w:tcW w:w="905" w:type="dxa"/>
            <w:tcBorders>
              <w:right w:val="single" w:sz="12" w:space="0" w:color="auto"/>
            </w:tcBorders>
            <w:shd w:val="clear" w:color="auto" w:fill="auto"/>
            <w:vAlign w:val="center"/>
          </w:tcPr>
          <w:p w14:paraId="7B77D2A2" w14:textId="77777777" w:rsidR="00605FD4" w:rsidRPr="00FE7D4D" w:rsidRDefault="00605FD4" w:rsidP="00E33E51">
            <w:pPr>
              <w:jc w:val="center"/>
              <w:rPr>
                <w:rFonts w:cs="Times New Roman"/>
                <w:sz w:val="20"/>
                <w:szCs w:val="20"/>
                <w:lang w:bidi="fa-IR"/>
              </w:rPr>
            </w:pPr>
            <w:r w:rsidRPr="00FE7D4D">
              <w:rPr>
                <w:rFonts w:cs="Times New Roman"/>
                <w:sz w:val="20"/>
                <w:szCs w:val="20"/>
              </w:rPr>
              <w:t>0.0965</w:t>
            </w:r>
          </w:p>
        </w:tc>
        <w:tc>
          <w:tcPr>
            <w:tcW w:w="1255" w:type="dxa"/>
            <w:tcBorders>
              <w:left w:val="single" w:sz="12" w:space="0" w:color="auto"/>
            </w:tcBorders>
            <w:shd w:val="clear" w:color="auto" w:fill="auto"/>
            <w:vAlign w:val="center"/>
          </w:tcPr>
          <w:p w14:paraId="3ED899AC"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60-120</w:t>
            </w:r>
          </w:p>
        </w:tc>
        <w:tc>
          <w:tcPr>
            <w:tcW w:w="863" w:type="dxa"/>
            <w:tcBorders>
              <w:right w:val="single" w:sz="12" w:space="0" w:color="auto"/>
            </w:tcBorders>
            <w:shd w:val="clear" w:color="auto" w:fill="auto"/>
            <w:vAlign w:val="center"/>
          </w:tcPr>
          <w:p w14:paraId="168C290A" w14:textId="77777777" w:rsidR="00605FD4" w:rsidRPr="00FE7D4D" w:rsidRDefault="00605FD4" w:rsidP="00E33E51">
            <w:pPr>
              <w:jc w:val="center"/>
              <w:rPr>
                <w:rFonts w:cs="Times New Roman"/>
                <w:sz w:val="20"/>
                <w:szCs w:val="20"/>
                <w:lang w:bidi="fa-IR"/>
              </w:rPr>
            </w:pPr>
            <w:r w:rsidRPr="00FE7D4D">
              <w:rPr>
                <w:sz w:val="20"/>
                <w:szCs w:val="20"/>
              </w:rPr>
              <w:t>0.2700</w:t>
            </w:r>
          </w:p>
        </w:tc>
        <w:tc>
          <w:tcPr>
            <w:tcW w:w="1297" w:type="dxa"/>
            <w:vMerge/>
            <w:tcBorders>
              <w:left w:val="single" w:sz="12" w:space="0" w:color="auto"/>
            </w:tcBorders>
            <w:shd w:val="clear" w:color="auto" w:fill="auto"/>
            <w:vAlign w:val="center"/>
          </w:tcPr>
          <w:p w14:paraId="1A0F1809"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5019DBF9" w14:textId="77777777" w:rsidR="00605FD4" w:rsidRPr="00FE7D4D" w:rsidRDefault="00605FD4" w:rsidP="00E33E51">
            <w:pPr>
              <w:jc w:val="center"/>
              <w:rPr>
                <w:rFonts w:cs="Times New Roman"/>
                <w:b/>
                <w:bCs/>
                <w:sz w:val="20"/>
                <w:szCs w:val="20"/>
                <w:lang w:bidi="fa-IR"/>
              </w:rPr>
            </w:pPr>
          </w:p>
        </w:tc>
      </w:tr>
      <w:tr w:rsidR="00605FD4" w:rsidRPr="00FE7D4D" w14:paraId="3B9E784F" w14:textId="77777777" w:rsidTr="00E33E51">
        <w:tc>
          <w:tcPr>
            <w:tcW w:w="894" w:type="dxa"/>
            <w:tcBorders>
              <w:right w:val="single" w:sz="12" w:space="0" w:color="auto"/>
            </w:tcBorders>
            <w:shd w:val="clear" w:color="auto" w:fill="auto"/>
            <w:vAlign w:val="center"/>
          </w:tcPr>
          <w:p w14:paraId="4F1643F2" w14:textId="77777777" w:rsidR="00605FD4" w:rsidRPr="00FE7D4D" w:rsidRDefault="00605FD4" w:rsidP="00E33E51">
            <w:pPr>
              <w:jc w:val="center"/>
              <w:rPr>
                <w:rFonts w:cs="Times New Roman"/>
                <w:sz w:val="20"/>
                <w:szCs w:val="20"/>
                <w:lang w:bidi="fa-IR"/>
              </w:rPr>
            </w:pPr>
            <w:r w:rsidRPr="00FE7D4D">
              <w:rPr>
                <w:sz w:val="20"/>
                <w:szCs w:val="20"/>
              </w:rPr>
              <w:t>3</w:t>
            </w:r>
          </w:p>
        </w:tc>
        <w:tc>
          <w:tcPr>
            <w:tcW w:w="1261" w:type="dxa"/>
            <w:tcBorders>
              <w:left w:val="single" w:sz="12" w:space="0" w:color="auto"/>
            </w:tcBorders>
            <w:shd w:val="clear" w:color="auto" w:fill="auto"/>
            <w:vAlign w:val="center"/>
          </w:tcPr>
          <w:p w14:paraId="24396A31"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100-150</w:t>
            </w:r>
          </w:p>
        </w:tc>
        <w:tc>
          <w:tcPr>
            <w:tcW w:w="857" w:type="dxa"/>
            <w:tcBorders>
              <w:right w:val="single" w:sz="12" w:space="0" w:color="auto"/>
            </w:tcBorders>
            <w:shd w:val="clear" w:color="auto" w:fill="auto"/>
            <w:vAlign w:val="center"/>
          </w:tcPr>
          <w:p w14:paraId="49AB9405" w14:textId="77777777" w:rsidR="00605FD4" w:rsidRPr="00FE7D4D" w:rsidRDefault="00605FD4" w:rsidP="00E33E51">
            <w:pPr>
              <w:jc w:val="center"/>
              <w:rPr>
                <w:rFonts w:cs="Times New Roman"/>
                <w:sz w:val="20"/>
                <w:szCs w:val="20"/>
                <w:lang w:bidi="fa-IR"/>
              </w:rPr>
            </w:pPr>
            <w:r w:rsidRPr="00FE7D4D">
              <w:rPr>
                <w:rFonts w:cs="Times New Roman"/>
                <w:sz w:val="20"/>
                <w:szCs w:val="20"/>
              </w:rPr>
              <w:t>0.0028</w:t>
            </w:r>
          </w:p>
        </w:tc>
        <w:tc>
          <w:tcPr>
            <w:tcW w:w="1213" w:type="dxa"/>
            <w:tcBorders>
              <w:left w:val="single" w:sz="12" w:space="0" w:color="auto"/>
            </w:tcBorders>
            <w:shd w:val="clear" w:color="auto" w:fill="auto"/>
            <w:vAlign w:val="center"/>
          </w:tcPr>
          <w:p w14:paraId="565A62D3"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120-180</w:t>
            </w:r>
          </w:p>
        </w:tc>
        <w:tc>
          <w:tcPr>
            <w:tcW w:w="905" w:type="dxa"/>
            <w:tcBorders>
              <w:right w:val="single" w:sz="12" w:space="0" w:color="auto"/>
            </w:tcBorders>
            <w:shd w:val="clear" w:color="auto" w:fill="auto"/>
            <w:vAlign w:val="center"/>
          </w:tcPr>
          <w:p w14:paraId="648E1EC7" w14:textId="77777777" w:rsidR="00605FD4" w:rsidRPr="00FE7D4D" w:rsidRDefault="00605FD4" w:rsidP="00E33E51">
            <w:pPr>
              <w:jc w:val="center"/>
              <w:rPr>
                <w:rFonts w:cs="Times New Roman"/>
                <w:sz w:val="20"/>
                <w:szCs w:val="20"/>
                <w:lang w:bidi="fa-IR"/>
              </w:rPr>
            </w:pPr>
            <w:r w:rsidRPr="00FE7D4D">
              <w:rPr>
                <w:rFonts w:cs="Times New Roman"/>
                <w:sz w:val="20"/>
                <w:szCs w:val="20"/>
              </w:rPr>
              <w:t>0.0727</w:t>
            </w:r>
          </w:p>
        </w:tc>
        <w:tc>
          <w:tcPr>
            <w:tcW w:w="1255" w:type="dxa"/>
            <w:tcBorders>
              <w:left w:val="single" w:sz="12" w:space="0" w:color="auto"/>
            </w:tcBorders>
            <w:shd w:val="clear" w:color="auto" w:fill="auto"/>
            <w:vAlign w:val="center"/>
          </w:tcPr>
          <w:p w14:paraId="3B3FA83D"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120-180</w:t>
            </w:r>
          </w:p>
        </w:tc>
        <w:tc>
          <w:tcPr>
            <w:tcW w:w="863" w:type="dxa"/>
            <w:tcBorders>
              <w:right w:val="single" w:sz="12" w:space="0" w:color="auto"/>
            </w:tcBorders>
            <w:shd w:val="clear" w:color="auto" w:fill="auto"/>
            <w:vAlign w:val="center"/>
          </w:tcPr>
          <w:p w14:paraId="1425EDE0" w14:textId="77777777" w:rsidR="00605FD4" w:rsidRPr="00FE7D4D" w:rsidRDefault="00605FD4" w:rsidP="00E33E51">
            <w:pPr>
              <w:jc w:val="center"/>
              <w:rPr>
                <w:rFonts w:cs="Times New Roman"/>
                <w:sz w:val="20"/>
                <w:szCs w:val="20"/>
                <w:lang w:bidi="fa-IR"/>
              </w:rPr>
            </w:pPr>
            <w:r w:rsidRPr="00FE7D4D">
              <w:rPr>
                <w:sz w:val="20"/>
                <w:szCs w:val="20"/>
              </w:rPr>
              <w:t>0.1080</w:t>
            </w:r>
          </w:p>
        </w:tc>
        <w:tc>
          <w:tcPr>
            <w:tcW w:w="1297" w:type="dxa"/>
            <w:vMerge/>
            <w:tcBorders>
              <w:left w:val="single" w:sz="12" w:space="0" w:color="auto"/>
            </w:tcBorders>
            <w:shd w:val="clear" w:color="auto" w:fill="auto"/>
            <w:vAlign w:val="center"/>
          </w:tcPr>
          <w:p w14:paraId="0E236951"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7F8C1214" w14:textId="77777777" w:rsidR="00605FD4" w:rsidRPr="00FE7D4D" w:rsidRDefault="00605FD4" w:rsidP="00E33E51">
            <w:pPr>
              <w:jc w:val="center"/>
              <w:rPr>
                <w:rFonts w:cs="Times New Roman"/>
                <w:b/>
                <w:bCs/>
                <w:sz w:val="20"/>
                <w:szCs w:val="20"/>
                <w:lang w:bidi="fa-IR"/>
              </w:rPr>
            </w:pPr>
          </w:p>
        </w:tc>
      </w:tr>
      <w:tr w:rsidR="00605FD4" w:rsidRPr="00FE7D4D" w14:paraId="66472F9F" w14:textId="77777777" w:rsidTr="00E33E51">
        <w:tc>
          <w:tcPr>
            <w:tcW w:w="894" w:type="dxa"/>
            <w:tcBorders>
              <w:right w:val="single" w:sz="12" w:space="0" w:color="auto"/>
            </w:tcBorders>
            <w:shd w:val="clear" w:color="auto" w:fill="auto"/>
            <w:vAlign w:val="center"/>
          </w:tcPr>
          <w:p w14:paraId="497A5008" w14:textId="77777777" w:rsidR="00605FD4" w:rsidRPr="00FE7D4D" w:rsidRDefault="00605FD4" w:rsidP="00E33E51">
            <w:pPr>
              <w:jc w:val="center"/>
              <w:rPr>
                <w:rFonts w:cs="Times New Roman"/>
                <w:sz w:val="20"/>
                <w:szCs w:val="20"/>
                <w:lang w:bidi="fa-IR"/>
              </w:rPr>
            </w:pPr>
            <w:r w:rsidRPr="00FE7D4D">
              <w:rPr>
                <w:sz w:val="20"/>
                <w:szCs w:val="20"/>
              </w:rPr>
              <w:t>4</w:t>
            </w:r>
          </w:p>
        </w:tc>
        <w:tc>
          <w:tcPr>
            <w:tcW w:w="1261" w:type="dxa"/>
            <w:tcBorders>
              <w:left w:val="single" w:sz="12" w:space="0" w:color="auto"/>
            </w:tcBorders>
            <w:shd w:val="clear" w:color="auto" w:fill="auto"/>
            <w:vAlign w:val="center"/>
          </w:tcPr>
          <w:p w14:paraId="745D1ADF"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150-200</w:t>
            </w:r>
          </w:p>
        </w:tc>
        <w:tc>
          <w:tcPr>
            <w:tcW w:w="857" w:type="dxa"/>
            <w:tcBorders>
              <w:right w:val="single" w:sz="12" w:space="0" w:color="auto"/>
            </w:tcBorders>
            <w:shd w:val="clear" w:color="auto" w:fill="auto"/>
            <w:vAlign w:val="center"/>
          </w:tcPr>
          <w:p w14:paraId="32DCC04B" w14:textId="77777777" w:rsidR="00605FD4" w:rsidRPr="00FE7D4D" w:rsidRDefault="00605FD4" w:rsidP="00E33E51">
            <w:pPr>
              <w:jc w:val="center"/>
              <w:rPr>
                <w:rFonts w:cs="Times New Roman"/>
                <w:sz w:val="20"/>
                <w:szCs w:val="20"/>
                <w:lang w:bidi="fa-IR"/>
              </w:rPr>
            </w:pPr>
            <w:r w:rsidRPr="00FE7D4D">
              <w:rPr>
                <w:rFonts w:cs="Times New Roman"/>
                <w:sz w:val="20"/>
                <w:szCs w:val="20"/>
              </w:rPr>
              <w:t>0.0038</w:t>
            </w:r>
          </w:p>
        </w:tc>
        <w:tc>
          <w:tcPr>
            <w:tcW w:w="1213" w:type="dxa"/>
            <w:tcBorders>
              <w:left w:val="single" w:sz="12" w:space="0" w:color="auto"/>
            </w:tcBorders>
            <w:shd w:val="clear" w:color="auto" w:fill="auto"/>
            <w:vAlign w:val="center"/>
          </w:tcPr>
          <w:p w14:paraId="59C9CAA5"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180-240</w:t>
            </w:r>
          </w:p>
        </w:tc>
        <w:tc>
          <w:tcPr>
            <w:tcW w:w="905" w:type="dxa"/>
            <w:tcBorders>
              <w:right w:val="single" w:sz="12" w:space="0" w:color="auto"/>
            </w:tcBorders>
            <w:shd w:val="clear" w:color="auto" w:fill="auto"/>
            <w:vAlign w:val="center"/>
          </w:tcPr>
          <w:p w14:paraId="2D700E22" w14:textId="77777777" w:rsidR="00605FD4" w:rsidRPr="00FE7D4D" w:rsidRDefault="00605FD4" w:rsidP="00E33E51">
            <w:pPr>
              <w:jc w:val="center"/>
              <w:rPr>
                <w:rFonts w:cs="Times New Roman"/>
                <w:sz w:val="20"/>
                <w:szCs w:val="20"/>
                <w:lang w:bidi="fa-IR"/>
              </w:rPr>
            </w:pPr>
            <w:r w:rsidRPr="00FE7D4D">
              <w:rPr>
                <w:rFonts w:cs="Times New Roman"/>
                <w:sz w:val="20"/>
                <w:szCs w:val="20"/>
              </w:rPr>
              <w:t>0.0441</w:t>
            </w:r>
          </w:p>
        </w:tc>
        <w:tc>
          <w:tcPr>
            <w:tcW w:w="1255" w:type="dxa"/>
            <w:tcBorders>
              <w:left w:val="single" w:sz="12" w:space="0" w:color="auto"/>
            </w:tcBorders>
            <w:shd w:val="clear" w:color="auto" w:fill="auto"/>
            <w:vAlign w:val="center"/>
          </w:tcPr>
          <w:p w14:paraId="3EDB014C"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180-240</w:t>
            </w:r>
          </w:p>
        </w:tc>
        <w:tc>
          <w:tcPr>
            <w:tcW w:w="863" w:type="dxa"/>
            <w:tcBorders>
              <w:right w:val="single" w:sz="12" w:space="0" w:color="auto"/>
            </w:tcBorders>
            <w:shd w:val="clear" w:color="auto" w:fill="auto"/>
            <w:vAlign w:val="center"/>
          </w:tcPr>
          <w:p w14:paraId="72CD9D5E" w14:textId="77777777" w:rsidR="00605FD4" w:rsidRPr="00FE7D4D" w:rsidRDefault="00605FD4" w:rsidP="00E33E51">
            <w:pPr>
              <w:jc w:val="center"/>
              <w:rPr>
                <w:rFonts w:cs="Times New Roman"/>
                <w:sz w:val="20"/>
                <w:szCs w:val="20"/>
                <w:lang w:bidi="fa-IR"/>
              </w:rPr>
            </w:pPr>
            <w:r w:rsidRPr="00FE7D4D">
              <w:rPr>
                <w:sz w:val="20"/>
                <w:szCs w:val="20"/>
              </w:rPr>
              <w:t>0.0240</w:t>
            </w:r>
          </w:p>
        </w:tc>
        <w:tc>
          <w:tcPr>
            <w:tcW w:w="1297" w:type="dxa"/>
            <w:vMerge/>
            <w:tcBorders>
              <w:left w:val="single" w:sz="12" w:space="0" w:color="auto"/>
            </w:tcBorders>
            <w:shd w:val="clear" w:color="auto" w:fill="auto"/>
            <w:vAlign w:val="center"/>
          </w:tcPr>
          <w:p w14:paraId="551B1A68"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0BD0D9FB" w14:textId="77777777" w:rsidR="00605FD4" w:rsidRPr="00FE7D4D" w:rsidRDefault="00605FD4" w:rsidP="00E33E51">
            <w:pPr>
              <w:jc w:val="center"/>
              <w:rPr>
                <w:rFonts w:cs="Times New Roman"/>
                <w:b/>
                <w:bCs/>
                <w:sz w:val="20"/>
                <w:szCs w:val="20"/>
                <w:lang w:bidi="fa-IR"/>
              </w:rPr>
            </w:pPr>
          </w:p>
        </w:tc>
      </w:tr>
      <w:tr w:rsidR="00605FD4" w:rsidRPr="00FE7D4D" w14:paraId="682F0673" w14:textId="77777777" w:rsidTr="00E33E51">
        <w:tc>
          <w:tcPr>
            <w:tcW w:w="894" w:type="dxa"/>
            <w:tcBorders>
              <w:right w:val="single" w:sz="12" w:space="0" w:color="auto"/>
            </w:tcBorders>
            <w:shd w:val="clear" w:color="auto" w:fill="auto"/>
            <w:vAlign w:val="center"/>
          </w:tcPr>
          <w:p w14:paraId="53FAE4DD" w14:textId="77777777" w:rsidR="00605FD4" w:rsidRPr="00FE7D4D" w:rsidRDefault="00605FD4" w:rsidP="00E33E51">
            <w:pPr>
              <w:jc w:val="center"/>
              <w:rPr>
                <w:rFonts w:cs="Times New Roman"/>
                <w:sz w:val="20"/>
                <w:szCs w:val="20"/>
                <w:lang w:bidi="fa-IR"/>
              </w:rPr>
            </w:pPr>
            <w:r w:rsidRPr="00FE7D4D">
              <w:rPr>
                <w:sz w:val="20"/>
                <w:szCs w:val="20"/>
              </w:rPr>
              <w:t>5</w:t>
            </w:r>
          </w:p>
        </w:tc>
        <w:tc>
          <w:tcPr>
            <w:tcW w:w="1261" w:type="dxa"/>
            <w:tcBorders>
              <w:left w:val="single" w:sz="12" w:space="0" w:color="auto"/>
            </w:tcBorders>
            <w:shd w:val="clear" w:color="auto" w:fill="auto"/>
            <w:vAlign w:val="center"/>
          </w:tcPr>
          <w:p w14:paraId="5B2AE706"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200-250</w:t>
            </w:r>
          </w:p>
        </w:tc>
        <w:tc>
          <w:tcPr>
            <w:tcW w:w="857" w:type="dxa"/>
            <w:tcBorders>
              <w:right w:val="single" w:sz="12" w:space="0" w:color="auto"/>
            </w:tcBorders>
            <w:shd w:val="clear" w:color="auto" w:fill="auto"/>
            <w:vAlign w:val="center"/>
          </w:tcPr>
          <w:p w14:paraId="17EDAADF" w14:textId="77777777" w:rsidR="00605FD4" w:rsidRPr="00FE7D4D" w:rsidRDefault="00605FD4" w:rsidP="00E33E51">
            <w:pPr>
              <w:jc w:val="center"/>
              <w:rPr>
                <w:rFonts w:cs="Times New Roman"/>
                <w:sz w:val="20"/>
                <w:szCs w:val="20"/>
                <w:lang w:bidi="fa-IR"/>
              </w:rPr>
            </w:pPr>
            <w:r w:rsidRPr="00FE7D4D">
              <w:rPr>
                <w:rFonts w:cs="Times New Roman"/>
                <w:sz w:val="20"/>
                <w:szCs w:val="20"/>
              </w:rPr>
              <w:t>0.0038</w:t>
            </w:r>
          </w:p>
        </w:tc>
        <w:tc>
          <w:tcPr>
            <w:tcW w:w="1213" w:type="dxa"/>
            <w:tcBorders>
              <w:left w:val="single" w:sz="12" w:space="0" w:color="auto"/>
            </w:tcBorders>
            <w:shd w:val="clear" w:color="auto" w:fill="auto"/>
            <w:vAlign w:val="center"/>
          </w:tcPr>
          <w:p w14:paraId="13C0F0C0"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240-300</w:t>
            </w:r>
          </w:p>
        </w:tc>
        <w:tc>
          <w:tcPr>
            <w:tcW w:w="905" w:type="dxa"/>
            <w:tcBorders>
              <w:right w:val="single" w:sz="12" w:space="0" w:color="auto"/>
            </w:tcBorders>
            <w:shd w:val="clear" w:color="auto" w:fill="auto"/>
            <w:vAlign w:val="center"/>
          </w:tcPr>
          <w:p w14:paraId="6BE0B104" w14:textId="77777777" w:rsidR="00605FD4" w:rsidRPr="00FE7D4D" w:rsidRDefault="00605FD4" w:rsidP="00E33E51">
            <w:pPr>
              <w:jc w:val="center"/>
              <w:rPr>
                <w:rFonts w:cs="Times New Roman"/>
                <w:sz w:val="20"/>
                <w:szCs w:val="20"/>
                <w:lang w:bidi="fa-IR"/>
              </w:rPr>
            </w:pPr>
            <w:r w:rsidRPr="00FE7D4D">
              <w:rPr>
                <w:rFonts w:cs="Times New Roman"/>
                <w:sz w:val="20"/>
                <w:szCs w:val="20"/>
              </w:rPr>
              <w:t>0.0330</w:t>
            </w:r>
          </w:p>
        </w:tc>
        <w:tc>
          <w:tcPr>
            <w:tcW w:w="1255" w:type="dxa"/>
            <w:tcBorders>
              <w:left w:val="single" w:sz="12" w:space="0" w:color="auto"/>
            </w:tcBorders>
            <w:shd w:val="clear" w:color="auto" w:fill="auto"/>
            <w:vAlign w:val="center"/>
          </w:tcPr>
          <w:p w14:paraId="25F3DA4B"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240-300</w:t>
            </w:r>
          </w:p>
        </w:tc>
        <w:tc>
          <w:tcPr>
            <w:tcW w:w="863" w:type="dxa"/>
            <w:tcBorders>
              <w:right w:val="single" w:sz="12" w:space="0" w:color="auto"/>
            </w:tcBorders>
            <w:shd w:val="clear" w:color="auto" w:fill="auto"/>
            <w:vAlign w:val="center"/>
          </w:tcPr>
          <w:p w14:paraId="170A4232" w14:textId="77777777" w:rsidR="00605FD4" w:rsidRPr="00FE7D4D" w:rsidRDefault="00605FD4" w:rsidP="00E33E51">
            <w:pPr>
              <w:jc w:val="center"/>
              <w:rPr>
                <w:rFonts w:cs="Times New Roman"/>
                <w:sz w:val="20"/>
                <w:szCs w:val="20"/>
                <w:lang w:bidi="fa-IR"/>
              </w:rPr>
            </w:pPr>
            <w:r w:rsidRPr="00FE7D4D">
              <w:rPr>
                <w:sz w:val="20"/>
                <w:szCs w:val="20"/>
              </w:rPr>
              <w:t>0.0120</w:t>
            </w:r>
          </w:p>
        </w:tc>
        <w:tc>
          <w:tcPr>
            <w:tcW w:w="1297" w:type="dxa"/>
            <w:vMerge/>
            <w:tcBorders>
              <w:left w:val="single" w:sz="12" w:space="0" w:color="auto"/>
            </w:tcBorders>
            <w:shd w:val="clear" w:color="auto" w:fill="auto"/>
            <w:vAlign w:val="center"/>
          </w:tcPr>
          <w:p w14:paraId="7F9A2E8F"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58F91F34" w14:textId="77777777" w:rsidR="00605FD4" w:rsidRPr="00FE7D4D" w:rsidRDefault="00605FD4" w:rsidP="00E33E51">
            <w:pPr>
              <w:jc w:val="center"/>
              <w:rPr>
                <w:rFonts w:cs="Times New Roman"/>
                <w:b/>
                <w:bCs/>
                <w:sz w:val="20"/>
                <w:szCs w:val="20"/>
                <w:lang w:bidi="fa-IR"/>
              </w:rPr>
            </w:pPr>
          </w:p>
        </w:tc>
      </w:tr>
      <w:tr w:rsidR="00605FD4" w:rsidRPr="00FE7D4D" w14:paraId="7042B100" w14:textId="77777777" w:rsidTr="00E33E51">
        <w:tc>
          <w:tcPr>
            <w:tcW w:w="894" w:type="dxa"/>
            <w:tcBorders>
              <w:right w:val="single" w:sz="12" w:space="0" w:color="auto"/>
            </w:tcBorders>
            <w:shd w:val="clear" w:color="auto" w:fill="auto"/>
            <w:vAlign w:val="center"/>
          </w:tcPr>
          <w:p w14:paraId="6F174D94" w14:textId="77777777" w:rsidR="00605FD4" w:rsidRPr="00FE7D4D" w:rsidRDefault="00605FD4" w:rsidP="00E33E51">
            <w:pPr>
              <w:jc w:val="center"/>
              <w:rPr>
                <w:rFonts w:cs="Times New Roman"/>
                <w:sz w:val="20"/>
                <w:szCs w:val="20"/>
                <w:lang w:bidi="fa-IR"/>
              </w:rPr>
            </w:pPr>
            <w:r w:rsidRPr="00FE7D4D">
              <w:rPr>
                <w:sz w:val="20"/>
                <w:szCs w:val="20"/>
              </w:rPr>
              <w:t>6</w:t>
            </w:r>
          </w:p>
        </w:tc>
        <w:tc>
          <w:tcPr>
            <w:tcW w:w="1261" w:type="dxa"/>
            <w:tcBorders>
              <w:left w:val="single" w:sz="12" w:space="0" w:color="auto"/>
            </w:tcBorders>
            <w:shd w:val="clear" w:color="auto" w:fill="auto"/>
            <w:vAlign w:val="center"/>
          </w:tcPr>
          <w:p w14:paraId="6C0824DE"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250-300</w:t>
            </w:r>
          </w:p>
        </w:tc>
        <w:tc>
          <w:tcPr>
            <w:tcW w:w="857" w:type="dxa"/>
            <w:tcBorders>
              <w:right w:val="single" w:sz="12" w:space="0" w:color="auto"/>
            </w:tcBorders>
            <w:shd w:val="clear" w:color="auto" w:fill="auto"/>
            <w:vAlign w:val="center"/>
          </w:tcPr>
          <w:p w14:paraId="0F7B4D77" w14:textId="77777777" w:rsidR="00605FD4" w:rsidRPr="00FE7D4D" w:rsidRDefault="00605FD4" w:rsidP="00E33E51">
            <w:pPr>
              <w:jc w:val="center"/>
              <w:rPr>
                <w:rFonts w:cs="Times New Roman"/>
                <w:sz w:val="20"/>
                <w:szCs w:val="20"/>
                <w:lang w:bidi="fa-IR"/>
              </w:rPr>
            </w:pPr>
            <w:r w:rsidRPr="00FE7D4D">
              <w:rPr>
                <w:rFonts w:cs="Times New Roman"/>
                <w:sz w:val="20"/>
                <w:szCs w:val="20"/>
              </w:rPr>
              <w:t>0.0038</w:t>
            </w:r>
          </w:p>
        </w:tc>
        <w:tc>
          <w:tcPr>
            <w:tcW w:w="1213" w:type="dxa"/>
            <w:tcBorders>
              <w:left w:val="single" w:sz="12" w:space="0" w:color="auto"/>
            </w:tcBorders>
            <w:shd w:val="clear" w:color="auto" w:fill="auto"/>
            <w:vAlign w:val="center"/>
          </w:tcPr>
          <w:p w14:paraId="0857889A"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300-360</w:t>
            </w:r>
          </w:p>
        </w:tc>
        <w:tc>
          <w:tcPr>
            <w:tcW w:w="905" w:type="dxa"/>
            <w:tcBorders>
              <w:right w:val="single" w:sz="12" w:space="0" w:color="auto"/>
            </w:tcBorders>
            <w:shd w:val="clear" w:color="auto" w:fill="auto"/>
            <w:vAlign w:val="center"/>
          </w:tcPr>
          <w:p w14:paraId="21204288" w14:textId="77777777" w:rsidR="00605FD4" w:rsidRPr="00FE7D4D" w:rsidRDefault="00605FD4" w:rsidP="00E33E51">
            <w:pPr>
              <w:jc w:val="center"/>
              <w:rPr>
                <w:rFonts w:cs="Times New Roman"/>
                <w:sz w:val="20"/>
                <w:szCs w:val="20"/>
                <w:lang w:bidi="fa-IR"/>
              </w:rPr>
            </w:pPr>
            <w:r w:rsidRPr="00FE7D4D">
              <w:rPr>
                <w:rFonts w:cs="Times New Roman"/>
                <w:sz w:val="20"/>
                <w:szCs w:val="20"/>
              </w:rPr>
              <w:t>0.0240</w:t>
            </w:r>
          </w:p>
        </w:tc>
        <w:tc>
          <w:tcPr>
            <w:tcW w:w="1255" w:type="dxa"/>
            <w:tcBorders>
              <w:left w:val="single" w:sz="12" w:space="0" w:color="auto"/>
            </w:tcBorders>
            <w:shd w:val="clear" w:color="auto" w:fill="auto"/>
            <w:vAlign w:val="center"/>
          </w:tcPr>
          <w:p w14:paraId="6DA512ED"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300-360</w:t>
            </w:r>
          </w:p>
        </w:tc>
        <w:tc>
          <w:tcPr>
            <w:tcW w:w="863" w:type="dxa"/>
            <w:tcBorders>
              <w:right w:val="single" w:sz="12" w:space="0" w:color="auto"/>
            </w:tcBorders>
            <w:shd w:val="clear" w:color="auto" w:fill="auto"/>
            <w:vAlign w:val="center"/>
          </w:tcPr>
          <w:p w14:paraId="70D3FECA" w14:textId="77777777" w:rsidR="00605FD4" w:rsidRPr="00FE7D4D" w:rsidRDefault="00605FD4" w:rsidP="00E33E51">
            <w:pPr>
              <w:jc w:val="center"/>
              <w:rPr>
                <w:rFonts w:cs="Times New Roman"/>
                <w:sz w:val="20"/>
                <w:szCs w:val="20"/>
                <w:lang w:bidi="fa-IR"/>
              </w:rPr>
            </w:pPr>
            <w:r w:rsidRPr="00FE7D4D">
              <w:rPr>
                <w:sz w:val="20"/>
                <w:szCs w:val="20"/>
              </w:rPr>
              <w:t>0.0090</w:t>
            </w:r>
          </w:p>
        </w:tc>
        <w:tc>
          <w:tcPr>
            <w:tcW w:w="1297" w:type="dxa"/>
            <w:vMerge/>
            <w:tcBorders>
              <w:left w:val="single" w:sz="12" w:space="0" w:color="auto"/>
            </w:tcBorders>
            <w:shd w:val="clear" w:color="auto" w:fill="auto"/>
            <w:vAlign w:val="center"/>
          </w:tcPr>
          <w:p w14:paraId="0FE26C6B"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7C660109" w14:textId="77777777" w:rsidR="00605FD4" w:rsidRPr="00FE7D4D" w:rsidRDefault="00605FD4" w:rsidP="00E33E51">
            <w:pPr>
              <w:jc w:val="center"/>
              <w:rPr>
                <w:rFonts w:cs="Times New Roman"/>
                <w:b/>
                <w:bCs/>
                <w:sz w:val="20"/>
                <w:szCs w:val="20"/>
                <w:lang w:bidi="fa-IR"/>
              </w:rPr>
            </w:pPr>
          </w:p>
        </w:tc>
      </w:tr>
      <w:tr w:rsidR="00605FD4" w:rsidRPr="00FE7D4D" w14:paraId="47C96AF8" w14:textId="77777777" w:rsidTr="00E33E51">
        <w:tc>
          <w:tcPr>
            <w:tcW w:w="894" w:type="dxa"/>
            <w:tcBorders>
              <w:right w:val="single" w:sz="12" w:space="0" w:color="auto"/>
            </w:tcBorders>
            <w:shd w:val="clear" w:color="auto" w:fill="auto"/>
            <w:vAlign w:val="center"/>
          </w:tcPr>
          <w:p w14:paraId="498D3B38" w14:textId="77777777" w:rsidR="00605FD4" w:rsidRPr="00FE7D4D" w:rsidRDefault="00605FD4" w:rsidP="00E33E51">
            <w:pPr>
              <w:jc w:val="center"/>
              <w:rPr>
                <w:rFonts w:cs="Times New Roman"/>
                <w:sz w:val="20"/>
                <w:szCs w:val="20"/>
                <w:lang w:bidi="fa-IR"/>
              </w:rPr>
            </w:pPr>
            <w:r w:rsidRPr="00FE7D4D">
              <w:rPr>
                <w:sz w:val="20"/>
                <w:szCs w:val="20"/>
              </w:rPr>
              <w:t>7</w:t>
            </w:r>
          </w:p>
        </w:tc>
        <w:tc>
          <w:tcPr>
            <w:tcW w:w="1261" w:type="dxa"/>
            <w:tcBorders>
              <w:left w:val="single" w:sz="12" w:space="0" w:color="auto"/>
            </w:tcBorders>
            <w:shd w:val="clear" w:color="auto" w:fill="auto"/>
            <w:vAlign w:val="center"/>
          </w:tcPr>
          <w:p w14:paraId="4A25B4AD"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300-350</w:t>
            </w:r>
          </w:p>
        </w:tc>
        <w:tc>
          <w:tcPr>
            <w:tcW w:w="857" w:type="dxa"/>
            <w:tcBorders>
              <w:right w:val="single" w:sz="12" w:space="0" w:color="auto"/>
            </w:tcBorders>
            <w:shd w:val="clear" w:color="auto" w:fill="auto"/>
            <w:vAlign w:val="center"/>
          </w:tcPr>
          <w:p w14:paraId="239128D1" w14:textId="77777777" w:rsidR="00605FD4" w:rsidRPr="00FE7D4D" w:rsidRDefault="00605FD4" w:rsidP="00E33E51">
            <w:pPr>
              <w:jc w:val="center"/>
              <w:rPr>
                <w:rFonts w:cs="Times New Roman"/>
                <w:sz w:val="20"/>
                <w:szCs w:val="20"/>
                <w:lang w:bidi="fa-IR"/>
              </w:rPr>
            </w:pPr>
            <w:r w:rsidRPr="00FE7D4D">
              <w:rPr>
                <w:rFonts w:cs="Times New Roman"/>
                <w:sz w:val="20"/>
                <w:szCs w:val="20"/>
              </w:rPr>
              <w:t>0.0038</w:t>
            </w:r>
          </w:p>
        </w:tc>
        <w:tc>
          <w:tcPr>
            <w:tcW w:w="1213" w:type="dxa"/>
            <w:tcBorders>
              <w:left w:val="single" w:sz="12" w:space="0" w:color="auto"/>
            </w:tcBorders>
            <w:shd w:val="clear" w:color="auto" w:fill="auto"/>
            <w:vAlign w:val="center"/>
          </w:tcPr>
          <w:p w14:paraId="12D796D8"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360-420</w:t>
            </w:r>
          </w:p>
        </w:tc>
        <w:tc>
          <w:tcPr>
            <w:tcW w:w="905" w:type="dxa"/>
            <w:tcBorders>
              <w:right w:val="single" w:sz="12" w:space="0" w:color="auto"/>
            </w:tcBorders>
            <w:shd w:val="clear" w:color="auto" w:fill="auto"/>
            <w:vAlign w:val="center"/>
          </w:tcPr>
          <w:p w14:paraId="73C2A9CB" w14:textId="77777777" w:rsidR="00605FD4" w:rsidRPr="00FE7D4D" w:rsidRDefault="00605FD4" w:rsidP="00E33E51">
            <w:pPr>
              <w:jc w:val="center"/>
              <w:rPr>
                <w:rFonts w:cs="Times New Roman"/>
                <w:sz w:val="20"/>
                <w:szCs w:val="20"/>
                <w:lang w:bidi="fa-IR"/>
              </w:rPr>
            </w:pPr>
            <w:r w:rsidRPr="00FE7D4D">
              <w:rPr>
                <w:rFonts w:cs="Times New Roman"/>
                <w:sz w:val="20"/>
                <w:szCs w:val="20"/>
              </w:rPr>
              <w:t>0.0240</w:t>
            </w:r>
          </w:p>
        </w:tc>
        <w:tc>
          <w:tcPr>
            <w:tcW w:w="1255" w:type="dxa"/>
            <w:tcBorders>
              <w:left w:val="single" w:sz="12" w:space="0" w:color="auto"/>
            </w:tcBorders>
            <w:shd w:val="clear" w:color="auto" w:fill="auto"/>
            <w:vAlign w:val="center"/>
          </w:tcPr>
          <w:p w14:paraId="0DF8BBF9"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360-420</w:t>
            </w:r>
          </w:p>
        </w:tc>
        <w:tc>
          <w:tcPr>
            <w:tcW w:w="863" w:type="dxa"/>
            <w:tcBorders>
              <w:right w:val="single" w:sz="12" w:space="0" w:color="auto"/>
            </w:tcBorders>
            <w:shd w:val="clear" w:color="auto" w:fill="auto"/>
            <w:vAlign w:val="center"/>
          </w:tcPr>
          <w:p w14:paraId="1A4FF03D" w14:textId="77777777" w:rsidR="00605FD4" w:rsidRPr="00FE7D4D" w:rsidRDefault="00605FD4" w:rsidP="00E33E51">
            <w:pPr>
              <w:jc w:val="center"/>
              <w:rPr>
                <w:rFonts w:cs="Times New Roman"/>
                <w:sz w:val="20"/>
                <w:szCs w:val="20"/>
                <w:lang w:bidi="fa-IR"/>
              </w:rPr>
            </w:pPr>
            <w:r w:rsidRPr="00FE7D4D">
              <w:rPr>
                <w:sz w:val="20"/>
                <w:szCs w:val="20"/>
              </w:rPr>
              <w:t>0.0054</w:t>
            </w:r>
          </w:p>
        </w:tc>
        <w:tc>
          <w:tcPr>
            <w:tcW w:w="1297" w:type="dxa"/>
            <w:vMerge/>
            <w:tcBorders>
              <w:left w:val="single" w:sz="12" w:space="0" w:color="auto"/>
            </w:tcBorders>
            <w:shd w:val="clear" w:color="auto" w:fill="auto"/>
            <w:vAlign w:val="center"/>
          </w:tcPr>
          <w:p w14:paraId="07C01128"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6E5ED976" w14:textId="77777777" w:rsidR="00605FD4" w:rsidRPr="00FE7D4D" w:rsidRDefault="00605FD4" w:rsidP="00E33E51">
            <w:pPr>
              <w:jc w:val="center"/>
              <w:rPr>
                <w:rFonts w:cs="Times New Roman"/>
                <w:b/>
                <w:bCs/>
                <w:sz w:val="20"/>
                <w:szCs w:val="20"/>
                <w:lang w:bidi="fa-IR"/>
              </w:rPr>
            </w:pPr>
          </w:p>
        </w:tc>
      </w:tr>
      <w:tr w:rsidR="00605FD4" w:rsidRPr="00FE7D4D" w14:paraId="1326132A" w14:textId="77777777" w:rsidTr="00E33E51">
        <w:tc>
          <w:tcPr>
            <w:tcW w:w="894" w:type="dxa"/>
            <w:tcBorders>
              <w:right w:val="single" w:sz="12" w:space="0" w:color="auto"/>
            </w:tcBorders>
            <w:shd w:val="clear" w:color="auto" w:fill="auto"/>
            <w:vAlign w:val="center"/>
          </w:tcPr>
          <w:p w14:paraId="1519838A" w14:textId="77777777" w:rsidR="00605FD4" w:rsidRPr="00FE7D4D" w:rsidRDefault="00605FD4" w:rsidP="00E33E51">
            <w:pPr>
              <w:jc w:val="center"/>
              <w:rPr>
                <w:rFonts w:cs="Times New Roman"/>
                <w:sz w:val="20"/>
                <w:szCs w:val="20"/>
                <w:lang w:bidi="fa-IR"/>
              </w:rPr>
            </w:pPr>
            <w:r w:rsidRPr="00FE7D4D">
              <w:rPr>
                <w:sz w:val="20"/>
                <w:szCs w:val="20"/>
              </w:rPr>
              <w:t>8</w:t>
            </w:r>
          </w:p>
        </w:tc>
        <w:tc>
          <w:tcPr>
            <w:tcW w:w="1261" w:type="dxa"/>
            <w:tcBorders>
              <w:left w:val="single" w:sz="12" w:space="0" w:color="auto"/>
            </w:tcBorders>
            <w:shd w:val="clear" w:color="auto" w:fill="auto"/>
            <w:vAlign w:val="center"/>
          </w:tcPr>
          <w:p w14:paraId="0ED7F7A3"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350-400</w:t>
            </w:r>
          </w:p>
        </w:tc>
        <w:tc>
          <w:tcPr>
            <w:tcW w:w="857" w:type="dxa"/>
            <w:tcBorders>
              <w:right w:val="single" w:sz="12" w:space="0" w:color="auto"/>
            </w:tcBorders>
            <w:shd w:val="clear" w:color="auto" w:fill="auto"/>
            <w:vAlign w:val="center"/>
          </w:tcPr>
          <w:p w14:paraId="0E43EC07" w14:textId="77777777" w:rsidR="00605FD4" w:rsidRPr="00FE7D4D" w:rsidRDefault="00605FD4" w:rsidP="00E33E51">
            <w:pPr>
              <w:jc w:val="center"/>
              <w:rPr>
                <w:rFonts w:cs="Times New Roman"/>
                <w:sz w:val="20"/>
                <w:szCs w:val="20"/>
                <w:lang w:bidi="fa-IR"/>
              </w:rPr>
            </w:pPr>
            <w:r w:rsidRPr="00FE7D4D">
              <w:rPr>
                <w:rFonts w:cs="Times New Roman"/>
                <w:sz w:val="20"/>
                <w:szCs w:val="20"/>
              </w:rPr>
              <w:t>0.0058</w:t>
            </w:r>
          </w:p>
        </w:tc>
        <w:tc>
          <w:tcPr>
            <w:tcW w:w="1213" w:type="dxa"/>
            <w:tcBorders>
              <w:left w:val="single" w:sz="12" w:space="0" w:color="auto"/>
            </w:tcBorders>
            <w:shd w:val="clear" w:color="auto" w:fill="auto"/>
            <w:vAlign w:val="center"/>
          </w:tcPr>
          <w:p w14:paraId="5EC28AC7"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420-480</w:t>
            </w:r>
          </w:p>
        </w:tc>
        <w:tc>
          <w:tcPr>
            <w:tcW w:w="905" w:type="dxa"/>
            <w:tcBorders>
              <w:right w:val="single" w:sz="12" w:space="0" w:color="auto"/>
            </w:tcBorders>
            <w:shd w:val="clear" w:color="auto" w:fill="auto"/>
            <w:vAlign w:val="center"/>
          </w:tcPr>
          <w:p w14:paraId="6852E402" w14:textId="77777777" w:rsidR="00605FD4" w:rsidRPr="00FE7D4D" w:rsidRDefault="00605FD4" w:rsidP="00E33E51">
            <w:pPr>
              <w:jc w:val="center"/>
              <w:rPr>
                <w:rFonts w:cs="Times New Roman"/>
                <w:sz w:val="20"/>
                <w:szCs w:val="20"/>
                <w:lang w:bidi="fa-IR"/>
              </w:rPr>
            </w:pPr>
            <w:r w:rsidRPr="00FE7D4D">
              <w:rPr>
                <w:rFonts w:cs="Times New Roman"/>
                <w:sz w:val="20"/>
                <w:szCs w:val="20"/>
              </w:rPr>
              <w:t>0.0120</w:t>
            </w:r>
          </w:p>
        </w:tc>
        <w:tc>
          <w:tcPr>
            <w:tcW w:w="1255" w:type="dxa"/>
            <w:tcBorders>
              <w:left w:val="single" w:sz="12" w:space="0" w:color="auto"/>
            </w:tcBorders>
            <w:shd w:val="clear" w:color="auto" w:fill="auto"/>
            <w:vAlign w:val="center"/>
          </w:tcPr>
          <w:p w14:paraId="4F021A42"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420-480</w:t>
            </w:r>
          </w:p>
        </w:tc>
        <w:tc>
          <w:tcPr>
            <w:tcW w:w="863" w:type="dxa"/>
            <w:tcBorders>
              <w:right w:val="single" w:sz="12" w:space="0" w:color="auto"/>
            </w:tcBorders>
            <w:shd w:val="clear" w:color="auto" w:fill="auto"/>
            <w:vAlign w:val="center"/>
          </w:tcPr>
          <w:p w14:paraId="1EB647A5" w14:textId="77777777" w:rsidR="00605FD4" w:rsidRPr="00FE7D4D" w:rsidRDefault="00605FD4" w:rsidP="00E33E51">
            <w:pPr>
              <w:jc w:val="center"/>
              <w:rPr>
                <w:rFonts w:cs="Times New Roman"/>
                <w:sz w:val="20"/>
                <w:szCs w:val="20"/>
                <w:lang w:bidi="fa-IR"/>
              </w:rPr>
            </w:pPr>
            <w:r w:rsidRPr="00FE7D4D">
              <w:rPr>
                <w:sz w:val="20"/>
                <w:szCs w:val="20"/>
              </w:rPr>
              <w:t>0.0054</w:t>
            </w:r>
          </w:p>
        </w:tc>
        <w:tc>
          <w:tcPr>
            <w:tcW w:w="1297" w:type="dxa"/>
            <w:vMerge/>
            <w:tcBorders>
              <w:left w:val="single" w:sz="12" w:space="0" w:color="auto"/>
            </w:tcBorders>
            <w:shd w:val="clear" w:color="auto" w:fill="auto"/>
            <w:vAlign w:val="center"/>
          </w:tcPr>
          <w:p w14:paraId="51E74D79"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3193EE34" w14:textId="77777777" w:rsidR="00605FD4" w:rsidRPr="00FE7D4D" w:rsidRDefault="00605FD4" w:rsidP="00E33E51">
            <w:pPr>
              <w:jc w:val="center"/>
              <w:rPr>
                <w:rFonts w:cs="Times New Roman"/>
                <w:b/>
                <w:bCs/>
                <w:sz w:val="20"/>
                <w:szCs w:val="20"/>
                <w:lang w:bidi="fa-IR"/>
              </w:rPr>
            </w:pPr>
          </w:p>
        </w:tc>
      </w:tr>
      <w:tr w:rsidR="00605FD4" w:rsidRPr="00FE7D4D" w14:paraId="08362ACF" w14:textId="77777777" w:rsidTr="00E33E51">
        <w:tc>
          <w:tcPr>
            <w:tcW w:w="894" w:type="dxa"/>
            <w:tcBorders>
              <w:right w:val="single" w:sz="12" w:space="0" w:color="auto"/>
            </w:tcBorders>
            <w:shd w:val="clear" w:color="auto" w:fill="auto"/>
            <w:vAlign w:val="center"/>
          </w:tcPr>
          <w:p w14:paraId="36B9F6AB" w14:textId="77777777" w:rsidR="00605FD4" w:rsidRPr="00FE7D4D" w:rsidRDefault="00605FD4" w:rsidP="00E33E51">
            <w:pPr>
              <w:jc w:val="center"/>
              <w:rPr>
                <w:rFonts w:cs="Times New Roman"/>
                <w:sz w:val="20"/>
                <w:szCs w:val="20"/>
                <w:lang w:bidi="fa-IR"/>
              </w:rPr>
            </w:pPr>
            <w:r w:rsidRPr="00FE7D4D">
              <w:rPr>
                <w:sz w:val="20"/>
                <w:szCs w:val="20"/>
              </w:rPr>
              <w:t>9</w:t>
            </w:r>
          </w:p>
        </w:tc>
        <w:tc>
          <w:tcPr>
            <w:tcW w:w="1261" w:type="dxa"/>
            <w:tcBorders>
              <w:left w:val="single" w:sz="12" w:space="0" w:color="auto"/>
            </w:tcBorders>
            <w:shd w:val="clear" w:color="auto" w:fill="auto"/>
            <w:vAlign w:val="center"/>
          </w:tcPr>
          <w:p w14:paraId="1738D1BE"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400-450</w:t>
            </w:r>
          </w:p>
        </w:tc>
        <w:tc>
          <w:tcPr>
            <w:tcW w:w="857" w:type="dxa"/>
            <w:tcBorders>
              <w:right w:val="single" w:sz="12" w:space="0" w:color="auto"/>
            </w:tcBorders>
            <w:shd w:val="clear" w:color="auto" w:fill="auto"/>
            <w:vAlign w:val="center"/>
          </w:tcPr>
          <w:p w14:paraId="79D334C5" w14:textId="77777777" w:rsidR="00605FD4" w:rsidRPr="00FE7D4D" w:rsidRDefault="00605FD4" w:rsidP="00E33E51">
            <w:pPr>
              <w:jc w:val="center"/>
              <w:rPr>
                <w:rFonts w:cs="Times New Roman"/>
                <w:sz w:val="20"/>
                <w:szCs w:val="20"/>
                <w:lang w:bidi="fa-IR"/>
              </w:rPr>
            </w:pPr>
            <w:r w:rsidRPr="00FE7D4D">
              <w:rPr>
                <w:rFonts w:cs="Times New Roman"/>
                <w:sz w:val="20"/>
                <w:szCs w:val="20"/>
              </w:rPr>
              <w:t>0.0068</w:t>
            </w:r>
          </w:p>
        </w:tc>
        <w:tc>
          <w:tcPr>
            <w:tcW w:w="1213" w:type="dxa"/>
            <w:tcBorders>
              <w:left w:val="single" w:sz="12" w:space="0" w:color="auto"/>
            </w:tcBorders>
            <w:shd w:val="clear" w:color="auto" w:fill="auto"/>
            <w:vAlign w:val="center"/>
          </w:tcPr>
          <w:p w14:paraId="369C6619"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480-540</w:t>
            </w:r>
          </w:p>
        </w:tc>
        <w:tc>
          <w:tcPr>
            <w:tcW w:w="905" w:type="dxa"/>
            <w:tcBorders>
              <w:right w:val="single" w:sz="12" w:space="0" w:color="auto"/>
            </w:tcBorders>
            <w:shd w:val="clear" w:color="auto" w:fill="auto"/>
            <w:vAlign w:val="center"/>
          </w:tcPr>
          <w:p w14:paraId="2905A2BA" w14:textId="77777777" w:rsidR="00605FD4" w:rsidRPr="00FE7D4D" w:rsidRDefault="00605FD4" w:rsidP="00E33E51">
            <w:pPr>
              <w:jc w:val="center"/>
              <w:rPr>
                <w:rFonts w:cs="Times New Roman"/>
                <w:sz w:val="20"/>
                <w:szCs w:val="20"/>
                <w:lang w:bidi="fa-IR"/>
              </w:rPr>
            </w:pPr>
            <w:r w:rsidRPr="00FE7D4D">
              <w:rPr>
                <w:rFonts w:cs="Times New Roman"/>
                <w:sz w:val="20"/>
                <w:szCs w:val="20"/>
              </w:rPr>
              <w:t>0.0120</w:t>
            </w:r>
          </w:p>
        </w:tc>
        <w:tc>
          <w:tcPr>
            <w:tcW w:w="1255" w:type="dxa"/>
            <w:tcBorders>
              <w:left w:val="single" w:sz="12" w:space="0" w:color="auto"/>
            </w:tcBorders>
            <w:shd w:val="clear" w:color="auto" w:fill="auto"/>
            <w:vAlign w:val="center"/>
          </w:tcPr>
          <w:p w14:paraId="584084A6"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480-540</w:t>
            </w:r>
          </w:p>
        </w:tc>
        <w:tc>
          <w:tcPr>
            <w:tcW w:w="863" w:type="dxa"/>
            <w:tcBorders>
              <w:right w:val="single" w:sz="12" w:space="0" w:color="auto"/>
            </w:tcBorders>
            <w:shd w:val="clear" w:color="auto" w:fill="auto"/>
            <w:vAlign w:val="center"/>
          </w:tcPr>
          <w:p w14:paraId="3E2DAE4B" w14:textId="77777777" w:rsidR="00605FD4" w:rsidRPr="00FE7D4D" w:rsidRDefault="00605FD4" w:rsidP="00E33E51">
            <w:pPr>
              <w:jc w:val="center"/>
              <w:rPr>
                <w:rFonts w:cs="Times New Roman"/>
                <w:sz w:val="20"/>
                <w:szCs w:val="20"/>
                <w:lang w:bidi="fa-IR"/>
              </w:rPr>
            </w:pPr>
            <w:r w:rsidRPr="00FE7D4D">
              <w:rPr>
                <w:sz w:val="20"/>
                <w:szCs w:val="20"/>
              </w:rPr>
              <w:t>0.0025</w:t>
            </w:r>
          </w:p>
        </w:tc>
        <w:tc>
          <w:tcPr>
            <w:tcW w:w="1297" w:type="dxa"/>
            <w:vMerge/>
            <w:tcBorders>
              <w:left w:val="single" w:sz="12" w:space="0" w:color="auto"/>
            </w:tcBorders>
            <w:shd w:val="clear" w:color="auto" w:fill="auto"/>
            <w:vAlign w:val="center"/>
          </w:tcPr>
          <w:p w14:paraId="798452DA"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646B6CB4" w14:textId="77777777" w:rsidR="00605FD4" w:rsidRPr="00FE7D4D" w:rsidRDefault="00605FD4" w:rsidP="00E33E51">
            <w:pPr>
              <w:jc w:val="center"/>
              <w:rPr>
                <w:rFonts w:cs="Times New Roman"/>
                <w:b/>
                <w:bCs/>
                <w:sz w:val="20"/>
                <w:szCs w:val="20"/>
                <w:lang w:bidi="fa-IR"/>
              </w:rPr>
            </w:pPr>
          </w:p>
        </w:tc>
      </w:tr>
      <w:tr w:rsidR="00605FD4" w:rsidRPr="00FE7D4D" w14:paraId="1D1C7D4C" w14:textId="77777777" w:rsidTr="00E33E51">
        <w:tc>
          <w:tcPr>
            <w:tcW w:w="894" w:type="dxa"/>
            <w:tcBorders>
              <w:right w:val="single" w:sz="12" w:space="0" w:color="auto"/>
            </w:tcBorders>
            <w:shd w:val="clear" w:color="auto" w:fill="auto"/>
            <w:vAlign w:val="center"/>
          </w:tcPr>
          <w:p w14:paraId="2114EC84" w14:textId="77777777" w:rsidR="00605FD4" w:rsidRPr="00FE7D4D" w:rsidRDefault="00605FD4" w:rsidP="00E33E51">
            <w:pPr>
              <w:jc w:val="center"/>
              <w:rPr>
                <w:rFonts w:cs="Times New Roman"/>
                <w:sz w:val="20"/>
                <w:szCs w:val="20"/>
                <w:lang w:bidi="fa-IR"/>
              </w:rPr>
            </w:pPr>
            <w:r w:rsidRPr="00FE7D4D">
              <w:rPr>
                <w:sz w:val="20"/>
                <w:szCs w:val="20"/>
              </w:rPr>
              <w:t>10</w:t>
            </w:r>
          </w:p>
        </w:tc>
        <w:tc>
          <w:tcPr>
            <w:tcW w:w="1261" w:type="dxa"/>
            <w:tcBorders>
              <w:left w:val="single" w:sz="12" w:space="0" w:color="auto"/>
            </w:tcBorders>
            <w:shd w:val="clear" w:color="auto" w:fill="auto"/>
            <w:vAlign w:val="center"/>
          </w:tcPr>
          <w:p w14:paraId="3AC248F6"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450-500</w:t>
            </w:r>
          </w:p>
        </w:tc>
        <w:tc>
          <w:tcPr>
            <w:tcW w:w="857" w:type="dxa"/>
            <w:tcBorders>
              <w:right w:val="single" w:sz="12" w:space="0" w:color="auto"/>
            </w:tcBorders>
            <w:shd w:val="clear" w:color="auto" w:fill="auto"/>
            <w:vAlign w:val="center"/>
          </w:tcPr>
          <w:p w14:paraId="4A75EA5F" w14:textId="77777777" w:rsidR="00605FD4" w:rsidRPr="00FE7D4D" w:rsidRDefault="00605FD4" w:rsidP="00E33E51">
            <w:pPr>
              <w:jc w:val="center"/>
              <w:rPr>
                <w:rFonts w:cs="Times New Roman"/>
                <w:sz w:val="20"/>
                <w:szCs w:val="20"/>
                <w:lang w:bidi="fa-IR"/>
              </w:rPr>
            </w:pPr>
            <w:r w:rsidRPr="00FE7D4D">
              <w:rPr>
                <w:rFonts w:cs="Times New Roman"/>
                <w:sz w:val="20"/>
                <w:szCs w:val="20"/>
              </w:rPr>
              <w:t>0.0125</w:t>
            </w:r>
          </w:p>
        </w:tc>
        <w:tc>
          <w:tcPr>
            <w:tcW w:w="1213" w:type="dxa"/>
            <w:tcBorders>
              <w:left w:val="single" w:sz="12" w:space="0" w:color="auto"/>
            </w:tcBorders>
            <w:shd w:val="clear" w:color="auto" w:fill="auto"/>
            <w:vAlign w:val="center"/>
          </w:tcPr>
          <w:p w14:paraId="28AD12A8"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540-600</w:t>
            </w:r>
          </w:p>
        </w:tc>
        <w:tc>
          <w:tcPr>
            <w:tcW w:w="905" w:type="dxa"/>
            <w:tcBorders>
              <w:right w:val="single" w:sz="12" w:space="0" w:color="auto"/>
            </w:tcBorders>
            <w:shd w:val="clear" w:color="auto" w:fill="auto"/>
            <w:vAlign w:val="center"/>
          </w:tcPr>
          <w:p w14:paraId="12B19033" w14:textId="77777777" w:rsidR="00605FD4" w:rsidRPr="00FE7D4D" w:rsidRDefault="00605FD4" w:rsidP="00E33E51">
            <w:pPr>
              <w:jc w:val="center"/>
              <w:rPr>
                <w:rFonts w:cs="Times New Roman"/>
                <w:sz w:val="20"/>
                <w:szCs w:val="20"/>
                <w:lang w:bidi="fa-IR"/>
              </w:rPr>
            </w:pPr>
            <w:r w:rsidRPr="00FE7D4D">
              <w:rPr>
                <w:rFonts w:cs="Times New Roman"/>
                <w:sz w:val="20"/>
                <w:szCs w:val="20"/>
              </w:rPr>
              <w:t>0.0120</w:t>
            </w:r>
          </w:p>
        </w:tc>
        <w:tc>
          <w:tcPr>
            <w:tcW w:w="1255" w:type="dxa"/>
            <w:tcBorders>
              <w:left w:val="single" w:sz="12" w:space="0" w:color="auto"/>
            </w:tcBorders>
            <w:shd w:val="clear" w:color="auto" w:fill="auto"/>
            <w:vAlign w:val="center"/>
          </w:tcPr>
          <w:p w14:paraId="40F5ADD9"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540-600</w:t>
            </w:r>
          </w:p>
        </w:tc>
        <w:tc>
          <w:tcPr>
            <w:tcW w:w="863" w:type="dxa"/>
            <w:tcBorders>
              <w:right w:val="single" w:sz="12" w:space="0" w:color="auto"/>
            </w:tcBorders>
            <w:shd w:val="clear" w:color="auto" w:fill="auto"/>
            <w:vAlign w:val="center"/>
          </w:tcPr>
          <w:p w14:paraId="2C1B35F3" w14:textId="77777777" w:rsidR="00605FD4" w:rsidRPr="00FE7D4D" w:rsidRDefault="00605FD4" w:rsidP="00E33E51">
            <w:pPr>
              <w:jc w:val="center"/>
              <w:rPr>
                <w:rFonts w:cs="Times New Roman"/>
                <w:sz w:val="20"/>
                <w:szCs w:val="20"/>
                <w:lang w:bidi="fa-IR"/>
              </w:rPr>
            </w:pPr>
            <w:r w:rsidRPr="00FE7D4D">
              <w:rPr>
                <w:sz w:val="20"/>
                <w:szCs w:val="20"/>
              </w:rPr>
              <w:t>0.0025</w:t>
            </w:r>
          </w:p>
        </w:tc>
        <w:tc>
          <w:tcPr>
            <w:tcW w:w="1297" w:type="dxa"/>
            <w:vMerge/>
            <w:tcBorders>
              <w:left w:val="single" w:sz="12" w:space="0" w:color="auto"/>
            </w:tcBorders>
            <w:shd w:val="clear" w:color="auto" w:fill="auto"/>
            <w:vAlign w:val="center"/>
          </w:tcPr>
          <w:p w14:paraId="2AF17622"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0C4DBB70" w14:textId="77777777" w:rsidR="00605FD4" w:rsidRPr="00FE7D4D" w:rsidRDefault="00605FD4" w:rsidP="00E33E51">
            <w:pPr>
              <w:jc w:val="center"/>
              <w:rPr>
                <w:rFonts w:cs="Times New Roman"/>
                <w:b/>
                <w:bCs/>
                <w:sz w:val="20"/>
                <w:szCs w:val="20"/>
                <w:lang w:bidi="fa-IR"/>
              </w:rPr>
            </w:pPr>
          </w:p>
        </w:tc>
      </w:tr>
      <w:tr w:rsidR="00605FD4" w:rsidRPr="00FE7D4D" w14:paraId="71026ECC" w14:textId="77777777" w:rsidTr="00E33E51">
        <w:tc>
          <w:tcPr>
            <w:tcW w:w="894" w:type="dxa"/>
            <w:tcBorders>
              <w:right w:val="single" w:sz="12" w:space="0" w:color="auto"/>
            </w:tcBorders>
            <w:shd w:val="clear" w:color="auto" w:fill="auto"/>
            <w:vAlign w:val="center"/>
          </w:tcPr>
          <w:p w14:paraId="68FF9CA1" w14:textId="77777777" w:rsidR="00605FD4" w:rsidRPr="00FE7D4D" w:rsidRDefault="00605FD4" w:rsidP="00E33E51">
            <w:pPr>
              <w:jc w:val="center"/>
              <w:rPr>
                <w:rFonts w:cs="Times New Roman"/>
                <w:sz w:val="20"/>
                <w:szCs w:val="20"/>
                <w:lang w:bidi="fa-IR"/>
              </w:rPr>
            </w:pPr>
            <w:r w:rsidRPr="00FE7D4D">
              <w:rPr>
                <w:sz w:val="20"/>
                <w:szCs w:val="20"/>
              </w:rPr>
              <w:t>11</w:t>
            </w:r>
          </w:p>
        </w:tc>
        <w:tc>
          <w:tcPr>
            <w:tcW w:w="1261" w:type="dxa"/>
            <w:tcBorders>
              <w:left w:val="single" w:sz="12" w:space="0" w:color="auto"/>
            </w:tcBorders>
            <w:shd w:val="clear" w:color="auto" w:fill="auto"/>
            <w:vAlign w:val="center"/>
          </w:tcPr>
          <w:p w14:paraId="3128CC64"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500-550</w:t>
            </w:r>
          </w:p>
        </w:tc>
        <w:tc>
          <w:tcPr>
            <w:tcW w:w="857" w:type="dxa"/>
            <w:tcBorders>
              <w:right w:val="single" w:sz="12" w:space="0" w:color="auto"/>
            </w:tcBorders>
            <w:shd w:val="clear" w:color="auto" w:fill="auto"/>
            <w:vAlign w:val="center"/>
          </w:tcPr>
          <w:p w14:paraId="0535F47E" w14:textId="77777777" w:rsidR="00605FD4" w:rsidRPr="00FE7D4D" w:rsidRDefault="00605FD4" w:rsidP="00E33E51">
            <w:pPr>
              <w:jc w:val="center"/>
              <w:rPr>
                <w:rFonts w:cs="Times New Roman"/>
                <w:sz w:val="20"/>
                <w:szCs w:val="20"/>
                <w:lang w:bidi="fa-IR"/>
              </w:rPr>
            </w:pPr>
            <w:r w:rsidRPr="00FE7D4D">
              <w:rPr>
                <w:rFonts w:cs="Times New Roman"/>
                <w:sz w:val="20"/>
                <w:szCs w:val="20"/>
              </w:rPr>
              <w:t>0.0125</w:t>
            </w:r>
          </w:p>
        </w:tc>
        <w:tc>
          <w:tcPr>
            <w:tcW w:w="1213" w:type="dxa"/>
            <w:tcBorders>
              <w:left w:val="single" w:sz="12" w:space="0" w:color="auto"/>
            </w:tcBorders>
            <w:shd w:val="clear" w:color="auto" w:fill="auto"/>
            <w:vAlign w:val="center"/>
          </w:tcPr>
          <w:p w14:paraId="01F1494A"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600-660</w:t>
            </w:r>
          </w:p>
        </w:tc>
        <w:tc>
          <w:tcPr>
            <w:tcW w:w="905" w:type="dxa"/>
            <w:tcBorders>
              <w:right w:val="single" w:sz="12" w:space="0" w:color="auto"/>
            </w:tcBorders>
            <w:shd w:val="clear" w:color="auto" w:fill="auto"/>
            <w:vAlign w:val="center"/>
          </w:tcPr>
          <w:p w14:paraId="20954240" w14:textId="77777777" w:rsidR="00605FD4" w:rsidRPr="00FE7D4D" w:rsidRDefault="00605FD4" w:rsidP="00E33E51">
            <w:pPr>
              <w:jc w:val="center"/>
              <w:rPr>
                <w:rFonts w:cs="Times New Roman"/>
                <w:sz w:val="20"/>
                <w:szCs w:val="20"/>
                <w:lang w:bidi="fa-IR"/>
              </w:rPr>
            </w:pPr>
            <w:r w:rsidRPr="00FE7D4D">
              <w:rPr>
                <w:rFonts w:cs="Times New Roman"/>
                <w:sz w:val="20"/>
                <w:szCs w:val="20"/>
              </w:rPr>
              <w:t>0.0090</w:t>
            </w:r>
          </w:p>
        </w:tc>
        <w:tc>
          <w:tcPr>
            <w:tcW w:w="1255" w:type="dxa"/>
            <w:tcBorders>
              <w:left w:val="single" w:sz="12" w:space="0" w:color="auto"/>
            </w:tcBorders>
            <w:shd w:val="clear" w:color="auto" w:fill="auto"/>
            <w:vAlign w:val="center"/>
          </w:tcPr>
          <w:p w14:paraId="191B44BB"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600-660</w:t>
            </w:r>
          </w:p>
        </w:tc>
        <w:tc>
          <w:tcPr>
            <w:tcW w:w="863" w:type="dxa"/>
            <w:tcBorders>
              <w:right w:val="single" w:sz="12" w:space="0" w:color="auto"/>
            </w:tcBorders>
            <w:shd w:val="clear" w:color="auto" w:fill="auto"/>
            <w:vAlign w:val="center"/>
          </w:tcPr>
          <w:p w14:paraId="46287C3F" w14:textId="77777777" w:rsidR="00605FD4" w:rsidRPr="00FE7D4D" w:rsidRDefault="00605FD4" w:rsidP="00E33E51">
            <w:pPr>
              <w:jc w:val="center"/>
              <w:rPr>
                <w:rFonts w:cs="Times New Roman"/>
                <w:sz w:val="20"/>
                <w:szCs w:val="20"/>
                <w:lang w:bidi="fa-IR"/>
              </w:rPr>
            </w:pPr>
            <w:r w:rsidRPr="00FE7D4D">
              <w:rPr>
                <w:sz w:val="20"/>
                <w:szCs w:val="20"/>
              </w:rPr>
              <w:t>0.0025</w:t>
            </w:r>
          </w:p>
        </w:tc>
        <w:tc>
          <w:tcPr>
            <w:tcW w:w="1297" w:type="dxa"/>
            <w:vMerge/>
            <w:tcBorders>
              <w:left w:val="single" w:sz="12" w:space="0" w:color="auto"/>
            </w:tcBorders>
            <w:shd w:val="clear" w:color="auto" w:fill="auto"/>
            <w:vAlign w:val="center"/>
          </w:tcPr>
          <w:p w14:paraId="1A334D36"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3D25DFAB" w14:textId="77777777" w:rsidR="00605FD4" w:rsidRPr="00FE7D4D" w:rsidRDefault="00605FD4" w:rsidP="00E33E51">
            <w:pPr>
              <w:jc w:val="center"/>
              <w:rPr>
                <w:rFonts w:cs="Times New Roman"/>
                <w:b/>
                <w:bCs/>
                <w:sz w:val="20"/>
                <w:szCs w:val="20"/>
                <w:lang w:bidi="fa-IR"/>
              </w:rPr>
            </w:pPr>
          </w:p>
        </w:tc>
      </w:tr>
      <w:tr w:rsidR="00605FD4" w:rsidRPr="00FE7D4D" w14:paraId="46CA3D5F" w14:textId="77777777" w:rsidTr="00E33E51">
        <w:tc>
          <w:tcPr>
            <w:tcW w:w="894" w:type="dxa"/>
            <w:tcBorders>
              <w:right w:val="single" w:sz="12" w:space="0" w:color="auto"/>
            </w:tcBorders>
            <w:shd w:val="clear" w:color="auto" w:fill="auto"/>
            <w:vAlign w:val="center"/>
          </w:tcPr>
          <w:p w14:paraId="0561737C" w14:textId="77777777" w:rsidR="00605FD4" w:rsidRPr="00FE7D4D" w:rsidRDefault="00605FD4" w:rsidP="00E33E51">
            <w:pPr>
              <w:jc w:val="center"/>
              <w:rPr>
                <w:rFonts w:cs="Times New Roman"/>
                <w:sz w:val="20"/>
                <w:szCs w:val="20"/>
                <w:lang w:bidi="fa-IR"/>
              </w:rPr>
            </w:pPr>
            <w:r w:rsidRPr="00FE7D4D">
              <w:rPr>
                <w:sz w:val="20"/>
                <w:szCs w:val="20"/>
              </w:rPr>
              <w:t>12</w:t>
            </w:r>
          </w:p>
        </w:tc>
        <w:tc>
          <w:tcPr>
            <w:tcW w:w="1261" w:type="dxa"/>
            <w:tcBorders>
              <w:left w:val="single" w:sz="12" w:space="0" w:color="auto"/>
            </w:tcBorders>
            <w:shd w:val="clear" w:color="auto" w:fill="auto"/>
            <w:vAlign w:val="center"/>
          </w:tcPr>
          <w:p w14:paraId="06981AC4"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550-600</w:t>
            </w:r>
          </w:p>
        </w:tc>
        <w:tc>
          <w:tcPr>
            <w:tcW w:w="857" w:type="dxa"/>
            <w:tcBorders>
              <w:right w:val="single" w:sz="12" w:space="0" w:color="auto"/>
            </w:tcBorders>
            <w:shd w:val="clear" w:color="auto" w:fill="auto"/>
            <w:vAlign w:val="center"/>
          </w:tcPr>
          <w:p w14:paraId="144785F5" w14:textId="77777777" w:rsidR="00605FD4" w:rsidRPr="00FE7D4D" w:rsidRDefault="00605FD4" w:rsidP="00E33E51">
            <w:pPr>
              <w:jc w:val="center"/>
              <w:rPr>
                <w:rFonts w:cs="Times New Roman"/>
                <w:sz w:val="20"/>
                <w:szCs w:val="20"/>
                <w:lang w:bidi="fa-IR"/>
              </w:rPr>
            </w:pPr>
            <w:r w:rsidRPr="00FE7D4D">
              <w:rPr>
                <w:rFonts w:cs="Times New Roman"/>
                <w:sz w:val="20"/>
                <w:szCs w:val="20"/>
              </w:rPr>
              <w:t>0.0200</w:t>
            </w:r>
          </w:p>
        </w:tc>
        <w:tc>
          <w:tcPr>
            <w:tcW w:w="1213" w:type="dxa"/>
            <w:tcBorders>
              <w:left w:val="single" w:sz="12" w:space="0" w:color="auto"/>
            </w:tcBorders>
            <w:shd w:val="clear" w:color="auto" w:fill="auto"/>
            <w:vAlign w:val="center"/>
          </w:tcPr>
          <w:p w14:paraId="16EAB6B0"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660-720</w:t>
            </w:r>
          </w:p>
        </w:tc>
        <w:tc>
          <w:tcPr>
            <w:tcW w:w="905" w:type="dxa"/>
            <w:tcBorders>
              <w:right w:val="single" w:sz="12" w:space="0" w:color="auto"/>
            </w:tcBorders>
            <w:shd w:val="clear" w:color="auto" w:fill="auto"/>
            <w:vAlign w:val="center"/>
          </w:tcPr>
          <w:p w14:paraId="456F37A2" w14:textId="77777777" w:rsidR="00605FD4" w:rsidRPr="00FE7D4D" w:rsidRDefault="00605FD4" w:rsidP="00E33E51">
            <w:pPr>
              <w:jc w:val="center"/>
              <w:rPr>
                <w:rFonts w:cs="Times New Roman"/>
                <w:sz w:val="20"/>
                <w:szCs w:val="20"/>
                <w:lang w:bidi="fa-IR"/>
              </w:rPr>
            </w:pPr>
            <w:r w:rsidRPr="00FE7D4D">
              <w:rPr>
                <w:rFonts w:cs="Times New Roman"/>
                <w:sz w:val="20"/>
                <w:szCs w:val="20"/>
              </w:rPr>
              <w:t>0.0048</w:t>
            </w:r>
          </w:p>
        </w:tc>
        <w:tc>
          <w:tcPr>
            <w:tcW w:w="1255" w:type="dxa"/>
            <w:tcBorders>
              <w:left w:val="single" w:sz="12" w:space="0" w:color="auto"/>
            </w:tcBorders>
            <w:shd w:val="clear" w:color="auto" w:fill="auto"/>
            <w:vAlign w:val="center"/>
          </w:tcPr>
          <w:p w14:paraId="56B61672"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660-720</w:t>
            </w:r>
          </w:p>
        </w:tc>
        <w:tc>
          <w:tcPr>
            <w:tcW w:w="863" w:type="dxa"/>
            <w:tcBorders>
              <w:right w:val="single" w:sz="12" w:space="0" w:color="auto"/>
            </w:tcBorders>
            <w:shd w:val="clear" w:color="auto" w:fill="auto"/>
            <w:vAlign w:val="center"/>
          </w:tcPr>
          <w:p w14:paraId="2287F007" w14:textId="77777777" w:rsidR="00605FD4" w:rsidRPr="00FE7D4D" w:rsidRDefault="00605FD4" w:rsidP="00E33E51">
            <w:pPr>
              <w:jc w:val="center"/>
              <w:rPr>
                <w:rFonts w:cs="Times New Roman"/>
                <w:sz w:val="20"/>
                <w:szCs w:val="20"/>
                <w:lang w:bidi="fa-IR"/>
              </w:rPr>
            </w:pPr>
            <w:r w:rsidRPr="00FE7D4D">
              <w:rPr>
                <w:sz w:val="20"/>
                <w:szCs w:val="20"/>
              </w:rPr>
              <w:t>0.0025</w:t>
            </w:r>
          </w:p>
        </w:tc>
        <w:tc>
          <w:tcPr>
            <w:tcW w:w="1297" w:type="dxa"/>
            <w:vMerge/>
            <w:tcBorders>
              <w:left w:val="single" w:sz="12" w:space="0" w:color="auto"/>
            </w:tcBorders>
            <w:shd w:val="clear" w:color="auto" w:fill="auto"/>
            <w:vAlign w:val="center"/>
          </w:tcPr>
          <w:p w14:paraId="54100380"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05631FDE" w14:textId="77777777" w:rsidR="00605FD4" w:rsidRPr="00FE7D4D" w:rsidRDefault="00605FD4" w:rsidP="00E33E51">
            <w:pPr>
              <w:jc w:val="center"/>
              <w:rPr>
                <w:rFonts w:cs="Times New Roman"/>
                <w:b/>
                <w:bCs/>
                <w:sz w:val="20"/>
                <w:szCs w:val="20"/>
                <w:lang w:bidi="fa-IR"/>
              </w:rPr>
            </w:pPr>
          </w:p>
        </w:tc>
      </w:tr>
      <w:tr w:rsidR="00605FD4" w:rsidRPr="00FE7D4D" w14:paraId="6EB95925" w14:textId="77777777" w:rsidTr="00E33E51">
        <w:tc>
          <w:tcPr>
            <w:tcW w:w="894" w:type="dxa"/>
            <w:tcBorders>
              <w:right w:val="single" w:sz="12" w:space="0" w:color="auto"/>
            </w:tcBorders>
            <w:shd w:val="clear" w:color="auto" w:fill="auto"/>
            <w:vAlign w:val="center"/>
          </w:tcPr>
          <w:p w14:paraId="57A1486A" w14:textId="77777777" w:rsidR="00605FD4" w:rsidRPr="00FE7D4D" w:rsidRDefault="00605FD4" w:rsidP="00E33E51">
            <w:pPr>
              <w:jc w:val="center"/>
              <w:rPr>
                <w:rFonts w:cs="Times New Roman"/>
                <w:sz w:val="20"/>
                <w:szCs w:val="20"/>
                <w:lang w:bidi="fa-IR"/>
              </w:rPr>
            </w:pPr>
            <w:r w:rsidRPr="00FE7D4D">
              <w:rPr>
                <w:sz w:val="20"/>
                <w:szCs w:val="20"/>
              </w:rPr>
              <w:t>13</w:t>
            </w:r>
          </w:p>
        </w:tc>
        <w:tc>
          <w:tcPr>
            <w:tcW w:w="1261" w:type="dxa"/>
            <w:tcBorders>
              <w:left w:val="single" w:sz="12" w:space="0" w:color="auto"/>
            </w:tcBorders>
            <w:shd w:val="clear" w:color="auto" w:fill="auto"/>
            <w:vAlign w:val="center"/>
          </w:tcPr>
          <w:p w14:paraId="616401B8"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600-650</w:t>
            </w:r>
          </w:p>
        </w:tc>
        <w:tc>
          <w:tcPr>
            <w:tcW w:w="857" w:type="dxa"/>
            <w:tcBorders>
              <w:right w:val="single" w:sz="12" w:space="0" w:color="auto"/>
            </w:tcBorders>
            <w:shd w:val="clear" w:color="auto" w:fill="auto"/>
            <w:vAlign w:val="center"/>
          </w:tcPr>
          <w:p w14:paraId="54A2C94F" w14:textId="77777777" w:rsidR="00605FD4" w:rsidRPr="00FE7D4D" w:rsidRDefault="00605FD4" w:rsidP="00E33E51">
            <w:pPr>
              <w:jc w:val="center"/>
              <w:rPr>
                <w:rFonts w:cs="Times New Roman"/>
                <w:sz w:val="20"/>
                <w:szCs w:val="20"/>
                <w:lang w:bidi="fa-IR"/>
              </w:rPr>
            </w:pPr>
            <w:r w:rsidRPr="00FE7D4D">
              <w:rPr>
                <w:rFonts w:cs="Times New Roman"/>
                <w:sz w:val="20"/>
                <w:szCs w:val="20"/>
              </w:rPr>
              <w:t>0.0300</w:t>
            </w:r>
          </w:p>
        </w:tc>
        <w:tc>
          <w:tcPr>
            <w:tcW w:w="1213" w:type="dxa"/>
            <w:tcBorders>
              <w:left w:val="single" w:sz="12" w:space="0" w:color="auto"/>
            </w:tcBorders>
            <w:shd w:val="clear" w:color="auto" w:fill="auto"/>
            <w:vAlign w:val="center"/>
          </w:tcPr>
          <w:p w14:paraId="0411B0E6"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720-780</w:t>
            </w:r>
          </w:p>
        </w:tc>
        <w:tc>
          <w:tcPr>
            <w:tcW w:w="905" w:type="dxa"/>
            <w:tcBorders>
              <w:right w:val="single" w:sz="12" w:space="0" w:color="auto"/>
            </w:tcBorders>
            <w:shd w:val="clear" w:color="auto" w:fill="auto"/>
            <w:vAlign w:val="center"/>
          </w:tcPr>
          <w:p w14:paraId="35BC08D3" w14:textId="77777777" w:rsidR="00605FD4" w:rsidRPr="00FE7D4D" w:rsidRDefault="00605FD4" w:rsidP="00E33E51">
            <w:pPr>
              <w:jc w:val="center"/>
              <w:rPr>
                <w:rFonts w:cs="Times New Roman"/>
                <w:sz w:val="20"/>
                <w:szCs w:val="20"/>
                <w:lang w:bidi="fa-IR"/>
              </w:rPr>
            </w:pPr>
            <w:r w:rsidRPr="00FE7D4D">
              <w:rPr>
                <w:rFonts w:cs="Times New Roman"/>
                <w:sz w:val="20"/>
                <w:szCs w:val="20"/>
              </w:rPr>
              <w:t>0.0030</w:t>
            </w:r>
          </w:p>
        </w:tc>
        <w:tc>
          <w:tcPr>
            <w:tcW w:w="1255" w:type="dxa"/>
            <w:tcBorders>
              <w:left w:val="single" w:sz="12" w:space="0" w:color="auto"/>
            </w:tcBorders>
            <w:shd w:val="clear" w:color="auto" w:fill="auto"/>
            <w:vAlign w:val="center"/>
          </w:tcPr>
          <w:p w14:paraId="09AB5302"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720-780</w:t>
            </w:r>
          </w:p>
        </w:tc>
        <w:tc>
          <w:tcPr>
            <w:tcW w:w="863" w:type="dxa"/>
            <w:tcBorders>
              <w:right w:val="single" w:sz="12" w:space="0" w:color="auto"/>
            </w:tcBorders>
            <w:shd w:val="clear" w:color="auto" w:fill="auto"/>
          </w:tcPr>
          <w:p w14:paraId="0C9C2ABA"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97" w:type="dxa"/>
            <w:vMerge/>
            <w:tcBorders>
              <w:left w:val="single" w:sz="12" w:space="0" w:color="auto"/>
            </w:tcBorders>
            <w:shd w:val="clear" w:color="auto" w:fill="auto"/>
            <w:vAlign w:val="center"/>
          </w:tcPr>
          <w:p w14:paraId="5E1FE17C"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081A2991" w14:textId="77777777" w:rsidR="00605FD4" w:rsidRPr="00FE7D4D" w:rsidRDefault="00605FD4" w:rsidP="00E33E51">
            <w:pPr>
              <w:jc w:val="center"/>
              <w:rPr>
                <w:rFonts w:cs="Times New Roman"/>
                <w:b/>
                <w:bCs/>
                <w:sz w:val="20"/>
                <w:szCs w:val="20"/>
                <w:lang w:bidi="fa-IR"/>
              </w:rPr>
            </w:pPr>
          </w:p>
        </w:tc>
      </w:tr>
      <w:tr w:rsidR="00605FD4" w:rsidRPr="00FE7D4D" w14:paraId="6184E6CA" w14:textId="77777777" w:rsidTr="00E33E51">
        <w:tc>
          <w:tcPr>
            <w:tcW w:w="894" w:type="dxa"/>
            <w:tcBorders>
              <w:right w:val="single" w:sz="12" w:space="0" w:color="auto"/>
            </w:tcBorders>
            <w:shd w:val="clear" w:color="auto" w:fill="auto"/>
            <w:vAlign w:val="center"/>
          </w:tcPr>
          <w:p w14:paraId="579DC67E" w14:textId="77777777" w:rsidR="00605FD4" w:rsidRPr="00FE7D4D" w:rsidRDefault="00605FD4" w:rsidP="00E33E51">
            <w:pPr>
              <w:jc w:val="center"/>
              <w:rPr>
                <w:rFonts w:cs="Times New Roman"/>
                <w:sz w:val="20"/>
                <w:szCs w:val="20"/>
                <w:lang w:bidi="fa-IR"/>
              </w:rPr>
            </w:pPr>
            <w:r w:rsidRPr="00FE7D4D">
              <w:rPr>
                <w:sz w:val="20"/>
                <w:szCs w:val="20"/>
              </w:rPr>
              <w:t>14</w:t>
            </w:r>
          </w:p>
        </w:tc>
        <w:tc>
          <w:tcPr>
            <w:tcW w:w="1261" w:type="dxa"/>
            <w:tcBorders>
              <w:left w:val="single" w:sz="12" w:space="0" w:color="auto"/>
            </w:tcBorders>
            <w:shd w:val="clear" w:color="auto" w:fill="auto"/>
            <w:vAlign w:val="center"/>
          </w:tcPr>
          <w:p w14:paraId="5AD4B8E6"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650-700</w:t>
            </w:r>
          </w:p>
        </w:tc>
        <w:tc>
          <w:tcPr>
            <w:tcW w:w="857" w:type="dxa"/>
            <w:tcBorders>
              <w:right w:val="single" w:sz="12" w:space="0" w:color="auto"/>
            </w:tcBorders>
            <w:shd w:val="clear" w:color="auto" w:fill="auto"/>
            <w:vAlign w:val="center"/>
          </w:tcPr>
          <w:p w14:paraId="2DC62353" w14:textId="77777777" w:rsidR="00605FD4" w:rsidRPr="00FE7D4D" w:rsidRDefault="00605FD4" w:rsidP="00E33E51">
            <w:pPr>
              <w:jc w:val="center"/>
              <w:rPr>
                <w:rFonts w:cs="Times New Roman"/>
                <w:sz w:val="20"/>
                <w:szCs w:val="20"/>
                <w:lang w:bidi="fa-IR"/>
              </w:rPr>
            </w:pPr>
            <w:r w:rsidRPr="00FE7D4D">
              <w:rPr>
                <w:rFonts w:cs="Times New Roman"/>
                <w:sz w:val="20"/>
                <w:szCs w:val="20"/>
              </w:rPr>
              <w:t>0.0400</w:t>
            </w:r>
          </w:p>
        </w:tc>
        <w:tc>
          <w:tcPr>
            <w:tcW w:w="1213" w:type="dxa"/>
            <w:tcBorders>
              <w:left w:val="single" w:sz="12" w:space="0" w:color="auto"/>
            </w:tcBorders>
            <w:shd w:val="clear" w:color="auto" w:fill="auto"/>
            <w:vAlign w:val="center"/>
          </w:tcPr>
          <w:p w14:paraId="254603D7"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780-840</w:t>
            </w:r>
          </w:p>
        </w:tc>
        <w:tc>
          <w:tcPr>
            <w:tcW w:w="905" w:type="dxa"/>
            <w:tcBorders>
              <w:right w:val="single" w:sz="12" w:space="0" w:color="auto"/>
            </w:tcBorders>
            <w:shd w:val="clear" w:color="auto" w:fill="auto"/>
            <w:vAlign w:val="center"/>
          </w:tcPr>
          <w:p w14:paraId="0A0E1D09" w14:textId="77777777" w:rsidR="00605FD4" w:rsidRPr="00FE7D4D" w:rsidRDefault="00605FD4" w:rsidP="00E33E51">
            <w:pPr>
              <w:jc w:val="center"/>
              <w:rPr>
                <w:rFonts w:cs="Times New Roman"/>
                <w:sz w:val="20"/>
                <w:szCs w:val="20"/>
                <w:lang w:bidi="fa-IR"/>
              </w:rPr>
            </w:pPr>
            <w:r w:rsidRPr="00FE7D4D">
              <w:rPr>
                <w:rFonts w:cs="Times New Roman"/>
                <w:sz w:val="20"/>
                <w:szCs w:val="20"/>
              </w:rPr>
              <w:t>0.0018</w:t>
            </w:r>
          </w:p>
        </w:tc>
        <w:tc>
          <w:tcPr>
            <w:tcW w:w="1255" w:type="dxa"/>
            <w:tcBorders>
              <w:left w:val="single" w:sz="12" w:space="0" w:color="auto"/>
            </w:tcBorders>
            <w:shd w:val="clear" w:color="auto" w:fill="auto"/>
            <w:vAlign w:val="center"/>
          </w:tcPr>
          <w:p w14:paraId="5A7C9226"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780-840</w:t>
            </w:r>
          </w:p>
        </w:tc>
        <w:tc>
          <w:tcPr>
            <w:tcW w:w="863" w:type="dxa"/>
            <w:tcBorders>
              <w:right w:val="single" w:sz="12" w:space="0" w:color="auto"/>
            </w:tcBorders>
            <w:shd w:val="clear" w:color="auto" w:fill="auto"/>
          </w:tcPr>
          <w:p w14:paraId="77FF9843"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97" w:type="dxa"/>
            <w:vMerge/>
            <w:tcBorders>
              <w:left w:val="single" w:sz="12" w:space="0" w:color="auto"/>
            </w:tcBorders>
            <w:shd w:val="clear" w:color="auto" w:fill="auto"/>
            <w:vAlign w:val="center"/>
          </w:tcPr>
          <w:p w14:paraId="23814817"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31B756AD" w14:textId="77777777" w:rsidR="00605FD4" w:rsidRPr="00FE7D4D" w:rsidRDefault="00605FD4" w:rsidP="00E33E51">
            <w:pPr>
              <w:jc w:val="center"/>
              <w:rPr>
                <w:rFonts w:cs="Times New Roman"/>
                <w:b/>
                <w:bCs/>
                <w:sz w:val="20"/>
                <w:szCs w:val="20"/>
                <w:lang w:bidi="fa-IR"/>
              </w:rPr>
            </w:pPr>
          </w:p>
        </w:tc>
      </w:tr>
      <w:tr w:rsidR="00605FD4" w:rsidRPr="00FE7D4D" w14:paraId="1F1D8DA7" w14:textId="77777777" w:rsidTr="00E33E51">
        <w:tc>
          <w:tcPr>
            <w:tcW w:w="894" w:type="dxa"/>
            <w:tcBorders>
              <w:right w:val="single" w:sz="12" w:space="0" w:color="auto"/>
            </w:tcBorders>
            <w:shd w:val="clear" w:color="auto" w:fill="auto"/>
            <w:vAlign w:val="center"/>
          </w:tcPr>
          <w:p w14:paraId="4296B936" w14:textId="77777777" w:rsidR="00605FD4" w:rsidRPr="00FE7D4D" w:rsidRDefault="00605FD4" w:rsidP="00E33E51">
            <w:pPr>
              <w:jc w:val="center"/>
              <w:rPr>
                <w:rFonts w:cs="Times New Roman"/>
                <w:sz w:val="20"/>
                <w:szCs w:val="20"/>
                <w:lang w:bidi="fa-IR"/>
              </w:rPr>
            </w:pPr>
            <w:r w:rsidRPr="00FE7D4D">
              <w:rPr>
                <w:sz w:val="20"/>
                <w:szCs w:val="20"/>
              </w:rPr>
              <w:t>15</w:t>
            </w:r>
          </w:p>
        </w:tc>
        <w:tc>
          <w:tcPr>
            <w:tcW w:w="1261" w:type="dxa"/>
            <w:tcBorders>
              <w:left w:val="single" w:sz="12" w:space="0" w:color="auto"/>
            </w:tcBorders>
            <w:shd w:val="clear" w:color="auto" w:fill="auto"/>
            <w:vAlign w:val="center"/>
          </w:tcPr>
          <w:p w14:paraId="2B4C20B0"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700-750</w:t>
            </w:r>
          </w:p>
        </w:tc>
        <w:tc>
          <w:tcPr>
            <w:tcW w:w="857" w:type="dxa"/>
            <w:tcBorders>
              <w:right w:val="single" w:sz="12" w:space="0" w:color="auto"/>
            </w:tcBorders>
            <w:shd w:val="clear" w:color="auto" w:fill="auto"/>
            <w:vAlign w:val="center"/>
          </w:tcPr>
          <w:p w14:paraId="228ED223" w14:textId="77777777" w:rsidR="00605FD4" w:rsidRPr="00FE7D4D" w:rsidRDefault="00605FD4" w:rsidP="00E33E51">
            <w:pPr>
              <w:jc w:val="center"/>
              <w:rPr>
                <w:rFonts w:cs="Times New Roman"/>
                <w:sz w:val="20"/>
                <w:szCs w:val="20"/>
                <w:lang w:bidi="fa-IR"/>
              </w:rPr>
            </w:pPr>
            <w:r w:rsidRPr="00FE7D4D">
              <w:rPr>
                <w:rFonts w:cs="Times New Roman"/>
                <w:sz w:val="20"/>
                <w:szCs w:val="20"/>
              </w:rPr>
              <w:t>0.0500</w:t>
            </w:r>
          </w:p>
        </w:tc>
        <w:tc>
          <w:tcPr>
            <w:tcW w:w="1213" w:type="dxa"/>
            <w:tcBorders>
              <w:left w:val="single" w:sz="12" w:space="0" w:color="auto"/>
            </w:tcBorders>
            <w:shd w:val="clear" w:color="auto" w:fill="auto"/>
            <w:vAlign w:val="center"/>
          </w:tcPr>
          <w:p w14:paraId="5C204628"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840-900</w:t>
            </w:r>
          </w:p>
        </w:tc>
        <w:tc>
          <w:tcPr>
            <w:tcW w:w="905" w:type="dxa"/>
            <w:tcBorders>
              <w:right w:val="single" w:sz="12" w:space="0" w:color="auto"/>
            </w:tcBorders>
            <w:shd w:val="clear" w:color="auto" w:fill="auto"/>
            <w:vAlign w:val="center"/>
          </w:tcPr>
          <w:p w14:paraId="5D304445" w14:textId="77777777" w:rsidR="00605FD4" w:rsidRPr="00FE7D4D" w:rsidRDefault="00605FD4" w:rsidP="00E33E51">
            <w:pPr>
              <w:jc w:val="center"/>
              <w:rPr>
                <w:rFonts w:cs="Times New Roman"/>
                <w:sz w:val="20"/>
                <w:szCs w:val="20"/>
                <w:lang w:bidi="fa-IR"/>
              </w:rPr>
            </w:pPr>
            <w:r w:rsidRPr="00FE7D4D">
              <w:rPr>
                <w:rFonts w:cs="Times New Roman"/>
                <w:sz w:val="20"/>
                <w:szCs w:val="20"/>
              </w:rPr>
              <w:t>0.0018</w:t>
            </w:r>
          </w:p>
        </w:tc>
        <w:tc>
          <w:tcPr>
            <w:tcW w:w="1255" w:type="dxa"/>
            <w:tcBorders>
              <w:left w:val="single" w:sz="12" w:space="0" w:color="auto"/>
            </w:tcBorders>
            <w:shd w:val="clear" w:color="auto" w:fill="auto"/>
            <w:vAlign w:val="center"/>
          </w:tcPr>
          <w:p w14:paraId="1FB7FFCF"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840-900</w:t>
            </w:r>
          </w:p>
        </w:tc>
        <w:tc>
          <w:tcPr>
            <w:tcW w:w="863" w:type="dxa"/>
            <w:tcBorders>
              <w:right w:val="single" w:sz="12" w:space="0" w:color="auto"/>
            </w:tcBorders>
            <w:shd w:val="clear" w:color="auto" w:fill="auto"/>
          </w:tcPr>
          <w:p w14:paraId="70DD5B86"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97" w:type="dxa"/>
            <w:vMerge/>
            <w:tcBorders>
              <w:left w:val="single" w:sz="12" w:space="0" w:color="auto"/>
            </w:tcBorders>
            <w:shd w:val="clear" w:color="auto" w:fill="auto"/>
            <w:vAlign w:val="center"/>
          </w:tcPr>
          <w:p w14:paraId="770D0DC6"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4AD66CED" w14:textId="77777777" w:rsidR="00605FD4" w:rsidRPr="00FE7D4D" w:rsidRDefault="00605FD4" w:rsidP="00E33E51">
            <w:pPr>
              <w:jc w:val="center"/>
              <w:rPr>
                <w:rFonts w:cs="Times New Roman"/>
                <w:b/>
                <w:bCs/>
                <w:sz w:val="20"/>
                <w:szCs w:val="20"/>
                <w:lang w:bidi="fa-IR"/>
              </w:rPr>
            </w:pPr>
          </w:p>
        </w:tc>
      </w:tr>
      <w:tr w:rsidR="00605FD4" w:rsidRPr="00FE7D4D" w14:paraId="1281396B" w14:textId="77777777" w:rsidTr="00E33E51">
        <w:tc>
          <w:tcPr>
            <w:tcW w:w="894" w:type="dxa"/>
            <w:tcBorders>
              <w:right w:val="single" w:sz="12" w:space="0" w:color="auto"/>
            </w:tcBorders>
            <w:shd w:val="clear" w:color="auto" w:fill="auto"/>
            <w:vAlign w:val="center"/>
          </w:tcPr>
          <w:p w14:paraId="4BCFF312" w14:textId="77777777" w:rsidR="00605FD4" w:rsidRPr="00FE7D4D" w:rsidRDefault="00605FD4" w:rsidP="00E33E51">
            <w:pPr>
              <w:jc w:val="center"/>
              <w:rPr>
                <w:rFonts w:cs="Times New Roman"/>
                <w:sz w:val="20"/>
                <w:szCs w:val="20"/>
                <w:lang w:bidi="fa-IR"/>
              </w:rPr>
            </w:pPr>
            <w:r w:rsidRPr="00FE7D4D">
              <w:rPr>
                <w:sz w:val="20"/>
                <w:szCs w:val="20"/>
              </w:rPr>
              <w:t>16</w:t>
            </w:r>
          </w:p>
        </w:tc>
        <w:tc>
          <w:tcPr>
            <w:tcW w:w="1261" w:type="dxa"/>
            <w:tcBorders>
              <w:left w:val="single" w:sz="12" w:space="0" w:color="auto"/>
            </w:tcBorders>
            <w:shd w:val="clear" w:color="auto" w:fill="auto"/>
            <w:vAlign w:val="center"/>
          </w:tcPr>
          <w:p w14:paraId="03ACC43F"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750-800</w:t>
            </w:r>
          </w:p>
        </w:tc>
        <w:tc>
          <w:tcPr>
            <w:tcW w:w="857" w:type="dxa"/>
            <w:tcBorders>
              <w:right w:val="single" w:sz="12" w:space="0" w:color="auto"/>
            </w:tcBorders>
            <w:shd w:val="clear" w:color="auto" w:fill="auto"/>
            <w:vAlign w:val="center"/>
          </w:tcPr>
          <w:p w14:paraId="15F15C09" w14:textId="77777777" w:rsidR="00605FD4" w:rsidRPr="00FE7D4D" w:rsidRDefault="00605FD4" w:rsidP="00E33E51">
            <w:pPr>
              <w:jc w:val="center"/>
              <w:rPr>
                <w:rFonts w:cs="Times New Roman"/>
                <w:sz w:val="20"/>
                <w:szCs w:val="20"/>
                <w:lang w:bidi="fa-IR"/>
              </w:rPr>
            </w:pPr>
            <w:r w:rsidRPr="00FE7D4D">
              <w:rPr>
                <w:rFonts w:cs="Times New Roman"/>
                <w:sz w:val="20"/>
                <w:szCs w:val="20"/>
              </w:rPr>
              <w:t>0.0655</w:t>
            </w:r>
          </w:p>
        </w:tc>
        <w:tc>
          <w:tcPr>
            <w:tcW w:w="1213" w:type="dxa"/>
            <w:tcBorders>
              <w:left w:val="single" w:sz="12" w:space="0" w:color="auto"/>
            </w:tcBorders>
            <w:shd w:val="clear" w:color="auto" w:fill="auto"/>
            <w:vAlign w:val="center"/>
          </w:tcPr>
          <w:p w14:paraId="6764931E"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900-960</w:t>
            </w:r>
          </w:p>
        </w:tc>
        <w:tc>
          <w:tcPr>
            <w:tcW w:w="905" w:type="dxa"/>
            <w:tcBorders>
              <w:right w:val="single" w:sz="12" w:space="0" w:color="auto"/>
            </w:tcBorders>
            <w:shd w:val="clear" w:color="auto" w:fill="auto"/>
            <w:vAlign w:val="center"/>
          </w:tcPr>
          <w:p w14:paraId="186CDB8A" w14:textId="77777777" w:rsidR="00605FD4" w:rsidRPr="00FE7D4D" w:rsidRDefault="00605FD4" w:rsidP="00E33E51">
            <w:pPr>
              <w:jc w:val="center"/>
              <w:rPr>
                <w:rFonts w:cs="Times New Roman"/>
                <w:sz w:val="20"/>
                <w:szCs w:val="20"/>
                <w:lang w:bidi="fa-IR"/>
              </w:rPr>
            </w:pPr>
            <w:r w:rsidRPr="00FE7D4D">
              <w:rPr>
                <w:rFonts w:cs="Times New Roman"/>
                <w:sz w:val="20"/>
                <w:szCs w:val="20"/>
              </w:rPr>
              <w:t>0.0018</w:t>
            </w:r>
          </w:p>
        </w:tc>
        <w:tc>
          <w:tcPr>
            <w:tcW w:w="1255" w:type="dxa"/>
            <w:tcBorders>
              <w:left w:val="single" w:sz="12" w:space="0" w:color="auto"/>
            </w:tcBorders>
            <w:shd w:val="clear" w:color="auto" w:fill="auto"/>
            <w:vAlign w:val="center"/>
          </w:tcPr>
          <w:p w14:paraId="232EF75B"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900-960</w:t>
            </w:r>
          </w:p>
        </w:tc>
        <w:tc>
          <w:tcPr>
            <w:tcW w:w="863" w:type="dxa"/>
            <w:tcBorders>
              <w:right w:val="single" w:sz="12" w:space="0" w:color="auto"/>
            </w:tcBorders>
            <w:shd w:val="clear" w:color="auto" w:fill="auto"/>
          </w:tcPr>
          <w:p w14:paraId="5BD416B4"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97" w:type="dxa"/>
            <w:vMerge/>
            <w:tcBorders>
              <w:left w:val="single" w:sz="12" w:space="0" w:color="auto"/>
            </w:tcBorders>
            <w:shd w:val="clear" w:color="auto" w:fill="auto"/>
            <w:vAlign w:val="center"/>
          </w:tcPr>
          <w:p w14:paraId="7277DD84"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7B7A00E5" w14:textId="77777777" w:rsidR="00605FD4" w:rsidRPr="00FE7D4D" w:rsidRDefault="00605FD4" w:rsidP="00E33E51">
            <w:pPr>
              <w:jc w:val="center"/>
              <w:rPr>
                <w:rFonts w:cs="Times New Roman"/>
                <w:b/>
                <w:bCs/>
                <w:sz w:val="20"/>
                <w:szCs w:val="20"/>
                <w:lang w:bidi="fa-IR"/>
              </w:rPr>
            </w:pPr>
          </w:p>
        </w:tc>
      </w:tr>
      <w:tr w:rsidR="00605FD4" w:rsidRPr="00FE7D4D" w14:paraId="6A0A4048" w14:textId="77777777" w:rsidTr="00E33E51">
        <w:tc>
          <w:tcPr>
            <w:tcW w:w="894" w:type="dxa"/>
            <w:tcBorders>
              <w:right w:val="single" w:sz="12" w:space="0" w:color="auto"/>
            </w:tcBorders>
            <w:shd w:val="clear" w:color="auto" w:fill="auto"/>
            <w:vAlign w:val="center"/>
          </w:tcPr>
          <w:p w14:paraId="02848AD4" w14:textId="77777777" w:rsidR="00605FD4" w:rsidRPr="00FE7D4D" w:rsidRDefault="00605FD4" w:rsidP="00E33E51">
            <w:pPr>
              <w:jc w:val="center"/>
              <w:rPr>
                <w:rFonts w:cs="Times New Roman"/>
                <w:sz w:val="20"/>
                <w:szCs w:val="20"/>
                <w:lang w:bidi="fa-IR"/>
              </w:rPr>
            </w:pPr>
            <w:r w:rsidRPr="00FE7D4D">
              <w:rPr>
                <w:sz w:val="20"/>
                <w:szCs w:val="20"/>
              </w:rPr>
              <w:t>17</w:t>
            </w:r>
          </w:p>
        </w:tc>
        <w:tc>
          <w:tcPr>
            <w:tcW w:w="1261" w:type="dxa"/>
            <w:tcBorders>
              <w:left w:val="single" w:sz="12" w:space="0" w:color="auto"/>
            </w:tcBorders>
            <w:shd w:val="clear" w:color="auto" w:fill="auto"/>
            <w:vAlign w:val="center"/>
          </w:tcPr>
          <w:p w14:paraId="31CE8909"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800-850</w:t>
            </w:r>
          </w:p>
        </w:tc>
        <w:tc>
          <w:tcPr>
            <w:tcW w:w="857" w:type="dxa"/>
            <w:tcBorders>
              <w:right w:val="single" w:sz="12" w:space="0" w:color="auto"/>
            </w:tcBorders>
            <w:shd w:val="clear" w:color="auto" w:fill="auto"/>
            <w:vAlign w:val="center"/>
          </w:tcPr>
          <w:p w14:paraId="5B6BE394" w14:textId="77777777" w:rsidR="00605FD4" w:rsidRPr="00FE7D4D" w:rsidRDefault="00605FD4" w:rsidP="00E33E51">
            <w:pPr>
              <w:jc w:val="center"/>
              <w:rPr>
                <w:rFonts w:cs="Times New Roman"/>
                <w:sz w:val="20"/>
                <w:szCs w:val="20"/>
                <w:lang w:bidi="fa-IR"/>
              </w:rPr>
            </w:pPr>
            <w:r w:rsidRPr="00FE7D4D">
              <w:rPr>
                <w:rFonts w:cs="Times New Roman"/>
                <w:sz w:val="20"/>
                <w:szCs w:val="20"/>
              </w:rPr>
              <w:t>0.0655</w:t>
            </w:r>
          </w:p>
        </w:tc>
        <w:tc>
          <w:tcPr>
            <w:tcW w:w="1213" w:type="dxa"/>
            <w:tcBorders>
              <w:left w:val="single" w:sz="12" w:space="0" w:color="auto"/>
            </w:tcBorders>
            <w:shd w:val="clear" w:color="auto" w:fill="auto"/>
            <w:vAlign w:val="center"/>
          </w:tcPr>
          <w:p w14:paraId="55069648"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960-1020</w:t>
            </w:r>
          </w:p>
        </w:tc>
        <w:tc>
          <w:tcPr>
            <w:tcW w:w="905" w:type="dxa"/>
            <w:tcBorders>
              <w:right w:val="single" w:sz="12" w:space="0" w:color="auto"/>
            </w:tcBorders>
            <w:shd w:val="clear" w:color="auto" w:fill="auto"/>
            <w:vAlign w:val="center"/>
          </w:tcPr>
          <w:p w14:paraId="78C0291C"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55" w:type="dxa"/>
            <w:tcBorders>
              <w:left w:val="single" w:sz="12" w:space="0" w:color="auto"/>
            </w:tcBorders>
            <w:shd w:val="clear" w:color="auto" w:fill="auto"/>
            <w:vAlign w:val="center"/>
          </w:tcPr>
          <w:p w14:paraId="7EF61905"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960-1020</w:t>
            </w:r>
          </w:p>
        </w:tc>
        <w:tc>
          <w:tcPr>
            <w:tcW w:w="863" w:type="dxa"/>
            <w:tcBorders>
              <w:right w:val="single" w:sz="12" w:space="0" w:color="auto"/>
            </w:tcBorders>
            <w:shd w:val="clear" w:color="auto" w:fill="auto"/>
          </w:tcPr>
          <w:p w14:paraId="422ACCC7"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97" w:type="dxa"/>
            <w:vMerge/>
            <w:tcBorders>
              <w:left w:val="single" w:sz="12" w:space="0" w:color="auto"/>
            </w:tcBorders>
            <w:shd w:val="clear" w:color="auto" w:fill="auto"/>
            <w:vAlign w:val="center"/>
          </w:tcPr>
          <w:p w14:paraId="7EFEC0C9"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0E36DEB3" w14:textId="77777777" w:rsidR="00605FD4" w:rsidRPr="00FE7D4D" w:rsidRDefault="00605FD4" w:rsidP="00E33E51">
            <w:pPr>
              <w:jc w:val="center"/>
              <w:rPr>
                <w:rFonts w:cs="Times New Roman"/>
                <w:b/>
                <w:bCs/>
                <w:sz w:val="20"/>
                <w:szCs w:val="20"/>
                <w:lang w:bidi="fa-IR"/>
              </w:rPr>
            </w:pPr>
          </w:p>
        </w:tc>
      </w:tr>
      <w:tr w:rsidR="00605FD4" w:rsidRPr="00FE7D4D" w14:paraId="5C000B59" w14:textId="77777777" w:rsidTr="00E33E51">
        <w:tc>
          <w:tcPr>
            <w:tcW w:w="894" w:type="dxa"/>
            <w:tcBorders>
              <w:right w:val="single" w:sz="12" w:space="0" w:color="auto"/>
            </w:tcBorders>
            <w:shd w:val="clear" w:color="auto" w:fill="auto"/>
            <w:vAlign w:val="center"/>
          </w:tcPr>
          <w:p w14:paraId="26510065" w14:textId="77777777" w:rsidR="00605FD4" w:rsidRPr="00FE7D4D" w:rsidRDefault="00605FD4" w:rsidP="00E33E51">
            <w:pPr>
              <w:jc w:val="center"/>
              <w:rPr>
                <w:rFonts w:cs="Times New Roman"/>
                <w:sz w:val="20"/>
                <w:szCs w:val="20"/>
                <w:lang w:bidi="fa-IR"/>
              </w:rPr>
            </w:pPr>
            <w:r w:rsidRPr="00FE7D4D">
              <w:rPr>
                <w:sz w:val="20"/>
                <w:szCs w:val="20"/>
              </w:rPr>
              <w:t>18</w:t>
            </w:r>
          </w:p>
        </w:tc>
        <w:tc>
          <w:tcPr>
            <w:tcW w:w="1261" w:type="dxa"/>
            <w:tcBorders>
              <w:left w:val="single" w:sz="12" w:space="0" w:color="auto"/>
            </w:tcBorders>
            <w:shd w:val="clear" w:color="auto" w:fill="auto"/>
            <w:vAlign w:val="center"/>
          </w:tcPr>
          <w:p w14:paraId="0C88EE4C"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850-900</w:t>
            </w:r>
          </w:p>
        </w:tc>
        <w:tc>
          <w:tcPr>
            <w:tcW w:w="857" w:type="dxa"/>
            <w:tcBorders>
              <w:right w:val="single" w:sz="12" w:space="0" w:color="auto"/>
            </w:tcBorders>
            <w:shd w:val="clear" w:color="auto" w:fill="auto"/>
            <w:vAlign w:val="center"/>
          </w:tcPr>
          <w:p w14:paraId="7C2A97A6" w14:textId="77777777" w:rsidR="00605FD4" w:rsidRPr="00FE7D4D" w:rsidRDefault="00605FD4" w:rsidP="00E33E51">
            <w:pPr>
              <w:jc w:val="center"/>
              <w:rPr>
                <w:rFonts w:cs="Times New Roman"/>
                <w:sz w:val="20"/>
                <w:szCs w:val="20"/>
                <w:lang w:bidi="fa-IR"/>
              </w:rPr>
            </w:pPr>
            <w:r w:rsidRPr="00FE7D4D">
              <w:rPr>
                <w:rFonts w:cs="Times New Roman"/>
                <w:sz w:val="20"/>
                <w:szCs w:val="20"/>
              </w:rPr>
              <w:t>0.0675</w:t>
            </w:r>
          </w:p>
        </w:tc>
        <w:tc>
          <w:tcPr>
            <w:tcW w:w="1213" w:type="dxa"/>
            <w:tcBorders>
              <w:left w:val="single" w:sz="12" w:space="0" w:color="auto"/>
            </w:tcBorders>
            <w:shd w:val="clear" w:color="auto" w:fill="auto"/>
            <w:vAlign w:val="center"/>
          </w:tcPr>
          <w:p w14:paraId="0908A46F"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1020-1080</w:t>
            </w:r>
          </w:p>
        </w:tc>
        <w:tc>
          <w:tcPr>
            <w:tcW w:w="905" w:type="dxa"/>
            <w:tcBorders>
              <w:right w:val="single" w:sz="12" w:space="0" w:color="auto"/>
            </w:tcBorders>
            <w:shd w:val="clear" w:color="auto" w:fill="auto"/>
          </w:tcPr>
          <w:p w14:paraId="2B98E3CF"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55" w:type="dxa"/>
            <w:tcBorders>
              <w:left w:val="single" w:sz="12" w:space="0" w:color="auto"/>
            </w:tcBorders>
            <w:shd w:val="clear" w:color="auto" w:fill="auto"/>
            <w:vAlign w:val="center"/>
          </w:tcPr>
          <w:p w14:paraId="2368397E"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1020-1080</w:t>
            </w:r>
          </w:p>
        </w:tc>
        <w:tc>
          <w:tcPr>
            <w:tcW w:w="863" w:type="dxa"/>
            <w:tcBorders>
              <w:right w:val="single" w:sz="12" w:space="0" w:color="auto"/>
            </w:tcBorders>
            <w:shd w:val="clear" w:color="auto" w:fill="auto"/>
          </w:tcPr>
          <w:p w14:paraId="70726093"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97" w:type="dxa"/>
            <w:vMerge/>
            <w:tcBorders>
              <w:left w:val="single" w:sz="12" w:space="0" w:color="auto"/>
            </w:tcBorders>
            <w:shd w:val="clear" w:color="auto" w:fill="auto"/>
            <w:vAlign w:val="center"/>
          </w:tcPr>
          <w:p w14:paraId="6EEFE461"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04195C8C" w14:textId="77777777" w:rsidR="00605FD4" w:rsidRPr="00FE7D4D" w:rsidRDefault="00605FD4" w:rsidP="00E33E51">
            <w:pPr>
              <w:jc w:val="center"/>
              <w:rPr>
                <w:rFonts w:cs="Times New Roman"/>
                <w:b/>
                <w:bCs/>
                <w:sz w:val="20"/>
                <w:szCs w:val="20"/>
                <w:lang w:bidi="fa-IR"/>
              </w:rPr>
            </w:pPr>
          </w:p>
        </w:tc>
      </w:tr>
      <w:tr w:rsidR="00605FD4" w:rsidRPr="00FE7D4D" w14:paraId="2EA030E2" w14:textId="77777777" w:rsidTr="00E33E51">
        <w:tc>
          <w:tcPr>
            <w:tcW w:w="894" w:type="dxa"/>
            <w:tcBorders>
              <w:right w:val="single" w:sz="12" w:space="0" w:color="auto"/>
            </w:tcBorders>
            <w:shd w:val="clear" w:color="auto" w:fill="auto"/>
            <w:vAlign w:val="center"/>
          </w:tcPr>
          <w:p w14:paraId="08C040C8" w14:textId="77777777" w:rsidR="00605FD4" w:rsidRPr="00FE7D4D" w:rsidRDefault="00605FD4" w:rsidP="00E33E51">
            <w:pPr>
              <w:jc w:val="center"/>
              <w:rPr>
                <w:rFonts w:cs="Times New Roman"/>
                <w:sz w:val="20"/>
                <w:szCs w:val="20"/>
                <w:lang w:bidi="fa-IR"/>
              </w:rPr>
            </w:pPr>
            <w:r w:rsidRPr="00FE7D4D">
              <w:rPr>
                <w:sz w:val="20"/>
                <w:szCs w:val="20"/>
              </w:rPr>
              <w:t>19</w:t>
            </w:r>
          </w:p>
        </w:tc>
        <w:tc>
          <w:tcPr>
            <w:tcW w:w="1261" w:type="dxa"/>
            <w:tcBorders>
              <w:left w:val="single" w:sz="12" w:space="0" w:color="auto"/>
            </w:tcBorders>
            <w:shd w:val="clear" w:color="auto" w:fill="auto"/>
            <w:vAlign w:val="center"/>
          </w:tcPr>
          <w:p w14:paraId="5281FE44"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900-950</w:t>
            </w:r>
          </w:p>
        </w:tc>
        <w:tc>
          <w:tcPr>
            <w:tcW w:w="857" w:type="dxa"/>
            <w:tcBorders>
              <w:right w:val="single" w:sz="12" w:space="0" w:color="auto"/>
            </w:tcBorders>
            <w:shd w:val="clear" w:color="auto" w:fill="auto"/>
            <w:vAlign w:val="center"/>
          </w:tcPr>
          <w:p w14:paraId="600446BA" w14:textId="77777777" w:rsidR="00605FD4" w:rsidRPr="00FE7D4D" w:rsidRDefault="00605FD4" w:rsidP="00E33E51">
            <w:pPr>
              <w:jc w:val="center"/>
              <w:rPr>
                <w:rFonts w:cs="Times New Roman"/>
                <w:sz w:val="20"/>
                <w:szCs w:val="20"/>
                <w:lang w:bidi="fa-IR"/>
              </w:rPr>
            </w:pPr>
            <w:r w:rsidRPr="00FE7D4D">
              <w:rPr>
                <w:rFonts w:cs="Times New Roman"/>
                <w:sz w:val="20"/>
                <w:szCs w:val="20"/>
              </w:rPr>
              <w:t>0.0615</w:t>
            </w:r>
          </w:p>
        </w:tc>
        <w:tc>
          <w:tcPr>
            <w:tcW w:w="1213" w:type="dxa"/>
            <w:tcBorders>
              <w:left w:val="single" w:sz="12" w:space="0" w:color="auto"/>
            </w:tcBorders>
            <w:shd w:val="clear" w:color="auto" w:fill="auto"/>
            <w:vAlign w:val="center"/>
          </w:tcPr>
          <w:p w14:paraId="1F1A271D"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1080-1140</w:t>
            </w:r>
          </w:p>
        </w:tc>
        <w:tc>
          <w:tcPr>
            <w:tcW w:w="905" w:type="dxa"/>
            <w:tcBorders>
              <w:right w:val="single" w:sz="12" w:space="0" w:color="auto"/>
            </w:tcBorders>
            <w:shd w:val="clear" w:color="auto" w:fill="auto"/>
          </w:tcPr>
          <w:p w14:paraId="495B3955"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55" w:type="dxa"/>
            <w:tcBorders>
              <w:left w:val="single" w:sz="12" w:space="0" w:color="auto"/>
            </w:tcBorders>
            <w:shd w:val="clear" w:color="auto" w:fill="auto"/>
            <w:vAlign w:val="center"/>
          </w:tcPr>
          <w:p w14:paraId="4BB35BC1"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1080-1140</w:t>
            </w:r>
          </w:p>
        </w:tc>
        <w:tc>
          <w:tcPr>
            <w:tcW w:w="863" w:type="dxa"/>
            <w:tcBorders>
              <w:right w:val="single" w:sz="12" w:space="0" w:color="auto"/>
            </w:tcBorders>
            <w:shd w:val="clear" w:color="auto" w:fill="auto"/>
          </w:tcPr>
          <w:p w14:paraId="3AD3C7D7"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97" w:type="dxa"/>
            <w:vMerge/>
            <w:tcBorders>
              <w:left w:val="single" w:sz="12" w:space="0" w:color="auto"/>
            </w:tcBorders>
            <w:shd w:val="clear" w:color="auto" w:fill="auto"/>
            <w:vAlign w:val="center"/>
          </w:tcPr>
          <w:p w14:paraId="69A65CF1"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2E488196" w14:textId="77777777" w:rsidR="00605FD4" w:rsidRPr="00FE7D4D" w:rsidRDefault="00605FD4" w:rsidP="00E33E51">
            <w:pPr>
              <w:jc w:val="center"/>
              <w:rPr>
                <w:rFonts w:cs="Times New Roman"/>
                <w:b/>
                <w:bCs/>
                <w:sz w:val="20"/>
                <w:szCs w:val="20"/>
                <w:lang w:bidi="fa-IR"/>
              </w:rPr>
            </w:pPr>
          </w:p>
        </w:tc>
      </w:tr>
      <w:tr w:rsidR="00605FD4" w:rsidRPr="00FE7D4D" w14:paraId="75D56291" w14:textId="77777777" w:rsidTr="00E33E51">
        <w:tc>
          <w:tcPr>
            <w:tcW w:w="894" w:type="dxa"/>
            <w:tcBorders>
              <w:right w:val="single" w:sz="12" w:space="0" w:color="auto"/>
            </w:tcBorders>
            <w:shd w:val="clear" w:color="auto" w:fill="auto"/>
            <w:vAlign w:val="center"/>
          </w:tcPr>
          <w:p w14:paraId="52801C53" w14:textId="77777777" w:rsidR="00605FD4" w:rsidRPr="00FE7D4D" w:rsidRDefault="00605FD4" w:rsidP="00E33E51">
            <w:pPr>
              <w:jc w:val="center"/>
              <w:rPr>
                <w:rFonts w:cs="Times New Roman"/>
                <w:sz w:val="20"/>
                <w:szCs w:val="20"/>
                <w:lang w:bidi="fa-IR"/>
              </w:rPr>
            </w:pPr>
            <w:r w:rsidRPr="00FE7D4D">
              <w:rPr>
                <w:sz w:val="20"/>
                <w:szCs w:val="20"/>
              </w:rPr>
              <w:t>20</w:t>
            </w:r>
          </w:p>
        </w:tc>
        <w:tc>
          <w:tcPr>
            <w:tcW w:w="1261" w:type="dxa"/>
            <w:tcBorders>
              <w:left w:val="single" w:sz="12" w:space="0" w:color="auto"/>
            </w:tcBorders>
            <w:shd w:val="clear" w:color="auto" w:fill="auto"/>
            <w:vAlign w:val="center"/>
          </w:tcPr>
          <w:p w14:paraId="17CB8E45"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950-1000</w:t>
            </w:r>
          </w:p>
        </w:tc>
        <w:tc>
          <w:tcPr>
            <w:tcW w:w="857" w:type="dxa"/>
            <w:tcBorders>
              <w:right w:val="single" w:sz="12" w:space="0" w:color="auto"/>
            </w:tcBorders>
            <w:shd w:val="clear" w:color="auto" w:fill="auto"/>
            <w:vAlign w:val="center"/>
          </w:tcPr>
          <w:p w14:paraId="771DB90A" w14:textId="77777777" w:rsidR="00605FD4" w:rsidRPr="00FE7D4D" w:rsidRDefault="00605FD4" w:rsidP="00E33E51">
            <w:pPr>
              <w:jc w:val="center"/>
              <w:rPr>
                <w:rFonts w:cs="Times New Roman"/>
                <w:sz w:val="20"/>
                <w:szCs w:val="20"/>
                <w:lang w:bidi="fa-IR"/>
              </w:rPr>
            </w:pPr>
            <w:r w:rsidRPr="00FE7D4D">
              <w:rPr>
                <w:rFonts w:cs="Times New Roman"/>
                <w:sz w:val="20"/>
                <w:szCs w:val="20"/>
              </w:rPr>
              <w:t>0.0500</w:t>
            </w:r>
          </w:p>
        </w:tc>
        <w:tc>
          <w:tcPr>
            <w:tcW w:w="1213" w:type="dxa"/>
            <w:tcBorders>
              <w:left w:val="single" w:sz="12" w:space="0" w:color="auto"/>
            </w:tcBorders>
            <w:shd w:val="clear" w:color="auto" w:fill="auto"/>
            <w:vAlign w:val="center"/>
          </w:tcPr>
          <w:p w14:paraId="4A50BBE1"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1140-1200</w:t>
            </w:r>
          </w:p>
        </w:tc>
        <w:tc>
          <w:tcPr>
            <w:tcW w:w="905" w:type="dxa"/>
            <w:tcBorders>
              <w:right w:val="single" w:sz="12" w:space="0" w:color="auto"/>
            </w:tcBorders>
            <w:shd w:val="clear" w:color="auto" w:fill="auto"/>
          </w:tcPr>
          <w:p w14:paraId="16447B56"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55" w:type="dxa"/>
            <w:tcBorders>
              <w:left w:val="single" w:sz="12" w:space="0" w:color="auto"/>
            </w:tcBorders>
            <w:shd w:val="clear" w:color="auto" w:fill="auto"/>
            <w:vAlign w:val="center"/>
          </w:tcPr>
          <w:p w14:paraId="5C3C487D"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1140-1200</w:t>
            </w:r>
          </w:p>
        </w:tc>
        <w:tc>
          <w:tcPr>
            <w:tcW w:w="863" w:type="dxa"/>
            <w:tcBorders>
              <w:right w:val="single" w:sz="12" w:space="0" w:color="auto"/>
            </w:tcBorders>
            <w:shd w:val="clear" w:color="auto" w:fill="auto"/>
          </w:tcPr>
          <w:p w14:paraId="0FB5D0BC"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97" w:type="dxa"/>
            <w:vMerge/>
            <w:tcBorders>
              <w:left w:val="single" w:sz="12" w:space="0" w:color="auto"/>
            </w:tcBorders>
            <w:shd w:val="clear" w:color="auto" w:fill="auto"/>
            <w:vAlign w:val="center"/>
          </w:tcPr>
          <w:p w14:paraId="4D15704C"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4A81EFB2" w14:textId="77777777" w:rsidR="00605FD4" w:rsidRPr="00FE7D4D" w:rsidRDefault="00605FD4" w:rsidP="00E33E51">
            <w:pPr>
              <w:jc w:val="center"/>
              <w:rPr>
                <w:rFonts w:cs="Times New Roman"/>
                <w:b/>
                <w:bCs/>
                <w:sz w:val="20"/>
                <w:szCs w:val="20"/>
                <w:lang w:bidi="fa-IR"/>
              </w:rPr>
            </w:pPr>
          </w:p>
        </w:tc>
      </w:tr>
      <w:tr w:rsidR="00605FD4" w:rsidRPr="00FE7D4D" w14:paraId="33A0BB7E" w14:textId="77777777" w:rsidTr="00E33E51">
        <w:tc>
          <w:tcPr>
            <w:tcW w:w="894" w:type="dxa"/>
            <w:tcBorders>
              <w:right w:val="single" w:sz="12" w:space="0" w:color="auto"/>
            </w:tcBorders>
            <w:shd w:val="clear" w:color="auto" w:fill="auto"/>
            <w:vAlign w:val="center"/>
          </w:tcPr>
          <w:p w14:paraId="16334BE4" w14:textId="77777777" w:rsidR="00605FD4" w:rsidRPr="00FE7D4D" w:rsidRDefault="00605FD4" w:rsidP="00E33E51">
            <w:pPr>
              <w:jc w:val="center"/>
              <w:rPr>
                <w:rFonts w:cs="Times New Roman"/>
                <w:sz w:val="20"/>
                <w:szCs w:val="20"/>
                <w:lang w:bidi="fa-IR"/>
              </w:rPr>
            </w:pPr>
            <w:r w:rsidRPr="00FE7D4D">
              <w:rPr>
                <w:sz w:val="20"/>
                <w:szCs w:val="20"/>
              </w:rPr>
              <w:t>21</w:t>
            </w:r>
          </w:p>
        </w:tc>
        <w:tc>
          <w:tcPr>
            <w:tcW w:w="1261" w:type="dxa"/>
            <w:tcBorders>
              <w:left w:val="single" w:sz="12" w:space="0" w:color="auto"/>
            </w:tcBorders>
            <w:shd w:val="clear" w:color="auto" w:fill="auto"/>
            <w:vAlign w:val="center"/>
          </w:tcPr>
          <w:p w14:paraId="48F31D01"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1000-1050</w:t>
            </w:r>
          </w:p>
        </w:tc>
        <w:tc>
          <w:tcPr>
            <w:tcW w:w="857" w:type="dxa"/>
            <w:tcBorders>
              <w:right w:val="single" w:sz="12" w:space="0" w:color="auto"/>
            </w:tcBorders>
            <w:shd w:val="clear" w:color="auto" w:fill="auto"/>
            <w:vAlign w:val="center"/>
          </w:tcPr>
          <w:p w14:paraId="31AC8B87" w14:textId="77777777" w:rsidR="00605FD4" w:rsidRPr="00FE7D4D" w:rsidRDefault="00605FD4" w:rsidP="00E33E51">
            <w:pPr>
              <w:jc w:val="center"/>
              <w:rPr>
                <w:rFonts w:cs="Times New Roman"/>
                <w:sz w:val="20"/>
                <w:szCs w:val="20"/>
                <w:lang w:bidi="fa-IR"/>
              </w:rPr>
            </w:pPr>
            <w:r w:rsidRPr="00FE7D4D">
              <w:rPr>
                <w:rFonts w:cs="Times New Roman"/>
                <w:sz w:val="20"/>
                <w:szCs w:val="20"/>
              </w:rPr>
              <w:t>0.0450</w:t>
            </w:r>
          </w:p>
        </w:tc>
        <w:tc>
          <w:tcPr>
            <w:tcW w:w="1213" w:type="dxa"/>
            <w:tcBorders>
              <w:left w:val="single" w:sz="12" w:space="0" w:color="auto"/>
            </w:tcBorders>
            <w:shd w:val="clear" w:color="auto" w:fill="auto"/>
            <w:vAlign w:val="center"/>
          </w:tcPr>
          <w:p w14:paraId="43717D8E"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1200-1260</w:t>
            </w:r>
          </w:p>
        </w:tc>
        <w:tc>
          <w:tcPr>
            <w:tcW w:w="905" w:type="dxa"/>
            <w:tcBorders>
              <w:right w:val="single" w:sz="12" w:space="0" w:color="auto"/>
            </w:tcBorders>
            <w:shd w:val="clear" w:color="auto" w:fill="auto"/>
          </w:tcPr>
          <w:p w14:paraId="73EA7D4F"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55" w:type="dxa"/>
            <w:tcBorders>
              <w:left w:val="single" w:sz="12" w:space="0" w:color="auto"/>
            </w:tcBorders>
            <w:shd w:val="clear" w:color="auto" w:fill="auto"/>
            <w:vAlign w:val="center"/>
          </w:tcPr>
          <w:p w14:paraId="05D63FE8"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1200-1260</w:t>
            </w:r>
          </w:p>
        </w:tc>
        <w:tc>
          <w:tcPr>
            <w:tcW w:w="863" w:type="dxa"/>
            <w:tcBorders>
              <w:right w:val="single" w:sz="12" w:space="0" w:color="auto"/>
            </w:tcBorders>
            <w:shd w:val="clear" w:color="auto" w:fill="auto"/>
          </w:tcPr>
          <w:p w14:paraId="075E52AB"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97" w:type="dxa"/>
            <w:vMerge/>
            <w:tcBorders>
              <w:left w:val="single" w:sz="12" w:space="0" w:color="auto"/>
            </w:tcBorders>
            <w:shd w:val="clear" w:color="auto" w:fill="auto"/>
            <w:vAlign w:val="center"/>
          </w:tcPr>
          <w:p w14:paraId="4896241E"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42F45D01" w14:textId="77777777" w:rsidR="00605FD4" w:rsidRPr="00FE7D4D" w:rsidRDefault="00605FD4" w:rsidP="00E33E51">
            <w:pPr>
              <w:jc w:val="center"/>
              <w:rPr>
                <w:rFonts w:cs="Times New Roman"/>
                <w:b/>
                <w:bCs/>
                <w:sz w:val="20"/>
                <w:szCs w:val="20"/>
                <w:lang w:bidi="fa-IR"/>
              </w:rPr>
            </w:pPr>
          </w:p>
        </w:tc>
      </w:tr>
      <w:tr w:rsidR="00605FD4" w:rsidRPr="00FE7D4D" w14:paraId="4C5BED30" w14:textId="77777777" w:rsidTr="00E33E51">
        <w:tc>
          <w:tcPr>
            <w:tcW w:w="894" w:type="dxa"/>
            <w:tcBorders>
              <w:right w:val="single" w:sz="12" w:space="0" w:color="auto"/>
            </w:tcBorders>
            <w:shd w:val="clear" w:color="auto" w:fill="auto"/>
            <w:vAlign w:val="center"/>
          </w:tcPr>
          <w:p w14:paraId="3845993B" w14:textId="77777777" w:rsidR="00605FD4" w:rsidRPr="00FE7D4D" w:rsidRDefault="00605FD4" w:rsidP="00E33E51">
            <w:pPr>
              <w:jc w:val="center"/>
              <w:rPr>
                <w:rFonts w:cs="Times New Roman"/>
                <w:sz w:val="20"/>
                <w:szCs w:val="20"/>
                <w:lang w:bidi="fa-IR"/>
              </w:rPr>
            </w:pPr>
            <w:r w:rsidRPr="00FE7D4D">
              <w:rPr>
                <w:sz w:val="20"/>
                <w:szCs w:val="20"/>
              </w:rPr>
              <w:t>22</w:t>
            </w:r>
          </w:p>
        </w:tc>
        <w:tc>
          <w:tcPr>
            <w:tcW w:w="1261" w:type="dxa"/>
            <w:tcBorders>
              <w:left w:val="single" w:sz="12" w:space="0" w:color="auto"/>
            </w:tcBorders>
            <w:shd w:val="clear" w:color="auto" w:fill="auto"/>
            <w:vAlign w:val="center"/>
          </w:tcPr>
          <w:p w14:paraId="611438B5"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1050-1100</w:t>
            </w:r>
          </w:p>
        </w:tc>
        <w:tc>
          <w:tcPr>
            <w:tcW w:w="857" w:type="dxa"/>
            <w:tcBorders>
              <w:right w:val="single" w:sz="12" w:space="0" w:color="auto"/>
            </w:tcBorders>
            <w:shd w:val="clear" w:color="auto" w:fill="auto"/>
            <w:vAlign w:val="center"/>
          </w:tcPr>
          <w:p w14:paraId="5FD07482" w14:textId="77777777" w:rsidR="00605FD4" w:rsidRPr="00FE7D4D" w:rsidRDefault="00605FD4" w:rsidP="00E33E51">
            <w:pPr>
              <w:jc w:val="center"/>
              <w:rPr>
                <w:rFonts w:cs="Times New Roman"/>
                <w:sz w:val="20"/>
                <w:szCs w:val="20"/>
                <w:lang w:bidi="fa-IR"/>
              </w:rPr>
            </w:pPr>
            <w:r w:rsidRPr="00FE7D4D">
              <w:rPr>
                <w:rFonts w:cs="Times New Roman"/>
                <w:sz w:val="20"/>
                <w:szCs w:val="20"/>
              </w:rPr>
              <w:t>0.0496</w:t>
            </w:r>
          </w:p>
        </w:tc>
        <w:tc>
          <w:tcPr>
            <w:tcW w:w="1213" w:type="dxa"/>
            <w:tcBorders>
              <w:left w:val="single" w:sz="12" w:space="0" w:color="auto"/>
            </w:tcBorders>
            <w:shd w:val="clear" w:color="auto" w:fill="auto"/>
            <w:vAlign w:val="center"/>
          </w:tcPr>
          <w:p w14:paraId="5B1289A0"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1260-1320</w:t>
            </w:r>
          </w:p>
        </w:tc>
        <w:tc>
          <w:tcPr>
            <w:tcW w:w="905" w:type="dxa"/>
            <w:tcBorders>
              <w:right w:val="single" w:sz="12" w:space="0" w:color="auto"/>
            </w:tcBorders>
            <w:shd w:val="clear" w:color="auto" w:fill="auto"/>
          </w:tcPr>
          <w:p w14:paraId="71369644"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55" w:type="dxa"/>
            <w:tcBorders>
              <w:left w:val="single" w:sz="12" w:space="0" w:color="auto"/>
            </w:tcBorders>
            <w:shd w:val="clear" w:color="auto" w:fill="auto"/>
            <w:vAlign w:val="center"/>
          </w:tcPr>
          <w:p w14:paraId="562F920F"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1260-1320</w:t>
            </w:r>
          </w:p>
        </w:tc>
        <w:tc>
          <w:tcPr>
            <w:tcW w:w="863" w:type="dxa"/>
            <w:tcBorders>
              <w:right w:val="single" w:sz="12" w:space="0" w:color="auto"/>
            </w:tcBorders>
            <w:shd w:val="clear" w:color="auto" w:fill="auto"/>
          </w:tcPr>
          <w:p w14:paraId="7A031DE4"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97" w:type="dxa"/>
            <w:vMerge/>
            <w:tcBorders>
              <w:left w:val="single" w:sz="12" w:space="0" w:color="auto"/>
            </w:tcBorders>
            <w:shd w:val="clear" w:color="auto" w:fill="auto"/>
            <w:vAlign w:val="center"/>
          </w:tcPr>
          <w:p w14:paraId="649EA8DD"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35C11C00" w14:textId="77777777" w:rsidR="00605FD4" w:rsidRPr="00FE7D4D" w:rsidRDefault="00605FD4" w:rsidP="00E33E51">
            <w:pPr>
              <w:jc w:val="center"/>
              <w:rPr>
                <w:rFonts w:cs="Times New Roman"/>
                <w:b/>
                <w:bCs/>
                <w:sz w:val="20"/>
                <w:szCs w:val="20"/>
                <w:lang w:bidi="fa-IR"/>
              </w:rPr>
            </w:pPr>
          </w:p>
        </w:tc>
      </w:tr>
      <w:tr w:rsidR="00605FD4" w:rsidRPr="00FE7D4D" w14:paraId="4F976200" w14:textId="77777777" w:rsidTr="00E33E51">
        <w:tc>
          <w:tcPr>
            <w:tcW w:w="894" w:type="dxa"/>
            <w:tcBorders>
              <w:right w:val="single" w:sz="12" w:space="0" w:color="auto"/>
            </w:tcBorders>
            <w:shd w:val="clear" w:color="auto" w:fill="auto"/>
            <w:vAlign w:val="center"/>
          </w:tcPr>
          <w:p w14:paraId="7DA72552" w14:textId="77777777" w:rsidR="00605FD4" w:rsidRPr="00FE7D4D" w:rsidRDefault="00605FD4" w:rsidP="00E33E51">
            <w:pPr>
              <w:jc w:val="center"/>
              <w:rPr>
                <w:rFonts w:cs="Times New Roman"/>
                <w:sz w:val="20"/>
                <w:szCs w:val="20"/>
                <w:lang w:bidi="fa-IR"/>
              </w:rPr>
            </w:pPr>
            <w:r w:rsidRPr="00FE7D4D">
              <w:rPr>
                <w:sz w:val="20"/>
                <w:szCs w:val="20"/>
              </w:rPr>
              <w:t>23</w:t>
            </w:r>
          </w:p>
        </w:tc>
        <w:tc>
          <w:tcPr>
            <w:tcW w:w="1261" w:type="dxa"/>
            <w:tcBorders>
              <w:left w:val="single" w:sz="12" w:space="0" w:color="auto"/>
            </w:tcBorders>
            <w:shd w:val="clear" w:color="auto" w:fill="auto"/>
            <w:vAlign w:val="center"/>
          </w:tcPr>
          <w:p w14:paraId="104FC7A8"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1100-1150</w:t>
            </w:r>
          </w:p>
        </w:tc>
        <w:tc>
          <w:tcPr>
            <w:tcW w:w="857" w:type="dxa"/>
            <w:tcBorders>
              <w:right w:val="single" w:sz="12" w:space="0" w:color="auto"/>
            </w:tcBorders>
            <w:shd w:val="clear" w:color="auto" w:fill="auto"/>
            <w:vAlign w:val="center"/>
          </w:tcPr>
          <w:p w14:paraId="5FAB3E16" w14:textId="77777777" w:rsidR="00605FD4" w:rsidRPr="00FE7D4D" w:rsidRDefault="00605FD4" w:rsidP="00E33E51">
            <w:pPr>
              <w:jc w:val="center"/>
              <w:rPr>
                <w:rFonts w:cs="Times New Roman"/>
                <w:sz w:val="20"/>
                <w:szCs w:val="20"/>
                <w:lang w:bidi="fa-IR"/>
              </w:rPr>
            </w:pPr>
            <w:r w:rsidRPr="00FE7D4D">
              <w:rPr>
                <w:rFonts w:cs="Times New Roman"/>
                <w:sz w:val="20"/>
                <w:szCs w:val="20"/>
              </w:rPr>
              <w:t>0.0450</w:t>
            </w:r>
          </w:p>
        </w:tc>
        <w:tc>
          <w:tcPr>
            <w:tcW w:w="1213" w:type="dxa"/>
            <w:tcBorders>
              <w:left w:val="single" w:sz="12" w:space="0" w:color="auto"/>
            </w:tcBorders>
            <w:shd w:val="clear" w:color="auto" w:fill="auto"/>
            <w:vAlign w:val="center"/>
          </w:tcPr>
          <w:p w14:paraId="4779CBD3"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1320-1380</w:t>
            </w:r>
          </w:p>
        </w:tc>
        <w:tc>
          <w:tcPr>
            <w:tcW w:w="905" w:type="dxa"/>
            <w:tcBorders>
              <w:right w:val="single" w:sz="12" w:space="0" w:color="auto"/>
            </w:tcBorders>
            <w:shd w:val="clear" w:color="auto" w:fill="auto"/>
          </w:tcPr>
          <w:p w14:paraId="268D44D5"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55" w:type="dxa"/>
            <w:tcBorders>
              <w:left w:val="single" w:sz="12" w:space="0" w:color="auto"/>
            </w:tcBorders>
            <w:shd w:val="clear" w:color="auto" w:fill="auto"/>
            <w:vAlign w:val="center"/>
          </w:tcPr>
          <w:p w14:paraId="1496576E"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1320-1380</w:t>
            </w:r>
          </w:p>
        </w:tc>
        <w:tc>
          <w:tcPr>
            <w:tcW w:w="863" w:type="dxa"/>
            <w:tcBorders>
              <w:right w:val="single" w:sz="12" w:space="0" w:color="auto"/>
            </w:tcBorders>
            <w:shd w:val="clear" w:color="auto" w:fill="auto"/>
          </w:tcPr>
          <w:p w14:paraId="66A4C557"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97" w:type="dxa"/>
            <w:vMerge/>
            <w:tcBorders>
              <w:left w:val="single" w:sz="12" w:space="0" w:color="auto"/>
            </w:tcBorders>
            <w:shd w:val="clear" w:color="auto" w:fill="auto"/>
            <w:vAlign w:val="center"/>
          </w:tcPr>
          <w:p w14:paraId="5A338527"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05880E40" w14:textId="77777777" w:rsidR="00605FD4" w:rsidRPr="00FE7D4D" w:rsidRDefault="00605FD4" w:rsidP="00E33E51">
            <w:pPr>
              <w:jc w:val="center"/>
              <w:rPr>
                <w:rFonts w:cs="Times New Roman"/>
                <w:b/>
                <w:bCs/>
                <w:sz w:val="20"/>
                <w:szCs w:val="20"/>
                <w:lang w:bidi="fa-IR"/>
              </w:rPr>
            </w:pPr>
          </w:p>
        </w:tc>
      </w:tr>
      <w:tr w:rsidR="00605FD4" w:rsidRPr="00FE7D4D" w14:paraId="4782C813" w14:textId="77777777" w:rsidTr="00E33E51">
        <w:tc>
          <w:tcPr>
            <w:tcW w:w="894" w:type="dxa"/>
            <w:tcBorders>
              <w:right w:val="single" w:sz="12" w:space="0" w:color="auto"/>
            </w:tcBorders>
            <w:shd w:val="clear" w:color="auto" w:fill="auto"/>
            <w:vAlign w:val="center"/>
          </w:tcPr>
          <w:p w14:paraId="7D976F0A" w14:textId="77777777" w:rsidR="00605FD4" w:rsidRPr="00FE7D4D" w:rsidRDefault="00605FD4" w:rsidP="00E33E51">
            <w:pPr>
              <w:jc w:val="center"/>
              <w:rPr>
                <w:rFonts w:cs="Times New Roman"/>
                <w:sz w:val="20"/>
                <w:szCs w:val="20"/>
                <w:lang w:bidi="fa-IR"/>
              </w:rPr>
            </w:pPr>
            <w:r w:rsidRPr="00FE7D4D">
              <w:rPr>
                <w:sz w:val="20"/>
                <w:szCs w:val="20"/>
              </w:rPr>
              <w:t>24</w:t>
            </w:r>
          </w:p>
        </w:tc>
        <w:tc>
          <w:tcPr>
            <w:tcW w:w="1261" w:type="dxa"/>
            <w:tcBorders>
              <w:left w:val="single" w:sz="12" w:space="0" w:color="auto"/>
            </w:tcBorders>
            <w:shd w:val="clear" w:color="auto" w:fill="auto"/>
            <w:vAlign w:val="center"/>
          </w:tcPr>
          <w:p w14:paraId="358BD90E"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1150-1200</w:t>
            </w:r>
          </w:p>
        </w:tc>
        <w:tc>
          <w:tcPr>
            <w:tcW w:w="857" w:type="dxa"/>
            <w:tcBorders>
              <w:right w:val="single" w:sz="12" w:space="0" w:color="auto"/>
            </w:tcBorders>
            <w:shd w:val="clear" w:color="auto" w:fill="auto"/>
            <w:vAlign w:val="center"/>
          </w:tcPr>
          <w:p w14:paraId="5112C2D4" w14:textId="77777777" w:rsidR="00605FD4" w:rsidRPr="00FE7D4D" w:rsidRDefault="00605FD4" w:rsidP="00E33E51">
            <w:pPr>
              <w:jc w:val="center"/>
              <w:rPr>
                <w:rFonts w:cs="Times New Roman"/>
                <w:sz w:val="20"/>
                <w:szCs w:val="20"/>
                <w:lang w:bidi="fa-IR"/>
              </w:rPr>
            </w:pPr>
            <w:r w:rsidRPr="00FE7D4D">
              <w:rPr>
                <w:rFonts w:cs="Times New Roman"/>
                <w:sz w:val="20"/>
                <w:szCs w:val="20"/>
              </w:rPr>
              <w:t>0.0475</w:t>
            </w:r>
          </w:p>
        </w:tc>
        <w:tc>
          <w:tcPr>
            <w:tcW w:w="1213" w:type="dxa"/>
            <w:tcBorders>
              <w:left w:val="single" w:sz="12" w:space="0" w:color="auto"/>
            </w:tcBorders>
            <w:shd w:val="clear" w:color="auto" w:fill="auto"/>
            <w:vAlign w:val="center"/>
          </w:tcPr>
          <w:p w14:paraId="57C92990"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1380-1440</w:t>
            </w:r>
          </w:p>
        </w:tc>
        <w:tc>
          <w:tcPr>
            <w:tcW w:w="905" w:type="dxa"/>
            <w:tcBorders>
              <w:right w:val="single" w:sz="12" w:space="0" w:color="auto"/>
            </w:tcBorders>
            <w:shd w:val="clear" w:color="auto" w:fill="auto"/>
          </w:tcPr>
          <w:p w14:paraId="5B4C5E64"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55" w:type="dxa"/>
            <w:tcBorders>
              <w:left w:val="single" w:sz="12" w:space="0" w:color="auto"/>
            </w:tcBorders>
            <w:shd w:val="clear" w:color="auto" w:fill="auto"/>
            <w:vAlign w:val="center"/>
          </w:tcPr>
          <w:p w14:paraId="1BCDFD72"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1380-1440</w:t>
            </w:r>
          </w:p>
        </w:tc>
        <w:tc>
          <w:tcPr>
            <w:tcW w:w="863" w:type="dxa"/>
            <w:tcBorders>
              <w:right w:val="single" w:sz="12" w:space="0" w:color="auto"/>
            </w:tcBorders>
            <w:shd w:val="clear" w:color="auto" w:fill="auto"/>
          </w:tcPr>
          <w:p w14:paraId="4880AD18" w14:textId="77777777" w:rsidR="00605FD4" w:rsidRPr="00FE7D4D" w:rsidRDefault="00605FD4" w:rsidP="00E33E51">
            <w:pPr>
              <w:jc w:val="center"/>
              <w:rPr>
                <w:rFonts w:cs="Times New Roman"/>
                <w:sz w:val="20"/>
                <w:szCs w:val="20"/>
                <w:lang w:bidi="fa-IR"/>
              </w:rPr>
            </w:pPr>
            <w:r w:rsidRPr="00FE7D4D">
              <w:rPr>
                <w:rFonts w:cs="Times New Roman"/>
                <w:sz w:val="20"/>
                <w:szCs w:val="20"/>
              </w:rPr>
              <w:t>0.0000</w:t>
            </w:r>
          </w:p>
        </w:tc>
        <w:tc>
          <w:tcPr>
            <w:tcW w:w="1297" w:type="dxa"/>
            <w:vMerge/>
            <w:tcBorders>
              <w:left w:val="single" w:sz="12" w:space="0" w:color="auto"/>
            </w:tcBorders>
            <w:shd w:val="clear" w:color="auto" w:fill="auto"/>
            <w:vAlign w:val="center"/>
          </w:tcPr>
          <w:p w14:paraId="0B7D51C8"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61B713E3" w14:textId="77777777" w:rsidR="00605FD4" w:rsidRPr="00FE7D4D" w:rsidRDefault="00605FD4" w:rsidP="00E33E51">
            <w:pPr>
              <w:jc w:val="center"/>
              <w:rPr>
                <w:rFonts w:cs="Times New Roman"/>
                <w:b/>
                <w:bCs/>
                <w:sz w:val="20"/>
                <w:szCs w:val="20"/>
                <w:lang w:bidi="fa-IR"/>
              </w:rPr>
            </w:pPr>
          </w:p>
        </w:tc>
      </w:tr>
      <w:tr w:rsidR="00605FD4" w:rsidRPr="00FE7D4D" w14:paraId="5E1A66CF" w14:textId="77777777" w:rsidTr="00E33E51">
        <w:tc>
          <w:tcPr>
            <w:tcW w:w="894" w:type="dxa"/>
            <w:tcBorders>
              <w:right w:val="single" w:sz="12" w:space="0" w:color="auto"/>
            </w:tcBorders>
            <w:shd w:val="clear" w:color="auto" w:fill="auto"/>
            <w:vAlign w:val="center"/>
          </w:tcPr>
          <w:p w14:paraId="7F426E38" w14:textId="77777777" w:rsidR="00605FD4" w:rsidRPr="00FE7D4D" w:rsidRDefault="00605FD4" w:rsidP="00E33E51">
            <w:pPr>
              <w:jc w:val="center"/>
              <w:rPr>
                <w:rFonts w:cs="Times New Roman"/>
                <w:sz w:val="20"/>
                <w:szCs w:val="20"/>
                <w:lang w:bidi="fa-IR"/>
              </w:rPr>
            </w:pPr>
            <w:r w:rsidRPr="00FE7D4D">
              <w:rPr>
                <w:sz w:val="20"/>
                <w:szCs w:val="20"/>
              </w:rPr>
              <w:t>25</w:t>
            </w:r>
          </w:p>
        </w:tc>
        <w:tc>
          <w:tcPr>
            <w:tcW w:w="1261" w:type="dxa"/>
            <w:tcBorders>
              <w:left w:val="single" w:sz="12" w:space="0" w:color="auto"/>
            </w:tcBorders>
            <w:shd w:val="clear" w:color="auto" w:fill="auto"/>
            <w:vAlign w:val="center"/>
          </w:tcPr>
          <w:p w14:paraId="328B5B12"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1200-1250</w:t>
            </w:r>
          </w:p>
        </w:tc>
        <w:tc>
          <w:tcPr>
            <w:tcW w:w="857" w:type="dxa"/>
            <w:tcBorders>
              <w:right w:val="single" w:sz="12" w:space="0" w:color="auto"/>
            </w:tcBorders>
            <w:shd w:val="clear" w:color="auto" w:fill="auto"/>
            <w:vAlign w:val="center"/>
          </w:tcPr>
          <w:p w14:paraId="27319DC7" w14:textId="77777777" w:rsidR="00605FD4" w:rsidRPr="00FE7D4D" w:rsidRDefault="00605FD4" w:rsidP="00E33E51">
            <w:pPr>
              <w:jc w:val="center"/>
              <w:rPr>
                <w:rFonts w:cs="Times New Roman"/>
                <w:sz w:val="20"/>
                <w:szCs w:val="20"/>
                <w:lang w:bidi="fa-IR"/>
              </w:rPr>
            </w:pPr>
            <w:r w:rsidRPr="00FE7D4D">
              <w:rPr>
                <w:rFonts w:cs="Times New Roman"/>
                <w:sz w:val="20"/>
                <w:szCs w:val="20"/>
              </w:rPr>
              <w:t>0.0447</w:t>
            </w:r>
          </w:p>
        </w:tc>
        <w:tc>
          <w:tcPr>
            <w:tcW w:w="2118" w:type="dxa"/>
            <w:gridSpan w:val="2"/>
            <w:vMerge w:val="restart"/>
            <w:tcBorders>
              <w:left w:val="single" w:sz="12" w:space="0" w:color="auto"/>
              <w:right w:val="single" w:sz="12" w:space="0" w:color="auto"/>
            </w:tcBorders>
            <w:shd w:val="clear" w:color="auto" w:fill="auto"/>
            <w:vAlign w:val="center"/>
          </w:tcPr>
          <w:p w14:paraId="357EA5C6" w14:textId="77777777" w:rsidR="00605FD4" w:rsidRPr="00FE7D4D" w:rsidRDefault="00605FD4" w:rsidP="00E33E51">
            <w:pPr>
              <w:jc w:val="center"/>
              <w:rPr>
                <w:rFonts w:cs="Times New Roman"/>
                <w:sz w:val="20"/>
                <w:szCs w:val="20"/>
                <w:lang w:bidi="fa-IR"/>
              </w:rPr>
            </w:pPr>
          </w:p>
        </w:tc>
        <w:tc>
          <w:tcPr>
            <w:tcW w:w="2118" w:type="dxa"/>
            <w:gridSpan w:val="2"/>
            <w:vMerge w:val="restart"/>
            <w:tcBorders>
              <w:left w:val="single" w:sz="12" w:space="0" w:color="auto"/>
              <w:right w:val="single" w:sz="12" w:space="0" w:color="auto"/>
            </w:tcBorders>
            <w:shd w:val="clear" w:color="auto" w:fill="auto"/>
            <w:vAlign w:val="center"/>
          </w:tcPr>
          <w:p w14:paraId="56AA6589" w14:textId="77777777" w:rsidR="00605FD4" w:rsidRPr="00FE7D4D" w:rsidRDefault="00605FD4" w:rsidP="00E33E51">
            <w:pPr>
              <w:jc w:val="center"/>
              <w:rPr>
                <w:rFonts w:cs="Times New Roman"/>
                <w:sz w:val="20"/>
                <w:szCs w:val="20"/>
                <w:lang w:bidi="fa-IR"/>
              </w:rPr>
            </w:pPr>
          </w:p>
        </w:tc>
        <w:tc>
          <w:tcPr>
            <w:tcW w:w="1297" w:type="dxa"/>
            <w:vMerge/>
            <w:tcBorders>
              <w:left w:val="single" w:sz="12" w:space="0" w:color="auto"/>
            </w:tcBorders>
            <w:shd w:val="clear" w:color="auto" w:fill="auto"/>
            <w:vAlign w:val="center"/>
          </w:tcPr>
          <w:p w14:paraId="620612FB"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1E131BB3" w14:textId="77777777" w:rsidR="00605FD4" w:rsidRPr="00FE7D4D" w:rsidRDefault="00605FD4" w:rsidP="00E33E51">
            <w:pPr>
              <w:jc w:val="center"/>
              <w:rPr>
                <w:rFonts w:cs="Times New Roman"/>
                <w:b/>
                <w:bCs/>
                <w:sz w:val="20"/>
                <w:szCs w:val="20"/>
                <w:lang w:bidi="fa-IR"/>
              </w:rPr>
            </w:pPr>
          </w:p>
        </w:tc>
      </w:tr>
      <w:tr w:rsidR="00605FD4" w:rsidRPr="00FE7D4D" w14:paraId="300C9539" w14:textId="77777777" w:rsidTr="00E33E51">
        <w:tc>
          <w:tcPr>
            <w:tcW w:w="894" w:type="dxa"/>
            <w:tcBorders>
              <w:right w:val="single" w:sz="12" w:space="0" w:color="auto"/>
            </w:tcBorders>
            <w:shd w:val="clear" w:color="auto" w:fill="auto"/>
            <w:vAlign w:val="center"/>
          </w:tcPr>
          <w:p w14:paraId="35E709A9" w14:textId="77777777" w:rsidR="00605FD4" w:rsidRPr="00FE7D4D" w:rsidRDefault="00605FD4" w:rsidP="00E33E51">
            <w:pPr>
              <w:jc w:val="center"/>
              <w:rPr>
                <w:rFonts w:cs="Times New Roman"/>
                <w:sz w:val="20"/>
                <w:szCs w:val="20"/>
                <w:lang w:bidi="fa-IR"/>
              </w:rPr>
            </w:pPr>
            <w:r w:rsidRPr="00FE7D4D">
              <w:rPr>
                <w:sz w:val="20"/>
                <w:szCs w:val="20"/>
              </w:rPr>
              <w:t>26</w:t>
            </w:r>
          </w:p>
        </w:tc>
        <w:tc>
          <w:tcPr>
            <w:tcW w:w="1261" w:type="dxa"/>
            <w:tcBorders>
              <w:left w:val="single" w:sz="12" w:space="0" w:color="auto"/>
            </w:tcBorders>
            <w:shd w:val="clear" w:color="auto" w:fill="auto"/>
            <w:vAlign w:val="center"/>
          </w:tcPr>
          <w:p w14:paraId="7B6A78E6"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1250-1300</w:t>
            </w:r>
          </w:p>
        </w:tc>
        <w:tc>
          <w:tcPr>
            <w:tcW w:w="857" w:type="dxa"/>
            <w:tcBorders>
              <w:right w:val="single" w:sz="12" w:space="0" w:color="auto"/>
            </w:tcBorders>
            <w:shd w:val="clear" w:color="auto" w:fill="auto"/>
            <w:vAlign w:val="center"/>
          </w:tcPr>
          <w:p w14:paraId="3EAD0DF6" w14:textId="77777777" w:rsidR="00605FD4" w:rsidRPr="00FE7D4D" w:rsidRDefault="00605FD4" w:rsidP="00E33E51">
            <w:pPr>
              <w:jc w:val="center"/>
              <w:rPr>
                <w:rFonts w:cs="Times New Roman"/>
                <w:sz w:val="20"/>
                <w:szCs w:val="20"/>
                <w:lang w:bidi="fa-IR"/>
              </w:rPr>
            </w:pPr>
            <w:r w:rsidRPr="00FE7D4D">
              <w:rPr>
                <w:rFonts w:cs="Times New Roman"/>
                <w:sz w:val="20"/>
                <w:szCs w:val="20"/>
              </w:rPr>
              <w:t>0.0466</w:t>
            </w:r>
          </w:p>
        </w:tc>
        <w:tc>
          <w:tcPr>
            <w:tcW w:w="2118" w:type="dxa"/>
            <w:gridSpan w:val="2"/>
            <w:vMerge/>
            <w:tcBorders>
              <w:left w:val="single" w:sz="12" w:space="0" w:color="auto"/>
              <w:right w:val="single" w:sz="12" w:space="0" w:color="auto"/>
            </w:tcBorders>
            <w:shd w:val="clear" w:color="auto" w:fill="auto"/>
            <w:vAlign w:val="center"/>
          </w:tcPr>
          <w:p w14:paraId="0FFD5A55" w14:textId="77777777" w:rsidR="00605FD4" w:rsidRPr="00FE7D4D" w:rsidRDefault="00605FD4" w:rsidP="00E33E51">
            <w:pPr>
              <w:jc w:val="center"/>
              <w:rPr>
                <w:rFonts w:cs="Times New Roman"/>
                <w:sz w:val="20"/>
                <w:szCs w:val="20"/>
                <w:lang w:bidi="fa-IR"/>
              </w:rPr>
            </w:pPr>
          </w:p>
        </w:tc>
        <w:tc>
          <w:tcPr>
            <w:tcW w:w="2118" w:type="dxa"/>
            <w:gridSpan w:val="2"/>
            <w:vMerge/>
            <w:tcBorders>
              <w:left w:val="single" w:sz="12" w:space="0" w:color="auto"/>
              <w:right w:val="single" w:sz="12" w:space="0" w:color="auto"/>
            </w:tcBorders>
            <w:shd w:val="clear" w:color="auto" w:fill="auto"/>
            <w:vAlign w:val="center"/>
          </w:tcPr>
          <w:p w14:paraId="057F18B1" w14:textId="77777777" w:rsidR="00605FD4" w:rsidRPr="00FE7D4D" w:rsidRDefault="00605FD4" w:rsidP="00E33E51">
            <w:pPr>
              <w:jc w:val="center"/>
              <w:rPr>
                <w:rFonts w:cs="Times New Roman"/>
                <w:sz w:val="20"/>
                <w:szCs w:val="20"/>
                <w:lang w:bidi="fa-IR"/>
              </w:rPr>
            </w:pPr>
          </w:p>
        </w:tc>
        <w:tc>
          <w:tcPr>
            <w:tcW w:w="1297" w:type="dxa"/>
            <w:vMerge/>
            <w:tcBorders>
              <w:left w:val="single" w:sz="12" w:space="0" w:color="auto"/>
            </w:tcBorders>
            <w:shd w:val="clear" w:color="auto" w:fill="auto"/>
            <w:vAlign w:val="center"/>
          </w:tcPr>
          <w:p w14:paraId="77E2FF69"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5A6D596D" w14:textId="77777777" w:rsidR="00605FD4" w:rsidRPr="00FE7D4D" w:rsidRDefault="00605FD4" w:rsidP="00E33E51">
            <w:pPr>
              <w:jc w:val="center"/>
              <w:rPr>
                <w:rFonts w:cs="Times New Roman"/>
                <w:b/>
                <w:bCs/>
                <w:sz w:val="20"/>
                <w:szCs w:val="20"/>
                <w:lang w:bidi="fa-IR"/>
              </w:rPr>
            </w:pPr>
          </w:p>
        </w:tc>
      </w:tr>
      <w:tr w:rsidR="00605FD4" w:rsidRPr="00FE7D4D" w14:paraId="588E4E5F" w14:textId="77777777" w:rsidTr="00E33E51">
        <w:tc>
          <w:tcPr>
            <w:tcW w:w="894" w:type="dxa"/>
            <w:tcBorders>
              <w:right w:val="single" w:sz="12" w:space="0" w:color="auto"/>
            </w:tcBorders>
            <w:shd w:val="clear" w:color="auto" w:fill="auto"/>
            <w:vAlign w:val="center"/>
          </w:tcPr>
          <w:p w14:paraId="6DC57163" w14:textId="77777777" w:rsidR="00605FD4" w:rsidRPr="00FE7D4D" w:rsidRDefault="00605FD4" w:rsidP="00E33E51">
            <w:pPr>
              <w:jc w:val="center"/>
              <w:rPr>
                <w:rFonts w:cs="Times New Roman"/>
                <w:sz w:val="20"/>
                <w:szCs w:val="20"/>
                <w:lang w:bidi="fa-IR"/>
              </w:rPr>
            </w:pPr>
            <w:r w:rsidRPr="00FE7D4D">
              <w:rPr>
                <w:sz w:val="20"/>
                <w:szCs w:val="20"/>
              </w:rPr>
              <w:t>27</w:t>
            </w:r>
          </w:p>
        </w:tc>
        <w:tc>
          <w:tcPr>
            <w:tcW w:w="1261" w:type="dxa"/>
            <w:tcBorders>
              <w:left w:val="single" w:sz="12" w:space="0" w:color="auto"/>
            </w:tcBorders>
            <w:shd w:val="clear" w:color="auto" w:fill="auto"/>
            <w:vAlign w:val="center"/>
          </w:tcPr>
          <w:p w14:paraId="4A9BE052"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1300-1350</w:t>
            </w:r>
          </w:p>
        </w:tc>
        <w:tc>
          <w:tcPr>
            <w:tcW w:w="857" w:type="dxa"/>
            <w:tcBorders>
              <w:right w:val="single" w:sz="12" w:space="0" w:color="auto"/>
            </w:tcBorders>
            <w:shd w:val="clear" w:color="auto" w:fill="auto"/>
            <w:vAlign w:val="center"/>
          </w:tcPr>
          <w:p w14:paraId="58F97F48" w14:textId="77777777" w:rsidR="00605FD4" w:rsidRPr="00FE7D4D" w:rsidRDefault="00605FD4" w:rsidP="00E33E51">
            <w:pPr>
              <w:jc w:val="center"/>
              <w:rPr>
                <w:rFonts w:cs="Times New Roman"/>
                <w:sz w:val="20"/>
                <w:szCs w:val="20"/>
                <w:lang w:bidi="fa-IR"/>
              </w:rPr>
            </w:pPr>
            <w:r w:rsidRPr="00FE7D4D">
              <w:rPr>
                <w:rFonts w:cs="Times New Roman"/>
                <w:sz w:val="20"/>
                <w:szCs w:val="20"/>
              </w:rPr>
              <w:t>0.0418</w:t>
            </w:r>
          </w:p>
        </w:tc>
        <w:tc>
          <w:tcPr>
            <w:tcW w:w="2118" w:type="dxa"/>
            <w:gridSpan w:val="2"/>
            <w:vMerge/>
            <w:tcBorders>
              <w:left w:val="single" w:sz="12" w:space="0" w:color="auto"/>
              <w:right w:val="single" w:sz="12" w:space="0" w:color="auto"/>
            </w:tcBorders>
            <w:shd w:val="clear" w:color="auto" w:fill="auto"/>
            <w:vAlign w:val="center"/>
          </w:tcPr>
          <w:p w14:paraId="7694D0A8" w14:textId="77777777" w:rsidR="00605FD4" w:rsidRPr="00FE7D4D" w:rsidRDefault="00605FD4" w:rsidP="00E33E51">
            <w:pPr>
              <w:jc w:val="center"/>
              <w:rPr>
                <w:rFonts w:cs="Times New Roman"/>
                <w:sz w:val="20"/>
                <w:szCs w:val="20"/>
                <w:lang w:bidi="fa-IR"/>
              </w:rPr>
            </w:pPr>
          </w:p>
        </w:tc>
        <w:tc>
          <w:tcPr>
            <w:tcW w:w="2118" w:type="dxa"/>
            <w:gridSpan w:val="2"/>
            <w:vMerge/>
            <w:tcBorders>
              <w:left w:val="single" w:sz="12" w:space="0" w:color="auto"/>
              <w:right w:val="single" w:sz="12" w:space="0" w:color="auto"/>
            </w:tcBorders>
            <w:shd w:val="clear" w:color="auto" w:fill="auto"/>
            <w:vAlign w:val="center"/>
          </w:tcPr>
          <w:p w14:paraId="4615C5A0" w14:textId="77777777" w:rsidR="00605FD4" w:rsidRPr="00FE7D4D" w:rsidRDefault="00605FD4" w:rsidP="00E33E51">
            <w:pPr>
              <w:jc w:val="center"/>
              <w:rPr>
                <w:rFonts w:cs="Times New Roman"/>
                <w:sz w:val="20"/>
                <w:szCs w:val="20"/>
                <w:lang w:bidi="fa-IR"/>
              </w:rPr>
            </w:pPr>
          </w:p>
        </w:tc>
        <w:tc>
          <w:tcPr>
            <w:tcW w:w="1297" w:type="dxa"/>
            <w:vMerge/>
            <w:tcBorders>
              <w:left w:val="single" w:sz="12" w:space="0" w:color="auto"/>
            </w:tcBorders>
            <w:shd w:val="clear" w:color="auto" w:fill="auto"/>
            <w:vAlign w:val="center"/>
          </w:tcPr>
          <w:p w14:paraId="4C4B6A0F"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0430A09D" w14:textId="77777777" w:rsidR="00605FD4" w:rsidRPr="00FE7D4D" w:rsidRDefault="00605FD4" w:rsidP="00E33E51">
            <w:pPr>
              <w:jc w:val="center"/>
              <w:rPr>
                <w:rFonts w:cs="Times New Roman"/>
                <w:b/>
                <w:bCs/>
                <w:sz w:val="20"/>
                <w:szCs w:val="20"/>
                <w:lang w:bidi="fa-IR"/>
              </w:rPr>
            </w:pPr>
          </w:p>
        </w:tc>
      </w:tr>
      <w:tr w:rsidR="00605FD4" w:rsidRPr="00FE7D4D" w14:paraId="28FE1DC5" w14:textId="77777777" w:rsidTr="00E33E51">
        <w:tc>
          <w:tcPr>
            <w:tcW w:w="894" w:type="dxa"/>
            <w:tcBorders>
              <w:right w:val="single" w:sz="12" w:space="0" w:color="auto"/>
            </w:tcBorders>
            <w:shd w:val="clear" w:color="auto" w:fill="auto"/>
            <w:vAlign w:val="center"/>
          </w:tcPr>
          <w:p w14:paraId="66617A36" w14:textId="77777777" w:rsidR="00605FD4" w:rsidRPr="00FE7D4D" w:rsidRDefault="00605FD4" w:rsidP="00E33E51">
            <w:pPr>
              <w:jc w:val="center"/>
              <w:rPr>
                <w:rFonts w:cs="Times New Roman"/>
                <w:sz w:val="20"/>
                <w:szCs w:val="20"/>
                <w:lang w:bidi="fa-IR"/>
              </w:rPr>
            </w:pPr>
            <w:r w:rsidRPr="00FE7D4D">
              <w:rPr>
                <w:sz w:val="20"/>
                <w:szCs w:val="20"/>
              </w:rPr>
              <w:t>28</w:t>
            </w:r>
          </w:p>
        </w:tc>
        <w:tc>
          <w:tcPr>
            <w:tcW w:w="1261" w:type="dxa"/>
            <w:tcBorders>
              <w:left w:val="single" w:sz="12" w:space="0" w:color="auto"/>
            </w:tcBorders>
            <w:shd w:val="clear" w:color="auto" w:fill="auto"/>
            <w:vAlign w:val="center"/>
          </w:tcPr>
          <w:p w14:paraId="449A5271"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1350-1400</w:t>
            </w:r>
          </w:p>
        </w:tc>
        <w:tc>
          <w:tcPr>
            <w:tcW w:w="857" w:type="dxa"/>
            <w:tcBorders>
              <w:right w:val="single" w:sz="12" w:space="0" w:color="auto"/>
            </w:tcBorders>
            <w:shd w:val="clear" w:color="auto" w:fill="auto"/>
            <w:vAlign w:val="center"/>
          </w:tcPr>
          <w:p w14:paraId="6F59974F" w14:textId="77777777" w:rsidR="00605FD4" w:rsidRPr="00FE7D4D" w:rsidRDefault="00605FD4" w:rsidP="00E33E51">
            <w:pPr>
              <w:jc w:val="center"/>
              <w:rPr>
                <w:rFonts w:cs="Times New Roman"/>
                <w:sz w:val="20"/>
                <w:szCs w:val="20"/>
                <w:lang w:bidi="fa-IR"/>
              </w:rPr>
            </w:pPr>
            <w:r w:rsidRPr="00FE7D4D">
              <w:rPr>
                <w:rFonts w:cs="Times New Roman"/>
                <w:sz w:val="20"/>
                <w:szCs w:val="20"/>
              </w:rPr>
              <w:t>0.0428</w:t>
            </w:r>
          </w:p>
        </w:tc>
        <w:tc>
          <w:tcPr>
            <w:tcW w:w="2118" w:type="dxa"/>
            <w:gridSpan w:val="2"/>
            <w:vMerge/>
            <w:tcBorders>
              <w:left w:val="single" w:sz="12" w:space="0" w:color="auto"/>
              <w:right w:val="single" w:sz="12" w:space="0" w:color="auto"/>
            </w:tcBorders>
            <w:shd w:val="clear" w:color="auto" w:fill="auto"/>
            <w:vAlign w:val="center"/>
          </w:tcPr>
          <w:p w14:paraId="5B0E9EDE" w14:textId="77777777" w:rsidR="00605FD4" w:rsidRPr="00FE7D4D" w:rsidRDefault="00605FD4" w:rsidP="00E33E51">
            <w:pPr>
              <w:jc w:val="center"/>
              <w:rPr>
                <w:rFonts w:cs="Times New Roman"/>
                <w:sz w:val="20"/>
                <w:szCs w:val="20"/>
                <w:lang w:bidi="fa-IR"/>
              </w:rPr>
            </w:pPr>
          </w:p>
        </w:tc>
        <w:tc>
          <w:tcPr>
            <w:tcW w:w="2118" w:type="dxa"/>
            <w:gridSpan w:val="2"/>
            <w:vMerge/>
            <w:tcBorders>
              <w:left w:val="single" w:sz="12" w:space="0" w:color="auto"/>
              <w:right w:val="single" w:sz="12" w:space="0" w:color="auto"/>
            </w:tcBorders>
            <w:shd w:val="clear" w:color="auto" w:fill="auto"/>
            <w:vAlign w:val="center"/>
          </w:tcPr>
          <w:p w14:paraId="5AF19D83" w14:textId="77777777" w:rsidR="00605FD4" w:rsidRPr="00FE7D4D" w:rsidRDefault="00605FD4" w:rsidP="00E33E51">
            <w:pPr>
              <w:jc w:val="center"/>
              <w:rPr>
                <w:rFonts w:cs="Times New Roman"/>
                <w:sz w:val="20"/>
                <w:szCs w:val="20"/>
                <w:lang w:bidi="fa-IR"/>
              </w:rPr>
            </w:pPr>
          </w:p>
        </w:tc>
        <w:tc>
          <w:tcPr>
            <w:tcW w:w="1297" w:type="dxa"/>
            <w:vMerge/>
            <w:tcBorders>
              <w:left w:val="single" w:sz="12" w:space="0" w:color="auto"/>
            </w:tcBorders>
            <w:shd w:val="clear" w:color="auto" w:fill="auto"/>
            <w:vAlign w:val="center"/>
          </w:tcPr>
          <w:p w14:paraId="023495E4"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36670380" w14:textId="77777777" w:rsidR="00605FD4" w:rsidRPr="00FE7D4D" w:rsidRDefault="00605FD4" w:rsidP="00E33E51">
            <w:pPr>
              <w:jc w:val="center"/>
              <w:rPr>
                <w:rFonts w:cs="Times New Roman"/>
                <w:b/>
                <w:bCs/>
                <w:sz w:val="20"/>
                <w:szCs w:val="20"/>
                <w:lang w:bidi="fa-IR"/>
              </w:rPr>
            </w:pPr>
          </w:p>
        </w:tc>
      </w:tr>
      <w:tr w:rsidR="00605FD4" w:rsidRPr="00FE7D4D" w14:paraId="12BA67EE" w14:textId="77777777" w:rsidTr="00E33E51">
        <w:tc>
          <w:tcPr>
            <w:tcW w:w="894" w:type="dxa"/>
            <w:tcBorders>
              <w:right w:val="single" w:sz="12" w:space="0" w:color="auto"/>
            </w:tcBorders>
            <w:shd w:val="clear" w:color="auto" w:fill="auto"/>
            <w:vAlign w:val="center"/>
          </w:tcPr>
          <w:p w14:paraId="37C8D7FF" w14:textId="77777777" w:rsidR="00605FD4" w:rsidRPr="00FE7D4D" w:rsidRDefault="00605FD4" w:rsidP="00E33E51">
            <w:pPr>
              <w:jc w:val="center"/>
              <w:rPr>
                <w:rFonts w:cs="Times New Roman"/>
                <w:sz w:val="20"/>
                <w:szCs w:val="20"/>
                <w:lang w:bidi="fa-IR"/>
              </w:rPr>
            </w:pPr>
            <w:r w:rsidRPr="00FE7D4D">
              <w:rPr>
                <w:sz w:val="20"/>
                <w:szCs w:val="20"/>
              </w:rPr>
              <w:t>29</w:t>
            </w:r>
          </w:p>
        </w:tc>
        <w:tc>
          <w:tcPr>
            <w:tcW w:w="1261" w:type="dxa"/>
            <w:tcBorders>
              <w:left w:val="single" w:sz="12" w:space="0" w:color="auto"/>
            </w:tcBorders>
            <w:shd w:val="clear" w:color="auto" w:fill="auto"/>
            <w:vAlign w:val="center"/>
          </w:tcPr>
          <w:p w14:paraId="2F132BC7" w14:textId="77777777" w:rsidR="00605FD4" w:rsidRPr="00FE7D4D" w:rsidRDefault="00605FD4" w:rsidP="00E33E51">
            <w:pPr>
              <w:jc w:val="center"/>
              <w:rPr>
                <w:rFonts w:cs="Times New Roman"/>
                <w:sz w:val="20"/>
                <w:szCs w:val="20"/>
                <w:lang w:bidi="fa-IR"/>
              </w:rPr>
            </w:pPr>
            <w:r w:rsidRPr="00FE7D4D">
              <w:rPr>
                <w:rFonts w:cs="Times New Roman"/>
                <w:sz w:val="20"/>
                <w:szCs w:val="20"/>
                <w:lang w:bidi="fa-IR"/>
              </w:rPr>
              <w:t>1400-1440</w:t>
            </w:r>
          </w:p>
        </w:tc>
        <w:tc>
          <w:tcPr>
            <w:tcW w:w="857" w:type="dxa"/>
            <w:tcBorders>
              <w:right w:val="single" w:sz="12" w:space="0" w:color="auto"/>
            </w:tcBorders>
            <w:shd w:val="clear" w:color="auto" w:fill="auto"/>
            <w:vAlign w:val="center"/>
          </w:tcPr>
          <w:p w14:paraId="0D83387A" w14:textId="77777777" w:rsidR="00605FD4" w:rsidRPr="00FE7D4D" w:rsidRDefault="00605FD4" w:rsidP="00E33E51">
            <w:pPr>
              <w:jc w:val="center"/>
              <w:rPr>
                <w:rFonts w:cs="Times New Roman"/>
                <w:sz w:val="20"/>
                <w:szCs w:val="20"/>
                <w:lang w:bidi="fa-IR"/>
              </w:rPr>
            </w:pPr>
            <w:r w:rsidRPr="00FE7D4D">
              <w:rPr>
                <w:rFonts w:cs="Times New Roman"/>
                <w:sz w:val="20"/>
                <w:szCs w:val="20"/>
              </w:rPr>
              <w:t>0.1205</w:t>
            </w:r>
          </w:p>
        </w:tc>
        <w:tc>
          <w:tcPr>
            <w:tcW w:w="2118" w:type="dxa"/>
            <w:gridSpan w:val="2"/>
            <w:vMerge/>
            <w:tcBorders>
              <w:left w:val="single" w:sz="12" w:space="0" w:color="auto"/>
              <w:right w:val="single" w:sz="12" w:space="0" w:color="auto"/>
            </w:tcBorders>
            <w:shd w:val="clear" w:color="auto" w:fill="auto"/>
            <w:vAlign w:val="center"/>
          </w:tcPr>
          <w:p w14:paraId="7E1A6939" w14:textId="77777777" w:rsidR="00605FD4" w:rsidRPr="00FE7D4D" w:rsidRDefault="00605FD4" w:rsidP="00E33E51">
            <w:pPr>
              <w:jc w:val="center"/>
              <w:rPr>
                <w:rFonts w:cs="Times New Roman"/>
                <w:sz w:val="20"/>
                <w:szCs w:val="20"/>
                <w:lang w:bidi="fa-IR"/>
              </w:rPr>
            </w:pPr>
          </w:p>
        </w:tc>
        <w:tc>
          <w:tcPr>
            <w:tcW w:w="2118" w:type="dxa"/>
            <w:gridSpan w:val="2"/>
            <w:vMerge/>
            <w:tcBorders>
              <w:left w:val="single" w:sz="12" w:space="0" w:color="auto"/>
              <w:right w:val="single" w:sz="12" w:space="0" w:color="auto"/>
            </w:tcBorders>
            <w:shd w:val="clear" w:color="auto" w:fill="auto"/>
            <w:vAlign w:val="center"/>
          </w:tcPr>
          <w:p w14:paraId="5643A5CB" w14:textId="77777777" w:rsidR="00605FD4" w:rsidRPr="00FE7D4D" w:rsidRDefault="00605FD4" w:rsidP="00E33E51">
            <w:pPr>
              <w:jc w:val="center"/>
              <w:rPr>
                <w:rFonts w:cs="Times New Roman"/>
                <w:sz w:val="20"/>
                <w:szCs w:val="20"/>
                <w:lang w:bidi="fa-IR"/>
              </w:rPr>
            </w:pPr>
          </w:p>
        </w:tc>
        <w:tc>
          <w:tcPr>
            <w:tcW w:w="1297" w:type="dxa"/>
            <w:vMerge/>
            <w:tcBorders>
              <w:left w:val="single" w:sz="12" w:space="0" w:color="auto"/>
            </w:tcBorders>
            <w:shd w:val="clear" w:color="auto" w:fill="auto"/>
            <w:vAlign w:val="center"/>
          </w:tcPr>
          <w:p w14:paraId="7C3C40C6" w14:textId="77777777" w:rsidR="00605FD4" w:rsidRPr="00FE7D4D" w:rsidRDefault="00605FD4" w:rsidP="00E33E51">
            <w:pPr>
              <w:jc w:val="center"/>
              <w:rPr>
                <w:rFonts w:cs="Times New Roman"/>
                <w:sz w:val="20"/>
                <w:szCs w:val="20"/>
                <w:lang w:bidi="fa-IR"/>
              </w:rPr>
            </w:pPr>
          </w:p>
        </w:tc>
        <w:tc>
          <w:tcPr>
            <w:tcW w:w="821" w:type="dxa"/>
            <w:vMerge/>
            <w:shd w:val="clear" w:color="auto" w:fill="auto"/>
            <w:vAlign w:val="center"/>
          </w:tcPr>
          <w:p w14:paraId="2E8DD894" w14:textId="77777777" w:rsidR="00605FD4" w:rsidRPr="00FE7D4D" w:rsidRDefault="00605FD4" w:rsidP="00E33E51">
            <w:pPr>
              <w:jc w:val="center"/>
              <w:rPr>
                <w:rFonts w:cs="Times New Roman"/>
                <w:b/>
                <w:bCs/>
                <w:sz w:val="20"/>
                <w:szCs w:val="20"/>
                <w:lang w:bidi="fa-IR"/>
              </w:rPr>
            </w:pPr>
          </w:p>
        </w:tc>
      </w:tr>
    </w:tbl>
    <w:p w14:paraId="1431D7DA" w14:textId="77777777" w:rsidR="00605FD4" w:rsidRPr="00FE7D4D" w:rsidRDefault="00605FD4" w:rsidP="00605FD4">
      <w:pPr>
        <w:rPr>
          <w:rFonts w:ascii="TimesNewRoman" w:hAnsi="TimesNewRoman" w:cs="TimesNewRoman" w:hint="eastAsia"/>
          <w:lang w:bidi="fa-IR"/>
        </w:rPr>
      </w:pPr>
    </w:p>
    <w:p w14:paraId="129A56FF" w14:textId="77777777" w:rsidR="00605FD4" w:rsidRPr="00FE7D4D" w:rsidRDefault="00605FD4" w:rsidP="00605FD4"/>
    <w:p w14:paraId="335BAE28" w14:textId="4AD4D831" w:rsidR="00D869A0" w:rsidRPr="00FE7D4D" w:rsidRDefault="00D869A0">
      <w:r w:rsidRPr="00FE7D4D">
        <w:br w:type="page"/>
      </w:r>
    </w:p>
    <w:p w14:paraId="36BA92A0" w14:textId="17F4361D" w:rsidR="00D869A0" w:rsidRPr="00FE7D4D" w:rsidRDefault="00D869A0" w:rsidP="00D869A0">
      <w:pPr>
        <w:pStyle w:val="Caption"/>
        <w:jc w:val="center"/>
        <w:rPr>
          <w:rFonts w:cs="Times New Roman"/>
          <w:szCs w:val="20"/>
        </w:rPr>
      </w:pPr>
      <w:r w:rsidRPr="00FE7D4D">
        <w:rPr>
          <w:rFonts w:cs="Times New Roman"/>
          <w:szCs w:val="20"/>
        </w:rPr>
        <w:lastRenderedPageBreak/>
        <w:t>Table S2. Summary of distributions of residential indoor and outdoor PM</w:t>
      </w:r>
      <w:r w:rsidRPr="00FE7D4D">
        <w:rPr>
          <w:rFonts w:cs="Times New Roman"/>
          <w:szCs w:val="20"/>
          <w:vertAlign w:val="subscript"/>
        </w:rPr>
        <w:t>2.5</w:t>
      </w:r>
      <w:r w:rsidRPr="00FE7D4D">
        <w:rPr>
          <w:rFonts w:cs="Times New Roman"/>
          <w:szCs w:val="20"/>
        </w:rPr>
        <w:t xml:space="preserve"> concentrations, PM</w:t>
      </w:r>
      <w:r w:rsidRPr="00FE7D4D">
        <w:rPr>
          <w:rFonts w:cs="Times New Roman"/>
          <w:szCs w:val="20"/>
          <w:vertAlign w:val="subscript"/>
        </w:rPr>
        <w:t>2.5</w:t>
      </w:r>
      <w:r w:rsidRPr="00FE7D4D">
        <w:rPr>
          <w:rFonts w:cs="Times New Roman"/>
          <w:szCs w:val="20"/>
        </w:rPr>
        <w:t xml:space="preserve"> infiltration factors, and indoor PM</w:t>
      </w:r>
      <w:r w:rsidRPr="00FE7D4D">
        <w:rPr>
          <w:rFonts w:cs="Times New Roman"/>
          <w:szCs w:val="20"/>
          <w:vertAlign w:val="subscript"/>
        </w:rPr>
        <w:t>2.5</w:t>
      </w:r>
      <w:r w:rsidRPr="00FE7D4D">
        <w:rPr>
          <w:rFonts w:cs="Times New Roman"/>
          <w:szCs w:val="20"/>
        </w:rPr>
        <w:t xml:space="preserve"> concentrations attributable to outdoor sources in the RIOPA and MESA Air studies that were used to fit distributions to the indoor PM</w:t>
      </w:r>
      <w:r w:rsidRPr="00FE7D4D">
        <w:rPr>
          <w:rFonts w:cs="Times New Roman"/>
          <w:szCs w:val="20"/>
          <w:vertAlign w:val="subscript"/>
        </w:rPr>
        <w:t>2.5</w:t>
      </w:r>
      <w:r w:rsidRPr="00FE7D4D">
        <w:rPr>
          <w:rFonts w:cs="Times New Roman"/>
          <w:szCs w:val="20"/>
        </w:rPr>
        <w:t xml:space="preserve"> concentrations that result from indoor sources in </w:t>
      </w:r>
      <w:r w:rsidR="0066390C" w:rsidRPr="00FE7D4D">
        <w:rPr>
          <w:rFonts w:cs="Times New Roman"/>
          <w:szCs w:val="20"/>
        </w:rPr>
        <w:t>S</w:t>
      </w:r>
      <w:r w:rsidRPr="00FE7D4D">
        <w:rPr>
          <w:rFonts w:cs="Times New Roman"/>
          <w:szCs w:val="20"/>
        </w:rPr>
        <w:t>cenario 1</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
        <w:gridCol w:w="1946"/>
        <w:gridCol w:w="3995"/>
        <w:gridCol w:w="1454"/>
        <w:gridCol w:w="1454"/>
      </w:tblGrid>
      <w:tr w:rsidR="00D869A0" w:rsidRPr="00FE7D4D" w14:paraId="32041455" w14:textId="77777777" w:rsidTr="00E33E51">
        <w:trPr>
          <w:jc w:val="center"/>
        </w:trPr>
        <w:tc>
          <w:tcPr>
            <w:tcW w:w="865" w:type="dxa"/>
            <w:vAlign w:val="center"/>
          </w:tcPr>
          <w:p w14:paraId="2E97E6F5" w14:textId="77777777" w:rsidR="00D869A0" w:rsidRPr="00FE7D4D" w:rsidRDefault="00D869A0" w:rsidP="00E33E51">
            <w:pPr>
              <w:autoSpaceDE w:val="0"/>
              <w:autoSpaceDN w:val="0"/>
              <w:adjustRightInd w:val="0"/>
              <w:jc w:val="center"/>
              <w:rPr>
                <w:rFonts w:ascii="TimesNewRoman" w:hAnsi="TimesNewRoman" w:cs="TimesNewRoman" w:hint="eastAsia"/>
                <w:b/>
                <w:sz w:val="20"/>
                <w:szCs w:val="20"/>
              </w:rPr>
            </w:pPr>
            <w:r w:rsidRPr="00FE7D4D">
              <w:rPr>
                <w:rFonts w:ascii="TimesNewRoman" w:hAnsi="TimesNewRoman" w:cs="TimesNewRoman" w:hint="eastAsia"/>
                <w:b/>
                <w:sz w:val="20"/>
                <w:szCs w:val="20"/>
              </w:rPr>
              <w:t>Study</w:t>
            </w:r>
          </w:p>
        </w:tc>
        <w:tc>
          <w:tcPr>
            <w:tcW w:w="1946" w:type="dxa"/>
            <w:vAlign w:val="center"/>
          </w:tcPr>
          <w:p w14:paraId="14840EE3" w14:textId="77777777" w:rsidR="00D869A0" w:rsidRPr="00FE7D4D" w:rsidRDefault="00D869A0" w:rsidP="00E33E51">
            <w:pPr>
              <w:autoSpaceDE w:val="0"/>
              <w:autoSpaceDN w:val="0"/>
              <w:adjustRightInd w:val="0"/>
              <w:jc w:val="center"/>
              <w:rPr>
                <w:rFonts w:ascii="TimesNewRoman" w:hAnsi="TimesNewRoman" w:cs="TimesNewRoman" w:hint="eastAsia"/>
                <w:b/>
                <w:sz w:val="20"/>
                <w:szCs w:val="20"/>
              </w:rPr>
            </w:pPr>
            <w:r w:rsidRPr="00FE7D4D">
              <w:rPr>
                <w:rFonts w:ascii="TimesNewRoman" w:hAnsi="TimesNewRoman" w:cs="TimesNewRoman" w:hint="eastAsia"/>
                <w:b/>
                <w:sz w:val="20"/>
                <w:szCs w:val="20"/>
              </w:rPr>
              <w:t>Reference</w:t>
            </w:r>
          </w:p>
        </w:tc>
        <w:tc>
          <w:tcPr>
            <w:tcW w:w="3995" w:type="dxa"/>
            <w:shd w:val="clear" w:color="auto" w:fill="auto"/>
            <w:vAlign w:val="center"/>
          </w:tcPr>
          <w:p w14:paraId="293BD1B0" w14:textId="77777777" w:rsidR="00D869A0" w:rsidRPr="00FE7D4D" w:rsidRDefault="00D869A0" w:rsidP="00E33E51">
            <w:pPr>
              <w:autoSpaceDE w:val="0"/>
              <w:autoSpaceDN w:val="0"/>
              <w:adjustRightInd w:val="0"/>
              <w:jc w:val="center"/>
              <w:rPr>
                <w:rFonts w:ascii="TimesNewRoman" w:hAnsi="TimesNewRoman" w:cs="TimesNewRoman" w:hint="eastAsia"/>
                <w:b/>
                <w:sz w:val="20"/>
                <w:szCs w:val="20"/>
              </w:rPr>
            </w:pPr>
            <w:r w:rsidRPr="00FE7D4D">
              <w:rPr>
                <w:rFonts w:ascii="TimesNewRoman" w:hAnsi="TimesNewRoman" w:cs="TimesNewRoman" w:hint="eastAsia"/>
                <w:b/>
                <w:sz w:val="20"/>
                <w:szCs w:val="20"/>
              </w:rPr>
              <w:t>Model Parameter</w:t>
            </w:r>
          </w:p>
        </w:tc>
        <w:tc>
          <w:tcPr>
            <w:tcW w:w="1454" w:type="dxa"/>
            <w:shd w:val="clear" w:color="auto" w:fill="auto"/>
            <w:vAlign w:val="center"/>
          </w:tcPr>
          <w:p w14:paraId="76E821C1" w14:textId="77777777" w:rsidR="00D869A0" w:rsidRPr="00FE7D4D" w:rsidRDefault="00D869A0" w:rsidP="00E33E51">
            <w:pPr>
              <w:autoSpaceDE w:val="0"/>
              <w:autoSpaceDN w:val="0"/>
              <w:adjustRightInd w:val="0"/>
              <w:jc w:val="center"/>
              <w:rPr>
                <w:rFonts w:ascii="TimesNewRoman" w:hAnsi="TimesNewRoman" w:cs="TimesNewRoman" w:hint="eastAsia"/>
                <w:b/>
                <w:sz w:val="20"/>
                <w:szCs w:val="20"/>
              </w:rPr>
            </w:pPr>
            <w:r w:rsidRPr="00FE7D4D">
              <w:rPr>
                <w:rFonts w:ascii="TimesNewRoman" w:hAnsi="TimesNewRoman" w:cs="TimesNewRoman" w:hint="eastAsia"/>
                <w:b/>
                <w:sz w:val="20"/>
                <w:szCs w:val="20"/>
              </w:rPr>
              <w:t xml:space="preserve">Distribution </w:t>
            </w:r>
          </w:p>
          <w:p w14:paraId="4263DAA1" w14:textId="77777777" w:rsidR="00D869A0" w:rsidRPr="00FE7D4D" w:rsidRDefault="00D869A0" w:rsidP="00E33E51">
            <w:pPr>
              <w:autoSpaceDE w:val="0"/>
              <w:autoSpaceDN w:val="0"/>
              <w:adjustRightInd w:val="0"/>
              <w:jc w:val="center"/>
              <w:rPr>
                <w:rFonts w:ascii="TimesNewRoman" w:hAnsi="TimesNewRoman" w:cs="TimesNewRoman" w:hint="eastAsia"/>
                <w:b/>
                <w:sz w:val="20"/>
                <w:szCs w:val="20"/>
              </w:rPr>
            </w:pPr>
            <w:r w:rsidRPr="00FE7D4D">
              <w:rPr>
                <w:rFonts w:ascii="TimesNewRoman" w:hAnsi="TimesNewRoman" w:cs="TimesNewRoman" w:hint="eastAsia"/>
                <w:b/>
                <w:sz w:val="20"/>
                <w:szCs w:val="20"/>
              </w:rPr>
              <w:t xml:space="preserve">Type </w:t>
            </w:r>
          </w:p>
        </w:tc>
        <w:tc>
          <w:tcPr>
            <w:tcW w:w="1454" w:type="dxa"/>
            <w:shd w:val="clear" w:color="auto" w:fill="auto"/>
            <w:vAlign w:val="center"/>
          </w:tcPr>
          <w:p w14:paraId="0BC73386" w14:textId="77777777" w:rsidR="00D869A0" w:rsidRPr="00FE7D4D" w:rsidRDefault="00D869A0" w:rsidP="00E33E51">
            <w:pPr>
              <w:autoSpaceDE w:val="0"/>
              <w:autoSpaceDN w:val="0"/>
              <w:adjustRightInd w:val="0"/>
              <w:jc w:val="center"/>
              <w:rPr>
                <w:rFonts w:ascii="TimesNewRoman" w:hAnsi="TimesNewRoman" w:cs="TimesNewRoman" w:hint="eastAsia"/>
                <w:b/>
                <w:sz w:val="20"/>
                <w:szCs w:val="20"/>
              </w:rPr>
            </w:pPr>
            <w:r w:rsidRPr="00FE7D4D">
              <w:rPr>
                <w:rFonts w:ascii="TimesNewRoman" w:hAnsi="TimesNewRoman" w:cs="TimesNewRoman" w:hint="eastAsia"/>
                <w:b/>
                <w:sz w:val="20"/>
                <w:szCs w:val="20"/>
              </w:rPr>
              <w:t xml:space="preserve">Mean </w:t>
            </w:r>
            <w:r w:rsidRPr="00FE7D4D">
              <w:rPr>
                <w:rFonts w:cs="Times New Roman"/>
                <w:b/>
                <w:sz w:val="20"/>
                <w:szCs w:val="20"/>
              </w:rPr>
              <w:t xml:space="preserve">± </w:t>
            </w:r>
            <w:r w:rsidRPr="00FE7D4D">
              <w:rPr>
                <w:rFonts w:ascii="TimesNewRoman" w:hAnsi="TimesNewRoman" w:cs="TimesNewRoman" w:hint="eastAsia"/>
                <w:b/>
                <w:sz w:val="20"/>
                <w:szCs w:val="20"/>
              </w:rPr>
              <w:t>SD</w:t>
            </w:r>
          </w:p>
          <w:p w14:paraId="741057C5" w14:textId="3F0142A9" w:rsidR="00D869A0" w:rsidRPr="00FE7D4D" w:rsidRDefault="00D869A0" w:rsidP="000A1A70">
            <w:pPr>
              <w:autoSpaceDE w:val="0"/>
              <w:autoSpaceDN w:val="0"/>
              <w:adjustRightInd w:val="0"/>
              <w:jc w:val="center"/>
              <w:rPr>
                <w:rFonts w:ascii="TimesNewRoman" w:hAnsi="TimesNewRoman" w:cs="TimesNewRoman" w:hint="eastAsia"/>
                <w:b/>
                <w:sz w:val="20"/>
                <w:szCs w:val="20"/>
              </w:rPr>
            </w:pPr>
            <w:r w:rsidRPr="00FE7D4D">
              <w:rPr>
                <w:rFonts w:ascii="TimesNewRoman" w:hAnsi="TimesNewRoman" w:cs="TimesNewRoman" w:hint="eastAsia"/>
                <w:b/>
                <w:sz w:val="20"/>
                <w:szCs w:val="20"/>
              </w:rPr>
              <w:t>(µg/m</w:t>
            </w:r>
            <w:r w:rsidRPr="00FE7D4D">
              <w:rPr>
                <w:rFonts w:ascii="TimesNewRoman" w:hAnsi="TimesNewRoman" w:cs="TimesNewRoman" w:hint="eastAsia"/>
                <w:b/>
                <w:sz w:val="20"/>
                <w:szCs w:val="20"/>
                <w:vertAlign w:val="superscript"/>
              </w:rPr>
              <w:t>3</w:t>
            </w:r>
            <w:r w:rsidRPr="00FE7D4D">
              <w:rPr>
                <w:rFonts w:ascii="TimesNewRoman" w:hAnsi="TimesNewRoman" w:cs="TimesNewRoman" w:hint="eastAsia"/>
                <w:b/>
                <w:sz w:val="20"/>
                <w:szCs w:val="20"/>
              </w:rPr>
              <w:t>)</w:t>
            </w:r>
            <w:r w:rsidR="000A1A70" w:rsidRPr="00FE7D4D">
              <w:rPr>
                <w:rFonts w:ascii="TimesNewRoman" w:hAnsi="TimesNewRoman" w:cs="TimesNewRoman" w:hint="eastAsia"/>
                <w:b/>
                <w:sz w:val="20"/>
                <w:szCs w:val="20"/>
                <w:vertAlign w:val="superscript"/>
              </w:rPr>
              <w:t>*</w:t>
            </w:r>
          </w:p>
        </w:tc>
      </w:tr>
      <w:tr w:rsidR="00D869A0" w:rsidRPr="00FE7D4D" w14:paraId="526B5EA4" w14:textId="77777777" w:rsidTr="00E33E51">
        <w:trPr>
          <w:jc w:val="center"/>
        </w:trPr>
        <w:tc>
          <w:tcPr>
            <w:tcW w:w="865" w:type="dxa"/>
            <w:vMerge w:val="restart"/>
            <w:vAlign w:val="center"/>
          </w:tcPr>
          <w:p w14:paraId="618CCCC8"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RIOPA</w:t>
            </w:r>
          </w:p>
        </w:tc>
        <w:tc>
          <w:tcPr>
            <w:tcW w:w="1946" w:type="dxa"/>
            <w:vMerge w:val="restart"/>
            <w:vAlign w:val="center"/>
          </w:tcPr>
          <w:p w14:paraId="7198EE91" w14:textId="1728D6E4" w:rsidR="00D869A0" w:rsidRPr="00FE7D4D" w:rsidRDefault="00D869A0" w:rsidP="00E33E51">
            <w:pPr>
              <w:autoSpaceDE w:val="0"/>
              <w:autoSpaceDN w:val="0"/>
              <w:adjustRightInd w:val="0"/>
              <w:rPr>
                <w:rFonts w:ascii="TimesNewRoman" w:hAnsi="TimesNewRoman" w:cs="TimesNewRoman" w:hint="eastAsia"/>
                <w:sz w:val="20"/>
                <w:szCs w:val="20"/>
              </w:rPr>
            </w:pPr>
            <w:r w:rsidRPr="00FE7D4D">
              <w:rPr>
                <w:rFonts w:cs="Times New Roman"/>
                <w:sz w:val="20"/>
                <w:szCs w:val="20"/>
              </w:rPr>
              <w:t>Meng et al. (2005)</w:t>
            </w:r>
            <w:r w:rsidRPr="00FE7D4D">
              <w:rPr>
                <w:rFonts w:cs="Times New Roman"/>
                <w:sz w:val="20"/>
                <w:szCs w:val="20"/>
              </w:rPr>
              <w:fldChar w:fldCharType="begin"/>
            </w:r>
            <w:r w:rsidR="00EF06F0" w:rsidRPr="00FE7D4D">
              <w:rPr>
                <w:rFonts w:cs="Times New Roman"/>
                <w:sz w:val="20"/>
                <w:szCs w:val="20"/>
              </w:rPr>
              <w:instrText xml:space="preserve"> ADDIN ZOTERO_ITEM CSL_CITATION {"citationID":"122ot2pat0","properties":{"formattedCitation":"\\super 32\\nosupersub{}","plainCitation":"32","noteIndex":0},"citationItems":[{"id":1160,"uris":["http://zotero.org/users/327441/items/WIX2MRM3"],"uri":["http://zotero.org/users/327441/items/WIX2MRM3"],"itemData":{"id":1160,"type":"article-journal","title":"Influence of ambient (outdoor) sources on residential indoor and personal PM2.5 concentrations: Analyses of RIOPA data","container-title":"Journal of Exposure Analysis and Environmental Epidemiology","page":"17-28","volume":"15","issue":"1","DOI":"10.1038/sj.jea.7500378","ISSN":"1053-4245","journalAbbreviation":"J Expo Anal Environ Epidemiol","author":[{"family":"Meng","given":"Qing Yu"},{"family":"Turpin","given":"Barbara J"},{"family":"Korn","given":"Leo"},{"family":"Weisel","given":"Clifford P"},{"family":"Morandi","given":"Maria"},{"family":"Colome","given":"Steven"},{"family":"Zhang","given":"Junfeng (Jim)"},{"family":"Stock","given":"Thomas"},{"family":"Spektor","given":"Dalia"},{"family":"Winer","given":"Arthur"},{"family":"Zhang","given":"Lin"},{"family":"Lee","given":"Jong Hoon"},{"family":"Giovanetti","given":"Robert"},{"family":"Cui","given":"William"},{"family":"Kwon","given":"Jaymin"},{"family":"Alimokhtari","given":"Shahnaz"},{"family":"Shendell","given":"Derek"},{"family":"Jones","given":"Jennifer"},{"family":"Farrar","given":"Corice"},{"family":"Maberti","given":"Silvia"}],"issued":{"date-parts":[["2005"]]}}}],"schema":"https://github.com/citation-style-language/schema/raw/master/csl-citation.json"} </w:instrText>
            </w:r>
            <w:r w:rsidRPr="00AA0679">
              <w:rPr>
                <w:rFonts w:cs="Times New Roman"/>
                <w:sz w:val="20"/>
                <w:szCs w:val="20"/>
              </w:rPr>
              <w:fldChar w:fldCharType="separate"/>
            </w:r>
            <w:r w:rsidR="00EF06F0" w:rsidRPr="00FE7D4D">
              <w:rPr>
                <w:rFonts w:cs="Times New Roman"/>
                <w:sz w:val="20"/>
                <w:vertAlign w:val="superscript"/>
              </w:rPr>
              <w:t>32</w:t>
            </w:r>
            <w:r w:rsidRPr="00FE7D4D">
              <w:rPr>
                <w:rFonts w:cs="Times New Roman"/>
                <w:sz w:val="20"/>
                <w:szCs w:val="20"/>
              </w:rPr>
              <w:fldChar w:fldCharType="end"/>
            </w:r>
          </w:p>
        </w:tc>
        <w:tc>
          <w:tcPr>
            <w:tcW w:w="3995" w:type="dxa"/>
            <w:shd w:val="clear" w:color="auto" w:fill="auto"/>
            <w:vAlign w:val="center"/>
          </w:tcPr>
          <w:p w14:paraId="13052FAF" w14:textId="77777777" w:rsidR="00D869A0" w:rsidRPr="00FE7D4D" w:rsidRDefault="00D869A0" w:rsidP="00E33E51">
            <w:pPr>
              <w:autoSpaceDE w:val="0"/>
              <w:autoSpaceDN w:val="0"/>
              <w:adjustRightInd w:val="0"/>
              <w:rPr>
                <w:rFonts w:ascii="TimesNewRoman" w:hAnsi="TimesNewRoman" w:cs="TimesNewRoman" w:hint="eastAsia"/>
                <w:sz w:val="20"/>
                <w:szCs w:val="20"/>
              </w:rPr>
            </w:pPr>
            <w:r w:rsidRPr="00FE7D4D">
              <w:rPr>
                <w:rFonts w:ascii="TimesNewRoman" w:hAnsi="TimesNewRoman" w:cs="TimesNewRoman" w:hint="eastAsia"/>
                <w:sz w:val="20"/>
                <w:szCs w:val="20"/>
              </w:rPr>
              <w:t>Indoor PM</w:t>
            </w:r>
            <w:r w:rsidRPr="00FE7D4D">
              <w:rPr>
                <w:rFonts w:ascii="TimesNewRoman" w:hAnsi="TimesNewRoman" w:cs="TimesNewRoman" w:hint="eastAsia"/>
                <w:sz w:val="20"/>
                <w:szCs w:val="20"/>
                <w:vertAlign w:val="subscript"/>
              </w:rPr>
              <w:t>2.5</w:t>
            </w:r>
            <w:r w:rsidRPr="00FE7D4D">
              <w:rPr>
                <w:rFonts w:ascii="TimesNewRoman" w:hAnsi="TimesNewRoman" w:cs="TimesNewRoman" w:hint="eastAsia"/>
                <w:sz w:val="20"/>
                <w:szCs w:val="20"/>
              </w:rPr>
              <w:t xml:space="preserve"> concentration</w:t>
            </w:r>
          </w:p>
        </w:tc>
        <w:tc>
          <w:tcPr>
            <w:tcW w:w="1454" w:type="dxa"/>
            <w:shd w:val="clear" w:color="auto" w:fill="auto"/>
            <w:vAlign w:val="center"/>
          </w:tcPr>
          <w:p w14:paraId="4902FB8E"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Lognormal</w:t>
            </w:r>
          </w:p>
        </w:tc>
        <w:tc>
          <w:tcPr>
            <w:tcW w:w="1454" w:type="dxa"/>
            <w:shd w:val="clear" w:color="auto" w:fill="auto"/>
            <w:vAlign w:val="center"/>
          </w:tcPr>
          <w:p w14:paraId="0596EF23" w14:textId="38E770C9" w:rsidR="000A1A70" w:rsidRPr="00FE7D4D" w:rsidRDefault="000A1A7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GM: </w:t>
            </w:r>
            <w:r w:rsidR="00831B23" w:rsidRPr="00FE7D4D">
              <w:rPr>
                <w:rFonts w:ascii="TimesNewRoman" w:hAnsi="TimesNewRoman" w:cs="TimesNewRoman" w:hint="eastAsia"/>
                <w:sz w:val="20"/>
                <w:szCs w:val="20"/>
              </w:rPr>
              <w:t>15</w:t>
            </w:r>
            <w:r w:rsidR="00D869A0" w:rsidRPr="00FE7D4D">
              <w:rPr>
                <w:rFonts w:ascii="TimesNewRoman" w:hAnsi="TimesNewRoman" w:cs="TimesNewRoman" w:hint="eastAsia"/>
                <w:sz w:val="20"/>
                <w:szCs w:val="20"/>
              </w:rPr>
              <w:t>.</w:t>
            </w:r>
            <w:r w:rsidR="00831B23" w:rsidRPr="00FE7D4D">
              <w:rPr>
                <w:rFonts w:ascii="TimesNewRoman" w:hAnsi="TimesNewRoman" w:cs="TimesNewRoman" w:hint="eastAsia"/>
                <w:sz w:val="20"/>
                <w:szCs w:val="20"/>
              </w:rPr>
              <w:t>6</w:t>
            </w:r>
          </w:p>
          <w:p w14:paraId="12794C28" w14:textId="32BD888E" w:rsidR="00D869A0" w:rsidRPr="00FE7D4D" w:rsidRDefault="000A1A70" w:rsidP="000A1A70">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GSD: </w:t>
            </w:r>
            <w:r w:rsidR="00D869A0" w:rsidRPr="00FE7D4D">
              <w:rPr>
                <w:rFonts w:ascii="TimesNewRoman" w:hAnsi="TimesNewRoman" w:cs="TimesNewRoman" w:hint="eastAsia"/>
                <w:sz w:val="20"/>
                <w:szCs w:val="20"/>
              </w:rPr>
              <w:t>1.7</w:t>
            </w:r>
          </w:p>
        </w:tc>
      </w:tr>
      <w:tr w:rsidR="00D869A0" w:rsidRPr="00FE7D4D" w14:paraId="460438EF" w14:textId="77777777" w:rsidTr="00E33E51">
        <w:trPr>
          <w:jc w:val="center"/>
        </w:trPr>
        <w:tc>
          <w:tcPr>
            <w:tcW w:w="865" w:type="dxa"/>
            <w:vMerge/>
          </w:tcPr>
          <w:p w14:paraId="7C1A97AF" w14:textId="77777777" w:rsidR="00D869A0" w:rsidRPr="00FE7D4D" w:rsidRDefault="00D869A0" w:rsidP="00E33E51">
            <w:pPr>
              <w:autoSpaceDE w:val="0"/>
              <w:autoSpaceDN w:val="0"/>
              <w:adjustRightInd w:val="0"/>
              <w:rPr>
                <w:rFonts w:ascii="TimesNewRoman" w:hAnsi="TimesNewRoman" w:cs="TimesNewRoman" w:hint="eastAsia"/>
                <w:sz w:val="20"/>
                <w:szCs w:val="20"/>
              </w:rPr>
            </w:pPr>
          </w:p>
        </w:tc>
        <w:tc>
          <w:tcPr>
            <w:tcW w:w="1946" w:type="dxa"/>
            <w:vMerge/>
            <w:vAlign w:val="center"/>
          </w:tcPr>
          <w:p w14:paraId="233A1A2C" w14:textId="77777777" w:rsidR="00D869A0" w:rsidRPr="00FE7D4D" w:rsidRDefault="00D869A0" w:rsidP="00E33E51">
            <w:pPr>
              <w:autoSpaceDE w:val="0"/>
              <w:autoSpaceDN w:val="0"/>
              <w:adjustRightInd w:val="0"/>
              <w:rPr>
                <w:rFonts w:ascii="TimesNewRoman" w:hAnsi="TimesNewRoman" w:cs="TimesNewRoman" w:hint="eastAsia"/>
                <w:sz w:val="20"/>
                <w:szCs w:val="20"/>
              </w:rPr>
            </w:pPr>
          </w:p>
        </w:tc>
        <w:tc>
          <w:tcPr>
            <w:tcW w:w="3995" w:type="dxa"/>
            <w:shd w:val="clear" w:color="auto" w:fill="auto"/>
            <w:vAlign w:val="center"/>
          </w:tcPr>
          <w:p w14:paraId="070ADEBB" w14:textId="77777777" w:rsidR="00D869A0" w:rsidRPr="00FE7D4D" w:rsidRDefault="00D869A0" w:rsidP="00E33E51">
            <w:pPr>
              <w:autoSpaceDE w:val="0"/>
              <w:autoSpaceDN w:val="0"/>
              <w:adjustRightInd w:val="0"/>
              <w:rPr>
                <w:rFonts w:ascii="TimesNewRoman" w:hAnsi="TimesNewRoman" w:cs="TimesNewRoman" w:hint="eastAsia"/>
                <w:sz w:val="20"/>
                <w:szCs w:val="20"/>
              </w:rPr>
            </w:pPr>
            <w:r w:rsidRPr="00FE7D4D">
              <w:rPr>
                <w:rFonts w:ascii="TimesNewRoman" w:hAnsi="TimesNewRoman" w:cs="TimesNewRoman" w:hint="eastAsia"/>
                <w:sz w:val="20"/>
                <w:szCs w:val="20"/>
              </w:rPr>
              <w:t>Outdoor PM</w:t>
            </w:r>
            <w:r w:rsidRPr="00FE7D4D">
              <w:rPr>
                <w:rFonts w:ascii="TimesNewRoman" w:hAnsi="TimesNewRoman" w:cs="TimesNewRoman" w:hint="eastAsia"/>
                <w:sz w:val="20"/>
                <w:szCs w:val="20"/>
                <w:vertAlign w:val="subscript"/>
              </w:rPr>
              <w:t>2.5</w:t>
            </w:r>
            <w:r w:rsidRPr="00FE7D4D">
              <w:rPr>
                <w:rFonts w:ascii="TimesNewRoman" w:hAnsi="TimesNewRoman" w:cs="TimesNewRoman" w:hint="eastAsia"/>
                <w:sz w:val="20"/>
                <w:szCs w:val="20"/>
              </w:rPr>
              <w:t xml:space="preserve"> concentration</w:t>
            </w:r>
          </w:p>
        </w:tc>
        <w:tc>
          <w:tcPr>
            <w:tcW w:w="1454" w:type="dxa"/>
            <w:shd w:val="clear" w:color="auto" w:fill="auto"/>
            <w:vAlign w:val="center"/>
          </w:tcPr>
          <w:p w14:paraId="470F701E"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Lognormal</w:t>
            </w:r>
          </w:p>
        </w:tc>
        <w:tc>
          <w:tcPr>
            <w:tcW w:w="1454" w:type="dxa"/>
            <w:shd w:val="clear" w:color="auto" w:fill="auto"/>
            <w:vAlign w:val="center"/>
          </w:tcPr>
          <w:p w14:paraId="455925FB" w14:textId="440587BE" w:rsidR="000A1A70" w:rsidRPr="00FE7D4D" w:rsidRDefault="000A1A7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GM: </w:t>
            </w:r>
            <w:r w:rsidR="00831B23" w:rsidRPr="00FE7D4D">
              <w:rPr>
                <w:rFonts w:ascii="TimesNewRoman" w:hAnsi="TimesNewRoman" w:cs="TimesNewRoman" w:hint="eastAsia"/>
                <w:sz w:val="20"/>
                <w:szCs w:val="20"/>
              </w:rPr>
              <w:t>14</w:t>
            </w:r>
            <w:r w:rsidR="00D869A0" w:rsidRPr="00FE7D4D">
              <w:rPr>
                <w:rFonts w:ascii="TimesNewRoman" w:hAnsi="TimesNewRoman" w:cs="TimesNewRoman" w:hint="eastAsia"/>
                <w:sz w:val="20"/>
                <w:szCs w:val="20"/>
              </w:rPr>
              <w:t>.</w:t>
            </w:r>
            <w:r w:rsidR="00831B23" w:rsidRPr="00FE7D4D">
              <w:rPr>
                <w:rFonts w:ascii="TimesNewRoman" w:hAnsi="TimesNewRoman" w:cs="TimesNewRoman" w:hint="eastAsia"/>
                <w:sz w:val="20"/>
                <w:szCs w:val="20"/>
              </w:rPr>
              <w:t>3</w:t>
            </w:r>
          </w:p>
          <w:p w14:paraId="364D13FA" w14:textId="189994E7" w:rsidR="00D869A0" w:rsidRPr="00FE7D4D" w:rsidRDefault="000A1A70" w:rsidP="000A1A70">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GSD: </w:t>
            </w:r>
            <w:r w:rsidR="00D869A0" w:rsidRPr="00FE7D4D">
              <w:rPr>
                <w:rFonts w:ascii="TimesNewRoman" w:hAnsi="TimesNewRoman" w:cs="TimesNewRoman" w:hint="eastAsia"/>
                <w:sz w:val="20"/>
                <w:szCs w:val="20"/>
              </w:rPr>
              <w:t>1.</w:t>
            </w:r>
            <w:r w:rsidR="00831B23" w:rsidRPr="00FE7D4D">
              <w:rPr>
                <w:rFonts w:ascii="TimesNewRoman" w:hAnsi="TimesNewRoman" w:cs="TimesNewRoman" w:hint="eastAsia"/>
                <w:sz w:val="20"/>
                <w:szCs w:val="20"/>
              </w:rPr>
              <w:t>9</w:t>
            </w:r>
          </w:p>
        </w:tc>
      </w:tr>
      <w:tr w:rsidR="00D869A0" w:rsidRPr="00FE7D4D" w14:paraId="32A38A60" w14:textId="77777777" w:rsidTr="00E33E51">
        <w:trPr>
          <w:trHeight w:val="242"/>
          <w:jc w:val="center"/>
        </w:trPr>
        <w:tc>
          <w:tcPr>
            <w:tcW w:w="865" w:type="dxa"/>
            <w:vMerge/>
          </w:tcPr>
          <w:p w14:paraId="2B08FDDF" w14:textId="77777777" w:rsidR="00D869A0" w:rsidRPr="00FE7D4D" w:rsidRDefault="00D869A0" w:rsidP="00E33E51">
            <w:pPr>
              <w:autoSpaceDE w:val="0"/>
              <w:autoSpaceDN w:val="0"/>
              <w:adjustRightInd w:val="0"/>
              <w:rPr>
                <w:rFonts w:ascii="TimesNewRoman" w:hAnsi="TimesNewRoman" w:cs="TimesNewRoman" w:hint="eastAsia"/>
                <w:sz w:val="20"/>
                <w:szCs w:val="20"/>
              </w:rPr>
            </w:pPr>
          </w:p>
        </w:tc>
        <w:tc>
          <w:tcPr>
            <w:tcW w:w="1946" w:type="dxa"/>
            <w:vAlign w:val="center"/>
          </w:tcPr>
          <w:p w14:paraId="13000DB6" w14:textId="15B10821" w:rsidR="00D869A0" w:rsidRPr="00FE7D4D" w:rsidRDefault="00D869A0" w:rsidP="00E33E51">
            <w:pPr>
              <w:autoSpaceDE w:val="0"/>
              <w:autoSpaceDN w:val="0"/>
              <w:adjustRightInd w:val="0"/>
              <w:rPr>
                <w:rFonts w:ascii="TimesNewRoman" w:hAnsi="TimesNewRoman" w:cs="TimesNewRoman" w:hint="eastAsia"/>
                <w:sz w:val="20"/>
                <w:szCs w:val="20"/>
              </w:rPr>
            </w:pPr>
            <w:r w:rsidRPr="00FE7D4D">
              <w:rPr>
                <w:sz w:val="20"/>
                <w:szCs w:val="20"/>
              </w:rPr>
              <w:t>Meng et al. (2005)</w:t>
            </w:r>
            <w:r w:rsidRPr="00FE7D4D">
              <w:rPr>
                <w:sz w:val="20"/>
                <w:szCs w:val="20"/>
              </w:rPr>
              <w:fldChar w:fldCharType="begin"/>
            </w:r>
            <w:r w:rsidR="00EF06F0" w:rsidRPr="00FE7D4D">
              <w:rPr>
                <w:sz w:val="20"/>
                <w:szCs w:val="20"/>
              </w:rPr>
              <w:instrText xml:space="preserve"> ADDIN ZOTERO_ITEM CSL_CITATION {"citationID":"vtdafb0m3","properties":{"formattedCitation":"\\super 33\\nosupersub{}","plainCitation":"33","noteIndex":0},"citationItems":[{"id":206,"uris":["http://zotero.org/users/327441/items/7Q86A2P7"],"uri":["http://zotero.org/users/327441/items/7Q86A2P7"],"itemData":{"id":206,"type":"article-journal","title":"PM2.5 of ambient origin: estimates and exposure errors relevant to PM epidemiology","container-title":"Environmental Science &amp; Technology","page":"5105-5112","volume":"39","issue":"14","source":"CrossRef","DOI":"10.1021/es048226f","ISSN":"0013-936X, 1520-5851","shortTitle":"PM               2.5               of Ambient Origin","author":[{"family":"Meng","given":"Qing Yu"},{"family":"Turpin","given":"Barbara J"},{"family":"Polidori","given":"Andrea"},{"family":"Lee","given":"Jong Hoon"},{"family":"Weisel","given":"Clifford"},{"family":"Morandi","given":"Maria"},{"family":"Colome","given":"Steven"},{"family":"Stock","given":"Thomas"},{"family":"Winer","given":"Arthur"},{"family":"Zhang","given":"Jenfeng (Jim)"}],"issued":{"date-parts":[["2005",7]]}}}],"schema":"https://github.com/citation-style-language/schema/raw/master/csl-citation.json"} </w:instrText>
            </w:r>
            <w:r w:rsidRPr="00AA0679">
              <w:rPr>
                <w:sz w:val="20"/>
                <w:szCs w:val="20"/>
              </w:rPr>
              <w:fldChar w:fldCharType="separate"/>
            </w:r>
            <w:r w:rsidR="00EF06F0" w:rsidRPr="00FE7D4D">
              <w:rPr>
                <w:rFonts w:cs="Times New Roman"/>
                <w:sz w:val="20"/>
                <w:vertAlign w:val="superscript"/>
              </w:rPr>
              <w:t>33</w:t>
            </w:r>
            <w:r w:rsidRPr="00FE7D4D">
              <w:rPr>
                <w:sz w:val="20"/>
                <w:szCs w:val="20"/>
              </w:rPr>
              <w:fldChar w:fldCharType="end"/>
            </w:r>
          </w:p>
        </w:tc>
        <w:tc>
          <w:tcPr>
            <w:tcW w:w="3995" w:type="dxa"/>
            <w:shd w:val="clear" w:color="auto" w:fill="auto"/>
            <w:vAlign w:val="center"/>
          </w:tcPr>
          <w:p w14:paraId="041AAD5A" w14:textId="77777777" w:rsidR="00D869A0" w:rsidRPr="00FE7D4D" w:rsidRDefault="00D869A0" w:rsidP="00E33E51">
            <w:pPr>
              <w:autoSpaceDE w:val="0"/>
              <w:autoSpaceDN w:val="0"/>
              <w:adjustRightInd w:val="0"/>
              <w:rPr>
                <w:rFonts w:ascii="TimesNewRoman" w:hAnsi="TimesNewRoman" w:cs="TimesNewRoman" w:hint="eastAsia"/>
                <w:sz w:val="20"/>
                <w:szCs w:val="20"/>
              </w:rPr>
            </w:pPr>
            <w:r w:rsidRPr="00FE7D4D">
              <w:rPr>
                <w:rFonts w:ascii="TimesNewRoman" w:hAnsi="TimesNewRoman" w:cs="TimesNewRoman" w:hint="eastAsia"/>
                <w:sz w:val="20"/>
                <w:szCs w:val="20"/>
              </w:rPr>
              <w:t>PM</w:t>
            </w:r>
            <w:r w:rsidRPr="00FE7D4D">
              <w:rPr>
                <w:rFonts w:ascii="TimesNewRoman" w:hAnsi="TimesNewRoman" w:cs="TimesNewRoman" w:hint="eastAsia"/>
                <w:sz w:val="20"/>
                <w:szCs w:val="20"/>
                <w:vertAlign w:val="subscript"/>
              </w:rPr>
              <w:t>2.5</w:t>
            </w:r>
            <w:r w:rsidRPr="00FE7D4D">
              <w:rPr>
                <w:rFonts w:ascii="TimesNewRoman" w:hAnsi="TimesNewRoman" w:cs="TimesNewRoman" w:hint="eastAsia"/>
                <w:sz w:val="20"/>
                <w:szCs w:val="20"/>
              </w:rPr>
              <w:t xml:space="preserve"> infiltration factor</w:t>
            </w:r>
          </w:p>
        </w:tc>
        <w:tc>
          <w:tcPr>
            <w:tcW w:w="1454" w:type="dxa"/>
            <w:shd w:val="clear" w:color="auto" w:fill="auto"/>
            <w:vAlign w:val="center"/>
          </w:tcPr>
          <w:p w14:paraId="0E790BF2"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Beta</w:t>
            </w:r>
          </w:p>
        </w:tc>
        <w:tc>
          <w:tcPr>
            <w:tcW w:w="1454" w:type="dxa"/>
            <w:shd w:val="clear" w:color="auto" w:fill="auto"/>
            <w:vAlign w:val="center"/>
          </w:tcPr>
          <w:p w14:paraId="54CC09DF"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0.54 </w:t>
            </w:r>
            <w:r w:rsidRPr="00FE7D4D">
              <w:rPr>
                <w:rFonts w:cs="Times New Roman"/>
                <w:sz w:val="20"/>
                <w:szCs w:val="20"/>
              </w:rPr>
              <w:t xml:space="preserve">± </w:t>
            </w:r>
            <w:r w:rsidRPr="00FE7D4D">
              <w:rPr>
                <w:rFonts w:ascii="TimesNewRoman" w:hAnsi="TimesNewRoman" w:cs="TimesNewRoman" w:hint="eastAsia"/>
                <w:sz w:val="20"/>
                <w:szCs w:val="20"/>
              </w:rPr>
              <w:t>0.16</w:t>
            </w:r>
          </w:p>
        </w:tc>
      </w:tr>
      <w:tr w:rsidR="00D869A0" w:rsidRPr="00FE7D4D" w14:paraId="1FE64982" w14:textId="77777777" w:rsidTr="00E33E51">
        <w:trPr>
          <w:trHeight w:val="242"/>
          <w:jc w:val="center"/>
        </w:trPr>
        <w:tc>
          <w:tcPr>
            <w:tcW w:w="865" w:type="dxa"/>
            <w:vMerge/>
          </w:tcPr>
          <w:p w14:paraId="470060F6" w14:textId="77777777" w:rsidR="00D869A0" w:rsidRPr="00FE7D4D" w:rsidRDefault="00D869A0" w:rsidP="00E33E51">
            <w:pPr>
              <w:autoSpaceDE w:val="0"/>
              <w:autoSpaceDN w:val="0"/>
              <w:adjustRightInd w:val="0"/>
              <w:rPr>
                <w:rFonts w:ascii="TimesNewRoman" w:hAnsi="TimesNewRoman" w:cs="TimesNewRoman" w:hint="eastAsia"/>
                <w:sz w:val="20"/>
                <w:szCs w:val="20"/>
              </w:rPr>
            </w:pPr>
          </w:p>
        </w:tc>
        <w:tc>
          <w:tcPr>
            <w:tcW w:w="1946" w:type="dxa"/>
            <w:vAlign w:val="center"/>
          </w:tcPr>
          <w:p w14:paraId="7494A045" w14:textId="77777777" w:rsidR="00D869A0" w:rsidRPr="00FE7D4D" w:rsidRDefault="00D869A0" w:rsidP="00E33E51">
            <w:pPr>
              <w:autoSpaceDE w:val="0"/>
              <w:autoSpaceDN w:val="0"/>
              <w:adjustRightInd w:val="0"/>
              <w:rPr>
                <w:i/>
                <w:sz w:val="20"/>
                <w:szCs w:val="20"/>
              </w:rPr>
            </w:pPr>
            <w:r w:rsidRPr="00FE7D4D">
              <w:rPr>
                <w:i/>
                <w:sz w:val="20"/>
                <w:szCs w:val="20"/>
              </w:rPr>
              <w:t>Calculated</w:t>
            </w:r>
          </w:p>
        </w:tc>
        <w:tc>
          <w:tcPr>
            <w:tcW w:w="3995" w:type="dxa"/>
            <w:shd w:val="clear" w:color="auto" w:fill="auto"/>
            <w:vAlign w:val="center"/>
          </w:tcPr>
          <w:p w14:paraId="04D56E48" w14:textId="77777777" w:rsidR="00D869A0" w:rsidRPr="00FE7D4D" w:rsidRDefault="00D869A0" w:rsidP="00E33E51">
            <w:pPr>
              <w:autoSpaceDE w:val="0"/>
              <w:autoSpaceDN w:val="0"/>
              <w:adjustRightInd w:val="0"/>
              <w:rPr>
                <w:rFonts w:ascii="TimesNewRoman" w:hAnsi="TimesNewRoman" w:cs="TimesNewRoman" w:hint="eastAsia"/>
                <w:sz w:val="20"/>
                <w:szCs w:val="20"/>
              </w:rPr>
            </w:pPr>
            <w:r w:rsidRPr="00FE7D4D">
              <w:rPr>
                <w:rFonts w:ascii="TimesNewRoman" w:hAnsi="TimesNewRoman" w:cs="TimesNewRoman" w:hint="eastAsia"/>
                <w:sz w:val="20"/>
                <w:szCs w:val="20"/>
              </w:rPr>
              <w:t>Indoor PM</w:t>
            </w:r>
            <w:r w:rsidRPr="00FE7D4D">
              <w:rPr>
                <w:rFonts w:ascii="TimesNewRoman" w:hAnsi="TimesNewRoman" w:cs="TimesNewRoman" w:hint="eastAsia"/>
                <w:sz w:val="20"/>
                <w:szCs w:val="20"/>
                <w:vertAlign w:val="subscript"/>
              </w:rPr>
              <w:t>2.5</w:t>
            </w:r>
            <w:r w:rsidRPr="00FE7D4D">
              <w:rPr>
                <w:rFonts w:ascii="TimesNewRoman" w:hAnsi="TimesNewRoman" w:cs="TimesNewRoman" w:hint="eastAsia"/>
                <w:sz w:val="20"/>
                <w:szCs w:val="20"/>
              </w:rPr>
              <w:t xml:space="preserve"> concentration attributable to indoor sources</w:t>
            </w:r>
          </w:p>
        </w:tc>
        <w:tc>
          <w:tcPr>
            <w:tcW w:w="1454" w:type="dxa"/>
            <w:shd w:val="clear" w:color="auto" w:fill="auto"/>
            <w:vAlign w:val="center"/>
          </w:tcPr>
          <w:p w14:paraId="0AF47356"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n/a</w:t>
            </w:r>
          </w:p>
        </w:tc>
        <w:tc>
          <w:tcPr>
            <w:tcW w:w="1454" w:type="dxa"/>
            <w:shd w:val="clear" w:color="auto" w:fill="auto"/>
            <w:vAlign w:val="center"/>
          </w:tcPr>
          <w:p w14:paraId="5EF9600A"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8.7 </w:t>
            </w:r>
            <w:r w:rsidRPr="00FE7D4D">
              <w:rPr>
                <w:rFonts w:cs="Times New Roman"/>
                <w:sz w:val="20"/>
                <w:szCs w:val="20"/>
              </w:rPr>
              <w:t xml:space="preserve">± </w:t>
            </w:r>
            <w:r w:rsidRPr="00FE7D4D">
              <w:rPr>
                <w:rFonts w:ascii="TimesNewRoman" w:hAnsi="TimesNewRoman" w:cs="TimesNewRoman" w:hint="eastAsia"/>
                <w:sz w:val="20"/>
                <w:szCs w:val="20"/>
              </w:rPr>
              <w:t>11.8</w:t>
            </w:r>
          </w:p>
        </w:tc>
      </w:tr>
      <w:tr w:rsidR="00D869A0" w:rsidRPr="00FE7D4D" w14:paraId="6029C8E0" w14:textId="77777777" w:rsidTr="00E33E51">
        <w:trPr>
          <w:trHeight w:val="242"/>
          <w:jc w:val="center"/>
        </w:trPr>
        <w:tc>
          <w:tcPr>
            <w:tcW w:w="865" w:type="dxa"/>
            <w:vMerge w:val="restart"/>
            <w:vAlign w:val="center"/>
          </w:tcPr>
          <w:p w14:paraId="609ECCF4"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MESA </w:t>
            </w:r>
          </w:p>
          <w:p w14:paraId="4729867B"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Air</w:t>
            </w:r>
          </w:p>
        </w:tc>
        <w:tc>
          <w:tcPr>
            <w:tcW w:w="1946" w:type="dxa"/>
            <w:vMerge w:val="restart"/>
            <w:vAlign w:val="center"/>
          </w:tcPr>
          <w:p w14:paraId="1F18EE5C" w14:textId="3A12B2CF" w:rsidR="00D869A0" w:rsidRPr="00FE7D4D" w:rsidRDefault="00D869A0" w:rsidP="00E33E51">
            <w:pPr>
              <w:autoSpaceDE w:val="0"/>
              <w:autoSpaceDN w:val="0"/>
              <w:adjustRightInd w:val="0"/>
              <w:rPr>
                <w:rFonts w:ascii="TimesNewRoman" w:hAnsi="TimesNewRoman" w:cs="TimesNewRoman" w:hint="eastAsia"/>
                <w:sz w:val="20"/>
                <w:szCs w:val="20"/>
              </w:rPr>
            </w:pPr>
            <w:r w:rsidRPr="00FE7D4D">
              <w:rPr>
                <w:sz w:val="20"/>
                <w:szCs w:val="20"/>
              </w:rPr>
              <w:t>Allen et al. (2012)</w:t>
            </w:r>
            <w:r w:rsidRPr="00FE7D4D">
              <w:rPr>
                <w:sz w:val="20"/>
                <w:szCs w:val="20"/>
              </w:rPr>
              <w:fldChar w:fldCharType="begin"/>
            </w:r>
            <w:r w:rsidR="00EF06F0" w:rsidRPr="00FE7D4D">
              <w:rPr>
                <w:sz w:val="20"/>
                <w:szCs w:val="20"/>
              </w:rPr>
              <w:instrText xml:space="preserve"> ADDIN ZOTERO_ITEM CSL_CITATION {"citationID":"5579ioiam","properties":{"formattedCitation":"\\super 34\\nosupersub{}","plainCitation":"34","noteIndex":0},"citationItems":[{"id":533,"uris":["http://zotero.org/users/327441/items/FGU6FJ77"],"uri":["http://zotero.org/users/327441/items/FGU6FJ77"],"itemData":{"id":533,"type":"article-journal","title":"Modeling the residential infiltration of outdoor PM2.5 in the Multi-Ethnic Study of Atherosclerosis and Air Pollution (MESA Air)","container-title":"Environmental Health Perspectives","page":"824-830","volume":"120","issue":"6","source":"CrossRef","DOI":"10.1289/ehp.1104447","ISSN":"0091-6765","author":[{"family":"Allen","given":"Ryan W."},{"family":"Adar","given":"Sara D."},{"family":"Avol","given":"Ed"},{"family":"Cohen","given":"Martin"},{"family":"Curl","given":"Cynthia L."},{"family":"Larson","given":"Timothy"},{"family":"Liu","given":"L.-J. Sally"},{"family":"Sheppard","given":"Lianne"},{"family":"Kaufman","given":"Joel D."}],"issued":{"date-parts":[["2012",2,22]]}}}],"schema":"https://github.com/citation-style-language/schema/raw/master/csl-citation.json"} </w:instrText>
            </w:r>
            <w:r w:rsidRPr="00AA0679">
              <w:rPr>
                <w:sz w:val="20"/>
                <w:szCs w:val="20"/>
              </w:rPr>
              <w:fldChar w:fldCharType="separate"/>
            </w:r>
            <w:r w:rsidR="00EF06F0" w:rsidRPr="00FE7D4D">
              <w:rPr>
                <w:rFonts w:cs="Times New Roman"/>
                <w:sz w:val="20"/>
                <w:vertAlign w:val="superscript"/>
              </w:rPr>
              <w:t>34</w:t>
            </w:r>
            <w:r w:rsidRPr="00FE7D4D">
              <w:rPr>
                <w:sz w:val="20"/>
                <w:szCs w:val="20"/>
              </w:rPr>
              <w:fldChar w:fldCharType="end"/>
            </w:r>
          </w:p>
        </w:tc>
        <w:tc>
          <w:tcPr>
            <w:tcW w:w="3995" w:type="dxa"/>
            <w:shd w:val="clear" w:color="auto" w:fill="auto"/>
            <w:vAlign w:val="center"/>
          </w:tcPr>
          <w:p w14:paraId="1A7CF273" w14:textId="77777777" w:rsidR="00D869A0" w:rsidRPr="00FE7D4D" w:rsidRDefault="00D869A0" w:rsidP="00E33E51">
            <w:pPr>
              <w:autoSpaceDE w:val="0"/>
              <w:autoSpaceDN w:val="0"/>
              <w:adjustRightInd w:val="0"/>
              <w:rPr>
                <w:rFonts w:ascii="TimesNewRoman" w:hAnsi="TimesNewRoman" w:cs="TimesNewRoman" w:hint="eastAsia"/>
                <w:sz w:val="20"/>
                <w:szCs w:val="20"/>
              </w:rPr>
            </w:pPr>
            <w:r w:rsidRPr="00FE7D4D">
              <w:rPr>
                <w:rFonts w:ascii="TimesNewRoman" w:hAnsi="TimesNewRoman" w:cs="TimesNewRoman" w:hint="eastAsia"/>
                <w:sz w:val="20"/>
                <w:szCs w:val="20"/>
              </w:rPr>
              <w:t>Indoor PM</w:t>
            </w:r>
            <w:r w:rsidRPr="00FE7D4D">
              <w:rPr>
                <w:rFonts w:ascii="TimesNewRoman" w:hAnsi="TimesNewRoman" w:cs="TimesNewRoman" w:hint="eastAsia"/>
                <w:sz w:val="20"/>
                <w:szCs w:val="20"/>
                <w:vertAlign w:val="subscript"/>
              </w:rPr>
              <w:t>2.5</w:t>
            </w:r>
            <w:r w:rsidRPr="00FE7D4D">
              <w:rPr>
                <w:rFonts w:ascii="TimesNewRoman" w:hAnsi="TimesNewRoman" w:cs="TimesNewRoman" w:hint="eastAsia"/>
                <w:sz w:val="20"/>
                <w:szCs w:val="20"/>
              </w:rPr>
              <w:t xml:space="preserve"> concentration (cold season)</w:t>
            </w:r>
          </w:p>
        </w:tc>
        <w:tc>
          <w:tcPr>
            <w:tcW w:w="1454" w:type="dxa"/>
            <w:shd w:val="clear" w:color="auto" w:fill="auto"/>
            <w:vAlign w:val="center"/>
          </w:tcPr>
          <w:p w14:paraId="466DF401"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n/a</w:t>
            </w:r>
          </w:p>
        </w:tc>
        <w:tc>
          <w:tcPr>
            <w:tcW w:w="1454" w:type="dxa"/>
            <w:shd w:val="clear" w:color="auto" w:fill="auto"/>
            <w:vAlign w:val="center"/>
          </w:tcPr>
          <w:p w14:paraId="0336961F"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sz w:val="20"/>
                <w:szCs w:val="20"/>
              </w:rPr>
              <w:t xml:space="preserve">10.4 </w:t>
            </w:r>
            <w:r w:rsidRPr="00FE7D4D">
              <w:rPr>
                <w:rFonts w:cs="Times New Roman"/>
                <w:sz w:val="20"/>
                <w:szCs w:val="20"/>
              </w:rPr>
              <w:t>± 7.0</w:t>
            </w:r>
          </w:p>
        </w:tc>
      </w:tr>
      <w:tr w:rsidR="00D869A0" w:rsidRPr="00FE7D4D" w14:paraId="1803CE32" w14:textId="77777777" w:rsidTr="00E33E51">
        <w:trPr>
          <w:trHeight w:val="242"/>
          <w:jc w:val="center"/>
        </w:trPr>
        <w:tc>
          <w:tcPr>
            <w:tcW w:w="865" w:type="dxa"/>
            <w:vMerge/>
            <w:vAlign w:val="center"/>
          </w:tcPr>
          <w:p w14:paraId="3E0C1A43"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p>
        </w:tc>
        <w:tc>
          <w:tcPr>
            <w:tcW w:w="1946" w:type="dxa"/>
            <w:vMerge/>
            <w:vAlign w:val="center"/>
          </w:tcPr>
          <w:p w14:paraId="7158417F" w14:textId="77777777" w:rsidR="00D869A0" w:rsidRPr="00FE7D4D" w:rsidRDefault="00D869A0" w:rsidP="00E33E51">
            <w:pPr>
              <w:autoSpaceDE w:val="0"/>
              <w:autoSpaceDN w:val="0"/>
              <w:adjustRightInd w:val="0"/>
              <w:rPr>
                <w:rFonts w:ascii="TimesNewRoman" w:hAnsi="TimesNewRoman" w:cs="TimesNewRoman" w:hint="eastAsia"/>
                <w:sz w:val="20"/>
                <w:szCs w:val="20"/>
              </w:rPr>
            </w:pPr>
          </w:p>
        </w:tc>
        <w:tc>
          <w:tcPr>
            <w:tcW w:w="3995" w:type="dxa"/>
            <w:shd w:val="clear" w:color="auto" w:fill="auto"/>
            <w:vAlign w:val="center"/>
          </w:tcPr>
          <w:p w14:paraId="61D59813" w14:textId="77777777" w:rsidR="00D869A0" w:rsidRPr="00FE7D4D" w:rsidRDefault="00D869A0" w:rsidP="00E33E51">
            <w:pPr>
              <w:autoSpaceDE w:val="0"/>
              <w:autoSpaceDN w:val="0"/>
              <w:adjustRightInd w:val="0"/>
              <w:rPr>
                <w:rFonts w:ascii="TimesNewRoman" w:hAnsi="TimesNewRoman" w:cs="TimesNewRoman" w:hint="eastAsia"/>
                <w:sz w:val="20"/>
                <w:szCs w:val="20"/>
              </w:rPr>
            </w:pPr>
            <w:r w:rsidRPr="00FE7D4D">
              <w:rPr>
                <w:rFonts w:ascii="TimesNewRoman" w:hAnsi="TimesNewRoman" w:cs="TimesNewRoman" w:hint="eastAsia"/>
                <w:sz w:val="20"/>
                <w:szCs w:val="20"/>
              </w:rPr>
              <w:t>Indoor PM</w:t>
            </w:r>
            <w:r w:rsidRPr="00FE7D4D">
              <w:rPr>
                <w:rFonts w:ascii="TimesNewRoman" w:hAnsi="TimesNewRoman" w:cs="TimesNewRoman" w:hint="eastAsia"/>
                <w:sz w:val="20"/>
                <w:szCs w:val="20"/>
                <w:vertAlign w:val="subscript"/>
              </w:rPr>
              <w:t>2.5</w:t>
            </w:r>
            <w:r w:rsidRPr="00FE7D4D">
              <w:rPr>
                <w:rFonts w:ascii="TimesNewRoman" w:hAnsi="TimesNewRoman" w:cs="TimesNewRoman" w:hint="eastAsia"/>
                <w:sz w:val="20"/>
                <w:szCs w:val="20"/>
              </w:rPr>
              <w:t xml:space="preserve"> concentration (warm season)</w:t>
            </w:r>
          </w:p>
        </w:tc>
        <w:tc>
          <w:tcPr>
            <w:tcW w:w="1454" w:type="dxa"/>
            <w:shd w:val="clear" w:color="auto" w:fill="auto"/>
            <w:vAlign w:val="center"/>
          </w:tcPr>
          <w:p w14:paraId="5A380351" w14:textId="77777777" w:rsidR="00D869A0" w:rsidRPr="00FE7D4D" w:rsidDel="004076F0"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n/a</w:t>
            </w:r>
          </w:p>
        </w:tc>
        <w:tc>
          <w:tcPr>
            <w:tcW w:w="1454" w:type="dxa"/>
            <w:shd w:val="clear" w:color="auto" w:fill="auto"/>
            <w:vAlign w:val="center"/>
          </w:tcPr>
          <w:p w14:paraId="31E42247" w14:textId="77777777" w:rsidR="00D869A0" w:rsidRPr="00FE7D4D" w:rsidRDefault="00D869A0" w:rsidP="00E33E51">
            <w:pPr>
              <w:autoSpaceDE w:val="0"/>
              <w:autoSpaceDN w:val="0"/>
              <w:adjustRightInd w:val="0"/>
              <w:jc w:val="center"/>
              <w:rPr>
                <w:sz w:val="20"/>
                <w:szCs w:val="20"/>
              </w:rPr>
            </w:pPr>
            <w:r w:rsidRPr="00FE7D4D">
              <w:rPr>
                <w:sz w:val="20"/>
                <w:szCs w:val="20"/>
              </w:rPr>
              <w:t xml:space="preserve">12.8 </w:t>
            </w:r>
            <w:r w:rsidRPr="00FE7D4D">
              <w:rPr>
                <w:rFonts w:cs="Times New Roman"/>
                <w:sz w:val="20"/>
                <w:szCs w:val="20"/>
              </w:rPr>
              <w:t>± 5.6</w:t>
            </w:r>
          </w:p>
        </w:tc>
      </w:tr>
      <w:tr w:rsidR="00D869A0" w:rsidRPr="00FE7D4D" w14:paraId="2E5A3AAF" w14:textId="77777777" w:rsidTr="00E33E51">
        <w:trPr>
          <w:trHeight w:val="242"/>
          <w:jc w:val="center"/>
        </w:trPr>
        <w:tc>
          <w:tcPr>
            <w:tcW w:w="865" w:type="dxa"/>
            <w:vMerge/>
            <w:vAlign w:val="center"/>
          </w:tcPr>
          <w:p w14:paraId="650A03D1"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p>
        </w:tc>
        <w:tc>
          <w:tcPr>
            <w:tcW w:w="1946" w:type="dxa"/>
            <w:vMerge/>
            <w:vAlign w:val="center"/>
          </w:tcPr>
          <w:p w14:paraId="4C4156D8" w14:textId="77777777" w:rsidR="00D869A0" w:rsidRPr="00FE7D4D" w:rsidRDefault="00D869A0" w:rsidP="00E33E51">
            <w:pPr>
              <w:autoSpaceDE w:val="0"/>
              <w:autoSpaceDN w:val="0"/>
              <w:adjustRightInd w:val="0"/>
              <w:rPr>
                <w:rFonts w:ascii="TimesNewRoman" w:hAnsi="TimesNewRoman" w:cs="TimesNewRoman" w:hint="eastAsia"/>
                <w:sz w:val="20"/>
                <w:szCs w:val="20"/>
              </w:rPr>
            </w:pPr>
          </w:p>
        </w:tc>
        <w:tc>
          <w:tcPr>
            <w:tcW w:w="3995" w:type="dxa"/>
            <w:shd w:val="clear" w:color="auto" w:fill="auto"/>
            <w:vAlign w:val="center"/>
          </w:tcPr>
          <w:p w14:paraId="01AD8838" w14:textId="77777777" w:rsidR="00D869A0" w:rsidRPr="00FE7D4D" w:rsidRDefault="00D869A0" w:rsidP="00E33E51">
            <w:pPr>
              <w:autoSpaceDE w:val="0"/>
              <w:autoSpaceDN w:val="0"/>
              <w:adjustRightInd w:val="0"/>
              <w:rPr>
                <w:rFonts w:ascii="TimesNewRoman" w:hAnsi="TimesNewRoman" w:cs="TimesNewRoman" w:hint="eastAsia"/>
                <w:sz w:val="20"/>
                <w:szCs w:val="20"/>
              </w:rPr>
            </w:pPr>
            <w:r w:rsidRPr="00FE7D4D">
              <w:rPr>
                <w:rFonts w:ascii="TimesNewRoman" w:hAnsi="TimesNewRoman" w:cs="TimesNewRoman" w:hint="eastAsia"/>
                <w:sz w:val="20"/>
                <w:szCs w:val="20"/>
              </w:rPr>
              <w:t>Outdoor PM</w:t>
            </w:r>
            <w:r w:rsidRPr="00FE7D4D">
              <w:rPr>
                <w:rFonts w:ascii="TimesNewRoman" w:hAnsi="TimesNewRoman" w:cs="TimesNewRoman" w:hint="eastAsia"/>
                <w:sz w:val="20"/>
                <w:szCs w:val="20"/>
                <w:vertAlign w:val="subscript"/>
              </w:rPr>
              <w:t>2.5</w:t>
            </w:r>
            <w:r w:rsidRPr="00FE7D4D">
              <w:rPr>
                <w:rFonts w:ascii="TimesNewRoman" w:hAnsi="TimesNewRoman" w:cs="TimesNewRoman" w:hint="eastAsia"/>
                <w:sz w:val="20"/>
                <w:szCs w:val="20"/>
              </w:rPr>
              <w:t xml:space="preserve"> concentration (cold season)</w:t>
            </w:r>
          </w:p>
        </w:tc>
        <w:tc>
          <w:tcPr>
            <w:tcW w:w="1454" w:type="dxa"/>
            <w:shd w:val="clear" w:color="auto" w:fill="auto"/>
            <w:vAlign w:val="center"/>
          </w:tcPr>
          <w:p w14:paraId="794F8776"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n/a</w:t>
            </w:r>
          </w:p>
        </w:tc>
        <w:tc>
          <w:tcPr>
            <w:tcW w:w="1454" w:type="dxa"/>
            <w:shd w:val="clear" w:color="auto" w:fill="auto"/>
            <w:vAlign w:val="center"/>
          </w:tcPr>
          <w:p w14:paraId="7B0C9FC5"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sz w:val="20"/>
                <w:szCs w:val="20"/>
              </w:rPr>
              <w:t xml:space="preserve">13.5 </w:t>
            </w:r>
            <w:r w:rsidRPr="00FE7D4D">
              <w:rPr>
                <w:rFonts w:cs="Times New Roman"/>
                <w:sz w:val="20"/>
                <w:szCs w:val="20"/>
              </w:rPr>
              <w:t>± 5.8</w:t>
            </w:r>
          </w:p>
        </w:tc>
      </w:tr>
      <w:tr w:rsidR="00D869A0" w:rsidRPr="00FE7D4D" w14:paraId="3D46595A" w14:textId="77777777" w:rsidTr="00E33E51">
        <w:trPr>
          <w:trHeight w:val="242"/>
          <w:jc w:val="center"/>
        </w:trPr>
        <w:tc>
          <w:tcPr>
            <w:tcW w:w="865" w:type="dxa"/>
            <w:vMerge/>
            <w:vAlign w:val="center"/>
          </w:tcPr>
          <w:p w14:paraId="568A17A0"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p>
        </w:tc>
        <w:tc>
          <w:tcPr>
            <w:tcW w:w="1946" w:type="dxa"/>
            <w:vMerge/>
            <w:vAlign w:val="center"/>
          </w:tcPr>
          <w:p w14:paraId="0AB93CFB" w14:textId="77777777" w:rsidR="00D869A0" w:rsidRPr="00FE7D4D" w:rsidRDefault="00D869A0" w:rsidP="00E33E51">
            <w:pPr>
              <w:autoSpaceDE w:val="0"/>
              <w:autoSpaceDN w:val="0"/>
              <w:adjustRightInd w:val="0"/>
              <w:rPr>
                <w:rFonts w:ascii="TimesNewRoman" w:hAnsi="TimesNewRoman" w:cs="TimesNewRoman" w:hint="eastAsia"/>
                <w:sz w:val="20"/>
                <w:szCs w:val="20"/>
              </w:rPr>
            </w:pPr>
          </w:p>
        </w:tc>
        <w:tc>
          <w:tcPr>
            <w:tcW w:w="3995" w:type="dxa"/>
            <w:shd w:val="clear" w:color="auto" w:fill="auto"/>
            <w:vAlign w:val="center"/>
          </w:tcPr>
          <w:p w14:paraId="7F651337" w14:textId="77777777" w:rsidR="00D869A0" w:rsidRPr="00FE7D4D" w:rsidRDefault="00D869A0" w:rsidP="00E33E51">
            <w:pPr>
              <w:autoSpaceDE w:val="0"/>
              <w:autoSpaceDN w:val="0"/>
              <w:adjustRightInd w:val="0"/>
              <w:rPr>
                <w:rFonts w:ascii="TimesNewRoman" w:hAnsi="TimesNewRoman" w:cs="TimesNewRoman" w:hint="eastAsia"/>
                <w:sz w:val="20"/>
                <w:szCs w:val="20"/>
              </w:rPr>
            </w:pPr>
            <w:r w:rsidRPr="00FE7D4D">
              <w:rPr>
                <w:rFonts w:ascii="TimesNewRoman" w:hAnsi="TimesNewRoman" w:cs="TimesNewRoman" w:hint="eastAsia"/>
                <w:sz w:val="20"/>
                <w:szCs w:val="20"/>
              </w:rPr>
              <w:t>Outdoor PM</w:t>
            </w:r>
            <w:r w:rsidRPr="00FE7D4D">
              <w:rPr>
                <w:rFonts w:ascii="TimesNewRoman" w:hAnsi="TimesNewRoman" w:cs="TimesNewRoman" w:hint="eastAsia"/>
                <w:sz w:val="20"/>
                <w:szCs w:val="20"/>
                <w:vertAlign w:val="subscript"/>
              </w:rPr>
              <w:t>2.5</w:t>
            </w:r>
            <w:r w:rsidRPr="00FE7D4D">
              <w:rPr>
                <w:rFonts w:ascii="TimesNewRoman" w:hAnsi="TimesNewRoman" w:cs="TimesNewRoman" w:hint="eastAsia"/>
                <w:sz w:val="20"/>
                <w:szCs w:val="20"/>
              </w:rPr>
              <w:t xml:space="preserve"> concentration (warm season)</w:t>
            </w:r>
          </w:p>
        </w:tc>
        <w:tc>
          <w:tcPr>
            <w:tcW w:w="1454" w:type="dxa"/>
            <w:shd w:val="clear" w:color="auto" w:fill="auto"/>
            <w:vAlign w:val="center"/>
          </w:tcPr>
          <w:p w14:paraId="639F215C"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n/a</w:t>
            </w:r>
          </w:p>
        </w:tc>
        <w:tc>
          <w:tcPr>
            <w:tcW w:w="1454" w:type="dxa"/>
            <w:shd w:val="clear" w:color="auto" w:fill="auto"/>
            <w:vAlign w:val="center"/>
          </w:tcPr>
          <w:p w14:paraId="6ACFB457" w14:textId="77777777" w:rsidR="00D869A0" w:rsidRPr="00FE7D4D" w:rsidRDefault="00D869A0" w:rsidP="00E33E51">
            <w:pPr>
              <w:autoSpaceDE w:val="0"/>
              <w:autoSpaceDN w:val="0"/>
              <w:adjustRightInd w:val="0"/>
              <w:jc w:val="center"/>
              <w:rPr>
                <w:sz w:val="20"/>
                <w:szCs w:val="20"/>
              </w:rPr>
            </w:pPr>
            <w:r w:rsidRPr="00FE7D4D">
              <w:rPr>
                <w:sz w:val="20"/>
                <w:szCs w:val="20"/>
              </w:rPr>
              <w:t xml:space="preserve">15.8 </w:t>
            </w:r>
            <w:r w:rsidRPr="00FE7D4D">
              <w:rPr>
                <w:rFonts w:cs="Times New Roman"/>
                <w:sz w:val="20"/>
                <w:szCs w:val="20"/>
              </w:rPr>
              <w:t>± 3.9</w:t>
            </w:r>
          </w:p>
        </w:tc>
      </w:tr>
      <w:tr w:rsidR="00D869A0" w:rsidRPr="00FE7D4D" w14:paraId="31228D2F" w14:textId="77777777" w:rsidTr="00E33E51">
        <w:trPr>
          <w:trHeight w:val="242"/>
          <w:jc w:val="center"/>
        </w:trPr>
        <w:tc>
          <w:tcPr>
            <w:tcW w:w="865" w:type="dxa"/>
            <w:vMerge/>
            <w:vAlign w:val="center"/>
          </w:tcPr>
          <w:p w14:paraId="4EDEB354"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p>
        </w:tc>
        <w:tc>
          <w:tcPr>
            <w:tcW w:w="1946" w:type="dxa"/>
            <w:vMerge/>
            <w:vAlign w:val="center"/>
          </w:tcPr>
          <w:p w14:paraId="50926AFE" w14:textId="77777777" w:rsidR="00D869A0" w:rsidRPr="00FE7D4D" w:rsidRDefault="00D869A0" w:rsidP="00E33E51">
            <w:pPr>
              <w:autoSpaceDE w:val="0"/>
              <w:autoSpaceDN w:val="0"/>
              <w:adjustRightInd w:val="0"/>
              <w:rPr>
                <w:rFonts w:ascii="TimesNewRoman" w:hAnsi="TimesNewRoman" w:cs="TimesNewRoman" w:hint="eastAsia"/>
                <w:sz w:val="20"/>
                <w:szCs w:val="20"/>
              </w:rPr>
            </w:pPr>
          </w:p>
        </w:tc>
        <w:tc>
          <w:tcPr>
            <w:tcW w:w="3995" w:type="dxa"/>
            <w:shd w:val="clear" w:color="auto" w:fill="auto"/>
            <w:vAlign w:val="center"/>
          </w:tcPr>
          <w:p w14:paraId="1C1F6512" w14:textId="77777777" w:rsidR="00D869A0" w:rsidRPr="00FE7D4D" w:rsidRDefault="00D869A0" w:rsidP="00E33E51">
            <w:pPr>
              <w:autoSpaceDE w:val="0"/>
              <w:autoSpaceDN w:val="0"/>
              <w:adjustRightInd w:val="0"/>
              <w:rPr>
                <w:rFonts w:ascii="TimesNewRoman" w:hAnsi="TimesNewRoman" w:cs="TimesNewRoman" w:hint="eastAsia"/>
                <w:sz w:val="20"/>
                <w:szCs w:val="20"/>
              </w:rPr>
            </w:pPr>
            <w:r w:rsidRPr="00FE7D4D">
              <w:rPr>
                <w:rFonts w:ascii="TimesNewRoman" w:hAnsi="TimesNewRoman" w:cs="TimesNewRoman" w:hint="eastAsia"/>
                <w:sz w:val="20"/>
                <w:szCs w:val="20"/>
              </w:rPr>
              <w:t>Indoor PM</w:t>
            </w:r>
            <w:r w:rsidRPr="00FE7D4D">
              <w:rPr>
                <w:rFonts w:ascii="TimesNewRoman" w:hAnsi="TimesNewRoman" w:cs="TimesNewRoman" w:hint="eastAsia"/>
                <w:sz w:val="20"/>
                <w:szCs w:val="20"/>
                <w:vertAlign w:val="subscript"/>
              </w:rPr>
              <w:t>2.5</w:t>
            </w:r>
            <w:r w:rsidRPr="00FE7D4D">
              <w:rPr>
                <w:rFonts w:ascii="TimesNewRoman" w:hAnsi="TimesNewRoman" w:cs="TimesNewRoman" w:hint="eastAsia"/>
                <w:sz w:val="20"/>
                <w:szCs w:val="20"/>
              </w:rPr>
              <w:t xml:space="preserve"> concentration attributable to indoor sources (cold season)</w:t>
            </w:r>
          </w:p>
        </w:tc>
        <w:tc>
          <w:tcPr>
            <w:tcW w:w="1454" w:type="dxa"/>
            <w:shd w:val="clear" w:color="auto" w:fill="auto"/>
            <w:vAlign w:val="center"/>
          </w:tcPr>
          <w:p w14:paraId="7B75325C"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n/a</w:t>
            </w:r>
          </w:p>
        </w:tc>
        <w:tc>
          <w:tcPr>
            <w:tcW w:w="1454" w:type="dxa"/>
            <w:shd w:val="clear" w:color="auto" w:fill="auto"/>
            <w:vAlign w:val="center"/>
          </w:tcPr>
          <w:p w14:paraId="5A19F6EB"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2.8 </w:t>
            </w:r>
            <w:r w:rsidRPr="00FE7D4D">
              <w:rPr>
                <w:rFonts w:cs="Times New Roman"/>
                <w:sz w:val="20"/>
                <w:szCs w:val="20"/>
              </w:rPr>
              <w:t xml:space="preserve">± </w:t>
            </w:r>
            <w:r w:rsidRPr="00FE7D4D">
              <w:rPr>
                <w:rFonts w:ascii="TimesNewRoman" w:hAnsi="TimesNewRoman" w:cs="TimesNewRoman" w:hint="eastAsia"/>
                <w:sz w:val="20"/>
                <w:szCs w:val="20"/>
              </w:rPr>
              <w:t>4.8</w:t>
            </w:r>
          </w:p>
        </w:tc>
      </w:tr>
      <w:tr w:rsidR="00D869A0" w:rsidRPr="00FE7D4D" w14:paraId="1206024E" w14:textId="77777777" w:rsidTr="00E33E51">
        <w:trPr>
          <w:trHeight w:val="242"/>
          <w:jc w:val="center"/>
        </w:trPr>
        <w:tc>
          <w:tcPr>
            <w:tcW w:w="865" w:type="dxa"/>
            <w:vMerge/>
            <w:vAlign w:val="center"/>
          </w:tcPr>
          <w:p w14:paraId="158F0890"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p>
        </w:tc>
        <w:tc>
          <w:tcPr>
            <w:tcW w:w="1946" w:type="dxa"/>
            <w:vMerge/>
            <w:vAlign w:val="center"/>
          </w:tcPr>
          <w:p w14:paraId="2B48308A" w14:textId="77777777" w:rsidR="00D869A0" w:rsidRPr="00FE7D4D" w:rsidRDefault="00D869A0" w:rsidP="00E33E51">
            <w:pPr>
              <w:autoSpaceDE w:val="0"/>
              <w:autoSpaceDN w:val="0"/>
              <w:adjustRightInd w:val="0"/>
              <w:rPr>
                <w:rFonts w:ascii="TimesNewRoman" w:hAnsi="TimesNewRoman" w:cs="TimesNewRoman" w:hint="eastAsia"/>
                <w:sz w:val="20"/>
                <w:szCs w:val="20"/>
              </w:rPr>
            </w:pPr>
          </w:p>
        </w:tc>
        <w:tc>
          <w:tcPr>
            <w:tcW w:w="3995" w:type="dxa"/>
            <w:shd w:val="clear" w:color="auto" w:fill="auto"/>
            <w:vAlign w:val="center"/>
          </w:tcPr>
          <w:p w14:paraId="0B7AE8C4" w14:textId="77777777" w:rsidR="00D869A0" w:rsidRPr="00FE7D4D" w:rsidRDefault="00D869A0" w:rsidP="00E33E51">
            <w:pPr>
              <w:autoSpaceDE w:val="0"/>
              <w:autoSpaceDN w:val="0"/>
              <w:adjustRightInd w:val="0"/>
              <w:rPr>
                <w:rFonts w:ascii="TimesNewRoman" w:hAnsi="TimesNewRoman" w:cs="TimesNewRoman" w:hint="eastAsia"/>
                <w:sz w:val="20"/>
                <w:szCs w:val="20"/>
              </w:rPr>
            </w:pPr>
            <w:r w:rsidRPr="00FE7D4D">
              <w:rPr>
                <w:rFonts w:ascii="TimesNewRoman" w:hAnsi="TimesNewRoman" w:cs="TimesNewRoman" w:hint="eastAsia"/>
                <w:sz w:val="20"/>
                <w:szCs w:val="20"/>
              </w:rPr>
              <w:t>Indoor PM</w:t>
            </w:r>
            <w:r w:rsidRPr="00FE7D4D">
              <w:rPr>
                <w:rFonts w:ascii="TimesNewRoman" w:hAnsi="TimesNewRoman" w:cs="TimesNewRoman" w:hint="eastAsia"/>
                <w:sz w:val="20"/>
                <w:szCs w:val="20"/>
                <w:vertAlign w:val="subscript"/>
              </w:rPr>
              <w:t>2.5</w:t>
            </w:r>
            <w:r w:rsidRPr="00FE7D4D">
              <w:rPr>
                <w:rFonts w:ascii="TimesNewRoman" w:hAnsi="TimesNewRoman" w:cs="TimesNewRoman" w:hint="eastAsia"/>
                <w:sz w:val="20"/>
                <w:szCs w:val="20"/>
              </w:rPr>
              <w:t xml:space="preserve"> concentration attributable to indoor sources (warm season)</w:t>
            </w:r>
          </w:p>
        </w:tc>
        <w:tc>
          <w:tcPr>
            <w:tcW w:w="1454" w:type="dxa"/>
            <w:shd w:val="clear" w:color="auto" w:fill="auto"/>
            <w:vAlign w:val="center"/>
          </w:tcPr>
          <w:p w14:paraId="05405763"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n/a</w:t>
            </w:r>
          </w:p>
        </w:tc>
        <w:tc>
          <w:tcPr>
            <w:tcW w:w="1454" w:type="dxa"/>
            <w:shd w:val="clear" w:color="auto" w:fill="auto"/>
            <w:vAlign w:val="center"/>
          </w:tcPr>
          <w:p w14:paraId="10651C94"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2.7 </w:t>
            </w:r>
            <w:r w:rsidRPr="00FE7D4D">
              <w:rPr>
                <w:rFonts w:cs="Times New Roman"/>
                <w:sz w:val="20"/>
                <w:szCs w:val="20"/>
              </w:rPr>
              <w:t xml:space="preserve">± </w:t>
            </w:r>
            <w:r w:rsidRPr="00FE7D4D">
              <w:rPr>
                <w:rFonts w:ascii="TimesNewRoman" w:hAnsi="TimesNewRoman" w:cs="TimesNewRoman" w:hint="eastAsia"/>
                <w:sz w:val="20"/>
                <w:szCs w:val="20"/>
              </w:rPr>
              <w:t>4.0</w:t>
            </w:r>
          </w:p>
        </w:tc>
      </w:tr>
      <w:tr w:rsidR="00D869A0" w:rsidRPr="00FE7D4D" w14:paraId="708D1CBF" w14:textId="77777777" w:rsidTr="00E33E51">
        <w:trPr>
          <w:trHeight w:val="242"/>
          <w:jc w:val="center"/>
        </w:trPr>
        <w:tc>
          <w:tcPr>
            <w:tcW w:w="865" w:type="dxa"/>
            <w:vMerge/>
            <w:vAlign w:val="center"/>
          </w:tcPr>
          <w:p w14:paraId="0B932815"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p>
        </w:tc>
        <w:tc>
          <w:tcPr>
            <w:tcW w:w="1946" w:type="dxa"/>
            <w:vMerge/>
            <w:vAlign w:val="center"/>
          </w:tcPr>
          <w:p w14:paraId="27755485" w14:textId="77777777" w:rsidR="00D869A0" w:rsidRPr="00FE7D4D" w:rsidRDefault="00D869A0" w:rsidP="00E33E51">
            <w:pPr>
              <w:autoSpaceDE w:val="0"/>
              <w:autoSpaceDN w:val="0"/>
              <w:adjustRightInd w:val="0"/>
              <w:rPr>
                <w:rFonts w:ascii="TimesNewRoman" w:hAnsi="TimesNewRoman" w:cs="TimesNewRoman" w:hint="eastAsia"/>
                <w:sz w:val="20"/>
                <w:szCs w:val="20"/>
              </w:rPr>
            </w:pPr>
          </w:p>
        </w:tc>
        <w:tc>
          <w:tcPr>
            <w:tcW w:w="3995" w:type="dxa"/>
            <w:shd w:val="clear" w:color="auto" w:fill="auto"/>
            <w:vAlign w:val="center"/>
          </w:tcPr>
          <w:p w14:paraId="5B383035" w14:textId="77777777" w:rsidR="00D869A0" w:rsidRPr="00FE7D4D" w:rsidRDefault="00D869A0" w:rsidP="00E33E51">
            <w:pPr>
              <w:autoSpaceDE w:val="0"/>
              <w:autoSpaceDN w:val="0"/>
              <w:adjustRightInd w:val="0"/>
              <w:rPr>
                <w:rFonts w:ascii="TimesNewRoman" w:hAnsi="TimesNewRoman" w:cs="TimesNewRoman" w:hint="eastAsia"/>
                <w:sz w:val="20"/>
                <w:szCs w:val="20"/>
              </w:rPr>
            </w:pPr>
            <w:r w:rsidRPr="00FE7D4D">
              <w:rPr>
                <w:rFonts w:ascii="TimesNewRoman" w:hAnsi="TimesNewRoman" w:cs="TimesNewRoman" w:hint="eastAsia"/>
                <w:sz w:val="20"/>
                <w:szCs w:val="20"/>
              </w:rPr>
              <w:t>PM</w:t>
            </w:r>
            <w:r w:rsidRPr="00FE7D4D">
              <w:rPr>
                <w:rFonts w:ascii="TimesNewRoman" w:hAnsi="TimesNewRoman" w:cs="TimesNewRoman" w:hint="eastAsia"/>
                <w:sz w:val="20"/>
                <w:szCs w:val="20"/>
                <w:vertAlign w:val="subscript"/>
              </w:rPr>
              <w:t>2.5</w:t>
            </w:r>
            <w:r w:rsidRPr="00FE7D4D">
              <w:rPr>
                <w:rFonts w:ascii="TimesNewRoman" w:hAnsi="TimesNewRoman" w:cs="TimesNewRoman" w:hint="eastAsia"/>
                <w:sz w:val="20"/>
                <w:szCs w:val="20"/>
              </w:rPr>
              <w:t xml:space="preserve"> infiltration factor</w:t>
            </w:r>
          </w:p>
        </w:tc>
        <w:tc>
          <w:tcPr>
            <w:tcW w:w="1454" w:type="dxa"/>
            <w:shd w:val="clear" w:color="auto" w:fill="auto"/>
            <w:vAlign w:val="center"/>
          </w:tcPr>
          <w:p w14:paraId="159E3C72"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Beta</w:t>
            </w:r>
          </w:p>
        </w:tc>
        <w:tc>
          <w:tcPr>
            <w:tcW w:w="1454" w:type="dxa"/>
            <w:shd w:val="clear" w:color="auto" w:fill="auto"/>
            <w:vAlign w:val="center"/>
          </w:tcPr>
          <w:p w14:paraId="7281970F"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sz w:val="20"/>
                <w:szCs w:val="20"/>
              </w:rPr>
              <w:t xml:space="preserve">0.62 </w:t>
            </w:r>
            <w:r w:rsidRPr="00FE7D4D">
              <w:rPr>
                <w:rFonts w:cs="Times New Roman"/>
                <w:sz w:val="20"/>
                <w:szCs w:val="20"/>
              </w:rPr>
              <w:t>± 0.21</w:t>
            </w:r>
          </w:p>
        </w:tc>
      </w:tr>
      <w:tr w:rsidR="00D869A0" w:rsidRPr="00FE7D4D" w14:paraId="049DC15C" w14:textId="77777777" w:rsidTr="00E33E51">
        <w:trPr>
          <w:trHeight w:val="242"/>
          <w:jc w:val="center"/>
        </w:trPr>
        <w:tc>
          <w:tcPr>
            <w:tcW w:w="865" w:type="dxa"/>
            <w:vMerge/>
            <w:vAlign w:val="center"/>
          </w:tcPr>
          <w:p w14:paraId="7094C6CA"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p>
        </w:tc>
        <w:tc>
          <w:tcPr>
            <w:tcW w:w="1946" w:type="dxa"/>
            <w:vAlign w:val="center"/>
          </w:tcPr>
          <w:p w14:paraId="169B39E2" w14:textId="77777777" w:rsidR="00D869A0" w:rsidRPr="00FE7D4D" w:rsidRDefault="00D869A0" w:rsidP="00E33E51">
            <w:pPr>
              <w:autoSpaceDE w:val="0"/>
              <w:autoSpaceDN w:val="0"/>
              <w:adjustRightInd w:val="0"/>
              <w:rPr>
                <w:rFonts w:ascii="TimesNewRoman" w:hAnsi="TimesNewRoman" w:cs="TimesNewRoman" w:hint="eastAsia"/>
                <w:i/>
                <w:sz w:val="20"/>
                <w:szCs w:val="20"/>
              </w:rPr>
            </w:pPr>
            <w:r w:rsidRPr="00FE7D4D">
              <w:rPr>
                <w:rFonts w:ascii="TimesNewRoman" w:hAnsi="TimesNewRoman" w:cs="TimesNewRoman" w:hint="eastAsia"/>
                <w:i/>
                <w:sz w:val="20"/>
                <w:szCs w:val="20"/>
              </w:rPr>
              <w:t>Calculated</w:t>
            </w:r>
          </w:p>
        </w:tc>
        <w:tc>
          <w:tcPr>
            <w:tcW w:w="3995" w:type="dxa"/>
            <w:shd w:val="clear" w:color="auto" w:fill="auto"/>
            <w:vAlign w:val="center"/>
          </w:tcPr>
          <w:p w14:paraId="5C084860" w14:textId="77777777" w:rsidR="00D869A0" w:rsidRPr="00FE7D4D" w:rsidRDefault="00D869A0" w:rsidP="00E33E51">
            <w:pPr>
              <w:autoSpaceDE w:val="0"/>
              <w:autoSpaceDN w:val="0"/>
              <w:adjustRightInd w:val="0"/>
              <w:rPr>
                <w:rFonts w:ascii="TimesNewRoman" w:hAnsi="TimesNewRoman" w:cs="TimesNewRoman" w:hint="eastAsia"/>
                <w:sz w:val="20"/>
                <w:szCs w:val="20"/>
              </w:rPr>
            </w:pPr>
            <w:r w:rsidRPr="00FE7D4D">
              <w:rPr>
                <w:rFonts w:ascii="TimesNewRoman" w:hAnsi="TimesNewRoman" w:cs="TimesNewRoman" w:hint="eastAsia"/>
                <w:sz w:val="20"/>
                <w:szCs w:val="20"/>
              </w:rPr>
              <w:t>Indoor PM</w:t>
            </w:r>
            <w:r w:rsidRPr="00FE7D4D">
              <w:rPr>
                <w:rFonts w:ascii="TimesNewRoman" w:hAnsi="TimesNewRoman" w:cs="TimesNewRoman" w:hint="eastAsia"/>
                <w:sz w:val="20"/>
                <w:szCs w:val="20"/>
                <w:vertAlign w:val="subscript"/>
              </w:rPr>
              <w:t>2.5</w:t>
            </w:r>
            <w:r w:rsidRPr="00FE7D4D">
              <w:rPr>
                <w:rFonts w:ascii="TimesNewRoman" w:hAnsi="TimesNewRoman" w:cs="TimesNewRoman" w:hint="eastAsia"/>
                <w:sz w:val="20"/>
                <w:szCs w:val="20"/>
              </w:rPr>
              <w:t xml:space="preserve"> concentration attributable to indoor sources (combined seasons)</w:t>
            </w:r>
          </w:p>
        </w:tc>
        <w:tc>
          <w:tcPr>
            <w:tcW w:w="1454" w:type="dxa"/>
            <w:shd w:val="clear" w:color="auto" w:fill="auto"/>
            <w:vAlign w:val="center"/>
          </w:tcPr>
          <w:p w14:paraId="44CD6A55" w14:textId="77777777" w:rsidR="00D869A0" w:rsidRPr="00FE7D4D" w:rsidRDefault="00D869A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Lognormal</w:t>
            </w:r>
          </w:p>
        </w:tc>
        <w:tc>
          <w:tcPr>
            <w:tcW w:w="1454" w:type="dxa"/>
            <w:shd w:val="clear" w:color="auto" w:fill="auto"/>
            <w:vAlign w:val="center"/>
          </w:tcPr>
          <w:p w14:paraId="15952D3B" w14:textId="56F21B89" w:rsidR="000A1A70" w:rsidRPr="00FE7D4D" w:rsidRDefault="000A1A70" w:rsidP="00E33E51">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GM: </w:t>
            </w:r>
            <w:r w:rsidR="00831B23" w:rsidRPr="00FE7D4D">
              <w:rPr>
                <w:rFonts w:ascii="TimesNewRoman" w:hAnsi="TimesNewRoman" w:cs="TimesNewRoman" w:hint="eastAsia"/>
                <w:sz w:val="20"/>
                <w:szCs w:val="20"/>
              </w:rPr>
              <w:t>1.5</w:t>
            </w:r>
          </w:p>
          <w:p w14:paraId="17752875" w14:textId="60F7BBC6" w:rsidR="00D869A0" w:rsidRPr="00FE7D4D" w:rsidRDefault="000A1A70" w:rsidP="000A1A70">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GSD: </w:t>
            </w:r>
            <w:r w:rsidR="00831B23" w:rsidRPr="00FE7D4D">
              <w:rPr>
                <w:rFonts w:ascii="TimesNewRoman" w:hAnsi="TimesNewRoman" w:cs="TimesNewRoman" w:hint="eastAsia"/>
                <w:sz w:val="20"/>
                <w:szCs w:val="20"/>
              </w:rPr>
              <w:t>3.1</w:t>
            </w:r>
          </w:p>
        </w:tc>
      </w:tr>
    </w:tbl>
    <w:p w14:paraId="330FAA62" w14:textId="43EAA5F7" w:rsidR="00D869A0" w:rsidRPr="00FE7D4D" w:rsidRDefault="00FF0E47" w:rsidP="00D869A0">
      <w:pPr>
        <w:autoSpaceDE w:val="0"/>
        <w:autoSpaceDN w:val="0"/>
        <w:adjustRightInd w:val="0"/>
        <w:rPr>
          <w:rFonts w:ascii="TimesNewRoman" w:hAnsi="TimesNewRoman" w:cs="TimesNewRoman" w:hint="eastAsia"/>
          <w:sz w:val="20"/>
          <w:szCs w:val="20"/>
        </w:rPr>
      </w:pPr>
      <w:r w:rsidRPr="00FE7D4D">
        <w:rPr>
          <w:rFonts w:ascii="TimesNewRoman" w:hAnsi="TimesNewRoman" w:cs="TimesNewRoman" w:hint="eastAsia"/>
          <w:sz w:val="20"/>
          <w:szCs w:val="20"/>
        </w:rPr>
        <w:t>*For lognormal distributions</w:t>
      </w:r>
      <w:r w:rsidR="000A1A70" w:rsidRPr="00FE7D4D">
        <w:rPr>
          <w:rFonts w:ascii="TimesNewRoman" w:hAnsi="TimesNewRoman" w:cs="TimesNewRoman" w:hint="eastAsia"/>
          <w:sz w:val="20"/>
          <w:szCs w:val="20"/>
        </w:rPr>
        <w:t xml:space="preserve">, GM = geometric mean and </w:t>
      </w:r>
      <w:r w:rsidRPr="00FE7D4D">
        <w:rPr>
          <w:rFonts w:ascii="TimesNewRoman" w:hAnsi="TimesNewRoman" w:cs="TimesNewRoman" w:hint="eastAsia"/>
          <w:sz w:val="20"/>
          <w:szCs w:val="20"/>
        </w:rPr>
        <w:t>GSD</w:t>
      </w:r>
      <w:r w:rsidR="00553246" w:rsidRPr="00FE7D4D">
        <w:rPr>
          <w:rFonts w:ascii="TimesNewRoman" w:hAnsi="TimesNewRoman" w:cs="TimesNewRoman" w:hint="eastAsia"/>
          <w:sz w:val="20"/>
          <w:szCs w:val="20"/>
        </w:rPr>
        <w:t xml:space="preserve"> </w:t>
      </w:r>
      <w:r w:rsidR="000A1A70" w:rsidRPr="00FE7D4D">
        <w:rPr>
          <w:rFonts w:ascii="TimesNewRoman" w:hAnsi="TimesNewRoman" w:cs="TimesNewRoman" w:hint="eastAsia"/>
          <w:sz w:val="20"/>
          <w:szCs w:val="20"/>
        </w:rPr>
        <w:t>= geometric standard deviation</w:t>
      </w:r>
      <w:r w:rsidR="00553246" w:rsidRPr="00FE7D4D">
        <w:rPr>
          <w:rFonts w:ascii="TimesNewRoman" w:hAnsi="TimesNewRoman" w:cs="TimesNewRoman" w:hint="eastAsia"/>
          <w:sz w:val="20"/>
          <w:szCs w:val="20"/>
        </w:rPr>
        <w:t>.</w:t>
      </w:r>
    </w:p>
    <w:p w14:paraId="6CCB356F" w14:textId="692770D5" w:rsidR="000A1A70" w:rsidRPr="00FE7D4D" w:rsidRDefault="000A1A70" w:rsidP="00D869A0">
      <w:pPr>
        <w:autoSpaceDE w:val="0"/>
        <w:autoSpaceDN w:val="0"/>
        <w:adjustRightInd w:val="0"/>
        <w:rPr>
          <w:rFonts w:ascii="TimesNewRoman" w:hAnsi="TimesNewRoman" w:cs="TimesNewRoman" w:hint="eastAsia"/>
        </w:rPr>
      </w:pPr>
      <w:r w:rsidRPr="00FE7D4D">
        <w:rPr>
          <w:rFonts w:ascii="TimesNewRoman" w:hAnsi="TimesNewRoman" w:cs="TimesNewRoman" w:hint="eastAsia"/>
          <w:sz w:val="20"/>
          <w:szCs w:val="20"/>
        </w:rPr>
        <w:t>n/a = values reported in the cited reference</w:t>
      </w:r>
      <w:r w:rsidR="006C175E" w:rsidRPr="00FE7D4D">
        <w:rPr>
          <w:rFonts w:ascii="TimesNewRoman" w:hAnsi="TimesNewRoman" w:cs="TimesNewRoman" w:hint="eastAsia"/>
          <w:sz w:val="20"/>
          <w:szCs w:val="20"/>
        </w:rPr>
        <w:t>s</w:t>
      </w:r>
      <w:r w:rsidRPr="00FE7D4D">
        <w:rPr>
          <w:rFonts w:ascii="TimesNewRoman" w:hAnsi="TimesNewRoman" w:cs="TimesNewRoman" w:hint="eastAsia"/>
          <w:sz w:val="20"/>
          <w:szCs w:val="20"/>
        </w:rPr>
        <w:t xml:space="preserve"> but not used directly in the model application</w:t>
      </w:r>
      <w:r w:rsidR="006C175E" w:rsidRPr="00FE7D4D">
        <w:rPr>
          <w:rFonts w:ascii="TimesNewRoman" w:hAnsi="TimesNewRoman" w:cs="TimesNewRoman" w:hint="eastAsia"/>
          <w:sz w:val="20"/>
          <w:szCs w:val="20"/>
        </w:rPr>
        <w:t>.</w:t>
      </w:r>
    </w:p>
    <w:p w14:paraId="6276ADC2" w14:textId="01D5B6EB" w:rsidR="008D794E" w:rsidRPr="00FE7D4D" w:rsidRDefault="008D794E">
      <w:r w:rsidRPr="00FE7D4D">
        <w:br w:type="page"/>
      </w:r>
    </w:p>
    <w:p w14:paraId="19788A26" w14:textId="5FD43AB9" w:rsidR="008D794E" w:rsidRPr="00FE7D4D" w:rsidRDefault="008D794E" w:rsidP="008D794E">
      <w:pPr>
        <w:pStyle w:val="Caption"/>
        <w:jc w:val="center"/>
        <w:rPr>
          <w:rFonts w:cs="Times New Roman"/>
          <w:szCs w:val="20"/>
        </w:rPr>
      </w:pPr>
      <w:r w:rsidRPr="00FE7D4D">
        <w:rPr>
          <w:rFonts w:cs="Times New Roman"/>
          <w:szCs w:val="20"/>
        </w:rPr>
        <w:lastRenderedPageBreak/>
        <w:t xml:space="preserve">Table S3. Summary of the IER </w:t>
      </w:r>
      <w:r w:rsidR="00A64200" w:rsidRPr="00FE7D4D">
        <w:rPr>
          <w:rFonts w:cs="Times New Roman"/>
          <w:szCs w:val="20"/>
        </w:rPr>
        <w:t xml:space="preserve">model input </w:t>
      </w:r>
      <w:r w:rsidRPr="00FE7D4D">
        <w:rPr>
          <w:rFonts w:cs="Times New Roman"/>
          <w:szCs w:val="20"/>
        </w:rPr>
        <w:t>parameters used herein for adults 35 years</w:t>
      </w:r>
      <w:r w:rsidR="00A64200" w:rsidRPr="00FE7D4D">
        <w:rPr>
          <w:rFonts w:cs="Times New Roman"/>
          <w:szCs w:val="20"/>
        </w:rPr>
        <w:t xml:space="preserve"> and</w:t>
      </w:r>
      <w:r w:rsidRPr="00FE7D4D">
        <w:rPr>
          <w:rFonts w:cs="Times New Roman"/>
          <w:szCs w:val="20"/>
        </w:rPr>
        <w:t xml:space="preserve"> old</w:t>
      </w:r>
      <w:r w:rsidR="00A64200" w:rsidRPr="00FE7D4D">
        <w:rPr>
          <w:rFonts w:cs="Times New Roman"/>
          <w:szCs w:val="20"/>
        </w:rPr>
        <w:t>er. Data taken from the CDC WONDER system.</w:t>
      </w:r>
      <w:r w:rsidR="00A64200" w:rsidRPr="00D764B3">
        <w:fldChar w:fldCharType="begin"/>
      </w:r>
      <w:r w:rsidR="005A1081" w:rsidRPr="00FE7D4D">
        <w:instrText xml:space="preserve"> ADDIN ZOTERO_ITEM CSL_CITATION {"citationID":"BE6ZHhiP","properties":{"formattedCitation":"\\super 43\\nosupersub{}","plainCitation":"43","noteIndex":0},"citationItems":[{"id":3507,"uris":["http://zotero.org/users/327441/items/E7AGMY6T"],"uri":["http://zotero.org/users/327441/items/E7AGMY6T"],"itemData":{"id":3507,"type":"post-weblog","title":"National Center for Health Statistics WONDER Online Database: Compressed Mortality File 1999-2016 Series 20, No. 2V","container-title":"CDC WONDER","URL":"https://wonder.cdc.gov/cmf-icd10.htm","author":[{"family":"CDC","given":""}],"issued":{"date-parts":[["2017"]]},"accessed":{"date-parts":[["2018",5,22]]}}}],"schema":"https://github.com/citation-style-language/schema/raw/master/csl-citation.json"} </w:instrText>
      </w:r>
      <w:r w:rsidR="00A64200" w:rsidRPr="00AA0679">
        <w:fldChar w:fldCharType="separate"/>
      </w:r>
      <w:r w:rsidR="005A1081" w:rsidRPr="00FE7D4D">
        <w:rPr>
          <w:rFonts w:cs="Times New Roman"/>
          <w:color w:val="000000"/>
          <w:szCs w:val="24"/>
          <w:vertAlign w:val="superscript"/>
        </w:rPr>
        <w:t>43</w:t>
      </w:r>
      <w:r w:rsidR="00A64200" w:rsidRPr="00D764B3">
        <w:fldChar w:fldCharType="end"/>
      </w:r>
    </w:p>
    <w:tbl>
      <w:tblPr>
        <w:tblW w:w="8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1350"/>
        <w:gridCol w:w="1980"/>
        <w:gridCol w:w="3093"/>
      </w:tblGrid>
      <w:tr w:rsidR="00C07C39" w:rsidRPr="00FE7D4D" w14:paraId="530D67E8" w14:textId="77777777" w:rsidTr="006616FB">
        <w:trPr>
          <w:trHeight w:val="503"/>
          <w:jc w:val="center"/>
        </w:trPr>
        <w:tc>
          <w:tcPr>
            <w:tcW w:w="1975" w:type="dxa"/>
            <w:tcBorders>
              <w:bottom w:val="double" w:sz="4" w:space="0" w:color="auto"/>
            </w:tcBorders>
            <w:shd w:val="clear" w:color="auto" w:fill="BFBFBF" w:themeFill="background1" w:themeFillShade="BF"/>
            <w:vAlign w:val="center"/>
          </w:tcPr>
          <w:p w14:paraId="4058912C" w14:textId="6A51F31F" w:rsidR="00C07C39" w:rsidRPr="00FE7D4D" w:rsidRDefault="00C07C39" w:rsidP="00126003">
            <w:pPr>
              <w:autoSpaceDE w:val="0"/>
              <w:autoSpaceDN w:val="0"/>
              <w:adjustRightInd w:val="0"/>
              <w:jc w:val="center"/>
              <w:rPr>
                <w:rFonts w:ascii="TimesNewRoman" w:hAnsi="TimesNewRoman" w:cs="TimesNewRoman" w:hint="eastAsia"/>
                <w:b/>
                <w:sz w:val="20"/>
                <w:szCs w:val="20"/>
              </w:rPr>
            </w:pPr>
            <w:r w:rsidRPr="00FE7D4D">
              <w:rPr>
                <w:rFonts w:ascii="TimesNewRoman" w:hAnsi="TimesNewRoman" w:cs="TimesNewRoman" w:hint="eastAsia"/>
                <w:b/>
                <w:sz w:val="20"/>
                <w:szCs w:val="20"/>
              </w:rPr>
              <w:t>Cause of Mortality</w:t>
            </w:r>
          </w:p>
        </w:tc>
        <w:tc>
          <w:tcPr>
            <w:tcW w:w="1350" w:type="dxa"/>
            <w:tcBorders>
              <w:bottom w:val="double" w:sz="4" w:space="0" w:color="auto"/>
            </w:tcBorders>
            <w:shd w:val="clear" w:color="auto" w:fill="BFBFBF" w:themeFill="background1" w:themeFillShade="BF"/>
            <w:vAlign w:val="center"/>
          </w:tcPr>
          <w:p w14:paraId="20C615C2" w14:textId="21712795" w:rsidR="00C07C39" w:rsidRPr="00FE7D4D" w:rsidRDefault="00C07C39" w:rsidP="00126003">
            <w:pPr>
              <w:autoSpaceDE w:val="0"/>
              <w:autoSpaceDN w:val="0"/>
              <w:adjustRightInd w:val="0"/>
              <w:jc w:val="center"/>
              <w:rPr>
                <w:rFonts w:ascii="TimesNewRoman" w:hAnsi="TimesNewRoman" w:cs="TimesNewRoman" w:hint="eastAsia"/>
                <w:b/>
                <w:sz w:val="20"/>
                <w:szCs w:val="20"/>
              </w:rPr>
            </w:pPr>
            <w:r w:rsidRPr="00FE7D4D">
              <w:rPr>
                <w:rFonts w:ascii="TimesNewRoman" w:hAnsi="TimesNewRoman" w:cs="TimesNewRoman" w:hint="eastAsia"/>
                <w:b/>
                <w:sz w:val="20"/>
                <w:szCs w:val="20"/>
              </w:rPr>
              <w:t>Age ranges</w:t>
            </w:r>
          </w:p>
        </w:tc>
        <w:tc>
          <w:tcPr>
            <w:tcW w:w="1980" w:type="dxa"/>
            <w:tcBorders>
              <w:bottom w:val="double" w:sz="4" w:space="0" w:color="auto"/>
            </w:tcBorders>
            <w:shd w:val="clear" w:color="auto" w:fill="BFBFBF" w:themeFill="background1" w:themeFillShade="BF"/>
            <w:vAlign w:val="center"/>
          </w:tcPr>
          <w:p w14:paraId="6A3D85F8" w14:textId="22CC26B2" w:rsidR="00C07C39" w:rsidRPr="00FE7D4D" w:rsidRDefault="00C07C39" w:rsidP="00126003">
            <w:pPr>
              <w:autoSpaceDE w:val="0"/>
              <w:autoSpaceDN w:val="0"/>
              <w:adjustRightInd w:val="0"/>
              <w:jc w:val="center"/>
              <w:rPr>
                <w:rFonts w:ascii="TimesNewRoman" w:hAnsi="TimesNewRoman" w:cs="TimesNewRoman" w:hint="eastAsia"/>
                <w:b/>
                <w:sz w:val="20"/>
                <w:szCs w:val="20"/>
              </w:rPr>
            </w:pPr>
            <w:r w:rsidRPr="00FE7D4D">
              <w:rPr>
                <w:rFonts w:ascii="TimesNewRoman" w:hAnsi="TimesNewRoman" w:cs="TimesNewRoman" w:hint="eastAsia"/>
                <w:b/>
                <w:sz w:val="20"/>
                <w:szCs w:val="20"/>
              </w:rPr>
              <w:t>Population in 2012</w:t>
            </w:r>
          </w:p>
        </w:tc>
        <w:tc>
          <w:tcPr>
            <w:tcW w:w="3093" w:type="dxa"/>
            <w:tcBorders>
              <w:bottom w:val="double" w:sz="4" w:space="0" w:color="auto"/>
            </w:tcBorders>
            <w:shd w:val="clear" w:color="auto" w:fill="BFBFBF" w:themeFill="background1" w:themeFillShade="BF"/>
            <w:vAlign w:val="center"/>
          </w:tcPr>
          <w:p w14:paraId="7EF7C52F" w14:textId="51D51FF9" w:rsidR="00C07C39" w:rsidRPr="00FE7D4D" w:rsidRDefault="00C07C39" w:rsidP="00126003">
            <w:pPr>
              <w:autoSpaceDE w:val="0"/>
              <w:autoSpaceDN w:val="0"/>
              <w:adjustRightInd w:val="0"/>
              <w:jc w:val="center"/>
              <w:rPr>
                <w:rFonts w:ascii="TimesNewRoman" w:hAnsi="TimesNewRoman" w:cs="TimesNewRoman" w:hint="eastAsia"/>
                <w:b/>
                <w:sz w:val="20"/>
                <w:szCs w:val="20"/>
              </w:rPr>
            </w:pPr>
            <w:r w:rsidRPr="00FE7D4D">
              <w:rPr>
                <w:rFonts w:ascii="TimesNewRoman" w:hAnsi="TimesNewRoman" w:cs="TimesNewRoman" w:hint="eastAsia"/>
                <w:b/>
                <w:sz w:val="20"/>
                <w:szCs w:val="20"/>
              </w:rPr>
              <w:t>Average disease incidence (y</w:t>
            </w:r>
            <w:r w:rsidRPr="00FE7D4D">
              <w:rPr>
                <w:rFonts w:ascii="TimesNewRoman" w:hAnsi="TimesNewRoman" w:cs="TimesNewRoman" w:hint="eastAsia"/>
                <w:b/>
                <w:sz w:val="20"/>
                <w:szCs w:val="20"/>
                <w:vertAlign w:val="subscript"/>
              </w:rPr>
              <w:t>0</w:t>
            </w:r>
            <w:r w:rsidRPr="00FE7D4D">
              <w:rPr>
                <w:rFonts w:ascii="TimesNewRoman" w:hAnsi="TimesNewRoman" w:cs="TimesNewRoman" w:hint="eastAsia"/>
                <w:b/>
                <w:sz w:val="20"/>
                <w:szCs w:val="20"/>
              </w:rPr>
              <w:t>)</w:t>
            </w:r>
          </w:p>
        </w:tc>
      </w:tr>
      <w:tr w:rsidR="00C07C39" w:rsidRPr="00FE7D4D" w14:paraId="09AB4DF7" w14:textId="77777777" w:rsidTr="006616FB">
        <w:trPr>
          <w:jc w:val="center"/>
        </w:trPr>
        <w:tc>
          <w:tcPr>
            <w:tcW w:w="1975" w:type="dxa"/>
            <w:tcBorders>
              <w:top w:val="double" w:sz="4" w:space="0" w:color="auto"/>
            </w:tcBorders>
            <w:vAlign w:val="center"/>
          </w:tcPr>
          <w:p w14:paraId="445800CC" w14:textId="3B3D4224" w:rsidR="00C07C39" w:rsidRPr="00FE7D4D" w:rsidRDefault="00C07C39" w:rsidP="00126003">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COPD</w:t>
            </w:r>
          </w:p>
        </w:tc>
        <w:tc>
          <w:tcPr>
            <w:tcW w:w="1350" w:type="dxa"/>
            <w:tcBorders>
              <w:top w:val="double" w:sz="4" w:space="0" w:color="auto"/>
            </w:tcBorders>
            <w:vAlign w:val="center"/>
          </w:tcPr>
          <w:p w14:paraId="7F2370D1" w14:textId="6181B9C8" w:rsidR="00C07C39" w:rsidRPr="00FE7D4D" w:rsidRDefault="00C07C39" w:rsidP="00126003">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+ 35</w:t>
            </w:r>
          </w:p>
        </w:tc>
        <w:tc>
          <w:tcPr>
            <w:tcW w:w="1980" w:type="dxa"/>
            <w:tcBorders>
              <w:top w:val="double" w:sz="4" w:space="0" w:color="auto"/>
            </w:tcBorders>
            <w:shd w:val="clear" w:color="auto" w:fill="auto"/>
            <w:vAlign w:val="center"/>
          </w:tcPr>
          <w:p w14:paraId="0DABF28C" w14:textId="2E85BCEA" w:rsidR="00C07C39" w:rsidRPr="00FE7D4D" w:rsidRDefault="00C07C39" w:rsidP="00126003">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166,516,716</w:t>
            </w:r>
          </w:p>
        </w:tc>
        <w:tc>
          <w:tcPr>
            <w:tcW w:w="3093" w:type="dxa"/>
            <w:tcBorders>
              <w:top w:val="double" w:sz="4" w:space="0" w:color="auto"/>
            </w:tcBorders>
            <w:shd w:val="clear" w:color="auto" w:fill="auto"/>
            <w:vAlign w:val="center"/>
          </w:tcPr>
          <w:p w14:paraId="188498A3" w14:textId="172974BF" w:rsidR="00C07C39" w:rsidRPr="00FE7D4D" w:rsidRDefault="00FC04A7" w:rsidP="00126003">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0.000840</w:t>
            </w:r>
          </w:p>
        </w:tc>
      </w:tr>
      <w:tr w:rsidR="00C07C39" w:rsidRPr="00FE7D4D" w14:paraId="3B5AD5D8" w14:textId="77777777" w:rsidTr="006616FB">
        <w:trPr>
          <w:jc w:val="center"/>
        </w:trPr>
        <w:tc>
          <w:tcPr>
            <w:tcW w:w="1975" w:type="dxa"/>
            <w:shd w:val="clear" w:color="auto" w:fill="DDD9C3" w:themeFill="background2" w:themeFillShade="E6"/>
            <w:vAlign w:val="center"/>
          </w:tcPr>
          <w:p w14:paraId="4FF75A88" w14:textId="030AB209" w:rsidR="00C07C39" w:rsidRPr="00FE7D4D" w:rsidRDefault="00233095" w:rsidP="00126003">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Lu</w:t>
            </w:r>
            <w:r w:rsidR="00C07C39" w:rsidRPr="00FE7D4D">
              <w:rPr>
                <w:rFonts w:ascii="TimesNewRoman" w:hAnsi="TimesNewRoman" w:cs="TimesNewRoman" w:hint="eastAsia"/>
                <w:sz w:val="20"/>
                <w:szCs w:val="20"/>
              </w:rPr>
              <w:t>ng Cancer</w:t>
            </w:r>
          </w:p>
        </w:tc>
        <w:tc>
          <w:tcPr>
            <w:tcW w:w="1350" w:type="dxa"/>
            <w:shd w:val="clear" w:color="auto" w:fill="DDD9C3" w:themeFill="background2" w:themeFillShade="E6"/>
            <w:vAlign w:val="center"/>
          </w:tcPr>
          <w:p w14:paraId="5F58E6E0" w14:textId="29DACB71" w:rsidR="00C07C39" w:rsidRPr="00FE7D4D" w:rsidRDefault="00C07C39" w:rsidP="00126003">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+ 35</w:t>
            </w:r>
          </w:p>
        </w:tc>
        <w:tc>
          <w:tcPr>
            <w:tcW w:w="1980" w:type="dxa"/>
            <w:shd w:val="clear" w:color="auto" w:fill="DDD9C3" w:themeFill="background2" w:themeFillShade="E6"/>
            <w:vAlign w:val="center"/>
          </w:tcPr>
          <w:p w14:paraId="709E068C" w14:textId="7FF8EABD" w:rsidR="00C07C39" w:rsidRPr="00FE7D4D" w:rsidRDefault="00C07C39" w:rsidP="00126003">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166,516,716</w:t>
            </w:r>
          </w:p>
        </w:tc>
        <w:tc>
          <w:tcPr>
            <w:tcW w:w="3093" w:type="dxa"/>
            <w:shd w:val="clear" w:color="auto" w:fill="DDD9C3" w:themeFill="background2" w:themeFillShade="E6"/>
            <w:vAlign w:val="center"/>
          </w:tcPr>
          <w:p w14:paraId="796E2DA1" w14:textId="6F3FBD79" w:rsidR="00C07C39" w:rsidRPr="00FE7D4D" w:rsidRDefault="00BB12EF" w:rsidP="00126003">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0.000948</w:t>
            </w:r>
          </w:p>
        </w:tc>
      </w:tr>
      <w:tr w:rsidR="00CF16FB" w:rsidRPr="00FE7D4D" w14:paraId="02C50028" w14:textId="77777777" w:rsidTr="00BF69BE">
        <w:trPr>
          <w:trHeight w:val="242"/>
          <w:jc w:val="center"/>
        </w:trPr>
        <w:tc>
          <w:tcPr>
            <w:tcW w:w="1975" w:type="dxa"/>
            <w:vMerge w:val="restart"/>
            <w:vAlign w:val="center"/>
          </w:tcPr>
          <w:p w14:paraId="052D798A" w14:textId="0AAA9DD5"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IHD</w:t>
            </w:r>
          </w:p>
        </w:tc>
        <w:tc>
          <w:tcPr>
            <w:tcW w:w="1350" w:type="dxa"/>
            <w:vAlign w:val="center"/>
          </w:tcPr>
          <w:p w14:paraId="3C9C4766" w14:textId="7921CD05"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35 </w:t>
            </w:r>
            <w:r w:rsidRPr="00FE7D4D">
              <w:rPr>
                <w:rFonts w:ascii="TimesNewRoman" w:hAnsi="TimesNewRoman" w:cs="TimesNewRoman" w:hint="eastAsia"/>
                <w:sz w:val="20"/>
                <w:szCs w:val="20"/>
              </w:rPr>
              <w:t>–</w:t>
            </w:r>
            <w:r w:rsidRPr="00FE7D4D">
              <w:rPr>
                <w:rFonts w:ascii="TimesNewRoman" w:hAnsi="TimesNewRoman" w:cs="TimesNewRoman" w:hint="eastAsia"/>
                <w:sz w:val="20"/>
                <w:szCs w:val="20"/>
              </w:rPr>
              <w:t xml:space="preserve"> 39</w:t>
            </w:r>
          </w:p>
        </w:tc>
        <w:tc>
          <w:tcPr>
            <w:tcW w:w="1980" w:type="dxa"/>
            <w:shd w:val="clear" w:color="auto" w:fill="auto"/>
          </w:tcPr>
          <w:p w14:paraId="526BEA99" w14:textId="38E02F15"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sz w:val="20"/>
                <w:szCs w:val="20"/>
              </w:rPr>
              <w:t xml:space="preserve"> 19,488,199 </w:t>
            </w:r>
          </w:p>
        </w:tc>
        <w:tc>
          <w:tcPr>
            <w:tcW w:w="3093" w:type="dxa"/>
            <w:shd w:val="clear" w:color="auto" w:fill="auto"/>
          </w:tcPr>
          <w:p w14:paraId="1113C18F" w14:textId="47CFE2F7" w:rsidR="00CF16FB" w:rsidRPr="00FE7D4D" w:rsidRDefault="00CF16FB" w:rsidP="00CF16FB">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0.000082</w:t>
            </w:r>
          </w:p>
        </w:tc>
      </w:tr>
      <w:tr w:rsidR="00CF16FB" w:rsidRPr="00FE7D4D" w14:paraId="6E657ED2" w14:textId="77777777" w:rsidTr="00BF69BE">
        <w:trPr>
          <w:trHeight w:val="242"/>
          <w:jc w:val="center"/>
        </w:trPr>
        <w:tc>
          <w:tcPr>
            <w:tcW w:w="1975" w:type="dxa"/>
            <w:vMerge/>
            <w:vAlign w:val="center"/>
          </w:tcPr>
          <w:p w14:paraId="5AA3A56B" w14:textId="77777777" w:rsidR="00CF16FB" w:rsidRPr="00FE7D4D" w:rsidRDefault="00CF16FB" w:rsidP="00CF16FB">
            <w:pPr>
              <w:autoSpaceDE w:val="0"/>
              <w:autoSpaceDN w:val="0"/>
              <w:adjustRightInd w:val="0"/>
              <w:jc w:val="center"/>
              <w:rPr>
                <w:rFonts w:ascii="TimesNewRoman" w:hAnsi="TimesNewRoman" w:cs="TimesNewRoman" w:hint="eastAsia"/>
                <w:sz w:val="20"/>
                <w:szCs w:val="20"/>
              </w:rPr>
            </w:pPr>
          </w:p>
        </w:tc>
        <w:tc>
          <w:tcPr>
            <w:tcW w:w="1350" w:type="dxa"/>
            <w:vAlign w:val="center"/>
          </w:tcPr>
          <w:p w14:paraId="530DDE20" w14:textId="6489971B"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40 </w:t>
            </w:r>
            <w:r w:rsidRPr="00FE7D4D">
              <w:rPr>
                <w:rFonts w:ascii="TimesNewRoman" w:hAnsi="TimesNewRoman" w:cs="TimesNewRoman" w:hint="eastAsia"/>
                <w:sz w:val="20"/>
                <w:szCs w:val="20"/>
              </w:rPr>
              <w:t>–</w:t>
            </w:r>
            <w:r w:rsidRPr="00FE7D4D">
              <w:rPr>
                <w:rFonts w:ascii="TimesNewRoman" w:hAnsi="TimesNewRoman" w:cs="TimesNewRoman" w:hint="eastAsia"/>
                <w:sz w:val="20"/>
                <w:szCs w:val="20"/>
              </w:rPr>
              <w:t xml:space="preserve"> 44</w:t>
            </w:r>
          </w:p>
        </w:tc>
        <w:tc>
          <w:tcPr>
            <w:tcW w:w="1980" w:type="dxa"/>
            <w:shd w:val="clear" w:color="auto" w:fill="auto"/>
          </w:tcPr>
          <w:p w14:paraId="560F63D1" w14:textId="0B7B0416"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sz w:val="20"/>
                <w:szCs w:val="20"/>
              </w:rPr>
              <w:t xml:space="preserve"> 21,028,221 </w:t>
            </w:r>
          </w:p>
        </w:tc>
        <w:tc>
          <w:tcPr>
            <w:tcW w:w="3093" w:type="dxa"/>
            <w:shd w:val="clear" w:color="auto" w:fill="auto"/>
          </w:tcPr>
          <w:p w14:paraId="27751BE0" w14:textId="0D42EEA8" w:rsidR="00CF16FB" w:rsidRPr="00FE7D4D" w:rsidDel="004076F0" w:rsidRDefault="00CF16FB" w:rsidP="00CF16FB">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0.000171</w:t>
            </w:r>
          </w:p>
        </w:tc>
      </w:tr>
      <w:tr w:rsidR="00CF16FB" w:rsidRPr="00FE7D4D" w14:paraId="24CC6C4B" w14:textId="77777777" w:rsidTr="00BF69BE">
        <w:trPr>
          <w:trHeight w:val="242"/>
          <w:jc w:val="center"/>
        </w:trPr>
        <w:tc>
          <w:tcPr>
            <w:tcW w:w="1975" w:type="dxa"/>
            <w:vMerge/>
            <w:vAlign w:val="center"/>
          </w:tcPr>
          <w:p w14:paraId="46BF36C6" w14:textId="77777777" w:rsidR="00CF16FB" w:rsidRPr="00FE7D4D" w:rsidRDefault="00CF16FB" w:rsidP="00CF16FB">
            <w:pPr>
              <w:autoSpaceDE w:val="0"/>
              <w:autoSpaceDN w:val="0"/>
              <w:adjustRightInd w:val="0"/>
              <w:jc w:val="center"/>
              <w:rPr>
                <w:rFonts w:ascii="TimesNewRoman" w:hAnsi="TimesNewRoman" w:cs="TimesNewRoman" w:hint="eastAsia"/>
                <w:sz w:val="20"/>
                <w:szCs w:val="20"/>
              </w:rPr>
            </w:pPr>
          </w:p>
        </w:tc>
        <w:tc>
          <w:tcPr>
            <w:tcW w:w="1350" w:type="dxa"/>
            <w:vAlign w:val="center"/>
          </w:tcPr>
          <w:p w14:paraId="30A526C4" w14:textId="7DC6BDCA"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45 </w:t>
            </w:r>
            <w:r w:rsidRPr="00FE7D4D">
              <w:rPr>
                <w:rFonts w:ascii="TimesNewRoman" w:hAnsi="TimesNewRoman" w:cs="TimesNewRoman" w:hint="eastAsia"/>
                <w:sz w:val="20"/>
                <w:szCs w:val="20"/>
              </w:rPr>
              <w:t>–</w:t>
            </w:r>
            <w:r w:rsidRPr="00FE7D4D">
              <w:rPr>
                <w:rFonts w:ascii="TimesNewRoman" w:hAnsi="TimesNewRoman" w:cs="TimesNewRoman" w:hint="eastAsia"/>
                <w:sz w:val="20"/>
                <w:szCs w:val="20"/>
              </w:rPr>
              <w:t xml:space="preserve"> 49</w:t>
            </w:r>
          </w:p>
        </w:tc>
        <w:tc>
          <w:tcPr>
            <w:tcW w:w="1980" w:type="dxa"/>
            <w:shd w:val="clear" w:color="auto" w:fill="auto"/>
          </w:tcPr>
          <w:p w14:paraId="4ACD0911" w14:textId="0958701A"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sz w:val="20"/>
                <w:szCs w:val="20"/>
              </w:rPr>
              <w:t xml:space="preserve"> 21,689,479 </w:t>
            </w:r>
          </w:p>
        </w:tc>
        <w:tc>
          <w:tcPr>
            <w:tcW w:w="3093" w:type="dxa"/>
            <w:shd w:val="clear" w:color="auto" w:fill="auto"/>
          </w:tcPr>
          <w:p w14:paraId="36E19F2D" w14:textId="5BCA5D19" w:rsidR="00CF16FB" w:rsidRPr="00FE7D4D" w:rsidRDefault="00CF16FB" w:rsidP="00CF16FB">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0.000354</w:t>
            </w:r>
          </w:p>
        </w:tc>
      </w:tr>
      <w:tr w:rsidR="00CF16FB" w:rsidRPr="00FE7D4D" w14:paraId="4153BDD4" w14:textId="77777777" w:rsidTr="00BF69BE">
        <w:trPr>
          <w:trHeight w:val="242"/>
          <w:jc w:val="center"/>
        </w:trPr>
        <w:tc>
          <w:tcPr>
            <w:tcW w:w="1975" w:type="dxa"/>
            <w:vMerge/>
            <w:vAlign w:val="center"/>
          </w:tcPr>
          <w:p w14:paraId="516332A4" w14:textId="77777777" w:rsidR="00CF16FB" w:rsidRPr="00FE7D4D" w:rsidRDefault="00CF16FB" w:rsidP="00CF16FB">
            <w:pPr>
              <w:autoSpaceDE w:val="0"/>
              <w:autoSpaceDN w:val="0"/>
              <w:adjustRightInd w:val="0"/>
              <w:jc w:val="center"/>
              <w:rPr>
                <w:rFonts w:ascii="TimesNewRoman" w:hAnsi="TimesNewRoman" w:cs="TimesNewRoman" w:hint="eastAsia"/>
                <w:sz w:val="20"/>
                <w:szCs w:val="20"/>
              </w:rPr>
            </w:pPr>
          </w:p>
        </w:tc>
        <w:tc>
          <w:tcPr>
            <w:tcW w:w="1350" w:type="dxa"/>
            <w:vAlign w:val="center"/>
          </w:tcPr>
          <w:p w14:paraId="659A9CA9" w14:textId="2A6471ED"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50 </w:t>
            </w:r>
            <w:r w:rsidRPr="00FE7D4D">
              <w:rPr>
                <w:rFonts w:ascii="TimesNewRoman" w:hAnsi="TimesNewRoman" w:cs="TimesNewRoman" w:hint="eastAsia"/>
                <w:sz w:val="20"/>
                <w:szCs w:val="20"/>
              </w:rPr>
              <w:t>–</w:t>
            </w:r>
            <w:r w:rsidRPr="00FE7D4D">
              <w:rPr>
                <w:rFonts w:ascii="TimesNewRoman" w:hAnsi="TimesNewRoman" w:cs="TimesNewRoman" w:hint="eastAsia"/>
                <w:sz w:val="20"/>
                <w:szCs w:val="20"/>
              </w:rPr>
              <w:t xml:space="preserve"> 54</w:t>
            </w:r>
          </w:p>
        </w:tc>
        <w:tc>
          <w:tcPr>
            <w:tcW w:w="1980" w:type="dxa"/>
            <w:shd w:val="clear" w:color="auto" w:fill="auto"/>
          </w:tcPr>
          <w:p w14:paraId="7778EC7D" w14:textId="20D13A16"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sz w:val="20"/>
                <w:szCs w:val="20"/>
              </w:rPr>
              <w:t xml:space="preserve"> 22,579,259 </w:t>
            </w:r>
          </w:p>
        </w:tc>
        <w:tc>
          <w:tcPr>
            <w:tcW w:w="3093" w:type="dxa"/>
            <w:shd w:val="clear" w:color="auto" w:fill="auto"/>
          </w:tcPr>
          <w:p w14:paraId="7515633B" w14:textId="7D627F84" w:rsidR="00CF16FB" w:rsidRPr="00FE7D4D" w:rsidRDefault="00CF16FB" w:rsidP="00CF16FB">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0.000631</w:t>
            </w:r>
          </w:p>
        </w:tc>
      </w:tr>
      <w:tr w:rsidR="00CF16FB" w:rsidRPr="00FE7D4D" w14:paraId="297CBA3C" w14:textId="77777777" w:rsidTr="00BF69BE">
        <w:trPr>
          <w:trHeight w:val="242"/>
          <w:jc w:val="center"/>
        </w:trPr>
        <w:tc>
          <w:tcPr>
            <w:tcW w:w="1975" w:type="dxa"/>
            <w:vMerge/>
            <w:vAlign w:val="center"/>
          </w:tcPr>
          <w:p w14:paraId="44A64C47" w14:textId="77777777" w:rsidR="00CF16FB" w:rsidRPr="00FE7D4D" w:rsidRDefault="00CF16FB" w:rsidP="00CF16FB">
            <w:pPr>
              <w:autoSpaceDE w:val="0"/>
              <w:autoSpaceDN w:val="0"/>
              <w:adjustRightInd w:val="0"/>
              <w:jc w:val="center"/>
              <w:rPr>
                <w:rFonts w:ascii="TimesNewRoman" w:hAnsi="TimesNewRoman" w:cs="TimesNewRoman" w:hint="eastAsia"/>
                <w:sz w:val="20"/>
                <w:szCs w:val="20"/>
              </w:rPr>
            </w:pPr>
          </w:p>
        </w:tc>
        <w:tc>
          <w:tcPr>
            <w:tcW w:w="1350" w:type="dxa"/>
            <w:vAlign w:val="center"/>
          </w:tcPr>
          <w:p w14:paraId="3AC9069A" w14:textId="36EB6C8F"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55 </w:t>
            </w:r>
            <w:r w:rsidRPr="00FE7D4D">
              <w:rPr>
                <w:rFonts w:ascii="TimesNewRoman" w:hAnsi="TimesNewRoman" w:cs="TimesNewRoman" w:hint="eastAsia"/>
                <w:sz w:val="20"/>
                <w:szCs w:val="20"/>
              </w:rPr>
              <w:t>–</w:t>
            </w:r>
            <w:r w:rsidRPr="00FE7D4D">
              <w:rPr>
                <w:rFonts w:ascii="TimesNewRoman" w:hAnsi="TimesNewRoman" w:cs="TimesNewRoman" w:hint="eastAsia"/>
                <w:sz w:val="20"/>
                <w:szCs w:val="20"/>
              </w:rPr>
              <w:t xml:space="preserve"> 59</w:t>
            </w:r>
          </w:p>
        </w:tc>
        <w:tc>
          <w:tcPr>
            <w:tcW w:w="1980" w:type="dxa"/>
            <w:shd w:val="clear" w:color="auto" w:fill="auto"/>
          </w:tcPr>
          <w:p w14:paraId="4D0F0E5F" w14:textId="15AE3104"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sz w:val="20"/>
                <w:szCs w:val="20"/>
              </w:rPr>
              <w:t xml:space="preserve"> 20,772,517 </w:t>
            </w:r>
          </w:p>
        </w:tc>
        <w:tc>
          <w:tcPr>
            <w:tcW w:w="3093" w:type="dxa"/>
            <w:shd w:val="clear" w:color="auto" w:fill="auto"/>
          </w:tcPr>
          <w:p w14:paraId="55A736D7" w14:textId="46C2D953" w:rsidR="00CF16FB" w:rsidRPr="00FE7D4D" w:rsidRDefault="00CF16FB" w:rsidP="00CF16FB">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0.000996</w:t>
            </w:r>
          </w:p>
        </w:tc>
      </w:tr>
      <w:tr w:rsidR="00CF16FB" w:rsidRPr="00FE7D4D" w14:paraId="7DB144B8" w14:textId="77777777" w:rsidTr="00BF69BE">
        <w:trPr>
          <w:trHeight w:val="242"/>
          <w:jc w:val="center"/>
        </w:trPr>
        <w:tc>
          <w:tcPr>
            <w:tcW w:w="1975" w:type="dxa"/>
            <w:vMerge/>
            <w:vAlign w:val="center"/>
          </w:tcPr>
          <w:p w14:paraId="310145BF" w14:textId="77777777" w:rsidR="00CF16FB" w:rsidRPr="00FE7D4D" w:rsidRDefault="00CF16FB" w:rsidP="00CF16FB">
            <w:pPr>
              <w:autoSpaceDE w:val="0"/>
              <w:autoSpaceDN w:val="0"/>
              <w:adjustRightInd w:val="0"/>
              <w:jc w:val="center"/>
              <w:rPr>
                <w:rFonts w:ascii="TimesNewRoman" w:hAnsi="TimesNewRoman" w:cs="TimesNewRoman" w:hint="eastAsia"/>
                <w:sz w:val="20"/>
                <w:szCs w:val="20"/>
              </w:rPr>
            </w:pPr>
          </w:p>
        </w:tc>
        <w:tc>
          <w:tcPr>
            <w:tcW w:w="1350" w:type="dxa"/>
            <w:vAlign w:val="center"/>
          </w:tcPr>
          <w:p w14:paraId="18DD81D6" w14:textId="2E5663F3"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60 </w:t>
            </w:r>
            <w:r w:rsidRPr="00FE7D4D">
              <w:rPr>
                <w:rFonts w:ascii="TimesNewRoman" w:hAnsi="TimesNewRoman" w:cs="TimesNewRoman" w:hint="eastAsia"/>
                <w:sz w:val="20"/>
                <w:szCs w:val="20"/>
              </w:rPr>
              <w:t>–</w:t>
            </w:r>
            <w:r w:rsidRPr="00FE7D4D">
              <w:rPr>
                <w:rFonts w:ascii="TimesNewRoman" w:hAnsi="TimesNewRoman" w:cs="TimesNewRoman" w:hint="eastAsia"/>
                <w:sz w:val="20"/>
                <w:szCs w:val="20"/>
              </w:rPr>
              <w:t xml:space="preserve"> 64</w:t>
            </w:r>
          </w:p>
        </w:tc>
        <w:tc>
          <w:tcPr>
            <w:tcW w:w="1980" w:type="dxa"/>
            <w:shd w:val="clear" w:color="auto" w:fill="auto"/>
          </w:tcPr>
          <w:p w14:paraId="04CAB33B" w14:textId="569B23D1"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sz w:val="20"/>
                <w:szCs w:val="20"/>
              </w:rPr>
              <w:t xml:space="preserve"> 17,813,685 </w:t>
            </w:r>
          </w:p>
        </w:tc>
        <w:tc>
          <w:tcPr>
            <w:tcW w:w="3093" w:type="dxa"/>
            <w:shd w:val="clear" w:color="auto" w:fill="auto"/>
          </w:tcPr>
          <w:p w14:paraId="6F4A92A8" w14:textId="3C180E0F" w:rsidR="00CF16FB" w:rsidRPr="00FE7D4D" w:rsidRDefault="00CF16FB" w:rsidP="00CF16FB">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0.001517</w:t>
            </w:r>
          </w:p>
        </w:tc>
      </w:tr>
      <w:tr w:rsidR="00CF16FB" w:rsidRPr="00FE7D4D" w14:paraId="48F0C8AD" w14:textId="77777777" w:rsidTr="00BF69BE">
        <w:trPr>
          <w:trHeight w:val="242"/>
          <w:jc w:val="center"/>
        </w:trPr>
        <w:tc>
          <w:tcPr>
            <w:tcW w:w="1975" w:type="dxa"/>
            <w:vMerge/>
            <w:vAlign w:val="center"/>
          </w:tcPr>
          <w:p w14:paraId="14A63F2E" w14:textId="77777777" w:rsidR="00CF16FB" w:rsidRPr="00FE7D4D" w:rsidRDefault="00CF16FB" w:rsidP="00CF16FB">
            <w:pPr>
              <w:autoSpaceDE w:val="0"/>
              <w:autoSpaceDN w:val="0"/>
              <w:adjustRightInd w:val="0"/>
              <w:jc w:val="center"/>
              <w:rPr>
                <w:rFonts w:ascii="TimesNewRoman" w:hAnsi="TimesNewRoman" w:cs="TimesNewRoman" w:hint="eastAsia"/>
                <w:sz w:val="20"/>
                <w:szCs w:val="20"/>
              </w:rPr>
            </w:pPr>
          </w:p>
        </w:tc>
        <w:tc>
          <w:tcPr>
            <w:tcW w:w="1350" w:type="dxa"/>
            <w:vAlign w:val="center"/>
          </w:tcPr>
          <w:p w14:paraId="48D296C3" w14:textId="1C3AF85C"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65 </w:t>
            </w:r>
            <w:r w:rsidRPr="00FE7D4D">
              <w:rPr>
                <w:rFonts w:ascii="TimesNewRoman" w:hAnsi="TimesNewRoman" w:cs="TimesNewRoman" w:hint="eastAsia"/>
                <w:sz w:val="20"/>
                <w:szCs w:val="20"/>
              </w:rPr>
              <w:t>–</w:t>
            </w:r>
            <w:r w:rsidRPr="00FE7D4D">
              <w:rPr>
                <w:rFonts w:ascii="TimesNewRoman" w:hAnsi="TimesNewRoman" w:cs="TimesNewRoman" w:hint="eastAsia"/>
                <w:sz w:val="20"/>
                <w:szCs w:val="20"/>
              </w:rPr>
              <w:t xml:space="preserve"> 69</w:t>
            </w:r>
          </w:p>
        </w:tc>
        <w:tc>
          <w:tcPr>
            <w:tcW w:w="1980" w:type="dxa"/>
            <w:shd w:val="clear" w:color="auto" w:fill="auto"/>
          </w:tcPr>
          <w:p w14:paraId="51EE8284" w14:textId="18BA0011"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sz w:val="20"/>
                <w:szCs w:val="20"/>
              </w:rPr>
              <w:t xml:space="preserve"> 13,977,353 </w:t>
            </w:r>
          </w:p>
        </w:tc>
        <w:tc>
          <w:tcPr>
            <w:tcW w:w="3093" w:type="dxa"/>
            <w:shd w:val="clear" w:color="auto" w:fill="auto"/>
          </w:tcPr>
          <w:p w14:paraId="4611ED53" w14:textId="01E0252D" w:rsidR="00CF16FB" w:rsidRPr="00FE7D4D" w:rsidRDefault="00CF16FB" w:rsidP="00CF16FB">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0.002159</w:t>
            </w:r>
          </w:p>
        </w:tc>
      </w:tr>
      <w:tr w:rsidR="00CF16FB" w:rsidRPr="00FE7D4D" w14:paraId="233880B5" w14:textId="77777777" w:rsidTr="00BF69BE">
        <w:trPr>
          <w:trHeight w:val="242"/>
          <w:jc w:val="center"/>
        </w:trPr>
        <w:tc>
          <w:tcPr>
            <w:tcW w:w="1975" w:type="dxa"/>
            <w:vMerge/>
            <w:vAlign w:val="center"/>
          </w:tcPr>
          <w:p w14:paraId="412C65C2" w14:textId="77777777" w:rsidR="00CF16FB" w:rsidRPr="00FE7D4D" w:rsidRDefault="00CF16FB" w:rsidP="00CF16FB">
            <w:pPr>
              <w:autoSpaceDE w:val="0"/>
              <w:autoSpaceDN w:val="0"/>
              <w:adjustRightInd w:val="0"/>
              <w:jc w:val="center"/>
              <w:rPr>
                <w:rFonts w:ascii="TimesNewRoman" w:hAnsi="TimesNewRoman" w:cs="TimesNewRoman" w:hint="eastAsia"/>
                <w:sz w:val="20"/>
                <w:szCs w:val="20"/>
              </w:rPr>
            </w:pPr>
          </w:p>
        </w:tc>
        <w:tc>
          <w:tcPr>
            <w:tcW w:w="1350" w:type="dxa"/>
            <w:vAlign w:val="center"/>
          </w:tcPr>
          <w:p w14:paraId="5F488DA7" w14:textId="26188E7B"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70 </w:t>
            </w:r>
            <w:r w:rsidRPr="00FE7D4D">
              <w:rPr>
                <w:rFonts w:ascii="TimesNewRoman" w:hAnsi="TimesNewRoman" w:cs="TimesNewRoman" w:hint="eastAsia"/>
                <w:sz w:val="20"/>
                <w:szCs w:val="20"/>
              </w:rPr>
              <w:t>–</w:t>
            </w:r>
            <w:r w:rsidRPr="00FE7D4D">
              <w:rPr>
                <w:rFonts w:ascii="TimesNewRoman" w:hAnsi="TimesNewRoman" w:cs="TimesNewRoman" w:hint="eastAsia"/>
                <w:sz w:val="20"/>
                <w:szCs w:val="20"/>
              </w:rPr>
              <w:t xml:space="preserve"> 74</w:t>
            </w:r>
          </w:p>
        </w:tc>
        <w:tc>
          <w:tcPr>
            <w:tcW w:w="1980" w:type="dxa"/>
            <w:shd w:val="clear" w:color="auto" w:fill="auto"/>
          </w:tcPr>
          <w:p w14:paraId="7D6F3920" w14:textId="32A1384F"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sz w:val="20"/>
                <w:szCs w:val="20"/>
              </w:rPr>
              <w:t xml:space="preserve"> 10,008,039 </w:t>
            </w:r>
          </w:p>
        </w:tc>
        <w:tc>
          <w:tcPr>
            <w:tcW w:w="3093" w:type="dxa"/>
            <w:shd w:val="clear" w:color="auto" w:fill="auto"/>
          </w:tcPr>
          <w:p w14:paraId="2EEF6B53" w14:textId="0EFEED04" w:rsidR="00CF16FB" w:rsidRPr="00FE7D4D" w:rsidRDefault="00CF16FB" w:rsidP="00CF16FB">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0.003260</w:t>
            </w:r>
          </w:p>
        </w:tc>
      </w:tr>
      <w:tr w:rsidR="00CF16FB" w:rsidRPr="00FE7D4D" w14:paraId="2CF1C985" w14:textId="77777777" w:rsidTr="00BF69BE">
        <w:trPr>
          <w:trHeight w:val="242"/>
          <w:jc w:val="center"/>
        </w:trPr>
        <w:tc>
          <w:tcPr>
            <w:tcW w:w="1975" w:type="dxa"/>
            <w:vMerge/>
            <w:vAlign w:val="center"/>
          </w:tcPr>
          <w:p w14:paraId="49AE758C" w14:textId="77777777" w:rsidR="00CF16FB" w:rsidRPr="00FE7D4D" w:rsidRDefault="00CF16FB" w:rsidP="00CF16FB">
            <w:pPr>
              <w:autoSpaceDE w:val="0"/>
              <w:autoSpaceDN w:val="0"/>
              <w:adjustRightInd w:val="0"/>
              <w:jc w:val="center"/>
              <w:rPr>
                <w:rFonts w:ascii="TimesNewRoman" w:hAnsi="TimesNewRoman" w:cs="TimesNewRoman" w:hint="eastAsia"/>
                <w:sz w:val="20"/>
                <w:szCs w:val="20"/>
              </w:rPr>
            </w:pPr>
          </w:p>
        </w:tc>
        <w:tc>
          <w:tcPr>
            <w:tcW w:w="1350" w:type="dxa"/>
            <w:vAlign w:val="center"/>
          </w:tcPr>
          <w:p w14:paraId="44E054E0" w14:textId="1A4ED89F"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xml:space="preserve">75 </w:t>
            </w:r>
            <w:r w:rsidRPr="00FE7D4D">
              <w:rPr>
                <w:rFonts w:ascii="TimesNewRoman" w:hAnsi="TimesNewRoman" w:cs="TimesNewRoman" w:hint="eastAsia"/>
                <w:sz w:val="20"/>
                <w:szCs w:val="20"/>
              </w:rPr>
              <w:t>–</w:t>
            </w:r>
            <w:r w:rsidRPr="00FE7D4D">
              <w:rPr>
                <w:rFonts w:ascii="TimesNewRoman" w:hAnsi="TimesNewRoman" w:cs="TimesNewRoman" w:hint="eastAsia"/>
                <w:sz w:val="20"/>
                <w:szCs w:val="20"/>
              </w:rPr>
              <w:t xml:space="preserve"> 79</w:t>
            </w:r>
          </w:p>
        </w:tc>
        <w:tc>
          <w:tcPr>
            <w:tcW w:w="1980" w:type="dxa"/>
            <w:shd w:val="clear" w:color="auto" w:fill="auto"/>
          </w:tcPr>
          <w:p w14:paraId="6D24E71F" w14:textId="6DFA0803" w:rsidR="00CF16FB" w:rsidRPr="00FE7D4D" w:rsidRDefault="00CF16FB" w:rsidP="00CF16FB">
            <w:pPr>
              <w:autoSpaceDE w:val="0"/>
              <w:autoSpaceDN w:val="0"/>
              <w:adjustRightInd w:val="0"/>
              <w:jc w:val="center"/>
              <w:rPr>
                <w:rFonts w:ascii="TimesNewRoman" w:hAnsi="TimesNewRoman" w:cs="TimesNewRoman" w:hint="eastAsia"/>
                <w:sz w:val="20"/>
                <w:szCs w:val="20"/>
              </w:rPr>
            </w:pPr>
            <w:r w:rsidRPr="00FE7D4D">
              <w:rPr>
                <w:sz w:val="20"/>
                <w:szCs w:val="20"/>
              </w:rPr>
              <w:t xml:space="preserve"> 7,489,583 </w:t>
            </w:r>
          </w:p>
        </w:tc>
        <w:tc>
          <w:tcPr>
            <w:tcW w:w="3093" w:type="dxa"/>
            <w:shd w:val="clear" w:color="auto" w:fill="auto"/>
          </w:tcPr>
          <w:p w14:paraId="3BC3709F" w14:textId="64D778BC" w:rsidR="00CF16FB" w:rsidRPr="00FE7D4D" w:rsidRDefault="00CF16FB" w:rsidP="00CF16FB">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0.005340</w:t>
            </w:r>
          </w:p>
        </w:tc>
      </w:tr>
      <w:tr w:rsidR="00C07C39" w:rsidRPr="00FE7D4D" w14:paraId="4C31E108" w14:textId="77777777" w:rsidTr="00C07C39">
        <w:trPr>
          <w:trHeight w:val="242"/>
          <w:jc w:val="center"/>
        </w:trPr>
        <w:tc>
          <w:tcPr>
            <w:tcW w:w="1975" w:type="dxa"/>
            <w:vMerge/>
            <w:vAlign w:val="center"/>
          </w:tcPr>
          <w:p w14:paraId="52CCB387" w14:textId="77777777" w:rsidR="00C07C39" w:rsidRPr="00FE7D4D" w:rsidRDefault="00C07C39" w:rsidP="00126003">
            <w:pPr>
              <w:autoSpaceDE w:val="0"/>
              <w:autoSpaceDN w:val="0"/>
              <w:adjustRightInd w:val="0"/>
              <w:jc w:val="center"/>
              <w:rPr>
                <w:rFonts w:ascii="TimesNewRoman" w:hAnsi="TimesNewRoman" w:cs="TimesNewRoman" w:hint="eastAsia"/>
                <w:sz w:val="20"/>
                <w:szCs w:val="20"/>
              </w:rPr>
            </w:pPr>
          </w:p>
        </w:tc>
        <w:tc>
          <w:tcPr>
            <w:tcW w:w="1350" w:type="dxa"/>
            <w:vAlign w:val="center"/>
          </w:tcPr>
          <w:p w14:paraId="12103570" w14:textId="7D665341" w:rsidR="00C07C39" w:rsidRPr="00FE7D4D" w:rsidRDefault="00C07C39" w:rsidP="00126003">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+ 80</w:t>
            </w:r>
          </w:p>
        </w:tc>
        <w:tc>
          <w:tcPr>
            <w:tcW w:w="1980" w:type="dxa"/>
            <w:shd w:val="clear" w:color="auto" w:fill="auto"/>
            <w:vAlign w:val="center"/>
          </w:tcPr>
          <w:p w14:paraId="12DEB2AD" w14:textId="63044A1D" w:rsidR="00C07C39" w:rsidRPr="00FE7D4D" w:rsidRDefault="00D408E4" w:rsidP="00126003">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11,670,381</w:t>
            </w:r>
          </w:p>
        </w:tc>
        <w:tc>
          <w:tcPr>
            <w:tcW w:w="3093" w:type="dxa"/>
            <w:shd w:val="clear" w:color="auto" w:fill="auto"/>
            <w:vAlign w:val="center"/>
          </w:tcPr>
          <w:p w14:paraId="0479580A" w14:textId="2F7DD363" w:rsidR="00C07C39" w:rsidRPr="00FE7D4D" w:rsidRDefault="00CF16FB" w:rsidP="00126003">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0.016506</w:t>
            </w:r>
          </w:p>
        </w:tc>
      </w:tr>
      <w:tr w:rsidR="00D82DAC" w:rsidRPr="00FE7D4D" w14:paraId="08BE037F" w14:textId="77777777" w:rsidTr="00BF69BE">
        <w:trPr>
          <w:trHeight w:val="242"/>
          <w:jc w:val="center"/>
        </w:trPr>
        <w:tc>
          <w:tcPr>
            <w:tcW w:w="1975" w:type="dxa"/>
            <w:vMerge w:val="restart"/>
            <w:shd w:val="clear" w:color="auto" w:fill="DDD9C3" w:themeFill="background2" w:themeFillShade="E6"/>
            <w:vAlign w:val="center"/>
          </w:tcPr>
          <w:p w14:paraId="69ECA6CB" w14:textId="4B46E4F8"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Stroke</w:t>
            </w:r>
          </w:p>
        </w:tc>
        <w:tc>
          <w:tcPr>
            <w:tcW w:w="1350" w:type="dxa"/>
            <w:shd w:val="clear" w:color="auto" w:fill="DDD9C3" w:themeFill="background2" w:themeFillShade="E6"/>
          </w:tcPr>
          <w:p w14:paraId="36C7B800" w14:textId="083A809F"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35 – 39</w:t>
            </w:r>
          </w:p>
        </w:tc>
        <w:tc>
          <w:tcPr>
            <w:tcW w:w="1980" w:type="dxa"/>
            <w:shd w:val="clear" w:color="auto" w:fill="DDD9C3" w:themeFill="background2" w:themeFillShade="E6"/>
          </w:tcPr>
          <w:p w14:paraId="26EAB450" w14:textId="6FE02C06"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 xml:space="preserve"> 19,488,199 </w:t>
            </w:r>
          </w:p>
        </w:tc>
        <w:tc>
          <w:tcPr>
            <w:tcW w:w="3093" w:type="dxa"/>
            <w:shd w:val="clear" w:color="auto" w:fill="DDD9C3" w:themeFill="background2" w:themeFillShade="E6"/>
          </w:tcPr>
          <w:p w14:paraId="15143283" w14:textId="253DF0A2" w:rsidR="00D82DAC" w:rsidRPr="00FE7D4D" w:rsidRDefault="00D82DAC" w:rsidP="00D82DAC">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0.000029</w:t>
            </w:r>
          </w:p>
        </w:tc>
      </w:tr>
      <w:tr w:rsidR="00D82DAC" w:rsidRPr="00FE7D4D" w14:paraId="0F6D7EA0" w14:textId="77777777" w:rsidTr="00BF69BE">
        <w:trPr>
          <w:trHeight w:val="242"/>
          <w:jc w:val="center"/>
        </w:trPr>
        <w:tc>
          <w:tcPr>
            <w:tcW w:w="1975" w:type="dxa"/>
            <w:vMerge/>
            <w:shd w:val="clear" w:color="auto" w:fill="DDD9C3" w:themeFill="background2" w:themeFillShade="E6"/>
            <w:vAlign w:val="center"/>
          </w:tcPr>
          <w:p w14:paraId="7C98C366" w14:textId="77777777" w:rsidR="00D82DAC" w:rsidRPr="00FE7D4D" w:rsidRDefault="00D82DAC" w:rsidP="00D82DAC">
            <w:pPr>
              <w:autoSpaceDE w:val="0"/>
              <w:autoSpaceDN w:val="0"/>
              <w:adjustRightInd w:val="0"/>
              <w:jc w:val="center"/>
              <w:rPr>
                <w:rFonts w:ascii="TimesNewRoman" w:hAnsi="TimesNewRoman" w:cs="TimesNewRoman" w:hint="eastAsia"/>
                <w:sz w:val="20"/>
                <w:szCs w:val="20"/>
              </w:rPr>
            </w:pPr>
          </w:p>
        </w:tc>
        <w:tc>
          <w:tcPr>
            <w:tcW w:w="1350" w:type="dxa"/>
            <w:shd w:val="clear" w:color="auto" w:fill="DDD9C3" w:themeFill="background2" w:themeFillShade="E6"/>
          </w:tcPr>
          <w:p w14:paraId="0B8D1CF7" w14:textId="0C8B218A"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40 – 44</w:t>
            </w:r>
          </w:p>
        </w:tc>
        <w:tc>
          <w:tcPr>
            <w:tcW w:w="1980" w:type="dxa"/>
            <w:shd w:val="clear" w:color="auto" w:fill="DDD9C3" w:themeFill="background2" w:themeFillShade="E6"/>
          </w:tcPr>
          <w:p w14:paraId="3F9CDB6A" w14:textId="0605E2C3"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 xml:space="preserve"> 21,028,221 </w:t>
            </w:r>
          </w:p>
        </w:tc>
        <w:tc>
          <w:tcPr>
            <w:tcW w:w="3093" w:type="dxa"/>
            <w:shd w:val="clear" w:color="auto" w:fill="DDD9C3" w:themeFill="background2" w:themeFillShade="E6"/>
          </w:tcPr>
          <w:p w14:paraId="7F9A475F" w14:textId="544545D3" w:rsidR="00D82DAC" w:rsidRPr="00FE7D4D" w:rsidRDefault="00D82DAC" w:rsidP="00D82DAC">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0.000053</w:t>
            </w:r>
          </w:p>
        </w:tc>
      </w:tr>
      <w:tr w:rsidR="00D82DAC" w:rsidRPr="00FE7D4D" w14:paraId="49BDBC78" w14:textId="77777777" w:rsidTr="00BF69BE">
        <w:trPr>
          <w:trHeight w:val="242"/>
          <w:jc w:val="center"/>
        </w:trPr>
        <w:tc>
          <w:tcPr>
            <w:tcW w:w="1975" w:type="dxa"/>
            <w:vMerge/>
            <w:shd w:val="clear" w:color="auto" w:fill="DDD9C3" w:themeFill="background2" w:themeFillShade="E6"/>
            <w:vAlign w:val="center"/>
          </w:tcPr>
          <w:p w14:paraId="769F8176" w14:textId="77777777" w:rsidR="00D82DAC" w:rsidRPr="00FE7D4D" w:rsidRDefault="00D82DAC" w:rsidP="00D82DAC">
            <w:pPr>
              <w:autoSpaceDE w:val="0"/>
              <w:autoSpaceDN w:val="0"/>
              <w:adjustRightInd w:val="0"/>
              <w:jc w:val="center"/>
              <w:rPr>
                <w:rFonts w:ascii="TimesNewRoman" w:hAnsi="TimesNewRoman" w:cs="TimesNewRoman" w:hint="eastAsia"/>
                <w:sz w:val="20"/>
                <w:szCs w:val="20"/>
              </w:rPr>
            </w:pPr>
          </w:p>
        </w:tc>
        <w:tc>
          <w:tcPr>
            <w:tcW w:w="1350" w:type="dxa"/>
            <w:shd w:val="clear" w:color="auto" w:fill="DDD9C3" w:themeFill="background2" w:themeFillShade="E6"/>
          </w:tcPr>
          <w:p w14:paraId="603674B1" w14:textId="1A38D8DD"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45 – 49</w:t>
            </w:r>
          </w:p>
        </w:tc>
        <w:tc>
          <w:tcPr>
            <w:tcW w:w="1980" w:type="dxa"/>
            <w:shd w:val="clear" w:color="auto" w:fill="DDD9C3" w:themeFill="background2" w:themeFillShade="E6"/>
          </w:tcPr>
          <w:p w14:paraId="242788A3" w14:textId="2AD8FAA1"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 xml:space="preserve"> 21,689,479 </w:t>
            </w:r>
          </w:p>
        </w:tc>
        <w:tc>
          <w:tcPr>
            <w:tcW w:w="3093" w:type="dxa"/>
            <w:shd w:val="clear" w:color="auto" w:fill="DDD9C3" w:themeFill="background2" w:themeFillShade="E6"/>
          </w:tcPr>
          <w:p w14:paraId="1BB1A2FE" w14:textId="00949ABB" w:rsidR="00D82DAC" w:rsidRPr="00FE7D4D" w:rsidRDefault="00D82DAC" w:rsidP="00D82DAC">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0.000097</w:t>
            </w:r>
          </w:p>
        </w:tc>
      </w:tr>
      <w:tr w:rsidR="00D82DAC" w:rsidRPr="00FE7D4D" w14:paraId="7FEF26DA" w14:textId="77777777" w:rsidTr="00BF69BE">
        <w:trPr>
          <w:trHeight w:val="242"/>
          <w:jc w:val="center"/>
        </w:trPr>
        <w:tc>
          <w:tcPr>
            <w:tcW w:w="1975" w:type="dxa"/>
            <w:vMerge/>
            <w:shd w:val="clear" w:color="auto" w:fill="DDD9C3" w:themeFill="background2" w:themeFillShade="E6"/>
            <w:vAlign w:val="center"/>
          </w:tcPr>
          <w:p w14:paraId="0EF4263B" w14:textId="77777777" w:rsidR="00D82DAC" w:rsidRPr="00FE7D4D" w:rsidRDefault="00D82DAC" w:rsidP="00D82DAC">
            <w:pPr>
              <w:autoSpaceDE w:val="0"/>
              <w:autoSpaceDN w:val="0"/>
              <w:adjustRightInd w:val="0"/>
              <w:jc w:val="center"/>
              <w:rPr>
                <w:rFonts w:ascii="TimesNewRoman" w:hAnsi="TimesNewRoman" w:cs="TimesNewRoman" w:hint="eastAsia"/>
                <w:sz w:val="20"/>
                <w:szCs w:val="20"/>
              </w:rPr>
            </w:pPr>
          </w:p>
        </w:tc>
        <w:tc>
          <w:tcPr>
            <w:tcW w:w="1350" w:type="dxa"/>
            <w:shd w:val="clear" w:color="auto" w:fill="DDD9C3" w:themeFill="background2" w:themeFillShade="E6"/>
          </w:tcPr>
          <w:p w14:paraId="476B68B8" w14:textId="0055B3D7"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50 – 54</w:t>
            </w:r>
          </w:p>
        </w:tc>
        <w:tc>
          <w:tcPr>
            <w:tcW w:w="1980" w:type="dxa"/>
            <w:shd w:val="clear" w:color="auto" w:fill="DDD9C3" w:themeFill="background2" w:themeFillShade="E6"/>
          </w:tcPr>
          <w:p w14:paraId="7E9D3906" w14:textId="6113B745"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 xml:space="preserve"> 22,579,259 </w:t>
            </w:r>
          </w:p>
        </w:tc>
        <w:tc>
          <w:tcPr>
            <w:tcW w:w="3093" w:type="dxa"/>
            <w:shd w:val="clear" w:color="auto" w:fill="DDD9C3" w:themeFill="background2" w:themeFillShade="E6"/>
          </w:tcPr>
          <w:p w14:paraId="70A1A7BE" w14:textId="60009AB3" w:rsidR="00D82DAC" w:rsidRPr="00FE7D4D" w:rsidRDefault="00D82DAC" w:rsidP="00D82DAC">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0.000146</w:t>
            </w:r>
          </w:p>
        </w:tc>
      </w:tr>
      <w:tr w:rsidR="00D82DAC" w:rsidRPr="00FE7D4D" w14:paraId="3E139877" w14:textId="77777777" w:rsidTr="00BF69BE">
        <w:trPr>
          <w:trHeight w:val="242"/>
          <w:jc w:val="center"/>
        </w:trPr>
        <w:tc>
          <w:tcPr>
            <w:tcW w:w="1975" w:type="dxa"/>
            <w:vMerge/>
            <w:shd w:val="clear" w:color="auto" w:fill="DDD9C3" w:themeFill="background2" w:themeFillShade="E6"/>
            <w:vAlign w:val="center"/>
          </w:tcPr>
          <w:p w14:paraId="14B265D8" w14:textId="77777777" w:rsidR="00D82DAC" w:rsidRPr="00FE7D4D" w:rsidRDefault="00D82DAC" w:rsidP="00D82DAC">
            <w:pPr>
              <w:autoSpaceDE w:val="0"/>
              <w:autoSpaceDN w:val="0"/>
              <w:adjustRightInd w:val="0"/>
              <w:jc w:val="center"/>
              <w:rPr>
                <w:rFonts w:ascii="TimesNewRoman" w:hAnsi="TimesNewRoman" w:cs="TimesNewRoman" w:hint="eastAsia"/>
                <w:sz w:val="20"/>
                <w:szCs w:val="20"/>
              </w:rPr>
            </w:pPr>
          </w:p>
        </w:tc>
        <w:tc>
          <w:tcPr>
            <w:tcW w:w="1350" w:type="dxa"/>
            <w:shd w:val="clear" w:color="auto" w:fill="DDD9C3" w:themeFill="background2" w:themeFillShade="E6"/>
          </w:tcPr>
          <w:p w14:paraId="1AF9D1A2" w14:textId="3AC70FCE"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55 – 59</w:t>
            </w:r>
          </w:p>
        </w:tc>
        <w:tc>
          <w:tcPr>
            <w:tcW w:w="1980" w:type="dxa"/>
            <w:shd w:val="clear" w:color="auto" w:fill="DDD9C3" w:themeFill="background2" w:themeFillShade="E6"/>
          </w:tcPr>
          <w:p w14:paraId="7CEBF63C" w14:textId="4C6AC887"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 xml:space="preserve"> 20,772,517 </w:t>
            </w:r>
          </w:p>
        </w:tc>
        <w:tc>
          <w:tcPr>
            <w:tcW w:w="3093" w:type="dxa"/>
            <w:shd w:val="clear" w:color="auto" w:fill="DDD9C3" w:themeFill="background2" w:themeFillShade="E6"/>
          </w:tcPr>
          <w:p w14:paraId="03525975" w14:textId="123BA9A9" w:rsidR="00D82DAC" w:rsidRPr="00FE7D4D" w:rsidRDefault="00D82DAC" w:rsidP="00D82DAC">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0.000219</w:t>
            </w:r>
          </w:p>
        </w:tc>
      </w:tr>
      <w:tr w:rsidR="00D82DAC" w:rsidRPr="00FE7D4D" w14:paraId="1448EB60" w14:textId="77777777" w:rsidTr="00BF69BE">
        <w:trPr>
          <w:trHeight w:val="242"/>
          <w:jc w:val="center"/>
        </w:trPr>
        <w:tc>
          <w:tcPr>
            <w:tcW w:w="1975" w:type="dxa"/>
            <w:vMerge/>
            <w:shd w:val="clear" w:color="auto" w:fill="DDD9C3" w:themeFill="background2" w:themeFillShade="E6"/>
            <w:vAlign w:val="center"/>
          </w:tcPr>
          <w:p w14:paraId="10CCE198" w14:textId="77777777" w:rsidR="00D82DAC" w:rsidRPr="00FE7D4D" w:rsidRDefault="00D82DAC" w:rsidP="00D82DAC">
            <w:pPr>
              <w:autoSpaceDE w:val="0"/>
              <w:autoSpaceDN w:val="0"/>
              <w:adjustRightInd w:val="0"/>
              <w:jc w:val="center"/>
              <w:rPr>
                <w:rFonts w:ascii="TimesNewRoman" w:hAnsi="TimesNewRoman" w:cs="TimesNewRoman" w:hint="eastAsia"/>
                <w:sz w:val="20"/>
                <w:szCs w:val="20"/>
              </w:rPr>
            </w:pPr>
          </w:p>
        </w:tc>
        <w:tc>
          <w:tcPr>
            <w:tcW w:w="1350" w:type="dxa"/>
            <w:shd w:val="clear" w:color="auto" w:fill="DDD9C3" w:themeFill="background2" w:themeFillShade="E6"/>
          </w:tcPr>
          <w:p w14:paraId="1EF73CA4" w14:textId="410D47AE"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60 – 64</w:t>
            </w:r>
          </w:p>
        </w:tc>
        <w:tc>
          <w:tcPr>
            <w:tcW w:w="1980" w:type="dxa"/>
            <w:shd w:val="clear" w:color="auto" w:fill="DDD9C3" w:themeFill="background2" w:themeFillShade="E6"/>
          </w:tcPr>
          <w:p w14:paraId="0DDE30CE" w14:textId="379BC38D"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 xml:space="preserve"> 17,813,685 </w:t>
            </w:r>
          </w:p>
        </w:tc>
        <w:tc>
          <w:tcPr>
            <w:tcW w:w="3093" w:type="dxa"/>
            <w:shd w:val="clear" w:color="auto" w:fill="DDD9C3" w:themeFill="background2" w:themeFillShade="E6"/>
          </w:tcPr>
          <w:p w14:paraId="2002FE6B" w14:textId="15E8752A" w:rsidR="00D82DAC" w:rsidRPr="00FE7D4D" w:rsidRDefault="00D82DAC" w:rsidP="00D82DAC">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0.000334</w:t>
            </w:r>
          </w:p>
        </w:tc>
      </w:tr>
      <w:tr w:rsidR="00D82DAC" w:rsidRPr="00FE7D4D" w14:paraId="24D40B40" w14:textId="77777777" w:rsidTr="00BF69BE">
        <w:trPr>
          <w:trHeight w:val="242"/>
          <w:jc w:val="center"/>
        </w:trPr>
        <w:tc>
          <w:tcPr>
            <w:tcW w:w="1975" w:type="dxa"/>
            <w:vMerge/>
            <w:shd w:val="clear" w:color="auto" w:fill="DDD9C3" w:themeFill="background2" w:themeFillShade="E6"/>
            <w:vAlign w:val="center"/>
          </w:tcPr>
          <w:p w14:paraId="4C7A7C9E" w14:textId="77777777" w:rsidR="00D82DAC" w:rsidRPr="00FE7D4D" w:rsidRDefault="00D82DAC" w:rsidP="00D82DAC">
            <w:pPr>
              <w:autoSpaceDE w:val="0"/>
              <w:autoSpaceDN w:val="0"/>
              <w:adjustRightInd w:val="0"/>
              <w:jc w:val="center"/>
              <w:rPr>
                <w:rFonts w:ascii="TimesNewRoman" w:hAnsi="TimesNewRoman" w:cs="TimesNewRoman" w:hint="eastAsia"/>
                <w:sz w:val="20"/>
                <w:szCs w:val="20"/>
              </w:rPr>
            </w:pPr>
          </w:p>
        </w:tc>
        <w:tc>
          <w:tcPr>
            <w:tcW w:w="1350" w:type="dxa"/>
            <w:shd w:val="clear" w:color="auto" w:fill="DDD9C3" w:themeFill="background2" w:themeFillShade="E6"/>
          </w:tcPr>
          <w:p w14:paraId="120BA2D3" w14:textId="194432E2"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65 – 69</w:t>
            </w:r>
          </w:p>
        </w:tc>
        <w:tc>
          <w:tcPr>
            <w:tcW w:w="1980" w:type="dxa"/>
            <w:shd w:val="clear" w:color="auto" w:fill="DDD9C3" w:themeFill="background2" w:themeFillShade="E6"/>
          </w:tcPr>
          <w:p w14:paraId="637241EE" w14:textId="6DA9D043"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 xml:space="preserve"> 13,977,353 </w:t>
            </w:r>
          </w:p>
        </w:tc>
        <w:tc>
          <w:tcPr>
            <w:tcW w:w="3093" w:type="dxa"/>
            <w:shd w:val="clear" w:color="auto" w:fill="DDD9C3" w:themeFill="background2" w:themeFillShade="E6"/>
          </w:tcPr>
          <w:p w14:paraId="31583A07" w14:textId="11E38BA6" w:rsidR="00D82DAC" w:rsidRPr="00FE7D4D" w:rsidRDefault="00D82DAC" w:rsidP="00D82DAC">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0.000523</w:t>
            </w:r>
          </w:p>
        </w:tc>
      </w:tr>
      <w:tr w:rsidR="00D82DAC" w:rsidRPr="00FE7D4D" w14:paraId="12A8A13B" w14:textId="77777777" w:rsidTr="00BF69BE">
        <w:trPr>
          <w:trHeight w:val="242"/>
          <w:jc w:val="center"/>
        </w:trPr>
        <w:tc>
          <w:tcPr>
            <w:tcW w:w="1975" w:type="dxa"/>
            <w:vMerge/>
            <w:shd w:val="clear" w:color="auto" w:fill="DDD9C3" w:themeFill="background2" w:themeFillShade="E6"/>
            <w:vAlign w:val="center"/>
          </w:tcPr>
          <w:p w14:paraId="75C06D04" w14:textId="77777777" w:rsidR="00D82DAC" w:rsidRPr="00FE7D4D" w:rsidRDefault="00D82DAC" w:rsidP="00D82DAC">
            <w:pPr>
              <w:autoSpaceDE w:val="0"/>
              <w:autoSpaceDN w:val="0"/>
              <w:adjustRightInd w:val="0"/>
              <w:jc w:val="center"/>
              <w:rPr>
                <w:rFonts w:ascii="TimesNewRoman" w:hAnsi="TimesNewRoman" w:cs="TimesNewRoman" w:hint="eastAsia"/>
                <w:sz w:val="20"/>
                <w:szCs w:val="20"/>
              </w:rPr>
            </w:pPr>
          </w:p>
        </w:tc>
        <w:tc>
          <w:tcPr>
            <w:tcW w:w="1350" w:type="dxa"/>
            <w:shd w:val="clear" w:color="auto" w:fill="DDD9C3" w:themeFill="background2" w:themeFillShade="E6"/>
          </w:tcPr>
          <w:p w14:paraId="72231954" w14:textId="63E33919"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70 – 74</w:t>
            </w:r>
          </w:p>
        </w:tc>
        <w:tc>
          <w:tcPr>
            <w:tcW w:w="1980" w:type="dxa"/>
            <w:shd w:val="clear" w:color="auto" w:fill="DDD9C3" w:themeFill="background2" w:themeFillShade="E6"/>
          </w:tcPr>
          <w:p w14:paraId="478F947D" w14:textId="26A78497"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 xml:space="preserve"> 10,008,039 </w:t>
            </w:r>
          </w:p>
        </w:tc>
        <w:tc>
          <w:tcPr>
            <w:tcW w:w="3093" w:type="dxa"/>
            <w:shd w:val="clear" w:color="auto" w:fill="DDD9C3" w:themeFill="background2" w:themeFillShade="E6"/>
          </w:tcPr>
          <w:p w14:paraId="6A406BAE" w14:textId="61712C67" w:rsidR="00D82DAC" w:rsidRPr="00FE7D4D" w:rsidRDefault="00D82DAC" w:rsidP="00D82DAC">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0.000961</w:t>
            </w:r>
          </w:p>
        </w:tc>
      </w:tr>
      <w:tr w:rsidR="00D82DAC" w:rsidRPr="00FE7D4D" w14:paraId="3C5897E3" w14:textId="77777777" w:rsidTr="00BF69BE">
        <w:trPr>
          <w:trHeight w:val="242"/>
          <w:jc w:val="center"/>
        </w:trPr>
        <w:tc>
          <w:tcPr>
            <w:tcW w:w="1975" w:type="dxa"/>
            <w:vMerge/>
            <w:shd w:val="clear" w:color="auto" w:fill="DDD9C3" w:themeFill="background2" w:themeFillShade="E6"/>
            <w:vAlign w:val="center"/>
          </w:tcPr>
          <w:p w14:paraId="6A3E0BBA" w14:textId="77777777" w:rsidR="00D82DAC" w:rsidRPr="00FE7D4D" w:rsidRDefault="00D82DAC" w:rsidP="00D82DAC">
            <w:pPr>
              <w:autoSpaceDE w:val="0"/>
              <w:autoSpaceDN w:val="0"/>
              <w:adjustRightInd w:val="0"/>
              <w:jc w:val="center"/>
              <w:rPr>
                <w:rFonts w:ascii="TimesNewRoman" w:hAnsi="TimesNewRoman" w:cs="TimesNewRoman" w:hint="eastAsia"/>
                <w:sz w:val="20"/>
                <w:szCs w:val="20"/>
              </w:rPr>
            </w:pPr>
          </w:p>
        </w:tc>
        <w:tc>
          <w:tcPr>
            <w:tcW w:w="1350" w:type="dxa"/>
            <w:shd w:val="clear" w:color="auto" w:fill="DDD9C3" w:themeFill="background2" w:themeFillShade="E6"/>
          </w:tcPr>
          <w:p w14:paraId="6954E0B8" w14:textId="74043EDA"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75 – 79</w:t>
            </w:r>
          </w:p>
        </w:tc>
        <w:tc>
          <w:tcPr>
            <w:tcW w:w="1980" w:type="dxa"/>
            <w:shd w:val="clear" w:color="auto" w:fill="DDD9C3" w:themeFill="background2" w:themeFillShade="E6"/>
          </w:tcPr>
          <w:p w14:paraId="783DE03C" w14:textId="03965E37" w:rsidR="00D82DAC" w:rsidRPr="00FE7D4D" w:rsidRDefault="00D82DAC" w:rsidP="00D82DAC">
            <w:pPr>
              <w:autoSpaceDE w:val="0"/>
              <w:autoSpaceDN w:val="0"/>
              <w:adjustRightInd w:val="0"/>
              <w:jc w:val="center"/>
              <w:rPr>
                <w:rFonts w:ascii="TimesNewRoman" w:hAnsi="TimesNewRoman" w:cs="TimesNewRoman" w:hint="eastAsia"/>
                <w:sz w:val="20"/>
                <w:szCs w:val="20"/>
              </w:rPr>
            </w:pPr>
            <w:r w:rsidRPr="00FE7D4D">
              <w:rPr>
                <w:sz w:val="20"/>
                <w:szCs w:val="20"/>
              </w:rPr>
              <w:t xml:space="preserve"> 7,489,583 </w:t>
            </w:r>
          </w:p>
        </w:tc>
        <w:tc>
          <w:tcPr>
            <w:tcW w:w="3093" w:type="dxa"/>
            <w:shd w:val="clear" w:color="auto" w:fill="DDD9C3" w:themeFill="background2" w:themeFillShade="E6"/>
          </w:tcPr>
          <w:p w14:paraId="78D0657D" w14:textId="4DC16819" w:rsidR="00D82DAC" w:rsidRPr="00FE7D4D" w:rsidRDefault="00D82DAC" w:rsidP="00D82DAC">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0.001789</w:t>
            </w:r>
          </w:p>
        </w:tc>
      </w:tr>
      <w:tr w:rsidR="00D408E4" w:rsidRPr="00FE7D4D" w14:paraId="793A5630" w14:textId="77777777" w:rsidTr="00BF69BE">
        <w:trPr>
          <w:trHeight w:val="242"/>
          <w:jc w:val="center"/>
        </w:trPr>
        <w:tc>
          <w:tcPr>
            <w:tcW w:w="1975" w:type="dxa"/>
            <w:vMerge/>
            <w:shd w:val="clear" w:color="auto" w:fill="DDD9C3" w:themeFill="background2" w:themeFillShade="E6"/>
            <w:vAlign w:val="center"/>
          </w:tcPr>
          <w:p w14:paraId="2DC7AFB7" w14:textId="77777777" w:rsidR="00D408E4" w:rsidRPr="00FE7D4D" w:rsidRDefault="00D408E4" w:rsidP="00D408E4">
            <w:pPr>
              <w:autoSpaceDE w:val="0"/>
              <w:autoSpaceDN w:val="0"/>
              <w:adjustRightInd w:val="0"/>
              <w:jc w:val="center"/>
              <w:rPr>
                <w:rFonts w:ascii="TimesNewRoman" w:hAnsi="TimesNewRoman" w:cs="TimesNewRoman" w:hint="eastAsia"/>
                <w:sz w:val="20"/>
                <w:szCs w:val="20"/>
              </w:rPr>
            </w:pPr>
          </w:p>
        </w:tc>
        <w:tc>
          <w:tcPr>
            <w:tcW w:w="1350" w:type="dxa"/>
            <w:shd w:val="clear" w:color="auto" w:fill="DDD9C3" w:themeFill="background2" w:themeFillShade="E6"/>
          </w:tcPr>
          <w:p w14:paraId="60ACC78F" w14:textId="452B6C95" w:rsidR="00D408E4" w:rsidRPr="00FE7D4D" w:rsidRDefault="00D408E4" w:rsidP="00D408E4">
            <w:pPr>
              <w:autoSpaceDE w:val="0"/>
              <w:autoSpaceDN w:val="0"/>
              <w:adjustRightInd w:val="0"/>
              <w:jc w:val="center"/>
              <w:rPr>
                <w:rFonts w:ascii="TimesNewRoman" w:hAnsi="TimesNewRoman" w:cs="TimesNewRoman" w:hint="eastAsia"/>
                <w:sz w:val="20"/>
                <w:szCs w:val="20"/>
              </w:rPr>
            </w:pPr>
            <w:r w:rsidRPr="00FE7D4D">
              <w:rPr>
                <w:sz w:val="20"/>
                <w:szCs w:val="20"/>
              </w:rPr>
              <w:t>+ 80</w:t>
            </w:r>
          </w:p>
        </w:tc>
        <w:tc>
          <w:tcPr>
            <w:tcW w:w="1980" w:type="dxa"/>
            <w:shd w:val="clear" w:color="auto" w:fill="DDD9C3" w:themeFill="background2" w:themeFillShade="E6"/>
            <w:vAlign w:val="center"/>
          </w:tcPr>
          <w:p w14:paraId="5F70AF1C" w14:textId="3AA910CA" w:rsidR="00D408E4" w:rsidRPr="00FE7D4D" w:rsidRDefault="00D408E4" w:rsidP="00D408E4">
            <w:pPr>
              <w:autoSpaceDE w:val="0"/>
              <w:autoSpaceDN w:val="0"/>
              <w:adjustRightInd w:val="0"/>
              <w:jc w:val="center"/>
              <w:rPr>
                <w:rFonts w:ascii="TimesNewRoman" w:hAnsi="TimesNewRoman" w:cs="TimesNewRoman" w:hint="eastAsia"/>
                <w:sz w:val="20"/>
                <w:szCs w:val="20"/>
              </w:rPr>
            </w:pPr>
            <w:r w:rsidRPr="00FE7D4D">
              <w:rPr>
                <w:rFonts w:ascii="TimesNewRoman" w:hAnsi="TimesNewRoman" w:cs="TimesNewRoman" w:hint="eastAsia"/>
                <w:sz w:val="20"/>
                <w:szCs w:val="20"/>
              </w:rPr>
              <w:t>11,670,381</w:t>
            </w:r>
          </w:p>
        </w:tc>
        <w:tc>
          <w:tcPr>
            <w:tcW w:w="3093" w:type="dxa"/>
            <w:shd w:val="clear" w:color="auto" w:fill="DDD9C3" w:themeFill="background2" w:themeFillShade="E6"/>
            <w:vAlign w:val="center"/>
          </w:tcPr>
          <w:p w14:paraId="00FAB02C" w14:textId="4335D084" w:rsidR="00D408E4" w:rsidRPr="00FE7D4D" w:rsidRDefault="00D82DAC" w:rsidP="00D408E4">
            <w:pPr>
              <w:autoSpaceDE w:val="0"/>
              <w:autoSpaceDN w:val="0"/>
              <w:adjustRightInd w:val="0"/>
              <w:jc w:val="center"/>
              <w:rPr>
                <w:rFonts w:asciiTheme="majorBidi" w:hAnsiTheme="majorBidi" w:cstheme="majorBidi"/>
                <w:sz w:val="20"/>
                <w:szCs w:val="20"/>
              </w:rPr>
            </w:pPr>
            <w:r w:rsidRPr="00FE7D4D">
              <w:rPr>
                <w:rFonts w:asciiTheme="majorBidi" w:hAnsiTheme="majorBidi" w:cstheme="majorBidi"/>
                <w:sz w:val="20"/>
                <w:szCs w:val="20"/>
              </w:rPr>
              <w:t>0.005845</w:t>
            </w:r>
          </w:p>
        </w:tc>
      </w:tr>
    </w:tbl>
    <w:p w14:paraId="31825FCE" w14:textId="77777777" w:rsidR="008D794E" w:rsidRPr="00FE7D4D" w:rsidRDefault="008D794E" w:rsidP="008D794E">
      <w:pPr>
        <w:autoSpaceDE w:val="0"/>
        <w:autoSpaceDN w:val="0"/>
        <w:adjustRightInd w:val="0"/>
        <w:rPr>
          <w:rFonts w:ascii="TimesNewRoman" w:hAnsi="TimesNewRoman" w:cs="TimesNewRoman" w:hint="eastAsia"/>
        </w:rPr>
      </w:pPr>
    </w:p>
    <w:p w14:paraId="4F77BC66" w14:textId="77777777" w:rsidR="00FD796E" w:rsidRPr="00FE7D4D" w:rsidRDefault="00FD796E">
      <w:pPr>
        <w:sectPr w:rsidR="00FD796E" w:rsidRPr="00FE7D4D" w:rsidSect="00421DA4">
          <w:footerReference w:type="even" r:id="rId9"/>
          <w:footerReference w:type="default" r:id="rId10"/>
          <w:pgSz w:w="12240" w:h="15840"/>
          <w:pgMar w:top="1440" w:right="1440" w:bottom="1440" w:left="1440" w:header="720" w:footer="720" w:gutter="0"/>
          <w:lnNumType w:countBy="1" w:restart="continuous"/>
          <w:cols w:space="720"/>
          <w:docGrid w:linePitch="360"/>
        </w:sectPr>
      </w:pPr>
    </w:p>
    <w:p w14:paraId="65E767A7" w14:textId="29BEADAB" w:rsidR="00AC12ED" w:rsidRPr="00FE7D4D" w:rsidRDefault="00AC12ED" w:rsidP="00ED2B76">
      <w:pPr>
        <w:pStyle w:val="Caption"/>
        <w:jc w:val="center"/>
      </w:pPr>
      <w:r w:rsidRPr="00FE7D4D">
        <w:lastRenderedPageBreak/>
        <w:t>Table S4. Mean, standard deviation (SD), and interquartile range (IQR: 25</w:t>
      </w:r>
      <w:r w:rsidRPr="00FE7D4D">
        <w:rPr>
          <w:vertAlign w:val="superscript"/>
        </w:rPr>
        <w:t>th</w:t>
      </w:r>
      <w:r w:rsidRPr="00FE7D4D">
        <w:t xml:space="preserve"> to 75</w:t>
      </w:r>
      <w:r w:rsidRPr="00FE7D4D">
        <w:rPr>
          <w:vertAlign w:val="superscript"/>
        </w:rPr>
        <w:t>th</w:t>
      </w:r>
      <w:r w:rsidRPr="00FE7D4D">
        <w:t xml:space="preserve"> percentiles) of the estimated contributions </w:t>
      </w:r>
      <w:r w:rsidR="00ED2B76" w:rsidRPr="00FE7D4D">
        <w:t xml:space="preserve">to </w:t>
      </w:r>
      <w:r w:rsidRPr="00FE7D4D">
        <w:t>total PM</w:t>
      </w:r>
      <w:r w:rsidRPr="00FE7D4D">
        <w:rPr>
          <w:vertAlign w:val="subscript"/>
        </w:rPr>
        <w:t>2.5</w:t>
      </w:r>
      <w:r w:rsidRPr="00FE7D4D">
        <w:t xml:space="preserve"> exposures resulting from </w:t>
      </w:r>
      <w:r w:rsidR="00D74968" w:rsidRPr="00FE7D4D">
        <w:t xml:space="preserve">IER </w:t>
      </w:r>
      <w:r w:rsidR="002C023A" w:rsidRPr="00FE7D4D">
        <w:t xml:space="preserve">and </w:t>
      </w:r>
      <w:r w:rsidR="006111DF" w:rsidRPr="00FE7D4D">
        <w:t>E</w:t>
      </w:r>
      <w:r w:rsidR="002C023A" w:rsidRPr="00FE7D4D">
        <w:t>-R models</w:t>
      </w:r>
      <w:r w:rsidR="006111DF" w:rsidRPr="00FE7D4D">
        <w:t xml:space="preserve"> </w:t>
      </w:r>
      <w:r w:rsidR="00D74968" w:rsidRPr="00FE7D4D">
        <w:t xml:space="preserve">with unmodified effect estimates and a threshold concentration of 5.8 </w:t>
      </w:r>
      <w:r w:rsidR="00D74968" w:rsidRPr="00FE7D4D">
        <w:rPr>
          <w:rFonts w:cs="Times New Roman"/>
        </w:rPr>
        <w:t>μ</w:t>
      </w:r>
      <w:r w:rsidR="00D74968" w:rsidRPr="00FE7D4D">
        <w:t>g/m</w:t>
      </w:r>
      <w:r w:rsidR="00D74968" w:rsidRPr="00FE7D4D">
        <w:rPr>
          <w:vertAlign w:val="superscript"/>
        </w:rPr>
        <w:t>3</w:t>
      </w:r>
      <w:r w:rsidR="00D74968" w:rsidRPr="00FE7D4D">
        <w:t xml:space="preserve"> </w:t>
      </w:r>
      <w:r w:rsidR="006111DF" w:rsidRPr="00FE7D4D">
        <w:t xml:space="preserve">for </w:t>
      </w:r>
      <w:r w:rsidR="00D74968" w:rsidRPr="00FE7D4D">
        <w:t xml:space="preserve">the U.S. </w:t>
      </w:r>
      <w:r w:rsidR="006111DF" w:rsidRPr="00FE7D4D">
        <w:t xml:space="preserve">population 35 </w:t>
      </w:r>
      <w:r w:rsidR="00D74968" w:rsidRPr="00FE7D4D">
        <w:t xml:space="preserve">years and older </w:t>
      </w:r>
      <w:r w:rsidR="00536D97" w:rsidRPr="00FE7D4D">
        <w:t>in 2012</w:t>
      </w:r>
      <w:r w:rsidR="00D74968" w:rsidRPr="00FE7D4D">
        <w:t>.</w:t>
      </w:r>
    </w:p>
    <w:tbl>
      <w:tblPr>
        <w:tblStyle w:val="TableGrid"/>
        <w:tblW w:w="0" w:type="auto"/>
        <w:tblLook w:val="04A0" w:firstRow="1" w:lastRow="0" w:firstColumn="1" w:lastColumn="0" w:noHBand="0" w:noVBand="1"/>
      </w:tblPr>
      <w:tblGrid>
        <w:gridCol w:w="1075"/>
        <w:gridCol w:w="1584"/>
        <w:gridCol w:w="2106"/>
        <w:gridCol w:w="1710"/>
        <w:gridCol w:w="1710"/>
        <w:gridCol w:w="2430"/>
        <w:gridCol w:w="2335"/>
      </w:tblGrid>
      <w:tr w:rsidR="006111DF" w:rsidRPr="00FE7D4D" w14:paraId="1ED25E57" w14:textId="77777777" w:rsidTr="004C2144">
        <w:tc>
          <w:tcPr>
            <w:tcW w:w="1075" w:type="dxa"/>
            <w:tcBorders>
              <w:bottom w:val="triple" w:sz="4" w:space="0" w:color="auto"/>
            </w:tcBorders>
            <w:shd w:val="clear" w:color="auto" w:fill="D9D9D9" w:themeFill="background1" w:themeFillShade="D9"/>
            <w:vAlign w:val="center"/>
          </w:tcPr>
          <w:p w14:paraId="24810A3C" w14:textId="6C72FACC" w:rsidR="006111DF" w:rsidRPr="00FE7D4D" w:rsidRDefault="006111DF" w:rsidP="00C35652">
            <w:pPr>
              <w:rPr>
                <w:rFonts w:cs="Times New Roman"/>
                <w:b/>
                <w:sz w:val="20"/>
                <w:szCs w:val="20"/>
              </w:rPr>
            </w:pPr>
            <w:r w:rsidRPr="00FE7D4D">
              <w:rPr>
                <w:rFonts w:cs="Times New Roman"/>
                <w:b/>
                <w:sz w:val="20"/>
                <w:szCs w:val="20"/>
              </w:rPr>
              <w:t>Applied Model</w:t>
            </w:r>
          </w:p>
        </w:tc>
        <w:tc>
          <w:tcPr>
            <w:tcW w:w="1584" w:type="dxa"/>
            <w:tcBorders>
              <w:bottom w:val="triple" w:sz="4" w:space="0" w:color="auto"/>
            </w:tcBorders>
            <w:shd w:val="clear" w:color="auto" w:fill="D9D9D9" w:themeFill="background1" w:themeFillShade="D9"/>
            <w:vAlign w:val="center"/>
          </w:tcPr>
          <w:p w14:paraId="5F2A1155" w14:textId="0B24F96A" w:rsidR="006111DF" w:rsidRPr="00AA0679" w:rsidRDefault="006111DF" w:rsidP="00C35652">
            <w:pPr>
              <w:keepNext/>
              <w:keepLines/>
              <w:spacing w:before="200"/>
              <w:outlineLvl w:val="4"/>
            </w:pPr>
            <w:r w:rsidRPr="00FE7D4D">
              <w:rPr>
                <w:rFonts w:cs="Times New Roman"/>
                <w:b/>
                <w:sz w:val="20"/>
                <w:szCs w:val="20"/>
              </w:rPr>
              <w:t>Outdoor or Indoor Sources</w:t>
            </w:r>
          </w:p>
        </w:tc>
        <w:tc>
          <w:tcPr>
            <w:tcW w:w="2106" w:type="dxa"/>
            <w:tcBorders>
              <w:bottom w:val="triple" w:sz="4" w:space="0" w:color="auto"/>
            </w:tcBorders>
            <w:shd w:val="clear" w:color="auto" w:fill="D9D9D9" w:themeFill="background1" w:themeFillShade="D9"/>
            <w:vAlign w:val="center"/>
          </w:tcPr>
          <w:p w14:paraId="6BE7DE51" w14:textId="611AF313" w:rsidR="006111DF" w:rsidRPr="00AA0679" w:rsidRDefault="006111DF" w:rsidP="00C35652">
            <w:pPr>
              <w:keepNext/>
              <w:keepLines/>
              <w:spacing w:before="200"/>
              <w:outlineLvl w:val="4"/>
            </w:pPr>
            <w:r w:rsidRPr="00FE7D4D">
              <w:rPr>
                <w:rFonts w:cs="Times New Roman"/>
                <w:b/>
                <w:sz w:val="20"/>
                <w:szCs w:val="20"/>
              </w:rPr>
              <w:t>Microenvironment</w:t>
            </w:r>
          </w:p>
        </w:tc>
        <w:tc>
          <w:tcPr>
            <w:tcW w:w="1710" w:type="dxa"/>
            <w:tcBorders>
              <w:bottom w:val="triple" w:sz="4" w:space="0" w:color="auto"/>
            </w:tcBorders>
            <w:shd w:val="clear" w:color="auto" w:fill="D9D9D9" w:themeFill="background1" w:themeFillShade="D9"/>
            <w:vAlign w:val="center"/>
          </w:tcPr>
          <w:p w14:paraId="3948AD9B" w14:textId="1BFA1337" w:rsidR="006111DF" w:rsidRPr="00FE7D4D" w:rsidRDefault="006111DF" w:rsidP="00C35652">
            <w:pPr>
              <w:tabs>
                <w:tab w:val="left" w:pos="871"/>
              </w:tabs>
              <w:autoSpaceDE w:val="0"/>
              <w:autoSpaceDN w:val="0"/>
              <w:adjustRightInd w:val="0"/>
              <w:ind w:left="-44" w:right="45"/>
              <w:rPr>
                <w:rFonts w:cs="Times New Roman"/>
                <w:b/>
                <w:sz w:val="20"/>
                <w:szCs w:val="20"/>
              </w:rPr>
            </w:pPr>
            <w:r w:rsidRPr="00FE7D4D">
              <w:rPr>
                <w:rFonts w:cs="Times New Roman"/>
                <w:b/>
                <w:sz w:val="20"/>
                <w:szCs w:val="20"/>
              </w:rPr>
              <w:t>Mean fraction of total PM</w:t>
            </w:r>
            <w:r w:rsidRPr="00FE7D4D">
              <w:rPr>
                <w:rFonts w:cs="Times New Roman"/>
                <w:b/>
                <w:sz w:val="20"/>
                <w:szCs w:val="20"/>
                <w:vertAlign w:val="subscript"/>
              </w:rPr>
              <w:t>2.5</w:t>
            </w:r>
            <w:r w:rsidRPr="00FE7D4D">
              <w:rPr>
                <w:rFonts w:cs="Times New Roman"/>
                <w:b/>
                <w:sz w:val="20"/>
                <w:szCs w:val="20"/>
              </w:rPr>
              <w:t xml:space="preserve"> exposure ±</w:t>
            </w:r>
            <w:r w:rsidRPr="00FE7D4D">
              <w:rPr>
                <w:rFonts w:cs="Times New Roman"/>
                <w:sz w:val="20"/>
                <w:szCs w:val="20"/>
              </w:rPr>
              <w:t xml:space="preserve"> </w:t>
            </w:r>
            <w:r w:rsidRPr="00FE7D4D">
              <w:rPr>
                <w:rFonts w:cs="Times New Roman"/>
                <w:b/>
                <w:sz w:val="20"/>
                <w:szCs w:val="20"/>
              </w:rPr>
              <w:t>SD</w:t>
            </w:r>
          </w:p>
        </w:tc>
        <w:tc>
          <w:tcPr>
            <w:tcW w:w="1710" w:type="dxa"/>
            <w:tcBorders>
              <w:bottom w:val="triple" w:sz="4" w:space="0" w:color="auto"/>
            </w:tcBorders>
            <w:shd w:val="clear" w:color="auto" w:fill="D9D9D9" w:themeFill="background1" w:themeFillShade="D9"/>
            <w:vAlign w:val="center"/>
          </w:tcPr>
          <w:p w14:paraId="3438E79B" w14:textId="223C73C0" w:rsidR="006111DF" w:rsidRPr="00AA0679" w:rsidRDefault="006111DF" w:rsidP="00C35652">
            <w:pPr>
              <w:keepNext/>
              <w:keepLines/>
              <w:spacing w:before="200"/>
              <w:outlineLvl w:val="4"/>
            </w:pPr>
            <w:r w:rsidRPr="00FE7D4D">
              <w:rPr>
                <w:rFonts w:cs="Times New Roman"/>
                <w:b/>
                <w:sz w:val="20"/>
                <w:szCs w:val="20"/>
              </w:rPr>
              <w:t>IQR of fraction of total PM</w:t>
            </w:r>
            <w:r w:rsidRPr="00FE7D4D">
              <w:rPr>
                <w:rFonts w:cs="Times New Roman"/>
                <w:b/>
                <w:sz w:val="20"/>
                <w:szCs w:val="20"/>
                <w:vertAlign w:val="subscript"/>
              </w:rPr>
              <w:t>2.5</w:t>
            </w:r>
            <w:r w:rsidRPr="00FE7D4D">
              <w:rPr>
                <w:rFonts w:cs="Times New Roman"/>
                <w:b/>
                <w:sz w:val="20"/>
                <w:szCs w:val="20"/>
              </w:rPr>
              <w:t xml:space="preserve"> exposure</w:t>
            </w:r>
          </w:p>
        </w:tc>
        <w:tc>
          <w:tcPr>
            <w:tcW w:w="2430" w:type="dxa"/>
            <w:tcBorders>
              <w:bottom w:val="triple" w:sz="4" w:space="0" w:color="auto"/>
            </w:tcBorders>
            <w:shd w:val="clear" w:color="auto" w:fill="D9D9D9" w:themeFill="background1" w:themeFillShade="D9"/>
            <w:vAlign w:val="center"/>
          </w:tcPr>
          <w:p w14:paraId="0619E60D" w14:textId="133D16C3" w:rsidR="006111DF" w:rsidRPr="00FE7D4D" w:rsidRDefault="006111DF" w:rsidP="00C35652">
            <w:pPr>
              <w:autoSpaceDE w:val="0"/>
              <w:autoSpaceDN w:val="0"/>
              <w:adjustRightInd w:val="0"/>
              <w:ind w:left="9" w:hanging="9"/>
              <w:rPr>
                <w:rFonts w:cs="Times New Roman"/>
                <w:b/>
                <w:sz w:val="20"/>
                <w:szCs w:val="20"/>
              </w:rPr>
            </w:pPr>
            <w:r w:rsidRPr="00FE7D4D">
              <w:rPr>
                <w:rFonts w:cs="Times New Roman"/>
                <w:b/>
                <w:sz w:val="20"/>
                <w:szCs w:val="20"/>
              </w:rPr>
              <w:t>Mean estimate of annual deaths attributed to total PM</w:t>
            </w:r>
            <w:r w:rsidRPr="00FE7D4D">
              <w:rPr>
                <w:rFonts w:cs="Times New Roman"/>
                <w:b/>
                <w:sz w:val="20"/>
                <w:szCs w:val="20"/>
                <w:vertAlign w:val="subscript"/>
              </w:rPr>
              <w:t>2.5</w:t>
            </w:r>
            <w:r w:rsidRPr="00FE7D4D">
              <w:rPr>
                <w:rFonts w:cs="Times New Roman"/>
                <w:b/>
                <w:sz w:val="20"/>
                <w:szCs w:val="20"/>
              </w:rPr>
              <w:t xml:space="preserve"> exposure ±</w:t>
            </w:r>
            <w:r w:rsidRPr="00FE7D4D">
              <w:rPr>
                <w:rFonts w:cs="Times New Roman"/>
                <w:sz w:val="20"/>
                <w:szCs w:val="20"/>
              </w:rPr>
              <w:t xml:space="preserve"> </w:t>
            </w:r>
            <w:r w:rsidRPr="00FE7D4D">
              <w:rPr>
                <w:rFonts w:cs="Times New Roman"/>
                <w:b/>
                <w:sz w:val="20"/>
                <w:szCs w:val="20"/>
              </w:rPr>
              <w:t>SD</w:t>
            </w:r>
          </w:p>
        </w:tc>
        <w:tc>
          <w:tcPr>
            <w:tcW w:w="2335" w:type="dxa"/>
            <w:tcBorders>
              <w:bottom w:val="triple" w:sz="4" w:space="0" w:color="auto"/>
            </w:tcBorders>
            <w:shd w:val="clear" w:color="auto" w:fill="D9D9D9" w:themeFill="background1" w:themeFillShade="D9"/>
            <w:vAlign w:val="center"/>
          </w:tcPr>
          <w:p w14:paraId="2A9B31CD" w14:textId="55D66441" w:rsidR="006111DF" w:rsidRPr="00AA0679" w:rsidRDefault="006111DF" w:rsidP="00C35652">
            <w:pPr>
              <w:keepNext/>
              <w:keepLines/>
              <w:spacing w:before="200"/>
              <w:outlineLvl w:val="4"/>
            </w:pPr>
            <w:r w:rsidRPr="00FE7D4D">
              <w:rPr>
                <w:rFonts w:cs="Times New Roman"/>
                <w:b/>
                <w:sz w:val="20"/>
                <w:szCs w:val="20"/>
              </w:rPr>
              <w:t>IQR of estimate of annual deaths attributed to total PM</w:t>
            </w:r>
            <w:r w:rsidRPr="00FE7D4D">
              <w:rPr>
                <w:rFonts w:cs="Times New Roman"/>
                <w:b/>
                <w:sz w:val="20"/>
                <w:szCs w:val="20"/>
                <w:vertAlign w:val="subscript"/>
              </w:rPr>
              <w:t>2.5</w:t>
            </w:r>
            <w:r w:rsidRPr="00FE7D4D">
              <w:rPr>
                <w:rFonts w:cs="Times New Roman"/>
                <w:b/>
                <w:sz w:val="20"/>
                <w:szCs w:val="20"/>
              </w:rPr>
              <w:t xml:space="preserve"> exposure</w:t>
            </w:r>
          </w:p>
        </w:tc>
      </w:tr>
      <w:tr w:rsidR="00357BB5" w:rsidRPr="00FE7D4D" w14:paraId="6662A10F" w14:textId="77777777" w:rsidTr="004C2144">
        <w:tc>
          <w:tcPr>
            <w:tcW w:w="1075" w:type="dxa"/>
            <w:vMerge w:val="restart"/>
            <w:tcBorders>
              <w:top w:val="triple" w:sz="4" w:space="0" w:color="auto"/>
            </w:tcBorders>
            <w:textDirection w:val="btLr"/>
            <w:vAlign w:val="center"/>
          </w:tcPr>
          <w:p w14:paraId="138615D4" w14:textId="45E00681" w:rsidR="00357BB5" w:rsidRPr="00FE7D4D" w:rsidRDefault="00357BB5" w:rsidP="002E1ACC">
            <w:pPr>
              <w:ind w:left="113" w:right="113"/>
              <w:jc w:val="center"/>
              <w:rPr>
                <w:b/>
                <w:bCs/>
                <w:sz w:val="20"/>
                <w:szCs w:val="20"/>
              </w:rPr>
            </w:pPr>
            <w:r w:rsidRPr="00FE7D4D">
              <w:rPr>
                <w:b/>
                <w:bCs/>
                <w:sz w:val="20"/>
                <w:szCs w:val="20"/>
              </w:rPr>
              <w:t xml:space="preserve">Unmodified IER </w:t>
            </w:r>
            <w:r w:rsidR="002E1ACC" w:rsidRPr="00FE7D4D">
              <w:rPr>
                <w:b/>
                <w:bCs/>
                <w:sz w:val="20"/>
                <w:szCs w:val="20"/>
              </w:rPr>
              <w:t>model</w:t>
            </w:r>
          </w:p>
        </w:tc>
        <w:tc>
          <w:tcPr>
            <w:tcW w:w="1584" w:type="dxa"/>
            <w:vMerge w:val="restart"/>
            <w:tcBorders>
              <w:top w:val="triple" w:sz="4" w:space="0" w:color="auto"/>
            </w:tcBorders>
          </w:tcPr>
          <w:p w14:paraId="0779F36B" w14:textId="5A7E4683" w:rsidR="00357BB5" w:rsidRPr="00AA0679" w:rsidRDefault="00357BB5" w:rsidP="0050318F">
            <w:pPr>
              <w:keepNext/>
              <w:keepLines/>
              <w:spacing w:before="200"/>
              <w:outlineLvl w:val="4"/>
            </w:pPr>
            <w:r w:rsidRPr="00FE7D4D">
              <w:rPr>
                <w:rFonts w:cs="Times New Roman"/>
                <w:sz w:val="20"/>
                <w:szCs w:val="20"/>
              </w:rPr>
              <w:t>Due to PM</w:t>
            </w:r>
            <w:r w:rsidRPr="00FE7D4D">
              <w:rPr>
                <w:rFonts w:cs="Times New Roman"/>
                <w:sz w:val="20"/>
                <w:szCs w:val="20"/>
                <w:vertAlign w:val="subscript"/>
              </w:rPr>
              <w:t>2.5</w:t>
            </w:r>
            <w:r w:rsidRPr="00FE7D4D">
              <w:rPr>
                <w:rFonts w:cs="Times New Roman"/>
                <w:sz w:val="20"/>
                <w:szCs w:val="20"/>
              </w:rPr>
              <w:t xml:space="preserve"> of outdoor origin</w:t>
            </w:r>
          </w:p>
        </w:tc>
        <w:tc>
          <w:tcPr>
            <w:tcW w:w="2106" w:type="dxa"/>
            <w:tcBorders>
              <w:top w:val="triple" w:sz="4" w:space="0" w:color="auto"/>
            </w:tcBorders>
            <w:vAlign w:val="center"/>
          </w:tcPr>
          <w:p w14:paraId="6C7C121B" w14:textId="02157EFE" w:rsidR="00357BB5" w:rsidRPr="00AA0679" w:rsidRDefault="00357BB5" w:rsidP="0050318F">
            <w:pPr>
              <w:keepNext/>
              <w:keepLines/>
              <w:spacing w:before="200"/>
              <w:outlineLvl w:val="4"/>
            </w:pPr>
            <w:r w:rsidRPr="00FE7D4D">
              <w:rPr>
                <w:rFonts w:cs="Times New Roman"/>
                <w:sz w:val="20"/>
                <w:szCs w:val="20"/>
              </w:rPr>
              <w:t>Residences</w:t>
            </w:r>
          </w:p>
        </w:tc>
        <w:tc>
          <w:tcPr>
            <w:tcW w:w="1710" w:type="dxa"/>
            <w:tcBorders>
              <w:top w:val="triple" w:sz="4" w:space="0" w:color="auto"/>
            </w:tcBorders>
          </w:tcPr>
          <w:p w14:paraId="6ECF8586" w14:textId="651FC76B" w:rsidR="00357BB5" w:rsidRPr="00FE7D4D" w:rsidRDefault="00BF69BE" w:rsidP="00C35652">
            <w:pPr>
              <w:jc w:val="center"/>
              <w:rPr>
                <w:rFonts w:asciiTheme="majorBidi" w:hAnsiTheme="majorBidi" w:cstheme="majorBidi"/>
                <w:color w:val="000000"/>
                <w:sz w:val="20"/>
                <w:szCs w:val="20"/>
              </w:rPr>
            </w:pPr>
            <w:r w:rsidRPr="00FE7D4D">
              <w:rPr>
                <w:rFonts w:asciiTheme="majorBidi" w:hAnsiTheme="majorBidi" w:cstheme="majorBidi"/>
                <w:color w:val="000000"/>
                <w:sz w:val="20"/>
                <w:szCs w:val="20"/>
              </w:rPr>
              <w:t>41.9%</w:t>
            </w:r>
            <w:r w:rsidR="003D3ABF" w:rsidRPr="00FE7D4D">
              <w:rPr>
                <w:rFonts w:asciiTheme="majorBidi" w:hAnsiTheme="majorBidi" w:cstheme="majorBidi"/>
                <w:color w:val="000000"/>
                <w:sz w:val="20"/>
                <w:szCs w:val="20"/>
              </w:rPr>
              <w:t xml:space="preserve"> </w:t>
            </w:r>
            <w:r w:rsidR="003D3ABF" w:rsidRPr="00FE7D4D">
              <w:rPr>
                <w:rFonts w:asciiTheme="majorBidi" w:hAnsiTheme="majorBidi" w:cstheme="majorBidi"/>
                <w:b/>
                <w:sz w:val="20"/>
                <w:szCs w:val="20"/>
              </w:rPr>
              <w:t>±</w:t>
            </w:r>
            <w:r w:rsidR="00EF378F" w:rsidRPr="00FE7D4D">
              <w:rPr>
                <w:rFonts w:asciiTheme="majorBidi" w:hAnsiTheme="majorBidi" w:cstheme="majorBidi"/>
                <w:b/>
                <w:sz w:val="20"/>
                <w:szCs w:val="20"/>
              </w:rPr>
              <w:t xml:space="preserve"> </w:t>
            </w:r>
            <w:r w:rsidR="001D49B9" w:rsidRPr="00FE7D4D">
              <w:rPr>
                <w:rFonts w:asciiTheme="majorBidi" w:hAnsiTheme="majorBidi" w:cstheme="majorBidi"/>
                <w:color w:val="000000"/>
                <w:sz w:val="20"/>
                <w:szCs w:val="20"/>
              </w:rPr>
              <w:t>24.1%</w:t>
            </w:r>
          </w:p>
        </w:tc>
        <w:tc>
          <w:tcPr>
            <w:tcW w:w="1710" w:type="dxa"/>
            <w:tcBorders>
              <w:top w:val="triple" w:sz="4" w:space="0" w:color="auto"/>
            </w:tcBorders>
          </w:tcPr>
          <w:p w14:paraId="2A425F4A" w14:textId="25513BBE" w:rsidR="00357BB5" w:rsidRPr="00FE7D4D" w:rsidRDefault="00A67FB4" w:rsidP="00C35652">
            <w:pPr>
              <w:jc w:val="center"/>
              <w:rPr>
                <w:rFonts w:asciiTheme="majorBidi" w:hAnsiTheme="majorBidi" w:cstheme="majorBidi"/>
                <w:sz w:val="20"/>
                <w:szCs w:val="20"/>
              </w:rPr>
            </w:pPr>
            <w:r w:rsidRPr="00FE7D4D">
              <w:rPr>
                <w:rFonts w:asciiTheme="majorBidi" w:hAnsiTheme="majorBidi" w:cstheme="majorBidi"/>
                <w:sz w:val="20"/>
                <w:szCs w:val="20"/>
              </w:rPr>
              <w:t>21.9%</w:t>
            </w:r>
            <w:r w:rsidR="00604CD3" w:rsidRPr="00FE7D4D">
              <w:rPr>
                <w:rFonts w:asciiTheme="majorBidi" w:hAnsiTheme="majorBidi" w:cstheme="majorBidi"/>
                <w:sz w:val="20"/>
                <w:szCs w:val="20"/>
              </w:rPr>
              <w:t xml:space="preserve"> -</w:t>
            </w:r>
            <w:r w:rsidR="00EF378F" w:rsidRPr="00FE7D4D">
              <w:rPr>
                <w:rFonts w:asciiTheme="majorBidi" w:hAnsiTheme="majorBidi" w:cstheme="majorBidi"/>
                <w:sz w:val="20"/>
                <w:szCs w:val="20"/>
              </w:rPr>
              <w:t xml:space="preserve"> </w:t>
            </w:r>
            <w:r w:rsidRPr="00FE7D4D">
              <w:rPr>
                <w:rFonts w:asciiTheme="majorBidi" w:hAnsiTheme="majorBidi" w:cstheme="majorBidi"/>
                <w:sz w:val="20"/>
                <w:szCs w:val="20"/>
              </w:rPr>
              <w:t>58.7%</w:t>
            </w:r>
          </w:p>
        </w:tc>
        <w:tc>
          <w:tcPr>
            <w:tcW w:w="2430" w:type="dxa"/>
            <w:tcBorders>
              <w:top w:val="triple" w:sz="4" w:space="0" w:color="auto"/>
            </w:tcBorders>
          </w:tcPr>
          <w:p w14:paraId="4F4E6C3A" w14:textId="3E1E49DA" w:rsidR="008927FD" w:rsidRPr="00FE7D4D" w:rsidRDefault="008927FD" w:rsidP="00C35652">
            <w:pPr>
              <w:jc w:val="center"/>
              <w:rPr>
                <w:rFonts w:asciiTheme="majorBidi" w:hAnsiTheme="majorBidi" w:cstheme="majorBidi"/>
                <w:sz w:val="20"/>
                <w:szCs w:val="20"/>
              </w:rPr>
            </w:pPr>
            <w:r w:rsidRPr="00FE7D4D">
              <w:rPr>
                <w:rFonts w:asciiTheme="majorBidi" w:hAnsiTheme="majorBidi" w:cstheme="majorBidi"/>
                <w:sz w:val="20"/>
                <w:szCs w:val="20"/>
              </w:rPr>
              <w:t>16,089</w:t>
            </w:r>
            <w:r w:rsidR="00EF378F" w:rsidRPr="00FE7D4D">
              <w:rPr>
                <w:rFonts w:asciiTheme="majorBidi" w:hAnsiTheme="majorBidi" w:cstheme="majorBidi"/>
                <w:sz w:val="20"/>
                <w:szCs w:val="20"/>
              </w:rPr>
              <w:t xml:space="preserve"> </w:t>
            </w:r>
            <w:r w:rsidR="00EF378F" w:rsidRPr="00FE7D4D">
              <w:rPr>
                <w:rFonts w:asciiTheme="majorBidi" w:hAnsiTheme="majorBidi" w:cstheme="majorBidi"/>
                <w:b/>
                <w:sz w:val="20"/>
                <w:szCs w:val="20"/>
              </w:rPr>
              <w:t xml:space="preserve">± </w:t>
            </w:r>
            <w:r w:rsidRPr="00FE7D4D">
              <w:rPr>
                <w:rFonts w:asciiTheme="majorBidi" w:hAnsiTheme="majorBidi" w:cstheme="majorBidi"/>
                <w:sz w:val="20"/>
                <w:szCs w:val="20"/>
              </w:rPr>
              <w:t>9,244</w:t>
            </w:r>
          </w:p>
        </w:tc>
        <w:tc>
          <w:tcPr>
            <w:tcW w:w="2335" w:type="dxa"/>
            <w:tcBorders>
              <w:top w:val="triple" w:sz="4" w:space="0" w:color="auto"/>
            </w:tcBorders>
          </w:tcPr>
          <w:p w14:paraId="0E9ADED1" w14:textId="7DB013D7" w:rsidR="00357BB5" w:rsidRPr="00FE7D4D" w:rsidRDefault="0076544B" w:rsidP="00C35652">
            <w:pPr>
              <w:jc w:val="center"/>
              <w:rPr>
                <w:rFonts w:asciiTheme="majorBidi" w:hAnsiTheme="majorBidi" w:cstheme="majorBidi"/>
                <w:sz w:val="20"/>
                <w:szCs w:val="20"/>
              </w:rPr>
            </w:pPr>
            <w:r w:rsidRPr="00FE7D4D">
              <w:rPr>
                <w:rFonts w:asciiTheme="majorBidi" w:hAnsiTheme="majorBidi" w:cstheme="majorBidi"/>
                <w:sz w:val="20"/>
                <w:szCs w:val="20"/>
              </w:rPr>
              <w:t xml:space="preserve">8,410 </w:t>
            </w:r>
            <w:r w:rsidR="00EF378F" w:rsidRPr="00FE7D4D">
              <w:rPr>
                <w:rFonts w:asciiTheme="majorBidi" w:hAnsiTheme="majorBidi" w:cstheme="majorBidi"/>
                <w:sz w:val="20"/>
                <w:szCs w:val="20"/>
              </w:rPr>
              <w:t>-</w:t>
            </w:r>
            <w:r w:rsidRPr="00FE7D4D">
              <w:rPr>
                <w:rFonts w:asciiTheme="majorBidi" w:hAnsiTheme="majorBidi" w:cstheme="majorBidi"/>
                <w:sz w:val="20"/>
                <w:szCs w:val="20"/>
              </w:rPr>
              <w:t xml:space="preserve"> 22,545</w:t>
            </w:r>
          </w:p>
        </w:tc>
      </w:tr>
      <w:tr w:rsidR="00357BB5" w:rsidRPr="00FE7D4D" w14:paraId="759AA5D5" w14:textId="77777777" w:rsidTr="00ED2B76">
        <w:tc>
          <w:tcPr>
            <w:tcW w:w="1075" w:type="dxa"/>
            <w:vMerge/>
          </w:tcPr>
          <w:p w14:paraId="145140BF" w14:textId="77777777" w:rsidR="00357BB5" w:rsidRPr="00FE7D4D" w:rsidRDefault="00357BB5" w:rsidP="0050318F">
            <w:pPr>
              <w:rPr>
                <w:b/>
                <w:bCs/>
                <w:sz w:val="20"/>
                <w:szCs w:val="20"/>
              </w:rPr>
            </w:pPr>
          </w:p>
        </w:tc>
        <w:tc>
          <w:tcPr>
            <w:tcW w:w="1584" w:type="dxa"/>
            <w:vMerge/>
          </w:tcPr>
          <w:p w14:paraId="70C9B1EF" w14:textId="1A00307F" w:rsidR="00357BB5" w:rsidRPr="00FE7D4D" w:rsidRDefault="00357BB5" w:rsidP="0050318F"/>
        </w:tc>
        <w:tc>
          <w:tcPr>
            <w:tcW w:w="2106" w:type="dxa"/>
            <w:vAlign w:val="center"/>
          </w:tcPr>
          <w:p w14:paraId="04BC16D6" w14:textId="7A08E6BF" w:rsidR="00357BB5" w:rsidRPr="00AA0679" w:rsidRDefault="00357BB5" w:rsidP="0050318F">
            <w:pPr>
              <w:keepNext/>
              <w:keepLines/>
              <w:spacing w:before="200"/>
              <w:outlineLvl w:val="4"/>
            </w:pPr>
            <w:r w:rsidRPr="00FE7D4D">
              <w:rPr>
                <w:rFonts w:cs="Times New Roman"/>
                <w:sz w:val="20"/>
                <w:szCs w:val="20"/>
              </w:rPr>
              <w:t>Other indoor locations</w:t>
            </w:r>
          </w:p>
        </w:tc>
        <w:tc>
          <w:tcPr>
            <w:tcW w:w="1710" w:type="dxa"/>
          </w:tcPr>
          <w:p w14:paraId="3EC4D0B5" w14:textId="38533242" w:rsidR="00357BB5" w:rsidRPr="00FE7D4D" w:rsidRDefault="00BF69BE" w:rsidP="00C35652">
            <w:pPr>
              <w:jc w:val="center"/>
              <w:rPr>
                <w:rFonts w:asciiTheme="majorBidi" w:hAnsiTheme="majorBidi" w:cstheme="majorBidi"/>
                <w:color w:val="000000"/>
                <w:sz w:val="20"/>
                <w:szCs w:val="20"/>
              </w:rPr>
            </w:pPr>
            <w:r w:rsidRPr="00FE7D4D">
              <w:rPr>
                <w:rFonts w:asciiTheme="majorBidi" w:hAnsiTheme="majorBidi" w:cstheme="majorBidi"/>
                <w:color w:val="000000"/>
                <w:sz w:val="20"/>
                <w:szCs w:val="20"/>
              </w:rPr>
              <w:t>10.8%</w:t>
            </w:r>
            <w:r w:rsidR="003D3ABF" w:rsidRPr="00FE7D4D">
              <w:rPr>
                <w:rFonts w:asciiTheme="majorBidi" w:hAnsiTheme="majorBidi" w:cstheme="majorBidi"/>
                <w:color w:val="000000"/>
                <w:sz w:val="20"/>
                <w:szCs w:val="20"/>
              </w:rPr>
              <w:t xml:space="preserve"> </w:t>
            </w:r>
            <w:r w:rsidR="003D3ABF" w:rsidRPr="00FE7D4D">
              <w:rPr>
                <w:rFonts w:asciiTheme="majorBidi" w:hAnsiTheme="majorBidi" w:cstheme="majorBidi"/>
                <w:b/>
                <w:sz w:val="20"/>
                <w:szCs w:val="20"/>
              </w:rPr>
              <w:t>±</w:t>
            </w:r>
            <w:r w:rsidR="00EF378F" w:rsidRPr="00FE7D4D">
              <w:rPr>
                <w:rFonts w:asciiTheme="majorBidi" w:hAnsiTheme="majorBidi" w:cstheme="majorBidi"/>
                <w:b/>
                <w:sz w:val="20"/>
                <w:szCs w:val="20"/>
              </w:rPr>
              <w:t xml:space="preserve"> </w:t>
            </w:r>
            <w:r w:rsidR="001D49B9" w:rsidRPr="00FE7D4D">
              <w:rPr>
                <w:rFonts w:asciiTheme="majorBidi" w:hAnsiTheme="majorBidi" w:cstheme="majorBidi"/>
                <w:color w:val="000000"/>
                <w:sz w:val="20"/>
                <w:szCs w:val="20"/>
              </w:rPr>
              <w:t>12.8%</w:t>
            </w:r>
          </w:p>
        </w:tc>
        <w:tc>
          <w:tcPr>
            <w:tcW w:w="1710" w:type="dxa"/>
          </w:tcPr>
          <w:p w14:paraId="1F8775BD" w14:textId="61E1B8ED" w:rsidR="00357BB5" w:rsidRPr="00FE7D4D" w:rsidRDefault="00604CD3" w:rsidP="00C35652">
            <w:pPr>
              <w:jc w:val="center"/>
              <w:rPr>
                <w:rFonts w:asciiTheme="majorBidi" w:hAnsiTheme="majorBidi" w:cstheme="majorBidi"/>
                <w:sz w:val="20"/>
                <w:szCs w:val="20"/>
              </w:rPr>
            </w:pPr>
            <w:r w:rsidRPr="00FE7D4D">
              <w:rPr>
                <w:rFonts w:asciiTheme="majorBidi" w:hAnsiTheme="majorBidi" w:cstheme="majorBidi"/>
                <w:sz w:val="20"/>
                <w:szCs w:val="20"/>
              </w:rPr>
              <w:t>0.0% -</w:t>
            </w:r>
            <w:r w:rsidR="00EF378F" w:rsidRPr="00FE7D4D">
              <w:rPr>
                <w:rFonts w:asciiTheme="majorBidi" w:hAnsiTheme="majorBidi" w:cstheme="majorBidi"/>
                <w:sz w:val="20"/>
                <w:szCs w:val="20"/>
              </w:rPr>
              <w:t xml:space="preserve"> </w:t>
            </w:r>
            <w:r w:rsidRPr="00FE7D4D">
              <w:rPr>
                <w:rFonts w:asciiTheme="majorBidi" w:hAnsiTheme="majorBidi" w:cstheme="majorBidi"/>
                <w:sz w:val="20"/>
                <w:szCs w:val="20"/>
              </w:rPr>
              <w:t>16.8%</w:t>
            </w:r>
          </w:p>
        </w:tc>
        <w:tc>
          <w:tcPr>
            <w:tcW w:w="2430" w:type="dxa"/>
          </w:tcPr>
          <w:p w14:paraId="2ABCA02A" w14:textId="1F054FAD" w:rsidR="008927FD" w:rsidRPr="00FE7D4D" w:rsidRDefault="008927FD" w:rsidP="00C35652">
            <w:pPr>
              <w:jc w:val="center"/>
              <w:rPr>
                <w:rFonts w:asciiTheme="majorBidi" w:hAnsiTheme="majorBidi" w:cstheme="majorBidi"/>
                <w:sz w:val="20"/>
                <w:szCs w:val="20"/>
              </w:rPr>
            </w:pPr>
            <w:r w:rsidRPr="00FE7D4D">
              <w:rPr>
                <w:rFonts w:asciiTheme="majorBidi" w:hAnsiTheme="majorBidi" w:cstheme="majorBidi"/>
                <w:sz w:val="20"/>
                <w:szCs w:val="20"/>
              </w:rPr>
              <w:t>4,144</w:t>
            </w:r>
            <w:r w:rsidR="00EF378F" w:rsidRPr="00FE7D4D">
              <w:rPr>
                <w:rFonts w:asciiTheme="majorBidi" w:hAnsiTheme="majorBidi" w:cstheme="majorBidi"/>
                <w:sz w:val="20"/>
                <w:szCs w:val="20"/>
              </w:rPr>
              <w:t xml:space="preserve"> </w:t>
            </w:r>
            <w:r w:rsidR="00EF378F" w:rsidRPr="00FE7D4D">
              <w:rPr>
                <w:rFonts w:asciiTheme="majorBidi" w:hAnsiTheme="majorBidi" w:cstheme="majorBidi"/>
                <w:b/>
                <w:sz w:val="20"/>
                <w:szCs w:val="20"/>
              </w:rPr>
              <w:t xml:space="preserve">± </w:t>
            </w:r>
            <w:r w:rsidRPr="00FE7D4D">
              <w:rPr>
                <w:rFonts w:asciiTheme="majorBidi" w:hAnsiTheme="majorBidi" w:cstheme="majorBidi"/>
                <w:sz w:val="20"/>
                <w:szCs w:val="20"/>
              </w:rPr>
              <w:t>4,928</w:t>
            </w:r>
          </w:p>
        </w:tc>
        <w:tc>
          <w:tcPr>
            <w:tcW w:w="2335" w:type="dxa"/>
          </w:tcPr>
          <w:p w14:paraId="21593032" w14:textId="0B876AFB" w:rsidR="00357BB5" w:rsidRPr="00FE7D4D" w:rsidRDefault="00EF378F" w:rsidP="00C35652">
            <w:pPr>
              <w:jc w:val="center"/>
              <w:rPr>
                <w:rFonts w:asciiTheme="majorBidi" w:hAnsiTheme="majorBidi" w:cstheme="majorBidi"/>
                <w:sz w:val="20"/>
                <w:szCs w:val="20"/>
              </w:rPr>
            </w:pPr>
            <w:r w:rsidRPr="00FE7D4D">
              <w:rPr>
                <w:rFonts w:asciiTheme="majorBidi" w:hAnsiTheme="majorBidi" w:cstheme="majorBidi"/>
                <w:sz w:val="20"/>
                <w:szCs w:val="20"/>
              </w:rPr>
              <w:t xml:space="preserve">0 - </w:t>
            </w:r>
            <w:r w:rsidR="0076544B" w:rsidRPr="00FE7D4D">
              <w:rPr>
                <w:rFonts w:asciiTheme="majorBidi" w:hAnsiTheme="majorBidi" w:cstheme="majorBidi"/>
                <w:sz w:val="20"/>
                <w:szCs w:val="20"/>
              </w:rPr>
              <w:t xml:space="preserve"> 6,460</w:t>
            </w:r>
          </w:p>
        </w:tc>
      </w:tr>
      <w:tr w:rsidR="00357BB5" w:rsidRPr="00FE7D4D" w14:paraId="49BB655E" w14:textId="77777777" w:rsidTr="00ED2B76">
        <w:tc>
          <w:tcPr>
            <w:tcW w:w="1075" w:type="dxa"/>
            <w:vMerge/>
          </w:tcPr>
          <w:p w14:paraId="4B76594F" w14:textId="77777777" w:rsidR="00357BB5" w:rsidRPr="00FE7D4D" w:rsidRDefault="00357BB5" w:rsidP="0050318F">
            <w:pPr>
              <w:rPr>
                <w:b/>
                <w:bCs/>
                <w:sz w:val="20"/>
                <w:szCs w:val="20"/>
              </w:rPr>
            </w:pPr>
          </w:p>
        </w:tc>
        <w:tc>
          <w:tcPr>
            <w:tcW w:w="1584" w:type="dxa"/>
            <w:vMerge/>
          </w:tcPr>
          <w:p w14:paraId="48D8DB02" w14:textId="0C2D933E" w:rsidR="00357BB5" w:rsidRPr="00FE7D4D" w:rsidRDefault="00357BB5" w:rsidP="0050318F"/>
        </w:tc>
        <w:tc>
          <w:tcPr>
            <w:tcW w:w="2106" w:type="dxa"/>
            <w:vAlign w:val="center"/>
          </w:tcPr>
          <w:p w14:paraId="4256B4AB" w14:textId="4E544B6E" w:rsidR="00357BB5" w:rsidRPr="00AA0679" w:rsidRDefault="00357BB5" w:rsidP="0050318F">
            <w:pPr>
              <w:keepNext/>
              <w:keepLines/>
              <w:spacing w:before="200"/>
              <w:outlineLvl w:val="4"/>
            </w:pPr>
            <w:r w:rsidRPr="00FE7D4D">
              <w:rPr>
                <w:rFonts w:cs="Times New Roman"/>
                <w:sz w:val="20"/>
                <w:szCs w:val="20"/>
              </w:rPr>
              <w:t>Vehicles</w:t>
            </w:r>
          </w:p>
        </w:tc>
        <w:tc>
          <w:tcPr>
            <w:tcW w:w="1710" w:type="dxa"/>
          </w:tcPr>
          <w:p w14:paraId="135DCEE7" w14:textId="66BC5394" w:rsidR="00357BB5" w:rsidRPr="00FE7D4D" w:rsidRDefault="00BF69BE" w:rsidP="00C35652">
            <w:pPr>
              <w:jc w:val="center"/>
              <w:rPr>
                <w:rFonts w:asciiTheme="majorBidi" w:hAnsiTheme="majorBidi" w:cstheme="majorBidi"/>
                <w:color w:val="000000"/>
                <w:sz w:val="20"/>
                <w:szCs w:val="20"/>
              </w:rPr>
            </w:pPr>
            <w:r w:rsidRPr="00FE7D4D">
              <w:rPr>
                <w:rFonts w:asciiTheme="majorBidi" w:hAnsiTheme="majorBidi" w:cstheme="majorBidi"/>
                <w:color w:val="000000"/>
                <w:sz w:val="20"/>
                <w:szCs w:val="20"/>
              </w:rPr>
              <w:t>2.4%</w:t>
            </w:r>
            <w:r w:rsidR="003D3ABF" w:rsidRPr="00FE7D4D">
              <w:rPr>
                <w:rFonts w:asciiTheme="majorBidi" w:hAnsiTheme="majorBidi" w:cstheme="majorBidi"/>
                <w:color w:val="000000"/>
                <w:sz w:val="20"/>
                <w:szCs w:val="20"/>
              </w:rPr>
              <w:t xml:space="preserve"> </w:t>
            </w:r>
            <w:r w:rsidR="003D3ABF" w:rsidRPr="00FE7D4D">
              <w:rPr>
                <w:rFonts w:asciiTheme="majorBidi" w:hAnsiTheme="majorBidi" w:cstheme="majorBidi"/>
                <w:b/>
                <w:sz w:val="20"/>
                <w:szCs w:val="20"/>
              </w:rPr>
              <w:t>±</w:t>
            </w:r>
            <w:r w:rsidR="00EF378F" w:rsidRPr="00FE7D4D">
              <w:rPr>
                <w:rFonts w:asciiTheme="majorBidi" w:hAnsiTheme="majorBidi" w:cstheme="majorBidi"/>
                <w:b/>
                <w:sz w:val="20"/>
                <w:szCs w:val="20"/>
              </w:rPr>
              <w:t xml:space="preserve"> </w:t>
            </w:r>
            <w:r w:rsidR="001D49B9" w:rsidRPr="00FE7D4D">
              <w:rPr>
                <w:rFonts w:asciiTheme="majorBidi" w:hAnsiTheme="majorBidi" w:cstheme="majorBidi"/>
                <w:color w:val="000000"/>
                <w:sz w:val="20"/>
                <w:szCs w:val="20"/>
              </w:rPr>
              <w:t>4.0%</w:t>
            </w:r>
          </w:p>
        </w:tc>
        <w:tc>
          <w:tcPr>
            <w:tcW w:w="1710" w:type="dxa"/>
          </w:tcPr>
          <w:p w14:paraId="10D73209" w14:textId="0678E380" w:rsidR="00357BB5" w:rsidRPr="00FE7D4D" w:rsidRDefault="00604CD3" w:rsidP="00C35652">
            <w:pPr>
              <w:jc w:val="center"/>
              <w:rPr>
                <w:rFonts w:asciiTheme="majorBidi" w:hAnsiTheme="majorBidi" w:cstheme="majorBidi"/>
                <w:sz w:val="20"/>
                <w:szCs w:val="20"/>
              </w:rPr>
            </w:pPr>
            <w:r w:rsidRPr="00FE7D4D">
              <w:rPr>
                <w:rFonts w:asciiTheme="majorBidi" w:hAnsiTheme="majorBidi" w:cstheme="majorBidi"/>
                <w:sz w:val="20"/>
                <w:szCs w:val="20"/>
              </w:rPr>
              <w:t>0.3% -</w:t>
            </w:r>
            <w:r w:rsidR="00EF378F" w:rsidRPr="00FE7D4D">
              <w:rPr>
                <w:rFonts w:asciiTheme="majorBidi" w:hAnsiTheme="majorBidi" w:cstheme="majorBidi"/>
                <w:sz w:val="20"/>
                <w:szCs w:val="20"/>
              </w:rPr>
              <w:t xml:space="preserve"> </w:t>
            </w:r>
            <w:r w:rsidRPr="00FE7D4D">
              <w:rPr>
                <w:rFonts w:asciiTheme="majorBidi" w:hAnsiTheme="majorBidi" w:cstheme="majorBidi"/>
                <w:sz w:val="20"/>
                <w:szCs w:val="20"/>
              </w:rPr>
              <w:t>2.7%</w:t>
            </w:r>
          </w:p>
        </w:tc>
        <w:tc>
          <w:tcPr>
            <w:tcW w:w="2430" w:type="dxa"/>
          </w:tcPr>
          <w:p w14:paraId="2AA74D00" w14:textId="20312687" w:rsidR="0076544B" w:rsidRPr="00FE7D4D" w:rsidRDefault="0076544B" w:rsidP="00C35652">
            <w:pPr>
              <w:jc w:val="center"/>
              <w:rPr>
                <w:rFonts w:asciiTheme="majorBidi" w:hAnsiTheme="majorBidi" w:cstheme="majorBidi"/>
                <w:sz w:val="20"/>
                <w:szCs w:val="20"/>
              </w:rPr>
            </w:pPr>
            <w:r w:rsidRPr="00FE7D4D">
              <w:rPr>
                <w:rFonts w:asciiTheme="majorBidi" w:hAnsiTheme="majorBidi" w:cstheme="majorBidi"/>
                <w:sz w:val="20"/>
                <w:szCs w:val="20"/>
              </w:rPr>
              <w:t>916</w:t>
            </w:r>
            <w:r w:rsidR="00EF378F" w:rsidRPr="00FE7D4D">
              <w:rPr>
                <w:rFonts w:asciiTheme="majorBidi" w:hAnsiTheme="majorBidi" w:cstheme="majorBidi"/>
                <w:sz w:val="20"/>
                <w:szCs w:val="20"/>
              </w:rPr>
              <w:t xml:space="preserve"> </w:t>
            </w:r>
            <w:r w:rsidR="00EF378F" w:rsidRPr="00FE7D4D">
              <w:rPr>
                <w:rFonts w:asciiTheme="majorBidi" w:hAnsiTheme="majorBidi" w:cstheme="majorBidi"/>
                <w:b/>
                <w:sz w:val="20"/>
                <w:szCs w:val="20"/>
              </w:rPr>
              <w:t xml:space="preserve">± </w:t>
            </w:r>
            <w:r w:rsidRPr="00FE7D4D">
              <w:rPr>
                <w:rFonts w:asciiTheme="majorBidi" w:hAnsiTheme="majorBidi" w:cstheme="majorBidi"/>
                <w:sz w:val="20"/>
                <w:szCs w:val="20"/>
              </w:rPr>
              <w:t>1,524</w:t>
            </w:r>
          </w:p>
        </w:tc>
        <w:tc>
          <w:tcPr>
            <w:tcW w:w="2335" w:type="dxa"/>
          </w:tcPr>
          <w:p w14:paraId="6F41C8A5" w14:textId="4AF4627C" w:rsidR="00357BB5" w:rsidRPr="00FE7D4D" w:rsidRDefault="0076544B" w:rsidP="00C35652">
            <w:pPr>
              <w:jc w:val="center"/>
              <w:rPr>
                <w:rFonts w:asciiTheme="majorBidi" w:hAnsiTheme="majorBidi" w:cstheme="majorBidi"/>
                <w:sz w:val="20"/>
                <w:szCs w:val="20"/>
              </w:rPr>
            </w:pPr>
            <w:r w:rsidRPr="00FE7D4D">
              <w:rPr>
                <w:rFonts w:asciiTheme="majorBidi" w:hAnsiTheme="majorBidi" w:cstheme="majorBidi"/>
                <w:sz w:val="20"/>
                <w:szCs w:val="20"/>
              </w:rPr>
              <w:t xml:space="preserve">120 </w:t>
            </w:r>
            <w:r w:rsidR="00EF378F" w:rsidRPr="00FE7D4D">
              <w:rPr>
                <w:rFonts w:asciiTheme="majorBidi" w:hAnsiTheme="majorBidi" w:cstheme="majorBidi"/>
                <w:sz w:val="20"/>
                <w:szCs w:val="20"/>
              </w:rPr>
              <w:t xml:space="preserve">- </w:t>
            </w:r>
            <w:r w:rsidRPr="00FE7D4D">
              <w:rPr>
                <w:rFonts w:asciiTheme="majorBidi" w:hAnsiTheme="majorBidi" w:cstheme="majorBidi"/>
                <w:sz w:val="20"/>
                <w:szCs w:val="20"/>
              </w:rPr>
              <w:t xml:space="preserve"> 1,023</w:t>
            </w:r>
          </w:p>
        </w:tc>
      </w:tr>
      <w:tr w:rsidR="00357BB5" w:rsidRPr="00FE7D4D" w14:paraId="4AE43171" w14:textId="77777777" w:rsidTr="00ED2B76">
        <w:tc>
          <w:tcPr>
            <w:tcW w:w="1075" w:type="dxa"/>
            <w:vMerge/>
          </w:tcPr>
          <w:p w14:paraId="267252EF" w14:textId="77777777" w:rsidR="00357BB5" w:rsidRPr="00FE7D4D" w:rsidRDefault="00357BB5" w:rsidP="0050318F">
            <w:pPr>
              <w:rPr>
                <w:b/>
                <w:bCs/>
                <w:sz w:val="20"/>
                <w:szCs w:val="20"/>
              </w:rPr>
            </w:pPr>
          </w:p>
        </w:tc>
        <w:tc>
          <w:tcPr>
            <w:tcW w:w="1584" w:type="dxa"/>
            <w:vMerge/>
          </w:tcPr>
          <w:p w14:paraId="352C91B4" w14:textId="164D16D9" w:rsidR="00357BB5" w:rsidRPr="00FE7D4D" w:rsidRDefault="00357BB5" w:rsidP="0050318F"/>
        </w:tc>
        <w:tc>
          <w:tcPr>
            <w:tcW w:w="2106" w:type="dxa"/>
            <w:vAlign w:val="center"/>
          </w:tcPr>
          <w:p w14:paraId="09DE75F8" w14:textId="18506621" w:rsidR="00357BB5" w:rsidRPr="00AA0679" w:rsidRDefault="00357BB5" w:rsidP="0050318F">
            <w:pPr>
              <w:keepNext/>
              <w:keepLines/>
              <w:spacing w:before="200"/>
              <w:outlineLvl w:val="4"/>
            </w:pPr>
            <w:r w:rsidRPr="00FE7D4D">
              <w:rPr>
                <w:rFonts w:cs="Times New Roman"/>
                <w:sz w:val="20"/>
                <w:szCs w:val="20"/>
              </w:rPr>
              <w:t>Outdoor</w:t>
            </w:r>
          </w:p>
        </w:tc>
        <w:tc>
          <w:tcPr>
            <w:tcW w:w="1710" w:type="dxa"/>
          </w:tcPr>
          <w:p w14:paraId="36605AD3" w14:textId="108ECDB1" w:rsidR="00357BB5" w:rsidRPr="00FE7D4D" w:rsidRDefault="00BF69BE" w:rsidP="00C35652">
            <w:pPr>
              <w:jc w:val="center"/>
              <w:rPr>
                <w:rFonts w:asciiTheme="majorBidi" w:hAnsiTheme="majorBidi" w:cstheme="majorBidi"/>
                <w:color w:val="000000"/>
                <w:sz w:val="20"/>
                <w:szCs w:val="20"/>
              </w:rPr>
            </w:pPr>
            <w:r w:rsidRPr="00FE7D4D">
              <w:rPr>
                <w:rFonts w:asciiTheme="majorBidi" w:hAnsiTheme="majorBidi" w:cstheme="majorBidi"/>
                <w:color w:val="000000"/>
                <w:sz w:val="20"/>
                <w:szCs w:val="20"/>
              </w:rPr>
              <w:t>7.4%</w:t>
            </w:r>
            <w:r w:rsidR="003D3ABF" w:rsidRPr="00FE7D4D">
              <w:rPr>
                <w:rFonts w:asciiTheme="majorBidi" w:hAnsiTheme="majorBidi" w:cstheme="majorBidi"/>
                <w:color w:val="000000"/>
                <w:sz w:val="20"/>
                <w:szCs w:val="20"/>
              </w:rPr>
              <w:t xml:space="preserve"> </w:t>
            </w:r>
            <w:r w:rsidR="003D3ABF" w:rsidRPr="00FE7D4D">
              <w:rPr>
                <w:rFonts w:asciiTheme="majorBidi" w:hAnsiTheme="majorBidi" w:cstheme="majorBidi"/>
                <w:b/>
                <w:sz w:val="20"/>
                <w:szCs w:val="20"/>
              </w:rPr>
              <w:t>±</w:t>
            </w:r>
            <w:r w:rsidR="00EF378F" w:rsidRPr="00FE7D4D">
              <w:rPr>
                <w:rFonts w:asciiTheme="majorBidi" w:hAnsiTheme="majorBidi" w:cstheme="majorBidi"/>
                <w:b/>
                <w:sz w:val="20"/>
                <w:szCs w:val="20"/>
              </w:rPr>
              <w:t xml:space="preserve"> </w:t>
            </w:r>
            <w:r w:rsidR="001D49B9" w:rsidRPr="00FE7D4D">
              <w:rPr>
                <w:rFonts w:asciiTheme="majorBidi" w:hAnsiTheme="majorBidi" w:cstheme="majorBidi"/>
                <w:color w:val="000000"/>
                <w:sz w:val="20"/>
                <w:szCs w:val="20"/>
              </w:rPr>
              <w:t>11.3%</w:t>
            </w:r>
          </w:p>
        </w:tc>
        <w:tc>
          <w:tcPr>
            <w:tcW w:w="1710" w:type="dxa"/>
          </w:tcPr>
          <w:p w14:paraId="29891F2E" w14:textId="1DF5B9E3" w:rsidR="00357BB5" w:rsidRPr="00FE7D4D" w:rsidRDefault="00604CD3" w:rsidP="00C35652">
            <w:pPr>
              <w:jc w:val="center"/>
              <w:rPr>
                <w:rFonts w:asciiTheme="majorBidi" w:hAnsiTheme="majorBidi" w:cstheme="majorBidi"/>
                <w:sz w:val="20"/>
                <w:szCs w:val="20"/>
              </w:rPr>
            </w:pPr>
            <w:r w:rsidRPr="00FE7D4D">
              <w:rPr>
                <w:rFonts w:asciiTheme="majorBidi" w:hAnsiTheme="majorBidi" w:cstheme="majorBidi"/>
                <w:sz w:val="20"/>
                <w:szCs w:val="20"/>
              </w:rPr>
              <w:t>1.7% - 6.9%</w:t>
            </w:r>
          </w:p>
        </w:tc>
        <w:tc>
          <w:tcPr>
            <w:tcW w:w="2430" w:type="dxa"/>
          </w:tcPr>
          <w:p w14:paraId="0C7DE8FA" w14:textId="74E97BA9" w:rsidR="00357BB5" w:rsidRPr="00FE7D4D" w:rsidRDefault="0076544B" w:rsidP="00C35652">
            <w:pPr>
              <w:jc w:val="center"/>
              <w:rPr>
                <w:rFonts w:asciiTheme="majorBidi" w:hAnsiTheme="majorBidi" w:cstheme="majorBidi"/>
                <w:sz w:val="20"/>
                <w:szCs w:val="20"/>
              </w:rPr>
            </w:pPr>
            <w:r w:rsidRPr="00FE7D4D">
              <w:rPr>
                <w:rFonts w:asciiTheme="majorBidi" w:hAnsiTheme="majorBidi" w:cstheme="majorBidi"/>
                <w:sz w:val="20"/>
                <w:szCs w:val="20"/>
              </w:rPr>
              <w:t xml:space="preserve">2,840 </w:t>
            </w:r>
            <w:r w:rsidR="00EF378F" w:rsidRPr="00FE7D4D">
              <w:rPr>
                <w:rFonts w:asciiTheme="majorBidi" w:hAnsiTheme="majorBidi" w:cstheme="majorBidi"/>
                <w:b/>
                <w:sz w:val="20"/>
                <w:szCs w:val="20"/>
              </w:rPr>
              <w:t>±</w:t>
            </w:r>
            <w:r w:rsidRPr="00FE7D4D">
              <w:rPr>
                <w:rFonts w:asciiTheme="majorBidi" w:hAnsiTheme="majorBidi" w:cstheme="majorBidi"/>
                <w:sz w:val="20"/>
                <w:szCs w:val="20"/>
              </w:rPr>
              <w:t xml:space="preserve"> 4,355</w:t>
            </w:r>
          </w:p>
        </w:tc>
        <w:tc>
          <w:tcPr>
            <w:tcW w:w="2335" w:type="dxa"/>
          </w:tcPr>
          <w:p w14:paraId="555F7A50" w14:textId="4E1F3309" w:rsidR="00357BB5" w:rsidRPr="00FE7D4D" w:rsidRDefault="0076544B" w:rsidP="00C35652">
            <w:pPr>
              <w:jc w:val="center"/>
              <w:rPr>
                <w:rFonts w:asciiTheme="majorBidi" w:hAnsiTheme="majorBidi" w:cstheme="majorBidi"/>
                <w:sz w:val="20"/>
                <w:szCs w:val="20"/>
              </w:rPr>
            </w:pPr>
            <w:r w:rsidRPr="00FE7D4D">
              <w:rPr>
                <w:rFonts w:asciiTheme="majorBidi" w:hAnsiTheme="majorBidi" w:cstheme="majorBidi"/>
                <w:sz w:val="20"/>
                <w:szCs w:val="20"/>
              </w:rPr>
              <w:t xml:space="preserve">667 </w:t>
            </w:r>
            <w:r w:rsidR="00EF378F" w:rsidRPr="00FE7D4D">
              <w:rPr>
                <w:rFonts w:asciiTheme="majorBidi" w:hAnsiTheme="majorBidi" w:cstheme="majorBidi"/>
                <w:sz w:val="20"/>
                <w:szCs w:val="20"/>
              </w:rPr>
              <w:t>-</w:t>
            </w:r>
            <w:r w:rsidRPr="00FE7D4D">
              <w:rPr>
                <w:rFonts w:asciiTheme="majorBidi" w:hAnsiTheme="majorBidi" w:cstheme="majorBidi"/>
                <w:sz w:val="20"/>
                <w:szCs w:val="20"/>
              </w:rPr>
              <w:t xml:space="preserve"> 2,649</w:t>
            </w:r>
          </w:p>
        </w:tc>
      </w:tr>
      <w:tr w:rsidR="00EF378F" w:rsidRPr="00FE7D4D" w14:paraId="46C1D2AA" w14:textId="77777777" w:rsidTr="00C35652">
        <w:tc>
          <w:tcPr>
            <w:tcW w:w="1075" w:type="dxa"/>
            <w:vMerge/>
          </w:tcPr>
          <w:p w14:paraId="749C8622" w14:textId="77777777" w:rsidR="00EF378F" w:rsidRPr="00FE7D4D" w:rsidRDefault="00EF378F" w:rsidP="0050318F">
            <w:pPr>
              <w:rPr>
                <w:b/>
                <w:bCs/>
                <w:sz w:val="20"/>
                <w:szCs w:val="20"/>
              </w:rPr>
            </w:pPr>
          </w:p>
        </w:tc>
        <w:tc>
          <w:tcPr>
            <w:tcW w:w="3690" w:type="dxa"/>
            <w:gridSpan w:val="2"/>
            <w:shd w:val="clear" w:color="auto" w:fill="DDD9C3" w:themeFill="background2" w:themeFillShade="E6"/>
          </w:tcPr>
          <w:p w14:paraId="37DF5CC8" w14:textId="79D7820B" w:rsidR="00EF378F" w:rsidRPr="00AA0679" w:rsidRDefault="00EF378F" w:rsidP="0050318F">
            <w:pPr>
              <w:keepNext/>
              <w:keepLines/>
              <w:spacing w:before="200"/>
              <w:outlineLvl w:val="4"/>
            </w:pPr>
            <w:r w:rsidRPr="00FE7D4D">
              <w:rPr>
                <w:rFonts w:cs="Times New Roman"/>
                <w:sz w:val="20"/>
                <w:szCs w:val="20"/>
              </w:rPr>
              <w:t>Total outdoor contribution</w:t>
            </w:r>
          </w:p>
        </w:tc>
        <w:tc>
          <w:tcPr>
            <w:tcW w:w="3420" w:type="dxa"/>
            <w:gridSpan w:val="2"/>
            <w:shd w:val="clear" w:color="auto" w:fill="DDD9C3" w:themeFill="background2" w:themeFillShade="E6"/>
          </w:tcPr>
          <w:p w14:paraId="3D0E8C5B" w14:textId="0A8D55CC" w:rsidR="00EF378F" w:rsidRPr="00FE7D4D" w:rsidRDefault="00EF378F" w:rsidP="00C35652">
            <w:pPr>
              <w:jc w:val="center"/>
              <w:rPr>
                <w:rFonts w:asciiTheme="majorBidi" w:hAnsiTheme="majorBidi" w:cstheme="majorBidi"/>
                <w:color w:val="000000"/>
                <w:sz w:val="20"/>
                <w:szCs w:val="20"/>
              </w:rPr>
            </w:pPr>
            <w:r w:rsidRPr="00FE7D4D">
              <w:rPr>
                <w:rFonts w:asciiTheme="majorBidi" w:hAnsiTheme="majorBidi" w:cstheme="majorBidi"/>
                <w:color w:val="000000"/>
                <w:sz w:val="20"/>
                <w:szCs w:val="20"/>
              </w:rPr>
              <w:t xml:space="preserve">62.5% </w:t>
            </w:r>
            <w:r w:rsidRPr="00FE7D4D">
              <w:rPr>
                <w:rFonts w:asciiTheme="majorBidi" w:hAnsiTheme="majorBidi" w:cstheme="majorBidi"/>
                <w:b/>
                <w:sz w:val="20"/>
                <w:szCs w:val="20"/>
              </w:rPr>
              <w:t xml:space="preserve">± </w:t>
            </w:r>
            <w:r w:rsidRPr="00FE7D4D">
              <w:rPr>
                <w:rFonts w:asciiTheme="majorBidi" w:hAnsiTheme="majorBidi" w:cstheme="majorBidi"/>
                <w:color w:val="000000"/>
                <w:sz w:val="20"/>
                <w:szCs w:val="20"/>
              </w:rPr>
              <w:t>25.4%</w:t>
            </w:r>
          </w:p>
        </w:tc>
        <w:tc>
          <w:tcPr>
            <w:tcW w:w="2430" w:type="dxa"/>
            <w:shd w:val="clear" w:color="auto" w:fill="DDD9C3" w:themeFill="background2" w:themeFillShade="E6"/>
          </w:tcPr>
          <w:p w14:paraId="722B4231" w14:textId="378AAD77" w:rsidR="00EF378F" w:rsidRPr="00FE7D4D" w:rsidRDefault="00EF378F" w:rsidP="00C35652">
            <w:pPr>
              <w:jc w:val="center"/>
              <w:rPr>
                <w:rFonts w:asciiTheme="majorBidi" w:hAnsiTheme="majorBidi" w:cstheme="majorBidi"/>
                <w:sz w:val="20"/>
                <w:szCs w:val="20"/>
              </w:rPr>
            </w:pPr>
            <w:r w:rsidRPr="00FE7D4D">
              <w:rPr>
                <w:rFonts w:asciiTheme="majorBidi" w:hAnsiTheme="majorBidi" w:cstheme="majorBidi"/>
                <w:sz w:val="20"/>
                <w:szCs w:val="20"/>
              </w:rPr>
              <w:t xml:space="preserve">23,989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9,756</w:t>
            </w:r>
          </w:p>
        </w:tc>
        <w:tc>
          <w:tcPr>
            <w:tcW w:w="2335" w:type="dxa"/>
            <w:shd w:val="clear" w:color="auto" w:fill="DDD9C3" w:themeFill="background2" w:themeFillShade="E6"/>
          </w:tcPr>
          <w:p w14:paraId="0097486B" w14:textId="6A8850B6" w:rsidR="00EF378F" w:rsidRPr="00FE7D4D" w:rsidRDefault="00EF378F" w:rsidP="00C35652">
            <w:pPr>
              <w:jc w:val="center"/>
              <w:rPr>
                <w:rFonts w:asciiTheme="majorBidi" w:hAnsiTheme="majorBidi" w:cstheme="majorBidi"/>
                <w:sz w:val="20"/>
                <w:szCs w:val="20"/>
              </w:rPr>
            </w:pPr>
            <w:r w:rsidRPr="00FE7D4D">
              <w:rPr>
                <w:rFonts w:asciiTheme="majorBidi" w:hAnsiTheme="majorBidi" w:cstheme="majorBidi"/>
                <w:sz w:val="20"/>
                <w:szCs w:val="20"/>
              </w:rPr>
              <w:t>9,196 - 32,677</w:t>
            </w:r>
          </w:p>
        </w:tc>
      </w:tr>
      <w:tr w:rsidR="00357BB5" w:rsidRPr="00FE7D4D" w14:paraId="00C642BF" w14:textId="77777777" w:rsidTr="00ED2B76">
        <w:tc>
          <w:tcPr>
            <w:tcW w:w="1075" w:type="dxa"/>
            <w:vMerge/>
          </w:tcPr>
          <w:p w14:paraId="34CDCD4D" w14:textId="77777777" w:rsidR="00357BB5" w:rsidRPr="00FE7D4D" w:rsidRDefault="00357BB5" w:rsidP="0050318F">
            <w:pPr>
              <w:rPr>
                <w:b/>
                <w:bCs/>
                <w:sz w:val="20"/>
                <w:szCs w:val="20"/>
              </w:rPr>
            </w:pPr>
          </w:p>
        </w:tc>
        <w:tc>
          <w:tcPr>
            <w:tcW w:w="1584" w:type="dxa"/>
            <w:vMerge w:val="restart"/>
          </w:tcPr>
          <w:p w14:paraId="14BB9A87" w14:textId="4724ABD2" w:rsidR="00357BB5" w:rsidRPr="00AA0679" w:rsidRDefault="00357BB5" w:rsidP="0050318F">
            <w:pPr>
              <w:keepNext/>
              <w:keepLines/>
              <w:spacing w:before="200"/>
              <w:outlineLvl w:val="4"/>
            </w:pPr>
            <w:r w:rsidRPr="00FE7D4D">
              <w:rPr>
                <w:rFonts w:cs="Times New Roman"/>
                <w:sz w:val="20"/>
                <w:szCs w:val="20"/>
              </w:rPr>
              <w:t>Due to PM</w:t>
            </w:r>
            <w:r w:rsidRPr="00FE7D4D">
              <w:rPr>
                <w:rFonts w:cs="Times New Roman"/>
                <w:sz w:val="20"/>
                <w:szCs w:val="20"/>
                <w:vertAlign w:val="subscript"/>
              </w:rPr>
              <w:t>2.5</w:t>
            </w:r>
            <w:r w:rsidRPr="00FE7D4D">
              <w:rPr>
                <w:rFonts w:cs="Times New Roman"/>
                <w:sz w:val="20"/>
                <w:szCs w:val="20"/>
              </w:rPr>
              <w:t xml:space="preserve"> of indoor origin</w:t>
            </w:r>
          </w:p>
        </w:tc>
        <w:tc>
          <w:tcPr>
            <w:tcW w:w="2106" w:type="dxa"/>
            <w:vAlign w:val="center"/>
          </w:tcPr>
          <w:p w14:paraId="7C23F904" w14:textId="4EA38E3A" w:rsidR="00357BB5" w:rsidRPr="00AA0679" w:rsidRDefault="00357BB5" w:rsidP="0050318F">
            <w:pPr>
              <w:keepNext/>
              <w:keepLines/>
              <w:spacing w:before="200"/>
              <w:outlineLvl w:val="4"/>
            </w:pPr>
            <w:r w:rsidRPr="00FE7D4D">
              <w:rPr>
                <w:rFonts w:cs="Times New Roman"/>
                <w:sz w:val="20"/>
                <w:szCs w:val="20"/>
              </w:rPr>
              <w:t>Residences</w:t>
            </w:r>
          </w:p>
        </w:tc>
        <w:tc>
          <w:tcPr>
            <w:tcW w:w="1710" w:type="dxa"/>
          </w:tcPr>
          <w:p w14:paraId="0B1515B4" w14:textId="4D18F63A" w:rsidR="00357BB5" w:rsidRPr="00FE7D4D" w:rsidRDefault="001D49B9" w:rsidP="00C35652">
            <w:pPr>
              <w:jc w:val="center"/>
              <w:rPr>
                <w:rFonts w:asciiTheme="majorBidi" w:hAnsiTheme="majorBidi" w:cstheme="majorBidi"/>
                <w:color w:val="000000"/>
                <w:sz w:val="20"/>
                <w:szCs w:val="20"/>
              </w:rPr>
            </w:pPr>
            <w:r w:rsidRPr="00FE7D4D">
              <w:rPr>
                <w:rFonts w:asciiTheme="majorBidi" w:hAnsiTheme="majorBidi" w:cstheme="majorBidi"/>
                <w:color w:val="000000"/>
                <w:sz w:val="20"/>
                <w:szCs w:val="20"/>
              </w:rPr>
              <w:t>28.2%</w:t>
            </w:r>
            <w:r w:rsidR="003D3ABF" w:rsidRPr="00FE7D4D">
              <w:rPr>
                <w:rFonts w:asciiTheme="majorBidi" w:hAnsiTheme="majorBidi" w:cstheme="majorBidi"/>
                <w:color w:val="000000"/>
                <w:sz w:val="20"/>
                <w:szCs w:val="20"/>
              </w:rPr>
              <w:t xml:space="preserve"> </w:t>
            </w:r>
            <w:r w:rsidR="003D3ABF" w:rsidRPr="00FE7D4D">
              <w:rPr>
                <w:rFonts w:asciiTheme="majorBidi" w:hAnsiTheme="majorBidi" w:cstheme="majorBidi"/>
                <w:b/>
                <w:sz w:val="20"/>
                <w:szCs w:val="20"/>
              </w:rPr>
              <w:t>±</w:t>
            </w:r>
            <w:r w:rsidR="00EF378F" w:rsidRPr="00FE7D4D">
              <w:rPr>
                <w:rFonts w:asciiTheme="majorBidi" w:hAnsiTheme="majorBidi" w:cstheme="majorBidi"/>
                <w:b/>
                <w:sz w:val="20"/>
                <w:szCs w:val="20"/>
              </w:rPr>
              <w:t xml:space="preserve"> </w:t>
            </w:r>
            <w:r w:rsidRPr="00FE7D4D">
              <w:rPr>
                <w:rFonts w:asciiTheme="majorBidi" w:hAnsiTheme="majorBidi" w:cstheme="majorBidi"/>
                <w:color w:val="000000"/>
                <w:sz w:val="20"/>
                <w:szCs w:val="20"/>
              </w:rPr>
              <w:t>26.5%</w:t>
            </w:r>
          </w:p>
        </w:tc>
        <w:tc>
          <w:tcPr>
            <w:tcW w:w="1710" w:type="dxa"/>
          </w:tcPr>
          <w:p w14:paraId="42EE489F" w14:textId="153E50EC" w:rsidR="00357BB5" w:rsidRPr="00FE7D4D" w:rsidRDefault="00604CD3" w:rsidP="00C35652">
            <w:pPr>
              <w:jc w:val="center"/>
              <w:rPr>
                <w:rFonts w:asciiTheme="majorBidi" w:hAnsiTheme="majorBidi" w:cstheme="majorBidi"/>
                <w:sz w:val="20"/>
                <w:szCs w:val="20"/>
              </w:rPr>
            </w:pPr>
            <w:r w:rsidRPr="00FE7D4D">
              <w:rPr>
                <w:rFonts w:asciiTheme="majorBidi" w:hAnsiTheme="majorBidi" w:cstheme="majorBidi"/>
                <w:sz w:val="20"/>
                <w:szCs w:val="20"/>
              </w:rPr>
              <w:t>5.2% -</w:t>
            </w:r>
            <w:r w:rsidR="00EF378F" w:rsidRPr="00FE7D4D">
              <w:rPr>
                <w:rFonts w:asciiTheme="majorBidi" w:hAnsiTheme="majorBidi" w:cstheme="majorBidi"/>
                <w:sz w:val="20"/>
                <w:szCs w:val="20"/>
              </w:rPr>
              <w:t xml:space="preserve"> </w:t>
            </w:r>
            <w:r w:rsidRPr="00FE7D4D">
              <w:rPr>
                <w:rFonts w:asciiTheme="majorBidi" w:hAnsiTheme="majorBidi" w:cstheme="majorBidi"/>
                <w:sz w:val="20"/>
                <w:szCs w:val="20"/>
              </w:rPr>
              <w:t>47.9%</w:t>
            </w:r>
          </w:p>
        </w:tc>
        <w:tc>
          <w:tcPr>
            <w:tcW w:w="2430" w:type="dxa"/>
          </w:tcPr>
          <w:p w14:paraId="4A64D85F" w14:textId="627C662E" w:rsidR="00357BB5" w:rsidRPr="00FE7D4D" w:rsidRDefault="0076544B" w:rsidP="00C35652">
            <w:pPr>
              <w:jc w:val="center"/>
              <w:rPr>
                <w:rFonts w:asciiTheme="majorBidi" w:hAnsiTheme="majorBidi" w:cstheme="majorBidi"/>
                <w:sz w:val="20"/>
                <w:szCs w:val="20"/>
              </w:rPr>
            </w:pPr>
            <w:r w:rsidRPr="00FE7D4D">
              <w:rPr>
                <w:rFonts w:asciiTheme="majorBidi" w:hAnsiTheme="majorBidi" w:cstheme="majorBidi"/>
                <w:sz w:val="20"/>
                <w:szCs w:val="20"/>
              </w:rPr>
              <w:t xml:space="preserve">10,838 </w:t>
            </w:r>
            <w:r w:rsidR="00EF378F" w:rsidRPr="00FE7D4D">
              <w:rPr>
                <w:rFonts w:asciiTheme="majorBidi" w:hAnsiTheme="majorBidi" w:cstheme="majorBidi"/>
                <w:b/>
                <w:sz w:val="20"/>
                <w:szCs w:val="20"/>
              </w:rPr>
              <w:t>±</w:t>
            </w:r>
            <w:r w:rsidRPr="00FE7D4D">
              <w:rPr>
                <w:rFonts w:asciiTheme="majorBidi" w:hAnsiTheme="majorBidi" w:cstheme="majorBidi"/>
                <w:sz w:val="20"/>
                <w:szCs w:val="20"/>
              </w:rPr>
              <w:t xml:space="preserve"> 10,159</w:t>
            </w:r>
          </w:p>
        </w:tc>
        <w:tc>
          <w:tcPr>
            <w:tcW w:w="2335" w:type="dxa"/>
          </w:tcPr>
          <w:p w14:paraId="19CDA1D6" w14:textId="1052A1E1" w:rsidR="00357BB5" w:rsidRPr="00FE7D4D" w:rsidRDefault="0076544B" w:rsidP="00C35652">
            <w:pPr>
              <w:jc w:val="center"/>
              <w:rPr>
                <w:rFonts w:asciiTheme="majorBidi" w:hAnsiTheme="majorBidi" w:cstheme="majorBidi"/>
                <w:sz w:val="20"/>
                <w:szCs w:val="20"/>
              </w:rPr>
            </w:pPr>
            <w:r w:rsidRPr="00FE7D4D">
              <w:rPr>
                <w:rFonts w:asciiTheme="majorBidi" w:hAnsiTheme="majorBidi" w:cstheme="majorBidi"/>
                <w:sz w:val="20"/>
                <w:szCs w:val="20"/>
              </w:rPr>
              <w:t xml:space="preserve">2,011 </w:t>
            </w:r>
            <w:r w:rsidR="00EF378F" w:rsidRPr="00FE7D4D">
              <w:rPr>
                <w:rFonts w:asciiTheme="majorBidi" w:hAnsiTheme="majorBidi" w:cstheme="majorBidi"/>
                <w:sz w:val="20"/>
                <w:szCs w:val="20"/>
              </w:rPr>
              <w:t xml:space="preserve">- </w:t>
            </w:r>
            <w:r w:rsidRPr="00FE7D4D">
              <w:rPr>
                <w:rFonts w:asciiTheme="majorBidi" w:hAnsiTheme="majorBidi" w:cstheme="majorBidi"/>
                <w:sz w:val="20"/>
                <w:szCs w:val="20"/>
              </w:rPr>
              <w:t>18,397</w:t>
            </w:r>
          </w:p>
        </w:tc>
      </w:tr>
      <w:tr w:rsidR="00357BB5" w:rsidRPr="00FE7D4D" w14:paraId="303155EB" w14:textId="77777777" w:rsidTr="00ED2B76">
        <w:tc>
          <w:tcPr>
            <w:tcW w:w="1075" w:type="dxa"/>
            <w:vMerge/>
          </w:tcPr>
          <w:p w14:paraId="69A914BE" w14:textId="77777777" w:rsidR="00357BB5" w:rsidRPr="00FE7D4D" w:rsidRDefault="00357BB5" w:rsidP="0050318F">
            <w:pPr>
              <w:rPr>
                <w:b/>
                <w:bCs/>
                <w:sz w:val="20"/>
                <w:szCs w:val="20"/>
              </w:rPr>
            </w:pPr>
          </w:p>
        </w:tc>
        <w:tc>
          <w:tcPr>
            <w:tcW w:w="1584" w:type="dxa"/>
            <w:vMerge/>
          </w:tcPr>
          <w:p w14:paraId="50FB4F1C" w14:textId="5649D624" w:rsidR="00357BB5" w:rsidRPr="00FE7D4D" w:rsidRDefault="00357BB5" w:rsidP="0050318F"/>
        </w:tc>
        <w:tc>
          <w:tcPr>
            <w:tcW w:w="2106" w:type="dxa"/>
            <w:vAlign w:val="center"/>
          </w:tcPr>
          <w:p w14:paraId="5416C814" w14:textId="739426AD" w:rsidR="00357BB5" w:rsidRPr="00AA0679" w:rsidRDefault="00357BB5" w:rsidP="0050318F">
            <w:pPr>
              <w:keepNext/>
              <w:keepLines/>
              <w:spacing w:before="200"/>
              <w:outlineLvl w:val="4"/>
            </w:pPr>
            <w:r w:rsidRPr="00FE7D4D">
              <w:rPr>
                <w:rFonts w:cs="Times New Roman"/>
                <w:sz w:val="20"/>
                <w:szCs w:val="20"/>
              </w:rPr>
              <w:t>Other indoor locations</w:t>
            </w:r>
          </w:p>
        </w:tc>
        <w:tc>
          <w:tcPr>
            <w:tcW w:w="1710" w:type="dxa"/>
          </w:tcPr>
          <w:p w14:paraId="09068395" w14:textId="51AADF78" w:rsidR="00357BB5" w:rsidRPr="00FE7D4D" w:rsidRDefault="001D49B9" w:rsidP="00C35652">
            <w:pPr>
              <w:jc w:val="center"/>
              <w:rPr>
                <w:rFonts w:asciiTheme="majorBidi" w:hAnsiTheme="majorBidi" w:cstheme="majorBidi"/>
                <w:color w:val="000000"/>
                <w:sz w:val="20"/>
                <w:szCs w:val="20"/>
              </w:rPr>
            </w:pPr>
            <w:r w:rsidRPr="00FE7D4D">
              <w:rPr>
                <w:rFonts w:asciiTheme="majorBidi" w:hAnsiTheme="majorBidi" w:cstheme="majorBidi"/>
                <w:color w:val="000000"/>
                <w:sz w:val="20"/>
                <w:szCs w:val="20"/>
              </w:rPr>
              <w:t>9.3%</w:t>
            </w:r>
            <w:r w:rsidR="003D3ABF" w:rsidRPr="00FE7D4D">
              <w:rPr>
                <w:rFonts w:asciiTheme="majorBidi" w:hAnsiTheme="majorBidi" w:cstheme="majorBidi"/>
                <w:color w:val="000000"/>
                <w:sz w:val="20"/>
                <w:szCs w:val="20"/>
              </w:rPr>
              <w:t xml:space="preserve"> </w:t>
            </w:r>
            <w:r w:rsidR="003D3ABF" w:rsidRPr="00FE7D4D">
              <w:rPr>
                <w:rFonts w:asciiTheme="majorBidi" w:hAnsiTheme="majorBidi" w:cstheme="majorBidi"/>
                <w:b/>
                <w:sz w:val="20"/>
                <w:szCs w:val="20"/>
              </w:rPr>
              <w:t>±</w:t>
            </w:r>
            <w:r w:rsidR="00EF378F" w:rsidRPr="00FE7D4D">
              <w:rPr>
                <w:rFonts w:asciiTheme="majorBidi" w:hAnsiTheme="majorBidi" w:cstheme="majorBidi"/>
                <w:b/>
                <w:sz w:val="20"/>
                <w:szCs w:val="20"/>
              </w:rPr>
              <w:t xml:space="preserve"> </w:t>
            </w:r>
            <w:r w:rsidRPr="00FE7D4D">
              <w:rPr>
                <w:rFonts w:asciiTheme="majorBidi" w:hAnsiTheme="majorBidi" w:cstheme="majorBidi"/>
                <w:color w:val="000000"/>
                <w:sz w:val="20"/>
                <w:szCs w:val="20"/>
              </w:rPr>
              <w:t>13.0%</w:t>
            </w:r>
          </w:p>
        </w:tc>
        <w:tc>
          <w:tcPr>
            <w:tcW w:w="1710" w:type="dxa"/>
          </w:tcPr>
          <w:p w14:paraId="59F29636" w14:textId="753F6FBC" w:rsidR="00357BB5" w:rsidRPr="00FE7D4D" w:rsidRDefault="00604CD3" w:rsidP="00C35652">
            <w:pPr>
              <w:jc w:val="center"/>
              <w:rPr>
                <w:rFonts w:asciiTheme="majorBidi" w:hAnsiTheme="majorBidi" w:cstheme="majorBidi"/>
                <w:sz w:val="20"/>
                <w:szCs w:val="20"/>
              </w:rPr>
            </w:pPr>
            <w:r w:rsidRPr="00FE7D4D">
              <w:rPr>
                <w:rFonts w:asciiTheme="majorBidi" w:hAnsiTheme="majorBidi" w:cstheme="majorBidi"/>
                <w:sz w:val="20"/>
                <w:szCs w:val="20"/>
              </w:rPr>
              <w:t>0.0% -</w:t>
            </w:r>
            <w:r w:rsidR="00EF378F" w:rsidRPr="00FE7D4D">
              <w:rPr>
                <w:rFonts w:asciiTheme="majorBidi" w:hAnsiTheme="majorBidi" w:cstheme="majorBidi"/>
                <w:sz w:val="20"/>
                <w:szCs w:val="20"/>
              </w:rPr>
              <w:t xml:space="preserve"> </w:t>
            </w:r>
            <w:r w:rsidRPr="00FE7D4D">
              <w:rPr>
                <w:rFonts w:asciiTheme="majorBidi" w:hAnsiTheme="majorBidi" w:cstheme="majorBidi"/>
                <w:sz w:val="20"/>
                <w:szCs w:val="20"/>
              </w:rPr>
              <w:t>13.0%</w:t>
            </w:r>
          </w:p>
        </w:tc>
        <w:tc>
          <w:tcPr>
            <w:tcW w:w="2430" w:type="dxa"/>
          </w:tcPr>
          <w:p w14:paraId="4A798077" w14:textId="2D6B9C4F" w:rsidR="00357BB5" w:rsidRPr="00FE7D4D" w:rsidRDefault="0076544B" w:rsidP="00C35652">
            <w:pPr>
              <w:jc w:val="center"/>
              <w:rPr>
                <w:rFonts w:asciiTheme="majorBidi" w:hAnsiTheme="majorBidi" w:cstheme="majorBidi"/>
                <w:sz w:val="20"/>
                <w:szCs w:val="20"/>
              </w:rPr>
            </w:pPr>
            <w:r w:rsidRPr="00FE7D4D">
              <w:rPr>
                <w:rFonts w:asciiTheme="majorBidi" w:hAnsiTheme="majorBidi" w:cstheme="majorBidi"/>
                <w:sz w:val="20"/>
                <w:szCs w:val="20"/>
              </w:rPr>
              <w:t xml:space="preserve">3,554 </w:t>
            </w:r>
            <w:r w:rsidR="00EF378F" w:rsidRPr="00FE7D4D">
              <w:rPr>
                <w:rFonts w:asciiTheme="majorBidi" w:hAnsiTheme="majorBidi" w:cstheme="majorBidi"/>
                <w:b/>
                <w:sz w:val="20"/>
                <w:szCs w:val="20"/>
              </w:rPr>
              <w:t>±</w:t>
            </w:r>
            <w:r w:rsidRPr="00FE7D4D">
              <w:rPr>
                <w:rFonts w:asciiTheme="majorBidi" w:hAnsiTheme="majorBidi" w:cstheme="majorBidi"/>
                <w:sz w:val="20"/>
                <w:szCs w:val="20"/>
              </w:rPr>
              <w:t xml:space="preserve"> 4,991</w:t>
            </w:r>
          </w:p>
        </w:tc>
        <w:tc>
          <w:tcPr>
            <w:tcW w:w="2335" w:type="dxa"/>
          </w:tcPr>
          <w:p w14:paraId="32422FD2" w14:textId="340F7B1D" w:rsidR="00357BB5" w:rsidRPr="00FE7D4D" w:rsidRDefault="00EF378F" w:rsidP="00C35652">
            <w:pPr>
              <w:jc w:val="center"/>
              <w:rPr>
                <w:rFonts w:asciiTheme="majorBidi" w:hAnsiTheme="majorBidi" w:cstheme="majorBidi"/>
                <w:sz w:val="20"/>
                <w:szCs w:val="20"/>
              </w:rPr>
            </w:pPr>
            <w:r w:rsidRPr="00FE7D4D">
              <w:rPr>
                <w:rFonts w:asciiTheme="majorBidi" w:hAnsiTheme="majorBidi" w:cstheme="majorBidi"/>
                <w:sz w:val="20"/>
                <w:szCs w:val="20"/>
              </w:rPr>
              <w:t xml:space="preserve">0 - </w:t>
            </w:r>
            <w:r w:rsidR="0076544B" w:rsidRPr="00FE7D4D">
              <w:rPr>
                <w:rFonts w:asciiTheme="majorBidi" w:hAnsiTheme="majorBidi" w:cstheme="majorBidi"/>
                <w:sz w:val="20"/>
                <w:szCs w:val="20"/>
              </w:rPr>
              <w:t>5,002</w:t>
            </w:r>
          </w:p>
        </w:tc>
      </w:tr>
      <w:tr w:rsidR="00EF378F" w:rsidRPr="00FE7D4D" w14:paraId="5F302E0F" w14:textId="77777777" w:rsidTr="00C35652">
        <w:tc>
          <w:tcPr>
            <w:tcW w:w="1075" w:type="dxa"/>
            <w:vMerge/>
          </w:tcPr>
          <w:p w14:paraId="5409299E" w14:textId="77777777" w:rsidR="00EF378F" w:rsidRPr="00FE7D4D" w:rsidRDefault="00EF378F" w:rsidP="0050318F">
            <w:pPr>
              <w:rPr>
                <w:b/>
                <w:bCs/>
                <w:sz w:val="20"/>
                <w:szCs w:val="20"/>
              </w:rPr>
            </w:pPr>
          </w:p>
        </w:tc>
        <w:tc>
          <w:tcPr>
            <w:tcW w:w="3690" w:type="dxa"/>
            <w:gridSpan w:val="2"/>
            <w:shd w:val="clear" w:color="auto" w:fill="DDD9C3" w:themeFill="background2" w:themeFillShade="E6"/>
            <w:vAlign w:val="center"/>
          </w:tcPr>
          <w:p w14:paraId="052A3C96" w14:textId="4006A030" w:rsidR="00EF378F" w:rsidRPr="00AA0679" w:rsidRDefault="00EF378F" w:rsidP="0050318F">
            <w:pPr>
              <w:keepNext/>
              <w:keepLines/>
              <w:spacing w:before="200"/>
              <w:outlineLvl w:val="4"/>
            </w:pPr>
            <w:r w:rsidRPr="00FE7D4D">
              <w:rPr>
                <w:rFonts w:cs="Times New Roman"/>
                <w:sz w:val="20"/>
                <w:szCs w:val="20"/>
              </w:rPr>
              <w:t>Total indoor contribution</w:t>
            </w:r>
          </w:p>
        </w:tc>
        <w:tc>
          <w:tcPr>
            <w:tcW w:w="3420" w:type="dxa"/>
            <w:gridSpan w:val="2"/>
            <w:shd w:val="clear" w:color="auto" w:fill="DDD9C3" w:themeFill="background2" w:themeFillShade="E6"/>
          </w:tcPr>
          <w:p w14:paraId="2F30BB5F" w14:textId="234BD49D" w:rsidR="00EF378F" w:rsidRPr="00FE7D4D" w:rsidRDefault="00EF378F" w:rsidP="00C35652">
            <w:pPr>
              <w:jc w:val="center"/>
              <w:rPr>
                <w:rFonts w:asciiTheme="majorBidi" w:hAnsiTheme="majorBidi" w:cstheme="majorBidi"/>
                <w:color w:val="000000"/>
                <w:sz w:val="20"/>
                <w:szCs w:val="20"/>
              </w:rPr>
            </w:pPr>
            <w:r w:rsidRPr="00FE7D4D">
              <w:rPr>
                <w:rFonts w:asciiTheme="majorBidi" w:hAnsiTheme="majorBidi" w:cstheme="majorBidi"/>
                <w:color w:val="000000"/>
                <w:sz w:val="20"/>
                <w:szCs w:val="20"/>
              </w:rPr>
              <w:t xml:space="preserve">37.5% </w:t>
            </w:r>
            <w:r w:rsidRPr="00FE7D4D">
              <w:rPr>
                <w:rFonts w:asciiTheme="majorBidi" w:hAnsiTheme="majorBidi" w:cstheme="majorBidi"/>
                <w:b/>
                <w:sz w:val="20"/>
                <w:szCs w:val="20"/>
              </w:rPr>
              <w:t xml:space="preserve">± </w:t>
            </w:r>
            <w:r w:rsidRPr="00FE7D4D">
              <w:rPr>
                <w:rFonts w:asciiTheme="majorBidi" w:hAnsiTheme="majorBidi" w:cstheme="majorBidi"/>
                <w:color w:val="000000"/>
                <w:sz w:val="20"/>
                <w:szCs w:val="20"/>
              </w:rPr>
              <w:t>25.4%</w:t>
            </w:r>
          </w:p>
        </w:tc>
        <w:tc>
          <w:tcPr>
            <w:tcW w:w="2430" w:type="dxa"/>
            <w:shd w:val="clear" w:color="auto" w:fill="DDD9C3" w:themeFill="background2" w:themeFillShade="E6"/>
          </w:tcPr>
          <w:p w14:paraId="7B90FD8E" w14:textId="6E8D706D" w:rsidR="00EF378F" w:rsidRPr="00FE7D4D" w:rsidRDefault="00EF378F" w:rsidP="00C35652">
            <w:pPr>
              <w:jc w:val="center"/>
              <w:rPr>
                <w:rFonts w:asciiTheme="majorBidi" w:hAnsiTheme="majorBidi" w:cstheme="majorBidi"/>
                <w:sz w:val="20"/>
                <w:szCs w:val="20"/>
              </w:rPr>
            </w:pPr>
            <w:r w:rsidRPr="00FE7D4D">
              <w:rPr>
                <w:rFonts w:asciiTheme="majorBidi" w:hAnsiTheme="majorBidi" w:cstheme="majorBidi"/>
                <w:sz w:val="20"/>
                <w:szCs w:val="20"/>
              </w:rPr>
              <w:t xml:space="preserve">14,393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9,756</w:t>
            </w:r>
          </w:p>
        </w:tc>
        <w:tc>
          <w:tcPr>
            <w:tcW w:w="2335" w:type="dxa"/>
            <w:shd w:val="clear" w:color="auto" w:fill="DDD9C3" w:themeFill="background2" w:themeFillShade="E6"/>
          </w:tcPr>
          <w:p w14:paraId="045C2CD2" w14:textId="60BE6015" w:rsidR="00EF378F" w:rsidRPr="00FE7D4D" w:rsidRDefault="00EF378F" w:rsidP="00C35652">
            <w:pPr>
              <w:jc w:val="center"/>
              <w:rPr>
                <w:rFonts w:asciiTheme="majorBidi" w:hAnsiTheme="majorBidi" w:cstheme="majorBidi"/>
                <w:sz w:val="20"/>
                <w:szCs w:val="20"/>
              </w:rPr>
            </w:pPr>
            <w:r w:rsidRPr="00FE7D4D">
              <w:rPr>
                <w:rFonts w:asciiTheme="majorBidi" w:hAnsiTheme="majorBidi" w:cstheme="majorBidi"/>
                <w:sz w:val="20"/>
                <w:szCs w:val="20"/>
              </w:rPr>
              <w:t>2,011 - 23,398</w:t>
            </w:r>
          </w:p>
        </w:tc>
      </w:tr>
      <w:tr w:rsidR="00EF378F" w:rsidRPr="00FE7D4D" w14:paraId="6C4DAA06" w14:textId="77777777" w:rsidTr="004C2144">
        <w:tc>
          <w:tcPr>
            <w:tcW w:w="1075" w:type="dxa"/>
            <w:vMerge/>
            <w:tcBorders>
              <w:bottom w:val="double" w:sz="4" w:space="0" w:color="auto"/>
            </w:tcBorders>
          </w:tcPr>
          <w:p w14:paraId="37B8DEE5" w14:textId="77777777" w:rsidR="00EF378F" w:rsidRPr="00FE7D4D" w:rsidRDefault="00EF378F" w:rsidP="0050318F">
            <w:pPr>
              <w:rPr>
                <w:b/>
                <w:bCs/>
                <w:sz w:val="20"/>
                <w:szCs w:val="20"/>
              </w:rPr>
            </w:pPr>
          </w:p>
        </w:tc>
        <w:tc>
          <w:tcPr>
            <w:tcW w:w="3690" w:type="dxa"/>
            <w:gridSpan w:val="2"/>
            <w:tcBorders>
              <w:bottom w:val="double" w:sz="4" w:space="0" w:color="auto"/>
            </w:tcBorders>
            <w:shd w:val="clear" w:color="auto" w:fill="00B0F0"/>
            <w:vAlign w:val="center"/>
          </w:tcPr>
          <w:p w14:paraId="4E563894" w14:textId="5EEBCD91" w:rsidR="00EF378F" w:rsidRPr="00AA0679" w:rsidRDefault="00E75F8F" w:rsidP="00E75F8F">
            <w:pPr>
              <w:keepNext/>
              <w:keepLines/>
              <w:spacing w:before="200"/>
              <w:outlineLvl w:val="4"/>
            </w:pPr>
            <w:r w:rsidRPr="00FE7D4D">
              <w:rPr>
                <w:rFonts w:cs="Times New Roman"/>
                <w:sz w:val="20"/>
                <w:szCs w:val="20"/>
              </w:rPr>
              <w:t>T</w:t>
            </w:r>
            <w:r w:rsidR="00EF378F" w:rsidRPr="00FE7D4D">
              <w:rPr>
                <w:rFonts w:cs="Times New Roman"/>
                <w:sz w:val="20"/>
                <w:szCs w:val="20"/>
              </w:rPr>
              <w:t>otal contribution</w:t>
            </w:r>
          </w:p>
        </w:tc>
        <w:tc>
          <w:tcPr>
            <w:tcW w:w="3420" w:type="dxa"/>
            <w:gridSpan w:val="2"/>
            <w:tcBorders>
              <w:bottom w:val="double" w:sz="4" w:space="0" w:color="auto"/>
            </w:tcBorders>
            <w:shd w:val="clear" w:color="auto" w:fill="00B0F0"/>
            <w:vAlign w:val="center"/>
          </w:tcPr>
          <w:p w14:paraId="1DEB4CB6" w14:textId="260FAD1C" w:rsidR="00EF378F" w:rsidRPr="00FE7D4D" w:rsidRDefault="00EF378F" w:rsidP="00E75F8F">
            <w:pPr>
              <w:jc w:val="center"/>
              <w:rPr>
                <w:rFonts w:asciiTheme="majorBidi" w:hAnsiTheme="majorBidi" w:cstheme="majorBidi"/>
                <w:sz w:val="20"/>
                <w:szCs w:val="20"/>
              </w:rPr>
            </w:pPr>
            <w:r w:rsidRPr="00FE7D4D">
              <w:rPr>
                <w:rFonts w:asciiTheme="majorBidi" w:hAnsiTheme="majorBidi" w:cstheme="majorBidi"/>
                <w:sz w:val="20"/>
                <w:szCs w:val="20"/>
              </w:rPr>
              <w:t>100%</w:t>
            </w:r>
          </w:p>
        </w:tc>
        <w:tc>
          <w:tcPr>
            <w:tcW w:w="2430" w:type="dxa"/>
            <w:tcBorders>
              <w:bottom w:val="double" w:sz="4" w:space="0" w:color="auto"/>
            </w:tcBorders>
            <w:shd w:val="clear" w:color="auto" w:fill="00B0F0"/>
            <w:vAlign w:val="center"/>
          </w:tcPr>
          <w:p w14:paraId="66EAA999" w14:textId="173A1FCD" w:rsidR="00EF378F" w:rsidRPr="00FE7D4D" w:rsidRDefault="00C35652" w:rsidP="00E75F8F">
            <w:pPr>
              <w:jc w:val="center"/>
              <w:rPr>
                <w:rFonts w:asciiTheme="majorBidi" w:hAnsiTheme="majorBidi" w:cstheme="majorBidi"/>
                <w:sz w:val="20"/>
                <w:szCs w:val="20"/>
              </w:rPr>
            </w:pPr>
            <w:r w:rsidRPr="00FE7D4D">
              <w:rPr>
                <w:rFonts w:asciiTheme="majorBidi" w:hAnsiTheme="majorBidi" w:cstheme="majorBidi"/>
                <w:sz w:val="20"/>
                <w:szCs w:val="20"/>
              </w:rPr>
              <w:t>38,382</w:t>
            </w:r>
            <w:r w:rsidR="00E75F8F" w:rsidRPr="00FE7D4D">
              <w:rPr>
                <w:rFonts w:asciiTheme="majorBidi" w:hAnsiTheme="majorBidi" w:cstheme="majorBidi"/>
                <w:sz w:val="20"/>
                <w:szCs w:val="20"/>
                <w:vertAlign w:val="superscript"/>
              </w:rPr>
              <w:t>*</w:t>
            </w:r>
          </w:p>
        </w:tc>
        <w:tc>
          <w:tcPr>
            <w:tcW w:w="2335" w:type="dxa"/>
            <w:shd w:val="clear" w:color="auto" w:fill="00B0F0"/>
            <w:vAlign w:val="center"/>
          </w:tcPr>
          <w:p w14:paraId="5379375C" w14:textId="0EA683C5" w:rsidR="00EF378F" w:rsidRPr="00FE7D4D" w:rsidRDefault="00C35652" w:rsidP="00E75F8F">
            <w:pPr>
              <w:jc w:val="center"/>
              <w:rPr>
                <w:rFonts w:asciiTheme="majorBidi" w:hAnsiTheme="majorBidi" w:cstheme="majorBidi"/>
                <w:sz w:val="20"/>
                <w:szCs w:val="20"/>
              </w:rPr>
            </w:pPr>
            <w:r w:rsidRPr="00FE7D4D">
              <w:rPr>
                <w:rFonts w:asciiTheme="majorBidi" w:hAnsiTheme="majorBidi" w:cstheme="majorBidi"/>
                <w:sz w:val="20"/>
                <w:szCs w:val="20"/>
              </w:rPr>
              <w:t>11,208 - 56,075</w:t>
            </w:r>
          </w:p>
        </w:tc>
      </w:tr>
      <w:tr w:rsidR="00ED2B76" w:rsidRPr="00FE7D4D" w14:paraId="644BDCF9" w14:textId="77777777" w:rsidTr="004C2144">
        <w:tc>
          <w:tcPr>
            <w:tcW w:w="1075" w:type="dxa"/>
            <w:vMerge w:val="restart"/>
            <w:tcBorders>
              <w:top w:val="double" w:sz="4" w:space="0" w:color="auto"/>
            </w:tcBorders>
            <w:textDirection w:val="btLr"/>
            <w:vAlign w:val="center"/>
          </w:tcPr>
          <w:p w14:paraId="58B33C2E" w14:textId="7835D49A" w:rsidR="00ED2B76" w:rsidRPr="00FE7D4D" w:rsidRDefault="002E1ACC" w:rsidP="00ED2B76">
            <w:pPr>
              <w:jc w:val="center"/>
              <w:rPr>
                <w:b/>
                <w:bCs/>
                <w:sz w:val="20"/>
                <w:szCs w:val="20"/>
              </w:rPr>
            </w:pPr>
            <w:r w:rsidRPr="00FE7D4D">
              <w:rPr>
                <w:b/>
                <w:bCs/>
                <w:sz w:val="20"/>
                <w:szCs w:val="20"/>
              </w:rPr>
              <w:t>Unmodified E-R m</w:t>
            </w:r>
            <w:r w:rsidR="00ED2B76" w:rsidRPr="00FE7D4D">
              <w:rPr>
                <w:b/>
                <w:bCs/>
                <w:sz w:val="20"/>
                <w:szCs w:val="20"/>
              </w:rPr>
              <w:t>odel</w:t>
            </w:r>
            <w:r w:rsidR="004C2144" w:rsidRPr="00FE7D4D">
              <w:rPr>
                <w:b/>
                <w:bCs/>
                <w:sz w:val="20"/>
                <w:szCs w:val="20"/>
              </w:rPr>
              <w:t xml:space="preserve"> (</w:t>
            </w:r>
            <w:r w:rsidR="004C2144" w:rsidRPr="00FE7D4D">
              <w:rPr>
                <w:rFonts w:cs="Times New Roman"/>
                <w:b/>
                <w:bCs/>
                <w:i/>
                <w:sz w:val="20"/>
                <w:szCs w:val="20"/>
              </w:rPr>
              <w:t>β</w:t>
            </w:r>
            <w:r w:rsidR="004C2144" w:rsidRPr="00FE7D4D">
              <w:rPr>
                <w:b/>
                <w:bCs/>
                <w:sz w:val="20"/>
                <w:szCs w:val="20"/>
              </w:rPr>
              <w:t xml:space="preserve"> = 0.0070 per µg/m</w:t>
            </w:r>
            <w:r w:rsidR="004C2144" w:rsidRPr="00FE7D4D">
              <w:rPr>
                <w:b/>
                <w:bCs/>
                <w:sz w:val="20"/>
                <w:szCs w:val="20"/>
                <w:vertAlign w:val="superscript"/>
              </w:rPr>
              <w:t>3</w:t>
            </w:r>
            <w:r w:rsidR="004C2144" w:rsidRPr="00FE7D4D">
              <w:rPr>
                <w:b/>
                <w:bCs/>
                <w:sz w:val="20"/>
                <w:szCs w:val="20"/>
              </w:rPr>
              <w:t>)</w:t>
            </w:r>
          </w:p>
        </w:tc>
        <w:tc>
          <w:tcPr>
            <w:tcW w:w="1584" w:type="dxa"/>
            <w:vMerge w:val="restart"/>
            <w:tcBorders>
              <w:top w:val="double" w:sz="4" w:space="0" w:color="auto"/>
            </w:tcBorders>
          </w:tcPr>
          <w:p w14:paraId="7A808DB4" w14:textId="7B048436" w:rsidR="00ED2B76" w:rsidRPr="00AA0679" w:rsidRDefault="00ED2B76" w:rsidP="00ED2B76">
            <w:pPr>
              <w:keepNext/>
              <w:keepLines/>
              <w:spacing w:before="200"/>
              <w:outlineLvl w:val="4"/>
            </w:pPr>
            <w:r w:rsidRPr="00FE7D4D">
              <w:rPr>
                <w:rFonts w:cs="Times New Roman"/>
                <w:sz w:val="20"/>
                <w:szCs w:val="20"/>
              </w:rPr>
              <w:t>Due to PM</w:t>
            </w:r>
            <w:r w:rsidRPr="00FE7D4D">
              <w:rPr>
                <w:rFonts w:cs="Times New Roman"/>
                <w:sz w:val="20"/>
                <w:szCs w:val="20"/>
                <w:vertAlign w:val="subscript"/>
              </w:rPr>
              <w:t>2.5</w:t>
            </w:r>
            <w:r w:rsidRPr="00FE7D4D">
              <w:rPr>
                <w:rFonts w:cs="Times New Roman"/>
                <w:sz w:val="20"/>
                <w:szCs w:val="20"/>
              </w:rPr>
              <w:t xml:space="preserve"> of outdoor origin</w:t>
            </w:r>
          </w:p>
        </w:tc>
        <w:tc>
          <w:tcPr>
            <w:tcW w:w="2106" w:type="dxa"/>
            <w:tcBorders>
              <w:top w:val="double" w:sz="4" w:space="0" w:color="auto"/>
            </w:tcBorders>
            <w:vAlign w:val="center"/>
          </w:tcPr>
          <w:p w14:paraId="30C93764" w14:textId="77511136" w:rsidR="00ED2B76" w:rsidRPr="00AA0679" w:rsidRDefault="00ED2B76" w:rsidP="00ED2B76">
            <w:pPr>
              <w:keepNext/>
              <w:keepLines/>
              <w:spacing w:before="200"/>
              <w:outlineLvl w:val="4"/>
            </w:pPr>
            <w:r w:rsidRPr="00FE7D4D">
              <w:rPr>
                <w:rFonts w:cs="Times New Roman"/>
                <w:sz w:val="20"/>
                <w:szCs w:val="20"/>
              </w:rPr>
              <w:t>Residences</w:t>
            </w:r>
          </w:p>
        </w:tc>
        <w:tc>
          <w:tcPr>
            <w:tcW w:w="1710" w:type="dxa"/>
            <w:tcBorders>
              <w:top w:val="double" w:sz="4" w:space="0" w:color="auto"/>
            </w:tcBorders>
            <w:vAlign w:val="center"/>
          </w:tcPr>
          <w:p w14:paraId="325EBAB1" w14:textId="4662D939" w:rsidR="00ED2B76" w:rsidRPr="00FE7D4D" w:rsidRDefault="0066541A" w:rsidP="00F460CC">
            <w:pPr>
              <w:jc w:val="center"/>
              <w:rPr>
                <w:rFonts w:asciiTheme="majorBidi" w:hAnsiTheme="majorBidi" w:cstheme="majorBidi"/>
                <w:sz w:val="20"/>
                <w:szCs w:val="20"/>
              </w:rPr>
            </w:pPr>
            <w:r w:rsidRPr="00FE7D4D">
              <w:rPr>
                <w:rFonts w:asciiTheme="majorBidi" w:hAnsiTheme="majorBidi" w:cstheme="majorBidi"/>
                <w:sz w:val="20"/>
                <w:szCs w:val="20"/>
              </w:rPr>
              <w:t>42.0%</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 xml:space="preserve">± </w:t>
            </w:r>
            <w:r w:rsidR="00701FF5" w:rsidRPr="00FE7D4D">
              <w:rPr>
                <w:rFonts w:asciiTheme="majorBidi" w:hAnsiTheme="majorBidi" w:cstheme="majorBidi"/>
                <w:sz w:val="20"/>
                <w:szCs w:val="20"/>
              </w:rPr>
              <w:t>24.0%</w:t>
            </w:r>
          </w:p>
        </w:tc>
        <w:tc>
          <w:tcPr>
            <w:tcW w:w="1710" w:type="dxa"/>
            <w:tcBorders>
              <w:top w:val="double" w:sz="4" w:space="0" w:color="auto"/>
            </w:tcBorders>
            <w:vAlign w:val="center"/>
          </w:tcPr>
          <w:p w14:paraId="772CD716" w14:textId="3CA6B692"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22.3%</w:t>
            </w:r>
            <w:r w:rsidR="00011813" w:rsidRPr="00FE7D4D">
              <w:rPr>
                <w:rFonts w:asciiTheme="majorBidi" w:hAnsiTheme="majorBidi" w:cstheme="majorBidi"/>
                <w:sz w:val="20"/>
                <w:szCs w:val="20"/>
              </w:rPr>
              <w:t xml:space="preserve"> - </w:t>
            </w:r>
            <w:r w:rsidRPr="00FE7D4D">
              <w:rPr>
                <w:rFonts w:asciiTheme="majorBidi" w:hAnsiTheme="majorBidi" w:cstheme="majorBidi"/>
                <w:sz w:val="20"/>
                <w:szCs w:val="20"/>
              </w:rPr>
              <w:t>58.8%</w:t>
            </w:r>
          </w:p>
        </w:tc>
        <w:tc>
          <w:tcPr>
            <w:tcW w:w="2430" w:type="dxa"/>
            <w:vAlign w:val="center"/>
          </w:tcPr>
          <w:p w14:paraId="0E446F71" w14:textId="6EB30D49"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17,903</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w:t>
            </w:r>
            <w:r w:rsidR="001129A1" w:rsidRPr="00FE7D4D">
              <w:rPr>
                <w:rFonts w:asciiTheme="majorBidi" w:hAnsiTheme="majorBidi" w:cstheme="majorBidi"/>
                <w:b/>
                <w:sz w:val="20"/>
                <w:szCs w:val="20"/>
              </w:rPr>
              <w:t xml:space="preserve"> </w:t>
            </w:r>
            <w:r w:rsidRPr="00FE7D4D">
              <w:rPr>
                <w:rFonts w:asciiTheme="majorBidi" w:hAnsiTheme="majorBidi" w:cstheme="majorBidi"/>
                <w:sz w:val="20"/>
                <w:szCs w:val="20"/>
              </w:rPr>
              <w:t>10,231</w:t>
            </w:r>
          </w:p>
        </w:tc>
        <w:tc>
          <w:tcPr>
            <w:tcW w:w="2335" w:type="dxa"/>
            <w:vAlign w:val="center"/>
          </w:tcPr>
          <w:p w14:paraId="7273ECAF" w14:textId="4CF4039C"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9,526</w:t>
            </w:r>
            <w:r w:rsidR="00011813" w:rsidRPr="00FE7D4D">
              <w:rPr>
                <w:rFonts w:asciiTheme="majorBidi" w:hAnsiTheme="majorBidi" w:cstheme="majorBidi"/>
                <w:sz w:val="20"/>
                <w:szCs w:val="20"/>
              </w:rPr>
              <w:t xml:space="preserve"> - </w:t>
            </w:r>
            <w:r w:rsidRPr="00FE7D4D">
              <w:rPr>
                <w:rFonts w:asciiTheme="majorBidi" w:hAnsiTheme="majorBidi" w:cstheme="majorBidi"/>
                <w:sz w:val="20"/>
                <w:szCs w:val="20"/>
              </w:rPr>
              <w:t xml:space="preserve"> 25,049</w:t>
            </w:r>
          </w:p>
        </w:tc>
      </w:tr>
      <w:tr w:rsidR="00ED2B76" w:rsidRPr="00FE7D4D" w14:paraId="3A3F2A55" w14:textId="77777777" w:rsidTr="00F460CC">
        <w:tc>
          <w:tcPr>
            <w:tcW w:w="1075" w:type="dxa"/>
            <w:vMerge/>
          </w:tcPr>
          <w:p w14:paraId="201CE022" w14:textId="77777777" w:rsidR="00ED2B76" w:rsidRPr="00FE7D4D" w:rsidRDefault="00ED2B76" w:rsidP="00ED2B76">
            <w:pPr>
              <w:rPr>
                <w:b/>
                <w:bCs/>
                <w:sz w:val="20"/>
                <w:szCs w:val="20"/>
              </w:rPr>
            </w:pPr>
          </w:p>
        </w:tc>
        <w:tc>
          <w:tcPr>
            <w:tcW w:w="1584" w:type="dxa"/>
            <w:vMerge/>
          </w:tcPr>
          <w:p w14:paraId="4D692FC5" w14:textId="6F18A91E" w:rsidR="00ED2B76" w:rsidRPr="00FE7D4D" w:rsidRDefault="00ED2B76" w:rsidP="00ED2B76"/>
        </w:tc>
        <w:tc>
          <w:tcPr>
            <w:tcW w:w="2106" w:type="dxa"/>
            <w:vAlign w:val="center"/>
          </w:tcPr>
          <w:p w14:paraId="575A874F" w14:textId="7C0E3FB9" w:rsidR="00ED2B76" w:rsidRPr="00AA0679" w:rsidRDefault="00ED2B76" w:rsidP="00ED2B76">
            <w:pPr>
              <w:keepNext/>
              <w:keepLines/>
              <w:spacing w:before="200"/>
              <w:outlineLvl w:val="4"/>
            </w:pPr>
            <w:r w:rsidRPr="00FE7D4D">
              <w:rPr>
                <w:rFonts w:cs="Times New Roman"/>
                <w:sz w:val="20"/>
                <w:szCs w:val="20"/>
              </w:rPr>
              <w:t>Other indoor locations</w:t>
            </w:r>
          </w:p>
        </w:tc>
        <w:tc>
          <w:tcPr>
            <w:tcW w:w="1710" w:type="dxa"/>
            <w:vAlign w:val="center"/>
          </w:tcPr>
          <w:p w14:paraId="4705CD5F" w14:textId="6244BB22" w:rsidR="00ED2B76" w:rsidRPr="00FE7D4D" w:rsidRDefault="0066541A" w:rsidP="00F460CC">
            <w:pPr>
              <w:jc w:val="center"/>
              <w:rPr>
                <w:rFonts w:asciiTheme="majorBidi" w:hAnsiTheme="majorBidi" w:cstheme="majorBidi"/>
                <w:color w:val="000000"/>
                <w:sz w:val="20"/>
                <w:szCs w:val="20"/>
              </w:rPr>
            </w:pPr>
            <w:r w:rsidRPr="00FE7D4D">
              <w:rPr>
                <w:rFonts w:asciiTheme="majorBidi" w:hAnsiTheme="majorBidi" w:cstheme="majorBidi"/>
                <w:color w:val="000000"/>
                <w:sz w:val="20"/>
                <w:szCs w:val="20"/>
              </w:rPr>
              <w:t>10.9%</w:t>
            </w:r>
            <w:r w:rsidR="00011813" w:rsidRPr="00FE7D4D">
              <w:rPr>
                <w:rFonts w:asciiTheme="majorBidi" w:hAnsiTheme="majorBidi" w:cstheme="majorBidi"/>
                <w:color w:val="000000"/>
                <w:sz w:val="20"/>
                <w:szCs w:val="20"/>
              </w:rPr>
              <w:t xml:space="preserve"> </w:t>
            </w:r>
            <w:r w:rsidR="00011813" w:rsidRPr="00FE7D4D">
              <w:rPr>
                <w:rFonts w:asciiTheme="majorBidi" w:hAnsiTheme="majorBidi" w:cstheme="majorBidi"/>
                <w:b/>
                <w:sz w:val="20"/>
                <w:szCs w:val="20"/>
              </w:rPr>
              <w:t xml:space="preserve">± </w:t>
            </w:r>
            <w:r w:rsidR="00701FF5" w:rsidRPr="00FE7D4D">
              <w:rPr>
                <w:rFonts w:asciiTheme="majorBidi" w:hAnsiTheme="majorBidi" w:cstheme="majorBidi"/>
                <w:color w:val="000000"/>
                <w:sz w:val="20"/>
                <w:szCs w:val="20"/>
              </w:rPr>
              <w:t>13.0%</w:t>
            </w:r>
          </w:p>
        </w:tc>
        <w:tc>
          <w:tcPr>
            <w:tcW w:w="1710" w:type="dxa"/>
            <w:vAlign w:val="center"/>
          </w:tcPr>
          <w:p w14:paraId="44A49006" w14:textId="298FDF49"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0.0%</w:t>
            </w:r>
            <w:r w:rsidR="00011813" w:rsidRPr="00FE7D4D">
              <w:rPr>
                <w:rFonts w:asciiTheme="majorBidi" w:hAnsiTheme="majorBidi" w:cstheme="majorBidi"/>
                <w:sz w:val="20"/>
                <w:szCs w:val="20"/>
              </w:rPr>
              <w:t xml:space="preserve"> -</w:t>
            </w:r>
            <w:r w:rsidR="001129A1" w:rsidRPr="00FE7D4D">
              <w:rPr>
                <w:rFonts w:asciiTheme="majorBidi" w:hAnsiTheme="majorBidi" w:cstheme="majorBidi"/>
                <w:sz w:val="20"/>
                <w:szCs w:val="20"/>
              </w:rPr>
              <w:t xml:space="preserve"> </w:t>
            </w:r>
            <w:r w:rsidRPr="00FE7D4D">
              <w:rPr>
                <w:rFonts w:asciiTheme="majorBidi" w:hAnsiTheme="majorBidi" w:cstheme="majorBidi"/>
                <w:sz w:val="20"/>
                <w:szCs w:val="20"/>
              </w:rPr>
              <w:t>16.8%</w:t>
            </w:r>
          </w:p>
        </w:tc>
        <w:tc>
          <w:tcPr>
            <w:tcW w:w="2430" w:type="dxa"/>
            <w:vAlign w:val="center"/>
          </w:tcPr>
          <w:p w14:paraId="78362033" w14:textId="4AA416BE"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4,648</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w:t>
            </w:r>
            <w:r w:rsidRPr="00FE7D4D">
              <w:rPr>
                <w:rFonts w:asciiTheme="majorBidi" w:hAnsiTheme="majorBidi" w:cstheme="majorBidi"/>
                <w:sz w:val="20"/>
                <w:szCs w:val="20"/>
              </w:rPr>
              <w:t xml:space="preserve"> 5,534</w:t>
            </w:r>
          </w:p>
        </w:tc>
        <w:tc>
          <w:tcPr>
            <w:tcW w:w="2335" w:type="dxa"/>
            <w:vAlign w:val="center"/>
          </w:tcPr>
          <w:p w14:paraId="4F7E458E" w14:textId="314C96DF" w:rsidR="00ED2B76" w:rsidRPr="00FE7D4D" w:rsidRDefault="00011813"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0 - </w:t>
            </w:r>
            <w:r w:rsidR="00701FF5" w:rsidRPr="00FE7D4D">
              <w:rPr>
                <w:rFonts w:asciiTheme="majorBidi" w:hAnsiTheme="majorBidi" w:cstheme="majorBidi"/>
                <w:sz w:val="20"/>
                <w:szCs w:val="20"/>
              </w:rPr>
              <w:t>7,144</w:t>
            </w:r>
          </w:p>
        </w:tc>
      </w:tr>
      <w:tr w:rsidR="00ED2B76" w:rsidRPr="00FE7D4D" w14:paraId="2291FFA7" w14:textId="77777777" w:rsidTr="00F460CC">
        <w:tc>
          <w:tcPr>
            <w:tcW w:w="1075" w:type="dxa"/>
            <w:vMerge/>
          </w:tcPr>
          <w:p w14:paraId="3DC2AAD3" w14:textId="77777777" w:rsidR="00ED2B76" w:rsidRPr="00FE7D4D" w:rsidRDefault="00ED2B76" w:rsidP="00ED2B76">
            <w:pPr>
              <w:rPr>
                <w:b/>
                <w:bCs/>
                <w:sz w:val="20"/>
                <w:szCs w:val="20"/>
              </w:rPr>
            </w:pPr>
          </w:p>
        </w:tc>
        <w:tc>
          <w:tcPr>
            <w:tcW w:w="1584" w:type="dxa"/>
            <w:vMerge/>
          </w:tcPr>
          <w:p w14:paraId="2447DF3D" w14:textId="0ECF3220" w:rsidR="00ED2B76" w:rsidRPr="00FE7D4D" w:rsidRDefault="00ED2B76" w:rsidP="00ED2B76"/>
        </w:tc>
        <w:tc>
          <w:tcPr>
            <w:tcW w:w="2106" w:type="dxa"/>
            <w:vAlign w:val="center"/>
          </w:tcPr>
          <w:p w14:paraId="744BF143" w14:textId="49AF86D4" w:rsidR="00ED2B76" w:rsidRPr="00AA0679" w:rsidRDefault="00ED2B76" w:rsidP="00ED2B76">
            <w:pPr>
              <w:keepNext/>
              <w:keepLines/>
              <w:spacing w:before="200"/>
              <w:outlineLvl w:val="4"/>
            </w:pPr>
            <w:r w:rsidRPr="00FE7D4D">
              <w:rPr>
                <w:rFonts w:cs="Times New Roman"/>
                <w:sz w:val="20"/>
                <w:szCs w:val="20"/>
              </w:rPr>
              <w:t>Vehicles</w:t>
            </w:r>
          </w:p>
        </w:tc>
        <w:tc>
          <w:tcPr>
            <w:tcW w:w="1710" w:type="dxa"/>
            <w:vAlign w:val="center"/>
          </w:tcPr>
          <w:p w14:paraId="207389D5" w14:textId="4C7EAE60" w:rsidR="00ED2B76" w:rsidRPr="00FE7D4D" w:rsidRDefault="0066541A" w:rsidP="00F460CC">
            <w:pPr>
              <w:jc w:val="center"/>
              <w:rPr>
                <w:rFonts w:asciiTheme="majorBidi" w:hAnsiTheme="majorBidi" w:cstheme="majorBidi"/>
                <w:sz w:val="20"/>
                <w:szCs w:val="20"/>
              </w:rPr>
            </w:pPr>
            <w:r w:rsidRPr="00FE7D4D">
              <w:rPr>
                <w:rFonts w:asciiTheme="majorBidi" w:hAnsiTheme="majorBidi" w:cstheme="majorBidi"/>
                <w:sz w:val="20"/>
                <w:szCs w:val="20"/>
              </w:rPr>
              <w:t>2.4%</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 xml:space="preserve">± </w:t>
            </w:r>
            <w:r w:rsidR="00701FF5" w:rsidRPr="00FE7D4D">
              <w:rPr>
                <w:rFonts w:asciiTheme="majorBidi" w:hAnsiTheme="majorBidi" w:cstheme="majorBidi"/>
                <w:sz w:val="20"/>
                <w:szCs w:val="20"/>
              </w:rPr>
              <w:t>4.0%</w:t>
            </w:r>
          </w:p>
        </w:tc>
        <w:tc>
          <w:tcPr>
            <w:tcW w:w="1710" w:type="dxa"/>
            <w:vAlign w:val="center"/>
          </w:tcPr>
          <w:p w14:paraId="0B7B78D7" w14:textId="05FDE14E"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0.3%</w:t>
            </w:r>
            <w:r w:rsidR="00011813" w:rsidRPr="00FE7D4D">
              <w:rPr>
                <w:rFonts w:asciiTheme="majorBidi" w:hAnsiTheme="majorBidi" w:cstheme="majorBidi"/>
                <w:sz w:val="20"/>
                <w:szCs w:val="20"/>
              </w:rPr>
              <w:t xml:space="preserve"> -</w:t>
            </w:r>
            <w:r w:rsidR="001129A1" w:rsidRPr="00FE7D4D">
              <w:rPr>
                <w:rFonts w:asciiTheme="majorBidi" w:hAnsiTheme="majorBidi" w:cstheme="majorBidi"/>
                <w:sz w:val="20"/>
                <w:szCs w:val="20"/>
              </w:rPr>
              <w:t xml:space="preserve"> </w:t>
            </w:r>
            <w:r w:rsidRPr="00FE7D4D">
              <w:rPr>
                <w:rFonts w:asciiTheme="majorBidi" w:hAnsiTheme="majorBidi" w:cstheme="majorBidi"/>
                <w:sz w:val="20"/>
                <w:szCs w:val="20"/>
              </w:rPr>
              <w:t>2.7%</w:t>
            </w:r>
          </w:p>
        </w:tc>
        <w:tc>
          <w:tcPr>
            <w:tcW w:w="2430" w:type="dxa"/>
            <w:vAlign w:val="center"/>
          </w:tcPr>
          <w:p w14:paraId="1AD77606" w14:textId="2E6D829E"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1,029</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 xml:space="preserve">± </w:t>
            </w:r>
            <w:r w:rsidRPr="00FE7D4D">
              <w:rPr>
                <w:rFonts w:asciiTheme="majorBidi" w:hAnsiTheme="majorBidi" w:cstheme="majorBidi"/>
                <w:sz w:val="20"/>
                <w:szCs w:val="20"/>
              </w:rPr>
              <w:t>1,710</w:t>
            </w:r>
          </w:p>
        </w:tc>
        <w:tc>
          <w:tcPr>
            <w:tcW w:w="2335" w:type="dxa"/>
            <w:vAlign w:val="center"/>
          </w:tcPr>
          <w:p w14:paraId="56D77435" w14:textId="286EB0B1"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130</w:t>
            </w:r>
            <w:r w:rsidR="00011813" w:rsidRPr="00FE7D4D">
              <w:rPr>
                <w:rFonts w:asciiTheme="majorBidi" w:hAnsiTheme="majorBidi" w:cstheme="majorBidi"/>
                <w:sz w:val="20"/>
                <w:szCs w:val="20"/>
              </w:rPr>
              <w:t xml:space="preserve"> -</w:t>
            </w:r>
            <w:r w:rsidR="001129A1" w:rsidRPr="00FE7D4D">
              <w:rPr>
                <w:rFonts w:asciiTheme="majorBidi" w:hAnsiTheme="majorBidi" w:cstheme="majorBidi"/>
                <w:sz w:val="20"/>
                <w:szCs w:val="20"/>
              </w:rPr>
              <w:t xml:space="preserve"> </w:t>
            </w:r>
            <w:r w:rsidRPr="00FE7D4D">
              <w:rPr>
                <w:rFonts w:asciiTheme="majorBidi" w:hAnsiTheme="majorBidi" w:cstheme="majorBidi"/>
                <w:sz w:val="20"/>
                <w:szCs w:val="20"/>
              </w:rPr>
              <w:t>1,164</w:t>
            </w:r>
          </w:p>
        </w:tc>
      </w:tr>
      <w:tr w:rsidR="00ED2B76" w:rsidRPr="00FE7D4D" w14:paraId="693C5A40" w14:textId="77777777" w:rsidTr="00F460CC">
        <w:tc>
          <w:tcPr>
            <w:tcW w:w="1075" w:type="dxa"/>
            <w:vMerge/>
          </w:tcPr>
          <w:p w14:paraId="1F3D07C7" w14:textId="77777777" w:rsidR="00ED2B76" w:rsidRPr="00FE7D4D" w:rsidRDefault="00ED2B76" w:rsidP="00ED2B76">
            <w:pPr>
              <w:rPr>
                <w:b/>
                <w:bCs/>
                <w:sz w:val="20"/>
                <w:szCs w:val="20"/>
              </w:rPr>
            </w:pPr>
          </w:p>
        </w:tc>
        <w:tc>
          <w:tcPr>
            <w:tcW w:w="1584" w:type="dxa"/>
            <w:vMerge/>
          </w:tcPr>
          <w:p w14:paraId="560980CF" w14:textId="70203924" w:rsidR="00ED2B76" w:rsidRPr="00FE7D4D" w:rsidRDefault="00ED2B76" w:rsidP="00ED2B76"/>
        </w:tc>
        <w:tc>
          <w:tcPr>
            <w:tcW w:w="2106" w:type="dxa"/>
            <w:vAlign w:val="center"/>
          </w:tcPr>
          <w:p w14:paraId="459F688E" w14:textId="6DD45F22" w:rsidR="00ED2B76" w:rsidRPr="00AA0679" w:rsidRDefault="00ED2B76" w:rsidP="00ED2B76">
            <w:pPr>
              <w:keepNext/>
              <w:keepLines/>
              <w:spacing w:before="200"/>
              <w:outlineLvl w:val="4"/>
            </w:pPr>
            <w:r w:rsidRPr="00FE7D4D">
              <w:rPr>
                <w:rFonts w:cs="Times New Roman"/>
                <w:sz w:val="20"/>
                <w:szCs w:val="20"/>
              </w:rPr>
              <w:t>Outdoor</w:t>
            </w:r>
          </w:p>
        </w:tc>
        <w:tc>
          <w:tcPr>
            <w:tcW w:w="1710" w:type="dxa"/>
            <w:vAlign w:val="center"/>
          </w:tcPr>
          <w:p w14:paraId="0F7AE3E2" w14:textId="65E1D272" w:rsidR="00ED2B76" w:rsidRPr="00FE7D4D" w:rsidRDefault="0066541A" w:rsidP="00F460CC">
            <w:pPr>
              <w:jc w:val="center"/>
              <w:rPr>
                <w:rFonts w:asciiTheme="majorBidi" w:hAnsiTheme="majorBidi" w:cstheme="majorBidi"/>
                <w:sz w:val="20"/>
                <w:szCs w:val="20"/>
              </w:rPr>
            </w:pPr>
            <w:r w:rsidRPr="00FE7D4D">
              <w:rPr>
                <w:rFonts w:asciiTheme="majorBidi" w:hAnsiTheme="majorBidi" w:cstheme="majorBidi"/>
                <w:sz w:val="20"/>
                <w:szCs w:val="20"/>
              </w:rPr>
              <w:t>7.2%</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 xml:space="preserve">± </w:t>
            </w:r>
            <w:r w:rsidR="00701FF5" w:rsidRPr="00FE7D4D">
              <w:rPr>
                <w:rFonts w:asciiTheme="majorBidi" w:hAnsiTheme="majorBidi" w:cstheme="majorBidi"/>
                <w:sz w:val="20"/>
                <w:szCs w:val="20"/>
              </w:rPr>
              <w:t>11.2%</w:t>
            </w:r>
          </w:p>
        </w:tc>
        <w:tc>
          <w:tcPr>
            <w:tcW w:w="1710" w:type="dxa"/>
            <w:vAlign w:val="center"/>
          </w:tcPr>
          <w:p w14:paraId="788515D6" w14:textId="16787243"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1.7%</w:t>
            </w:r>
            <w:r w:rsidR="00011813" w:rsidRPr="00FE7D4D">
              <w:rPr>
                <w:rFonts w:asciiTheme="majorBidi" w:hAnsiTheme="majorBidi" w:cstheme="majorBidi"/>
                <w:sz w:val="20"/>
                <w:szCs w:val="20"/>
              </w:rPr>
              <w:t xml:space="preserve"> -</w:t>
            </w:r>
            <w:r w:rsidR="001129A1" w:rsidRPr="00FE7D4D">
              <w:rPr>
                <w:rFonts w:asciiTheme="majorBidi" w:hAnsiTheme="majorBidi" w:cstheme="majorBidi"/>
                <w:sz w:val="20"/>
                <w:szCs w:val="20"/>
              </w:rPr>
              <w:t xml:space="preserve"> </w:t>
            </w:r>
            <w:r w:rsidRPr="00FE7D4D">
              <w:rPr>
                <w:rFonts w:asciiTheme="majorBidi" w:hAnsiTheme="majorBidi" w:cstheme="majorBidi"/>
                <w:sz w:val="20"/>
                <w:szCs w:val="20"/>
              </w:rPr>
              <w:t>6.4%</w:t>
            </w:r>
          </w:p>
        </w:tc>
        <w:tc>
          <w:tcPr>
            <w:tcW w:w="2430" w:type="dxa"/>
            <w:vAlign w:val="center"/>
          </w:tcPr>
          <w:p w14:paraId="24A3B08C" w14:textId="22B00DC2"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3,052</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 xml:space="preserve">± </w:t>
            </w:r>
            <w:r w:rsidRPr="00FE7D4D">
              <w:rPr>
                <w:rFonts w:asciiTheme="majorBidi" w:hAnsiTheme="majorBidi" w:cstheme="majorBidi"/>
                <w:sz w:val="20"/>
                <w:szCs w:val="20"/>
              </w:rPr>
              <w:t>4,762</w:t>
            </w:r>
          </w:p>
        </w:tc>
        <w:tc>
          <w:tcPr>
            <w:tcW w:w="2335" w:type="dxa"/>
            <w:vAlign w:val="center"/>
          </w:tcPr>
          <w:p w14:paraId="36B8C3CD" w14:textId="4E476EAE"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745</w:t>
            </w:r>
            <w:r w:rsidR="00011813" w:rsidRPr="00FE7D4D">
              <w:rPr>
                <w:rFonts w:asciiTheme="majorBidi" w:hAnsiTheme="majorBidi" w:cstheme="majorBidi"/>
                <w:sz w:val="20"/>
                <w:szCs w:val="20"/>
              </w:rPr>
              <w:t xml:space="preserve"> - </w:t>
            </w:r>
            <w:r w:rsidRPr="00FE7D4D">
              <w:rPr>
                <w:rFonts w:asciiTheme="majorBidi" w:hAnsiTheme="majorBidi" w:cstheme="majorBidi"/>
                <w:sz w:val="20"/>
                <w:szCs w:val="20"/>
              </w:rPr>
              <w:t>2,738</w:t>
            </w:r>
          </w:p>
        </w:tc>
      </w:tr>
      <w:tr w:rsidR="001129A1" w:rsidRPr="00FE7D4D" w14:paraId="29189B4C" w14:textId="77777777" w:rsidTr="00F460CC">
        <w:tc>
          <w:tcPr>
            <w:tcW w:w="1075" w:type="dxa"/>
            <w:vMerge/>
          </w:tcPr>
          <w:p w14:paraId="16FD2C6A" w14:textId="77777777" w:rsidR="001129A1" w:rsidRPr="00FE7D4D" w:rsidRDefault="001129A1" w:rsidP="00ED2B76">
            <w:pPr>
              <w:rPr>
                <w:b/>
                <w:bCs/>
                <w:sz w:val="20"/>
                <w:szCs w:val="20"/>
              </w:rPr>
            </w:pPr>
          </w:p>
        </w:tc>
        <w:tc>
          <w:tcPr>
            <w:tcW w:w="3690" w:type="dxa"/>
            <w:gridSpan w:val="2"/>
            <w:shd w:val="clear" w:color="auto" w:fill="DDD9C3" w:themeFill="background2" w:themeFillShade="E6"/>
          </w:tcPr>
          <w:p w14:paraId="1D6A28AA" w14:textId="3DD42A5D" w:rsidR="001129A1" w:rsidRPr="00AA0679" w:rsidRDefault="001129A1" w:rsidP="00ED2B76">
            <w:pPr>
              <w:keepNext/>
              <w:keepLines/>
              <w:spacing w:before="200"/>
              <w:outlineLvl w:val="4"/>
            </w:pPr>
            <w:r w:rsidRPr="00FE7D4D">
              <w:rPr>
                <w:rFonts w:cs="Times New Roman"/>
                <w:sz w:val="20"/>
                <w:szCs w:val="20"/>
              </w:rPr>
              <w:t>Total outdoor contribution</w:t>
            </w:r>
          </w:p>
        </w:tc>
        <w:tc>
          <w:tcPr>
            <w:tcW w:w="3420" w:type="dxa"/>
            <w:gridSpan w:val="2"/>
            <w:shd w:val="clear" w:color="auto" w:fill="DDD9C3" w:themeFill="background2" w:themeFillShade="E6"/>
            <w:vAlign w:val="center"/>
          </w:tcPr>
          <w:p w14:paraId="76BC5FD7" w14:textId="60B175E3" w:rsidR="001129A1" w:rsidRPr="00FE7D4D" w:rsidRDefault="001129A1"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62.5%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25.3%</w:t>
            </w:r>
          </w:p>
        </w:tc>
        <w:tc>
          <w:tcPr>
            <w:tcW w:w="2430" w:type="dxa"/>
            <w:shd w:val="clear" w:color="auto" w:fill="DDD9C3" w:themeFill="background2" w:themeFillShade="E6"/>
            <w:vAlign w:val="center"/>
          </w:tcPr>
          <w:p w14:paraId="33B5ABE0" w14:textId="2E2A1292" w:rsidR="001129A1" w:rsidRPr="00FE7D4D" w:rsidRDefault="001129A1"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26,632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10,766</w:t>
            </w:r>
          </w:p>
        </w:tc>
        <w:tc>
          <w:tcPr>
            <w:tcW w:w="2335" w:type="dxa"/>
            <w:shd w:val="clear" w:color="auto" w:fill="DDD9C3" w:themeFill="background2" w:themeFillShade="E6"/>
            <w:vAlign w:val="center"/>
          </w:tcPr>
          <w:p w14:paraId="5B8F7216" w14:textId="63069949" w:rsidR="001129A1" w:rsidRPr="00FE7D4D" w:rsidRDefault="001129A1" w:rsidP="00F460CC">
            <w:pPr>
              <w:jc w:val="center"/>
              <w:rPr>
                <w:rFonts w:asciiTheme="majorBidi" w:hAnsiTheme="majorBidi" w:cstheme="majorBidi"/>
                <w:sz w:val="20"/>
                <w:szCs w:val="20"/>
              </w:rPr>
            </w:pPr>
            <w:r w:rsidRPr="00FE7D4D">
              <w:rPr>
                <w:rFonts w:asciiTheme="majorBidi" w:hAnsiTheme="majorBidi" w:cstheme="majorBidi"/>
                <w:sz w:val="20"/>
                <w:szCs w:val="20"/>
              </w:rPr>
              <w:t>10,401 - 36,096</w:t>
            </w:r>
          </w:p>
        </w:tc>
      </w:tr>
      <w:tr w:rsidR="00ED2B76" w:rsidRPr="00FE7D4D" w14:paraId="31350E1D" w14:textId="77777777" w:rsidTr="00F460CC">
        <w:tc>
          <w:tcPr>
            <w:tcW w:w="1075" w:type="dxa"/>
            <w:vMerge/>
          </w:tcPr>
          <w:p w14:paraId="7E99EF55" w14:textId="77777777" w:rsidR="00ED2B76" w:rsidRPr="00FE7D4D" w:rsidRDefault="00ED2B76" w:rsidP="00ED2B76">
            <w:pPr>
              <w:rPr>
                <w:b/>
                <w:bCs/>
                <w:sz w:val="20"/>
                <w:szCs w:val="20"/>
              </w:rPr>
            </w:pPr>
          </w:p>
        </w:tc>
        <w:tc>
          <w:tcPr>
            <w:tcW w:w="1584" w:type="dxa"/>
            <w:vMerge w:val="restart"/>
          </w:tcPr>
          <w:p w14:paraId="300A7C44" w14:textId="07C4814C" w:rsidR="00ED2B76" w:rsidRPr="00AA0679" w:rsidRDefault="00ED2B76" w:rsidP="00ED2B76">
            <w:pPr>
              <w:keepNext/>
              <w:keepLines/>
              <w:spacing w:before="200"/>
              <w:outlineLvl w:val="4"/>
            </w:pPr>
            <w:r w:rsidRPr="00FE7D4D">
              <w:rPr>
                <w:rFonts w:cs="Times New Roman"/>
                <w:sz w:val="20"/>
                <w:szCs w:val="20"/>
              </w:rPr>
              <w:t>Due to PM</w:t>
            </w:r>
            <w:r w:rsidRPr="00FE7D4D">
              <w:rPr>
                <w:rFonts w:cs="Times New Roman"/>
                <w:sz w:val="20"/>
                <w:szCs w:val="20"/>
                <w:vertAlign w:val="subscript"/>
              </w:rPr>
              <w:t>2.5</w:t>
            </w:r>
            <w:r w:rsidRPr="00FE7D4D">
              <w:rPr>
                <w:rFonts w:cs="Times New Roman"/>
                <w:sz w:val="20"/>
                <w:szCs w:val="20"/>
              </w:rPr>
              <w:t xml:space="preserve"> of indoor origin</w:t>
            </w:r>
          </w:p>
        </w:tc>
        <w:tc>
          <w:tcPr>
            <w:tcW w:w="2106" w:type="dxa"/>
            <w:vAlign w:val="center"/>
          </w:tcPr>
          <w:p w14:paraId="1D4E0563" w14:textId="18A10519" w:rsidR="00ED2B76" w:rsidRPr="00AA0679" w:rsidRDefault="00ED2B76" w:rsidP="00ED2B76">
            <w:pPr>
              <w:keepNext/>
              <w:keepLines/>
              <w:spacing w:before="200"/>
              <w:outlineLvl w:val="4"/>
            </w:pPr>
            <w:r w:rsidRPr="00FE7D4D">
              <w:rPr>
                <w:rFonts w:cs="Times New Roman"/>
                <w:sz w:val="20"/>
                <w:szCs w:val="20"/>
              </w:rPr>
              <w:t>Residences</w:t>
            </w:r>
          </w:p>
        </w:tc>
        <w:tc>
          <w:tcPr>
            <w:tcW w:w="1710" w:type="dxa"/>
            <w:vAlign w:val="center"/>
          </w:tcPr>
          <w:p w14:paraId="553161C8" w14:textId="5134A1E8" w:rsidR="00ED2B76" w:rsidRPr="00FE7D4D" w:rsidRDefault="0066541A" w:rsidP="00F460CC">
            <w:pPr>
              <w:jc w:val="center"/>
              <w:rPr>
                <w:rFonts w:asciiTheme="majorBidi" w:hAnsiTheme="majorBidi" w:cstheme="majorBidi"/>
                <w:sz w:val="20"/>
                <w:szCs w:val="20"/>
              </w:rPr>
            </w:pPr>
            <w:r w:rsidRPr="00FE7D4D">
              <w:rPr>
                <w:rFonts w:asciiTheme="majorBidi" w:hAnsiTheme="majorBidi" w:cstheme="majorBidi"/>
                <w:sz w:val="20"/>
                <w:szCs w:val="20"/>
              </w:rPr>
              <w:t>28.3%</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 xml:space="preserve">± </w:t>
            </w:r>
            <w:r w:rsidR="00701FF5" w:rsidRPr="00FE7D4D">
              <w:rPr>
                <w:rFonts w:asciiTheme="majorBidi" w:hAnsiTheme="majorBidi" w:cstheme="majorBidi"/>
                <w:sz w:val="20"/>
                <w:szCs w:val="20"/>
              </w:rPr>
              <w:t>26.5%</w:t>
            </w:r>
          </w:p>
        </w:tc>
        <w:tc>
          <w:tcPr>
            <w:tcW w:w="1710" w:type="dxa"/>
            <w:vAlign w:val="center"/>
          </w:tcPr>
          <w:p w14:paraId="6281260C" w14:textId="41D2731A"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5.1%</w:t>
            </w:r>
            <w:r w:rsidR="00011813" w:rsidRPr="00FE7D4D">
              <w:rPr>
                <w:rFonts w:asciiTheme="majorBidi" w:hAnsiTheme="majorBidi" w:cstheme="majorBidi"/>
                <w:sz w:val="20"/>
                <w:szCs w:val="20"/>
              </w:rPr>
              <w:t xml:space="preserve"> -</w:t>
            </w:r>
            <w:r w:rsidR="001129A1" w:rsidRPr="00FE7D4D">
              <w:rPr>
                <w:rFonts w:asciiTheme="majorBidi" w:hAnsiTheme="majorBidi" w:cstheme="majorBidi"/>
                <w:sz w:val="20"/>
                <w:szCs w:val="20"/>
              </w:rPr>
              <w:t xml:space="preserve"> </w:t>
            </w:r>
            <w:r w:rsidRPr="00FE7D4D">
              <w:rPr>
                <w:rFonts w:asciiTheme="majorBidi" w:hAnsiTheme="majorBidi" w:cstheme="majorBidi"/>
                <w:sz w:val="20"/>
                <w:szCs w:val="20"/>
              </w:rPr>
              <w:t>48.2%</w:t>
            </w:r>
          </w:p>
        </w:tc>
        <w:tc>
          <w:tcPr>
            <w:tcW w:w="2430" w:type="dxa"/>
            <w:vAlign w:val="center"/>
          </w:tcPr>
          <w:p w14:paraId="0F9D85E2" w14:textId="1E01E55C"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12,054</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 xml:space="preserve">± </w:t>
            </w:r>
            <w:r w:rsidRPr="00FE7D4D">
              <w:rPr>
                <w:rFonts w:asciiTheme="majorBidi" w:hAnsiTheme="majorBidi" w:cstheme="majorBidi"/>
                <w:sz w:val="20"/>
                <w:szCs w:val="20"/>
              </w:rPr>
              <w:t>11,290</w:t>
            </w:r>
          </w:p>
        </w:tc>
        <w:tc>
          <w:tcPr>
            <w:tcW w:w="2335" w:type="dxa"/>
            <w:vAlign w:val="center"/>
          </w:tcPr>
          <w:p w14:paraId="2925FBAE" w14:textId="1CC16903"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2,193</w:t>
            </w:r>
            <w:r w:rsidR="00011813" w:rsidRPr="00FE7D4D">
              <w:rPr>
                <w:rFonts w:asciiTheme="majorBidi" w:hAnsiTheme="majorBidi" w:cstheme="majorBidi"/>
                <w:sz w:val="20"/>
                <w:szCs w:val="20"/>
              </w:rPr>
              <w:t xml:space="preserve"> -</w:t>
            </w:r>
            <w:r w:rsidRPr="00FE7D4D">
              <w:rPr>
                <w:rFonts w:asciiTheme="majorBidi" w:hAnsiTheme="majorBidi" w:cstheme="majorBidi"/>
                <w:sz w:val="20"/>
                <w:szCs w:val="20"/>
              </w:rPr>
              <w:t xml:space="preserve"> 20,546</w:t>
            </w:r>
          </w:p>
        </w:tc>
      </w:tr>
      <w:tr w:rsidR="00ED2B76" w:rsidRPr="00FE7D4D" w14:paraId="5993F43E" w14:textId="77777777" w:rsidTr="00F460CC">
        <w:tc>
          <w:tcPr>
            <w:tcW w:w="1075" w:type="dxa"/>
            <w:vMerge/>
          </w:tcPr>
          <w:p w14:paraId="7E7FBEC3" w14:textId="77777777" w:rsidR="00ED2B76" w:rsidRPr="00FE7D4D" w:rsidRDefault="00ED2B76" w:rsidP="00ED2B76">
            <w:pPr>
              <w:rPr>
                <w:b/>
                <w:bCs/>
                <w:sz w:val="20"/>
                <w:szCs w:val="20"/>
              </w:rPr>
            </w:pPr>
          </w:p>
        </w:tc>
        <w:tc>
          <w:tcPr>
            <w:tcW w:w="1584" w:type="dxa"/>
            <w:vMerge/>
          </w:tcPr>
          <w:p w14:paraId="05C648B6" w14:textId="77777777" w:rsidR="00ED2B76" w:rsidRPr="00FE7D4D" w:rsidRDefault="00ED2B76" w:rsidP="00ED2B76"/>
        </w:tc>
        <w:tc>
          <w:tcPr>
            <w:tcW w:w="2106" w:type="dxa"/>
            <w:vAlign w:val="center"/>
          </w:tcPr>
          <w:p w14:paraId="22E029FD" w14:textId="744D444E" w:rsidR="00ED2B76" w:rsidRPr="00AA0679" w:rsidRDefault="00ED2B76" w:rsidP="00ED2B76">
            <w:pPr>
              <w:keepNext/>
              <w:keepLines/>
              <w:spacing w:before="200"/>
              <w:outlineLvl w:val="4"/>
            </w:pPr>
            <w:r w:rsidRPr="00FE7D4D">
              <w:rPr>
                <w:rFonts w:cs="Times New Roman"/>
                <w:sz w:val="20"/>
                <w:szCs w:val="20"/>
              </w:rPr>
              <w:t>Other indoor locations</w:t>
            </w:r>
          </w:p>
        </w:tc>
        <w:tc>
          <w:tcPr>
            <w:tcW w:w="1710" w:type="dxa"/>
            <w:vAlign w:val="center"/>
          </w:tcPr>
          <w:p w14:paraId="0CB78769" w14:textId="6B342010" w:rsidR="00ED2B76" w:rsidRPr="00FE7D4D" w:rsidRDefault="0066541A" w:rsidP="00F460CC">
            <w:pPr>
              <w:jc w:val="center"/>
              <w:rPr>
                <w:rFonts w:asciiTheme="majorBidi" w:hAnsiTheme="majorBidi" w:cstheme="majorBidi"/>
                <w:sz w:val="20"/>
                <w:szCs w:val="20"/>
              </w:rPr>
            </w:pPr>
            <w:r w:rsidRPr="00FE7D4D">
              <w:rPr>
                <w:rFonts w:asciiTheme="majorBidi" w:hAnsiTheme="majorBidi" w:cstheme="majorBidi"/>
                <w:sz w:val="20"/>
                <w:szCs w:val="20"/>
              </w:rPr>
              <w:t>9.2%</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 xml:space="preserve">± </w:t>
            </w:r>
            <w:r w:rsidR="00701FF5" w:rsidRPr="00FE7D4D">
              <w:rPr>
                <w:rFonts w:asciiTheme="majorBidi" w:hAnsiTheme="majorBidi" w:cstheme="majorBidi"/>
                <w:sz w:val="20"/>
                <w:szCs w:val="20"/>
              </w:rPr>
              <w:t>13.0%</w:t>
            </w:r>
          </w:p>
        </w:tc>
        <w:tc>
          <w:tcPr>
            <w:tcW w:w="1710" w:type="dxa"/>
            <w:vAlign w:val="center"/>
          </w:tcPr>
          <w:p w14:paraId="77D278F8" w14:textId="178EEF9E"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0.0%</w:t>
            </w:r>
            <w:r w:rsidR="00011813" w:rsidRPr="00FE7D4D">
              <w:rPr>
                <w:rFonts w:asciiTheme="majorBidi" w:hAnsiTheme="majorBidi" w:cstheme="majorBidi"/>
                <w:sz w:val="20"/>
                <w:szCs w:val="20"/>
              </w:rPr>
              <w:t xml:space="preserve"> -</w:t>
            </w:r>
            <w:r w:rsidR="001129A1" w:rsidRPr="00FE7D4D">
              <w:rPr>
                <w:rFonts w:asciiTheme="majorBidi" w:hAnsiTheme="majorBidi" w:cstheme="majorBidi"/>
                <w:sz w:val="20"/>
                <w:szCs w:val="20"/>
              </w:rPr>
              <w:t xml:space="preserve"> </w:t>
            </w:r>
            <w:r w:rsidRPr="00FE7D4D">
              <w:rPr>
                <w:rFonts w:asciiTheme="majorBidi" w:hAnsiTheme="majorBidi" w:cstheme="majorBidi"/>
                <w:sz w:val="20"/>
                <w:szCs w:val="20"/>
              </w:rPr>
              <w:t>12.7%</w:t>
            </w:r>
          </w:p>
        </w:tc>
        <w:tc>
          <w:tcPr>
            <w:tcW w:w="2430" w:type="dxa"/>
            <w:vAlign w:val="center"/>
          </w:tcPr>
          <w:p w14:paraId="6077BA47" w14:textId="425E744F" w:rsidR="00ED2B76" w:rsidRPr="00FE7D4D" w:rsidRDefault="00701FF5" w:rsidP="00F460CC">
            <w:pPr>
              <w:jc w:val="center"/>
              <w:rPr>
                <w:rFonts w:asciiTheme="majorBidi" w:hAnsiTheme="majorBidi" w:cstheme="majorBidi"/>
                <w:sz w:val="20"/>
                <w:szCs w:val="20"/>
              </w:rPr>
            </w:pPr>
            <w:r w:rsidRPr="00FE7D4D">
              <w:rPr>
                <w:rFonts w:asciiTheme="majorBidi" w:hAnsiTheme="majorBidi" w:cstheme="majorBidi"/>
                <w:sz w:val="20"/>
                <w:szCs w:val="20"/>
              </w:rPr>
              <w:t>3,937</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 xml:space="preserve">± </w:t>
            </w:r>
            <w:r w:rsidRPr="00FE7D4D">
              <w:rPr>
                <w:rFonts w:asciiTheme="majorBidi" w:hAnsiTheme="majorBidi" w:cstheme="majorBidi"/>
                <w:sz w:val="20"/>
                <w:szCs w:val="20"/>
              </w:rPr>
              <w:t>5,532</w:t>
            </w:r>
          </w:p>
        </w:tc>
        <w:tc>
          <w:tcPr>
            <w:tcW w:w="2335" w:type="dxa"/>
            <w:vAlign w:val="center"/>
          </w:tcPr>
          <w:p w14:paraId="6C321D1E" w14:textId="3D745893" w:rsidR="00ED2B76" w:rsidRPr="00FE7D4D" w:rsidRDefault="00011813" w:rsidP="00F460CC">
            <w:pPr>
              <w:jc w:val="center"/>
              <w:rPr>
                <w:rFonts w:asciiTheme="majorBidi" w:hAnsiTheme="majorBidi" w:cstheme="majorBidi"/>
                <w:sz w:val="20"/>
                <w:szCs w:val="20"/>
              </w:rPr>
            </w:pPr>
            <w:r w:rsidRPr="00FE7D4D">
              <w:rPr>
                <w:rFonts w:asciiTheme="majorBidi" w:hAnsiTheme="majorBidi" w:cstheme="majorBidi"/>
                <w:sz w:val="20"/>
                <w:szCs w:val="20"/>
              </w:rPr>
              <w:t>0 -</w:t>
            </w:r>
            <w:r w:rsidR="001129A1" w:rsidRPr="00FE7D4D">
              <w:rPr>
                <w:rFonts w:asciiTheme="majorBidi" w:hAnsiTheme="majorBidi" w:cstheme="majorBidi"/>
                <w:sz w:val="20"/>
                <w:szCs w:val="20"/>
              </w:rPr>
              <w:t xml:space="preserve"> </w:t>
            </w:r>
            <w:r w:rsidR="00701FF5" w:rsidRPr="00FE7D4D">
              <w:rPr>
                <w:rFonts w:asciiTheme="majorBidi" w:hAnsiTheme="majorBidi" w:cstheme="majorBidi"/>
                <w:sz w:val="20"/>
                <w:szCs w:val="20"/>
              </w:rPr>
              <w:t>5,395</w:t>
            </w:r>
          </w:p>
        </w:tc>
      </w:tr>
      <w:tr w:rsidR="001129A1" w:rsidRPr="00FE7D4D" w14:paraId="6E3FB016" w14:textId="77777777" w:rsidTr="00F460CC">
        <w:tc>
          <w:tcPr>
            <w:tcW w:w="1075" w:type="dxa"/>
            <w:vMerge/>
          </w:tcPr>
          <w:p w14:paraId="1C0DE18A" w14:textId="77777777" w:rsidR="001129A1" w:rsidRPr="00FE7D4D" w:rsidRDefault="001129A1" w:rsidP="00ED2B76">
            <w:pPr>
              <w:rPr>
                <w:b/>
                <w:bCs/>
                <w:sz w:val="20"/>
                <w:szCs w:val="20"/>
              </w:rPr>
            </w:pPr>
          </w:p>
        </w:tc>
        <w:tc>
          <w:tcPr>
            <w:tcW w:w="3690" w:type="dxa"/>
            <w:gridSpan w:val="2"/>
            <w:shd w:val="clear" w:color="auto" w:fill="DDD9C3" w:themeFill="background2" w:themeFillShade="E6"/>
            <w:vAlign w:val="center"/>
          </w:tcPr>
          <w:p w14:paraId="14618229" w14:textId="1731B06C" w:rsidR="001129A1" w:rsidRPr="00AA0679" w:rsidRDefault="001129A1" w:rsidP="00ED2B76">
            <w:pPr>
              <w:keepNext/>
              <w:keepLines/>
              <w:spacing w:before="200"/>
              <w:outlineLvl w:val="4"/>
            </w:pPr>
            <w:r w:rsidRPr="00FE7D4D">
              <w:rPr>
                <w:rFonts w:cs="Times New Roman"/>
                <w:sz w:val="20"/>
                <w:szCs w:val="20"/>
              </w:rPr>
              <w:t>Total indoor contribution</w:t>
            </w:r>
          </w:p>
        </w:tc>
        <w:tc>
          <w:tcPr>
            <w:tcW w:w="3420" w:type="dxa"/>
            <w:gridSpan w:val="2"/>
            <w:shd w:val="clear" w:color="auto" w:fill="DDD9C3" w:themeFill="background2" w:themeFillShade="E6"/>
            <w:vAlign w:val="center"/>
          </w:tcPr>
          <w:p w14:paraId="386CF99B" w14:textId="4A3E1292" w:rsidR="001129A1" w:rsidRPr="00FE7D4D" w:rsidRDefault="001129A1"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37.5%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25.3%</w:t>
            </w:r>
          </w:p>
        </w:tc>
        <w:tc>
          <w:tcPr>
            <w:tcW w:w="2430" w:type="dxa"/>
            <w:shd w:val="clear" w:color="auto" w:fill="DDD9C3" w:themeFill="background2" w:themeFillShade="E6"/>
            <w:vAlign w:val="center"/>
          </w:tcPr>
          <w:p w14:paraId="47B08FBE" w14:textId="6A4D6AE6" w:rsidR="001129A1" w:rsidRPr="00FE7D4D" w:rsidRDefault="001129A1"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15,991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10,766</w:t>
            </w:r>
          </w:p>
        </w:tc>
        <w:tc>
          <w:tcPr>
            <w:tcW w:w="2335" w:type="dxa"/>
            <w:shd w:val="clear" w:color="auto" w:fill="DDD9C3" w:themeFill="background2" w:themeFillShade="E6"/>
            <w:vAlign w:val="center"/>
          </w:tcPr>
          <w:p w14:paraId="5B873D18" w14:textId="6BBCB9E2" w:rsidR="001129A1" w:rsidRPr="00FE7D4D" w:rsidRDefault="001129A1" w:rsidP="00F460CC">
            <w:pPr>
              <w:jc w:val="center"/>
              <w:rPr>
                <w:rFonts w:asciiTheme="majorBidi" w:hAnsiTheme="majorBidi" w:cstheme="majorBidi"/>
                <w:sz w:val="20"/>
                <w:szCs w:val="20"/>
              </w:rPr>
            </w:pPr>
            <w:r w:rsidRPr="00FE7D4D">
              <w:rPr>
                <w:rFonts w:asciiTheme="majorBidi" w:hAnsiTheme="majorBidi" w:cstheme="majorBidi"/>
                <w:sz w:val="20"/>
                <w:szCs w:val="20"/>
              </w:rPr>
              <w:t>2,193 - 25,940</w:t>
            </w:r>
          </w:p>
        </w:tc>
      </w:tr>
      <w:tr w:rsidR="001129A1" w:rsidRPr="00FE7D4D" w14:paraId="687135F6" w14:textId="77777777" w:rsidTr="004C2144">
        <w:tc>
          <w:tcPr>
            <w:tcW w:w="1075" w:type="dxa"/>
            <w:vMerge/>
            <w:tcBorders>
              <w:bottom w:val="double" w:sz="4" w:space="0" w:color="auto"/>
            </w:tcBorders>
          </w:tcPr>
          <w:p w14:paraId="1C532B30" w14:textId="77777777" w:rsidR="001129A1" w:rsidRPr="00FE7D4D" w:rsidRDefault="001129A1" w:rsidP="00ED2B76">
            <w:pPr>
              <w:rPr>
                <w:b/>
                <w:bCs/>
                <w:sz w:val="20"/>
                <w:szCs w:val="20"/>
              </w:rPr>
            </w:pPr>
          </w:p>
        </w:tc>
        <w:tc>
          <w:tcPr>
            <w:tcW w:w="3690" w:type="dxa"/>
            <w:gridSpan w:val="2"/>
            <w:tcBorders>
              <w:bottom w:val="double" w:sz="4" w:space="0" w:color="auto"/>
            </w:tcBorders>
            <w:shd w:val="clear" w:color="auto" w:fill="00B0F0"/>
            <w:vAlign w:val="center"/>
          </w:tcPr>
          <w:p w14:paraId="217DD4F4" w14:textId="75DED02A" w:rsidR="001129A1" w:rsidRPr="00AA0679" w:rsidRDefault="001129A1" w:rsidP="00ED2B76">
            <w:pPr>
              <w:keepNext/>
              <w:keepLines/>
              <w:spacing w:before="200"/>
              <w:outlineLvl w:val="4"/>
            </w:pPr>
            <w:r w:rsidRPr="00FE7D4D">
              <w:rPr>
                <w:rFonts w:cs="Times New Roman"/>
                <w:sz w:val="20"/>
                <w:szCs w:val="20"/>
              </w:rPr>
              <w:t>Total contribution</w:t>
            </w:r>
          </w:p>
        </w:tc>
        <w:tc>
          <w:tcPr>
            <w:tcW w:w="3420" w:type="dxa"/>
            <w:gridSpan w:val="2"/>
            <w:tcBorders>
              <w:bottom w:val="double" w:sz="4" w:space="0" w:color="auto"/>
            </w:tcBorders>
            <w:shd w:val="clear" w:color="auto" w:fill="00B0F0"/>
            <w:vAlign w:val="center"/>
          </w:tcPr>
          <w:p w14:paraId="2C2198C2" w14:textId="0F5D2257" w:rsidR="001129A1" w:rsidRPr="00FE7D4D" w:rsidRDefault="001129A1" w:rsidP="00F460CC">
            <w:pPr>
              <w:jc w:val="center"/>
              <w:rPr>
                <w:rFonts w:asciiTheme="majorBidi" w:hAnsiTheme="majorBidi" w:cstheme="majorBidi"/>
                <w:sz w:val="20"/>
                <w:szCs w:val="20"/>
              </w:rPr>
            </w:pPr>
            <w:r w:rsidRPr="00FE7D4D">
              <w:rPr>
                <w:rFonts w:asciiTheme="majorBidi" w:hAnsiTheme="majorBidi" w:cstheme="majorBidi"/>
                <w:sz w:val="20"/>
                <w:szCs w:val="20"/>
              </w:rPr>
              <w:t>100%</w:t>
            </w:r>
          </w:p>
        </w:tc>
        <w:tc>
          <w:tcPr>
            <w:tcW w:w="2430" w:type="dxa"/>
            <w:tcBorders>
              <w:bottom w:val="double" w:sz="4" w:space="0" w:color="auto"/>
            </w:tcBorders>
            <w:shd w:val="clear" w:color="auto" w:fill="00B0F0"/>
            <w:vAlign w:val="center"/>
          </w:tcPr>
          <w:p w14:paraId="1FEE1389" w14:textId="08C9225C" w:rsidR="001129A1" w:rsidRPr="00FE7D4D" w:rsidRDefault="001129A1" w:rsidP="00F460CC">
            <w:pPr>
              <w:jc w:val="center"/>
              <w:rPr>
                <w:rFonts w:asciiTheme="majorBidi" w:hAnsiTheme="majorBidi" w:cstheme="majorBidi"/>
                <w:sz w:val="20"/>
                <w:szCs w:val="20"/>
              </w:rPr>
            </w:pPr>
            <w:r w:rsidRPr="00FE7D4D">
              <w:rPr>
                <w:rFonts w:asciiTheme="majorBidi" w:hAnsiTheme="majorBidi" w:cstheme="majorBidi"/>
                <w:sz w:val="20"/>
                <w:szCs w:val="20"/>
              </w:rPr>
              <w:t>42,623</w:t>
            </w:r>
            <w:r w:rsidR="00F460CC" w:rsidRPr="00FE7D4D">
              <w:rPr>
                <w:rFonts w:asciiTheme="majorBidi" w:hAnsiTheme="majorBidi" w:cstheme="majorBidi"/>
                <w:sz w:val="20"/>
                <w:szCs w:val="20"/>
                <w:vertAlign w:val="superscript"/>
              </w:rPr>
              <w:t>*</w:t>
            </w:r>
          </w:p>
        </w:tc>
        <w:tc>
          <w:tcPr>
            <w:tcW w:w="2335" w:type="dxa"/>
            <w:tcBorders>
              <w:bottom w:val="double" w:sz="4" w:space="0" w:color="auto"/>
            </w:tcBorders>
            <w:shd w:val="clear" w:color="auto" w:fill="00B0F0"/>
            <w:vAlign w:val="center"/>
          </w:tcPr>
          <w:p w14:paraId="0B702612" w14:textId="3CCDA670" w:rsidR="001129A1" w:rsidRPr="00FE7D4D" w:rsidRDefault="001129A1" w:rsidP="00F460CC">
            <w:pPr>
              <w:jc w:val="center"/>
              <w:rPr>
                <w:rFonts w:asciiTheme="majorBidi" w:hAnsiTheme="majorBidi" w:cstheme="majorBidi"/>
                <w:sz w:val="20"/>
                <w:szCs w:val="20"/>
              </w:rPr>
            </w:pPr>
            <w:r w:rsidRPr="00FE7D4D">
              <w:rPr>
                <w:rFonts w:asciiTheme="majorBidi" w:hAnsiTheme="majorBidi" w:cstheme="majorBidi"/>
                <w:sz w:val="20"/>
                <w:szCs w:val="20"/>
              </w:rPr>
              <w:t>12,594 - 62,036</w:t>
            </w:r>
          </w:p>
        </w:tc>
      </w:tr>
      <w:tr w:rsidR="00ED2B76" w:rsidRPr="00FE7D4D" w14:paraId="252F589E" w14:textId="77777777" w:rsidTr="004C2144">
        <w:tc>
          <w:tcPr>
            <w:tcW w:w="1075" w:type="dxa"/>
            <w:vMerge w:val="restart"/>
            <w:tcBorders>
              <w:top w:val="double" w:sz="4" w:space="0" w:color="auto"/>
            </w:tcBorders>
            <w:textDirection w:val="btLr"/>
            <w:vAlign w:val="center"/>
          </w:tcPr>
          <w:p w14:paraId="5A300BC3" w14:textId="1D9F9EF9" w:rsidR="00ED2B76" w:rsidRPr="00FE7D4D" w:rsidRDefault="002E1ACC" w:rsidP="00ED2B76">
            <w:pPr>
              <w:jc w:val="center"/>
              <w:rPr>
                <w:b/>
                <w:bCs/>
                <w:sz w:val="20"/>
                <w:szCs w:val="20"/>
              </w:rPr>
            </w:pPr>
            <w:r w:rsidRPr="00FE7D4D">
              <w:rPr>
                <w:b/>
                <w:bCs/>
                <w:sz w:val="20"/>
                <w:szCs w:val="20"/>
              </w:rPr>
              <w:t>Unmodified E-R m</w:t>
            </w:r>
            <w:r w:rsidR="004C2144" w:rsidRPr="00FE7D4D">
              <w:rPr>
                <w:b/>
                <w:bCs/>
                <w:sz w:val="20"/>
                <w:szCs w:val="20"/>
              </w:rPr>
              <w:t>odel (</w:t>
            </w:r>
            <w:r w:rsidR="004C2144" w:rsidRPr="00FE7D4D">
              <w:rPr>
                <w:rFonts w:cs="Times New Roman"/>
                <w:b/>
                <w:bCs/>
                <w:i/>
                <w:sz w:val="20"/>
                <w:szCs w:val="20"/>
              </w:rPr>
              <w:t>β</w:t>
            </w:r>
            <w:r w:rsidR="004C2144" w:rsidRPr="00FE7D4D">
              <w:rPr>
                <w:b/>
                <w:bCs/>
                <w:sz w:val="20"/>
                <w:szCs w:val="20"/>
              </w:rPr>
              <w:t xml:space="preserve"> = 0.0058 per µg/m</w:t>
            </w:r>
            <w:r w:rsidR="004C2144" w:rsidRPr="00FE7D4D">
              <w:rPr>
                <w:b/>
                <w:bCs/>
                <w:sz w:val="20"/>
                <w:szCs w:val="20"/>
                <w:vertAlign w:val="superscript"/>
              </w:rPr>
              <w:t>3</w:t>
            </w:r>
            <w:r w:rsidR="004C2144" w:rsidRPr="00FE7D4D">
              <w:rPr>
                <w:b/>
                <w:bCs/>
                <w:sz w:val="20"/>
                <w:szCs w:val="20"/>
              </w:rPr>
              <w:t>)</w:t>
            </w:r>
          </w:p>
        </w:tc>
        <w:tc>
          <w:tcPr>
            <w:tcW w:w="1584" w:type="dxa"/>
            <w:vMerge w:val="restart"/>
            <w:tcBorders>
              <w:top w:val="double" w:sz="4" w:space="0" w:color="auto"/>
            </w:tcBorders>
          </w:tcPr>
          <w:p w14:paraId="0040192D" w14:textId="3BD45E0B" w:rsidR="00ED2B76" w:rsidRPr="00AA0679" w:rsidRDefault="00ED2B76" w:rsidP="00ED2B76">
            <w:pPr>
              <w:keepNext/>
              <w:keepLines/>
              <w:spacing w:before="200"/>
              <w:outlineLvl w:val="4"/>
            </w:pPr>
            <w:r w:rsidRPr="00FE7D4D">
              <w:rPr>
                <w:rFonts w:cs="Times New Roman"/>
                <w:sz w:val="20"/>
                <w:szCs w:val="20"/>
              </w:rPr>
              <w:t>Due to PM</w:t>
            </w:r>
            <w:r w:rsidRPr="00FE7D4D">
              <w:rPr>
                <w:rFonts w:cs="Times New Roman"/>
                <w:sz w:val="20"/>
                <w:szCs w:val="20"/>
                <w:vertAlign w:val="subscript"/>
              </w:rPr>
              <w:t>2.5</w:t>
            </w:r>
            <w:r w:rsidRPr="00FE7D4D">
              <w:rPr>
                <w:rFonts w:cs="Times New Roman"/>
                <w:sz w:val="20"/>
                <w:szCs w:val="20"/>
              </w:rPr>
              <w:t xml:space="preserve"> of outdoor origin</w:t>
            </w:r>
          </w:p>
        </w:tc>
        <w:tc>
          <w:tcPr>
            <w:tcW w:w="2106" w:type="dxa"/>
            <w:tcBorders>
              <w:top w:val="double" w:sz="4" w:space="0" w:color="auto"/>
            </w:tcBorders>
            <w:vAlign w:val="center"/>
          </w:tcPr>
          <w:p w14:paraId="361284F3" w14:textId="5D289ECA" w:rsidR="00ED2B76" w:rsidRPr="00AA0679" w:rsidRDefault="00ED2B76" w:rsidP="00ED2B76">
            <w:pPr>
              <w:keepNext/>
              <w:keepLines/>
              <w:spacing w:before="200"/>
              <w:outlineLvl w:val="4"/>
            </w:pPr>
            <w:r w:rsidRPr="00FE7D4D">
              <w:rPr>
                <w:rFonts w:cs="Times New Roman"/>
                <w:sz w:val="20"/>
                <w:szCs w:val="20"/>
              </w:rPr>
              <w:t>Residences</w:t>
            </w:r>
          </w:p>
        </w:tc>
        <w:tc>
          <w:tcPr>
            <w:tcW w:w="1710" w:type="dxa"/>
            <w:tcBorders>
              <w:top w:val="double" w:sz="4" w:space="0" w:color="auto"/>
            </w:tcBorders>
            <w:vAlign w:val="center"/>
          </w:tcPr>
          <w:p w14:paraId="7F83418E" w14:textId="4156CABC" w:rsidR="00ED2B76" w:rsidRPr="00FE7D4D" w:rsidRDefault="00507615" w:rsidP="00F460CC">
            <w:pPr>
              <w:jc w:val="center"/>
              <w:rPr>
                <w:rFonts w:asciiTheme="majorBidi" w:hAnsiTheme="majorBidi" w:cstheme="majorBidi"/>
                <w:sz w:val="20"/>
                <w:szCs w:val="20"/>
              </w:rPr>
            </w:pPr>
            <w:r w:rsidRPr="00FE7D4D">
              <w:rPr>
                <w:rFonts w:asciiTheme="majorBidi" w:hAnsiTheme="majorBidi" w:cstheme="majorBidi"/>
                <w:sz w:val="20"/>
                <w:szCs w:val="20"/>
              </w:rPr>
              <w:t>41.9%</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w:t>
            </w:r>
            <w:r w:rsidR="001129A1" w:rsidRPr="00FE7D4D">
              <w:rPr>
                <w:rFonts w:asciiTheme="majorBidi" w:hAnsiTheme="majorBidi" w:cstheme="majorBidi"/>
                <w:b/>
                <w:sz w:val="20"/>
                <w:szCs w:val="20"/>
              </w:rPr>
              <w:t xml:space="preserve"> </w:t>
            </w:r>
            <w:r w:rsidRPr="00FE7D4D">
              <w:rPr>
                <w:rFonts w:asciiTheme="majorBidi" w:hAnsiTheme="majorBidi" w:cstheme="majorBidi"/>
                <w:sz w:val="20"/>
                <w:szCs w:val="20"/>
              </w:rPr>
              <w:t>23.8%</w:t>
            </w:r>
          </w:p>
        </w:tc>
        <w:tc>
          <w:tcPr>
            <w:tcW w:w="1710" w:type="dxa"/>
            <w:tcBorders>
              <w:top w:val="double" w:sz="4" w:space="0" w:color="auto"/>
            </w:tcBorders>
            <w:vAlign w:val="center"/>
          </w:tcPr>
          <w:p w14:paraId="6976E6A9" w14:textId="26C4D125" w:rsidR="00ED2B76" w:rsidRPr="00FE7D4D" w:rsidRDefault="00507615" w:rsidP="00F460CC">
            <w:pPr>
              <w:jc w:val="center"/>
              <w:rPr>
                <w:rFonts w:asciiTheme="majorBidi" w:hAnsiTheme="majorBidi" w:cstheme="majorBidi"/>
                <w:sz w:val="20"/>
                <w:szCs w:val="20"/>
              </w:rPr>
            </w:pPr>
            <w:r w:rsidRPr="00FE7D4D">
              <w:rPr>
                <w:rFonts w:asciiTheme="majorBidi" w:hAnsiTheme="majorBidi" w:cstheme="majorBidi"/>
                <w:sz w:val="20"/>
                <w:szCs w:val="20"/>
              </w:rPr>
              <w:t>22.6%</w:t>
            </w:r>
            <w:r w:rsidR="00011813" w:rsidRPr="00FE7D4D">
              <w:rPr>
                <w:rFonts w:asciiTheme="majorBidi" w:hAnsiTheme="majorBidi" w:cstheme="majorBidi"/>
                <w:sz w:val="20"/>
                <w:szCs w:val="20"/>
              </w:rPr>
              <w:t xml:space="preserve"> -</w:t>
            </w:r>
            <w:r w:rsidR="001129A1" w:rsidRPr="00FE7D4D">
              <w:rPr>
                <w:rFonts w:asciiTheme="majorBidi" w:hAnsiTheme="majorBidi" w:cstheme="majorBidi"/>
                <w:sz w:val="20"/>
                <w:szCs w:val="20"/>
              </w:rPr>
              <w:t xml:space="preserve"> </w:t>
            </w:r>
            <w:r w:rsidRPr="00FE7D4D">
              <w:rPr>
                <w:rFonts w:asciiTheme="majorBidi" w:hAnsiTheme="majorBidi" w:cstheme="majorBidi"/>
                <w:sz w:val="20"/>
                <w:szCs w:val="20"/>
              </w:rPr>
              <w:t>58.6%</w:t>
            </w:r>
          </w:p>
        </w:tc>
        <w:tc>
          <w:tcPr>
            <w:tcW w:w="2430" w:type="dxa"/>
            <w:tcBorders>
              <w:top w:val="double" w:sz="4" w:space="0" w:color="auto"/>
            </w:tcBorders>
            <w:vAlign w:val="center"/>
          </w:tcPr>
          <w:p w14:paraId="117BC7D3" w14:textId="781FD714" w:rsidR="00ED2B76" w:rsidRPr="00FE7D4D" w:rsidRDefault="00011813"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15,097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8,590</w:t>
            </w:r>
          </w:p>
        </w:tc>
        <w:tc>
          <w:tcPr>
            <w:tcW w:w="2335" w:type="dxa"/>
            <w:tcBorders>
              <w:top w:val="double" w:sz="4" w:space="0" w:color="auto"/>
            </w:tcBorders>
            <w:vAlign w:val="center"/>
          </w:tcPr>
          <w:p w14:paraId="54ADA8BE" w14:textId="332CDC96" w:rsidR="00ED2B76" w:rsidRPr="00FE7D4D" w:rsidRDefault="000B2937" w:rsidP="00F460CC">
            <w:pPr>
              <w:jc w:val="center"/>
              <w:rPr>
                <w:rFonts w:asciiTheme="majorBidi" w:hAnsiTheme="majorBidi" w:cstheme="majorBidi"/>
                <w:sz w:val="20"/>
                <w:szCs w:val="20"/>
              </w:rPr>
            </w:pPr>
            <w:r w:rsidRPr="00FE7D4D">
              <w:rPr>
                <w:rFonts w:asciiTheme="majorBidi" w:hAnsiTheme="majorBidi" w:cstheme="majorBidi"/>
                <w:sz w:val="20"/>
                <w:szCs w:val="20"/>
              </w:rPr>
              <w:t>8,155 - 21,118</w:t>
            </w:r>
          </w:p>
        </w:tc>
      </w:tr>
      <w:tr w:rsidR="00ED2B76" w:rsidRPr="00FE7D4D" w14:paraId="47BBC3AE" w14:textId="77777777" w:rsidTr="00F460CC">
        <w:tc>
          <w:tcPr>
            <w:tcW w:w="1075" w:type="dxa"/>
            <w:vMerge/>
          </w:tcPr>
          <w:p w14:paraId="246765D7" w14:textId="77777777" w:rsidR="00ED2B76" w:rsidRPr="00FE7D4D" w:rsidRDefault="00ED2B76" w:rsidP="00ED2B76"/>
        </w:tc>
        <w:tc>
          <w:tcPr>
            <w:tcW w:w="1584" w:type="dxa"/>
            <w:vMerge/>
          </w:tcPr>
          <w:p w14:paraId="2DBAA4AD" w14:textId="77777777" w:rsidR="00ED2B76" w:rsidRPr="00FE7D4D" w:rsidRDefault="00ED2B76" w:rsidP="00ED2B76"/>
        </w:tc>
        <w:tc>
          <w:tcPr>
            <w:tcW w:w="2106" w:type="dxa"/>
            <w:vAlign w:val="center"/>
          </w:tcPr>
          <w:p w14:paraId="6C4C43D5" w14:textId="7A60A091" w:rsidR="00ED2B76" w:rsidRPr="00AA0679" w:rsidRDefault="00ED2B76" w:rsidP="00ED2B76">
            <w:pPr>
              <w:keepNext/>
              <w:keepLines/>
              <w:spacing w:before="200"/>
              <w:outlineLvl w:val="4"/>
            </w:pPr>
            <w:r w:rsidRPr="00FE7D4D">
              <w:rPr>
                <w:rFonts w:cs="Times New Roman"/>
                <w:sz w:val="20"/>
                <w:szCs w:val="20"/>
              </w:rPr>
              <w:t>Other indoor locations</w:t>
            </w:r>
          </w:p>
        </w:tc>
        <w:tc>
          <w:tcPr>
            <w:tcW w:w="1710" w:type="dxa"/>
            <w:vAlign w:val="center"/>
          </w:tcPr>
          <w:p w14:paraId="44D32B0E" w14:textId="6A4DCF61" w:rsidR="00ED2B76" w:rsidRPr="00FE7D4D" w:rsidRDefault="00507615" w:rsidP="00F460CC">
            <w:pPr>
              <w:jc w:val="center"/>
              <w:rPr>
                <w:rFonts w:asciiTheme="majorBidi" w:hAnsiTheme="majorBidi" w:cstheme="majorBidi"/>
                <w:sz w:val="20"/>
                <w:szCs w:val="20"/>
              </w:rPr>
            </w:pPr>
            <w:r w:rsidRPr="00FE7D4D">
              <w:rPr>
                <w:rFonts w:asciiTheme="majorBidi" w:hAnsiTheme="majorBidi" w:cstheme="majorBidi"/>
                <w:sz w:val="20"/>
                <w:szCs w:val="20"/>
              </w:rPr>
              <w:t>10.9%</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w:t>
            </w:r>
            <w:r w:rsidR="001129A1" w:rsidRPr="00FE7D4D">
              <w:rPr>
                <w:rFonts w:asciiTheme="majorBidi" w:hAnsiTheme="majorBidi" w:cstheme="majorBidi"/>
                <w:b/>
                <w:sz w:val="20"/>
                <w:szCs w:val="20"/>
              </w:rPr>
              <w:t xml:space="preserve"> </w:t>
            </w:r>
            <w:r w:rsidRPr="00FE7D4D">
              <w:rPr>
                <w:rFonts w:asciiTheme="majorBidi" w:hAnsiTheme="majorBidi" w:cstheme="majorBidi"/>
                <w:sz w:val="20"/>
                <w:szCs w:val="20"/>
              </w:rPr>
              <w:t>12.9%</w:t>
            </w:r>
          </w:p>
        </w:tc>
        <w:tc>
          <w:tcPr>
            <w:tcW w:w="1710" w:type="dxa"/>
            <w:vAlign w:val="center"/>
          </w:tcPr>
          <w:p w14:paraId="7427887B" w14:textId="60515B68" w:rsidR="00ED2B76" w:rsidRPr="00FE7D4D" w:rsidRDefault="00507615" w:rsidP="00F460CC">
            <w:pPr>
              <w:jc w:val="center"/>
              <w:rPr>
                <w:rFonts w:asciiTheme="majorBidi" w:hAnsiTheme="majorBidi" w:cstheme="majorBidi"/>
                <w:sz w:val="20"/>
                <w:szCs w:val="20"/>
              </w:rPr>
            </w:pPr>
            <w:r w:rsidRPr="00FE7D4D">
              <w:rPr>
                <w:rFonts w:asciiTheme="majorBidi" w:hAnsiTheme="majorBidi" w:cstheme="majorBidi"/>
                <w:sz w:val="20"/>
                <w:szCs w:val="20"/>
              </w:rPr>
              <w:t>0.1%</w:t>
            </w:r>
            <w:r w:rsidR="00011813" w:rsidRPr="00FE7D4D">
              <w:rPr>
                <w:rFonts w:asciiTheme="majorBidi" w:hAnsiTheme="majorBidi" w:cstheme="majorBidi"/>
                <w:sz w:val="20"/>
                <w:szCs w:val="20"/>
              </w:rPr>
              <w:t xml:space="preserve"> -</w:t>
            </w:r>
            <w:r w:rsidR="001129A1" w:rsidRPr="00FE7D4D">
              <w:rPr>
                <w:rFonts w:asciiTheme="majorBidi" w:hAnsiTheme="majorBidi" w:cstheme="majorBidi"/>
                <w:sz w:val="20"/>
                <w:szCs w:val="20"/>
              </w:rPr>
              <w:t xml:space="preserve"> </w:t>
            </w:r>
            <w:r w:rsidRPr="00FE7D4D">
              <w:rPr>
                <w:rFonts w:asciiTheme="majorBidi" w:hAnsiTheme="majorBidi" w:cstheme="majorBidi"/>
                <w:sz w:val="20"/>
                <w:szCs w:val="20"/>
              </w:rPr>
              <w:t>17.0%</w:t>
            </w:r>
          </w:p>
        </w:tc>
        <w:tc>
          <w:tcPr>
            <w:tcW w:w="2430" w:type="dxa"/>
            <w:vAlign w:val="center"/>
          </w:tcPr>
          <w:p w14:paraId="2BABD311" w14:textId="4FE44785" w:rsidR="00ED2B76" w:rsidRPr="00FE7D4D" w:rsidRDefault="00011813"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3,921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4,644</w:t>
            </w:r>
          </w:p>
        </w:tc>
        <w:tc>
          <w:tcPr>
            <w:tcW w:w="2335" w:type="dxa"/>
            <w:vAlign w:val="center"/>
          </w:tcPr>
          <w:p w14:paraId="79CCFABB" w14:textId="363A183B" w:rsidR="00ED2B76" w:rsidRPr="00FE7D4D" w:rsidRDefault="000B2937" w:rsidP="00F460CC">
            <w:pPr>
              <w:jc w:val="center"/>
              <w:rPr>
                <w:rFonts w:asciiTheme="majorBidi" w:hAnsiTheme="majorBidi" w:cstheme="majorBidi"/>
                <w:sz w:val="20"/>
                <w:szCs w:val="20"/>
              </w:rPr>
            </w:pPr>
            <w:r w:rsidRPr="00FE7D4D">
              <w:rPr>
                <w:rFonts w:asciiTheme="majorBidi" w:hAnsiTheme="majorBidi" w:cstheme="majorBidi"/>
                <w:sz w:val="20"/>
                <w:szCs w:val="20"/>
              </w:rPr>
              <w:t>22 - 6,131</w:t>
            </w:r>
          </w:p>
        </w:tc>
      </w:tr>
      <w:tr w:rsidR="00ED2B76" w:rsidRPr="00FE7D4D" w14:paraId="05C4857B" w14:textId="77777777" w:rsidTr="00F460CC">
        <w:tc>
          <w:tcPr>
            <w:tcW w:w="1075" w:type="dxa"/>
            <w:vMerge/>
          </w:tcPr>
          <w:p w14:paraId="094ECBD9" w14:textId="77777777" w:rsidR="00ED2B76" w:rsidRPr="00FE7D4D" w:rsidRDefault="00ED2B76" w:rsidP="00ED2B76"/>
        </w:tc>
        <w:tc>
          <w:tcPr>
            <w:tcW w:w="1584" w:type="dxa"/>
            <w:vMerge/>
          </w:tcPr>
          <w:p w14:paraId="2EEEEAF2" w14:textId="77777777" w:rsidR="00ED2B76" w:rsidRPr="00FE7D4D" w:rsidRDefault="00ED2B76" w:rsidP="00ED2B76"/>
        </w:tc>
        <w:tc>
          <w:tcPr>
            <w:tcW w:w="2106" w:type="dxa"/>
            <w:vAlign w:val="center"/>
          </w:tcPr>
          <w:p w14:paraId="1EB818B6" w14:textId="67FCDE2C" w:rsidR="00ED2B76" w:rsidRPr="00AA0679" w:rsidRDefault="00ED2B76" w:rsidP="00ED2B76">
            <w:pPr>
              <w:keepNext/>
              <w:keepLines/>
              <w:spacing w:before="200"/>
              <w:outlineLvl w:val="4"/>
            </w:pPr>
            <w:r w:rsidRPr="00FE7D4D">
              <w:rPr>
                <w:rFonts w:cs="Times New Roman"/>
                <w:sz w:val="20"/>
                <w:szCs w:val="20"/>
              </w:rPr>
              <w:t>Vehicles</w:t>
            </w:r>
          </w:p>
        </w:tc>
        <w:tc>
          <w:tcPr>
            <w:tcW w:w="1710" w:type="dxa"/>
            <w:vAlign w:val="center"/>
          </w:tcPr>
          <w:p w14:paraId="1798CCF2" w14:textId="5C19F2E3" w:rsidR="00ED2B76" w:rsidRPr="00FE7D4D" w:rsidRDefault="00507615" w:rsidP="00F460CC">
            <w:pPr>
              <w:jc w:val="center"/>
              <w:rPr>
                <w:rFonts w:asciiTheme="majorBidi" w:hAnsiTheme="majorBidi" w:cstheme="majorBidi"/>
                <w:sz w:val="20"/>
                <w:szCs w:val="20"/>
              </w:rPr>
            </w:pPr>
            <w:r w:rsidRPr="00FE7D4D">
              <w:rPr>
                <w:rFonts w:asciiTheme="majorBidi" w:hAnsiTheme="majorBidi" w:cstheme="majorBidi"/>
                <w:sz w:val="20"/>
                <w:szCs w:val="20"/>
              </w:rPr>
              <w:t>2.3%</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w:t>
            </w:r>
            <w:r w:rsidR="001129A1" w:rsidRPr="00FE7D4D">
              <w:rPr>
                <w:rFonts w:asciiTheme="majorBidi" w:hAnsiTheme="majorBidi" w:cstheme="majorBidi"/>
                <w:b/>
                <w:sz w:val="20"/>
                <w:szCs w:val="20"/>
              </w:rPr>
              <w:t xml:space="preserve"> </w:t>
            </w:r>
            <w:r w:rsidRPr="00FE7D4D">
              <w:rPr>
                <w:rFonts w:asciiTheme="majorBidi" w:hAnsiTheme="majorBidi" w:cstheme="majorBidi"/>
                <w:sz w:val="20"/>
                <w:szCs w:val="20"/>
              </w:rPr>
              <w:t>3.7%</w:t>
            </w:r>
          </w:p>
        </w:tc>
        <w:tc>
          <w:tcPr>
            <w:tcW w:w="1710" w:type="dxa"/>
            <w:vAlign w:val="center"/>
          </w:tcPr>
          <w:p w14:paraId="5BFB16AF" w14:textId="786C4F5D" w:rsidR="00ED2B76" w:rsidRPr="00FE7D4D" w:rsidRDefault="00507615" w:rsidP="00F460CC">
            <w:pPr>
              <w:jc w:val="center"/>
              <w:rPr>
                <w:rFonts w:asciiTheme="majorBidi" w:hAnsiTheme="majorBidi" w:cstheme="majorBidi"/>
                <w:sz w:val="20"/>
                <w:szCs w:val="20"/>
              </w:rPr>
            </w:pPr>
            <w:r w:rsidRPr="00FE7D4D">
              <w:rPr>
                <w:rFonts w:asciiTheme="majorBidi" w:hAnsiTheme="majorBidi" w:cstheme="majorBidi"/>
                <w:sz w:val="20"/>
                <w:szCs w:val="20"/>
              </w:rPr>
              <w:t>0.3%</w:t>
            </w:r>
            <w:r w:rsidR="00011813" w:rsidRPr="00FE7D4D">
              <w:rPr>
                <w:rFonts w:asciiTheme="majorBidi" w:hAnsiTheme="majorBidi" w:cstheme="majorBidi"/>
                <w:sz w:val="20"/>
                <w:szCs w:val="20"/>
              </w:rPr>
              <w:t xml:space="preserve"> -</w:t>
            </w:r>
            <w:r w:rsidR="001129A1" w:rsidRPr="00FE7D4D">
              <w:rPr>
                <w:rFonts w:asciiTheme="majorBidi" w:hAnsiTheme="majorBidi" w:cstheme="majorBidi"/>
                <w:sz w:val="20"/>
                <w:szCs w:val="20"/>
              </w:rPr>
              <w:t xml:space="preserve"> </w:t>
            </w:r>
            <w:r w:rsidRPr="00FE7D4D">
              <w:rPr>
                <w:rFonts w:asciiTheme="majorBidi" w:hAnsiTheme="majorBidi" w:cstheme="majorBidi"/>
                <w:sz w:val="20"/>
                <w:szCs w:val="20"/>
              </w:rPr>
              <w:t>2.7%</w:t>
            </w:r>
          </w:p>
        </w:tc>
        <w:tc>
          <w:tcPr>
            <w:tcW w:w="2430" w:type="dxa"/>
            <w:vAlign w:val="center"/>
          </w:tcPr>
          <w:p w14:paraId="4AA22F4F" w14:textId="1AA051C7" w:rsidR="00ED2B76" w:rsidRPr="00FE7D4D" w:rsidRDefault="00011813"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844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1,346</w:t>
            </w:r>
          </w:p>
        </w:tc>
        <w:tc>
          <w:tcPr>
            <w:tcW w:w="2335" w:type="dxa"/>
            <w:vAlign w:val="center"/>
          </w:tcPr>
          <w:p w14:paraId="4AFDCD94" w14:textId="238CFFC2" w:rsidR="00ED2B76" w:rsidRPr="00FE7D4D" w:rsidRDefault="000B2937" w:rsidP="00F460CC">
            <w:pPr>
              <w:jc w:val="center"/>
              <w:rPr>
                <w:rFonts w:asciiTheme="majorBidi" w:hAnsiTheme="majorBidi" w:cstheme="majorBidi"/>
                <w:sz w:val="20"/>
                <w:szCs w:val="20"/>
              </w:rPr>
            </w:pPr>
            <w:r w:rsidRPr="00FE7D4D">
              <w:rPr>
                <w:rFonts w:asciiTheme="majorBidi" w:hAnsiTheme="majorBidi" w:cstheme="majorBidi"/>
                <w:sz w:val="20"/>
                <w:szCs w:val="20"/>
              </w:rPr>
              <w:t>126 - 979</w:t>
            </w:r>
          </w:p>
        </w:tc>
      </w:tr>
      <w:tr w:rsidR="00ED2B76" w:rsidRPr="00FE7D4D" w14:paraId="2918544A" w14:textId="77777777" w:rsidTr="00F460CC">
        <w:tc>
          <w:tcPr>
            <w:tcW w:w="1075" w:type="dxa"/>
            <w:vMerge/>
          </w:tcPr>
          <w:p w14:paraId="4E5ADD16" w14:textId="77777777" w:rsidR="00ED2B76" w:rsidRPr="00FE7D4D" w:rsidRDefault="00ED2B76" w:rsidP="00ED2B76"/>
        </w:tc>
        <w:tc>
          <w:tcPr>
            <w:tcW w:w="1584" w:type="dxa"/>
            <w:vMerge/>
          </w:tcPr>
          <w:p w14:paraId="0EE082D7" w14:textId="77777777" w:rsidR="00ED2B76" w:rsidRPr="00FE7D4D" w:rsidRDefault="00ED2B76" w:rsidP="00ED2B76"/>
        </w:tc>
        <w:tc>
          <w:tcPr>
            <w:tcW w:w="2106" w:type="dxa"/>
            <w:vAlign w:val="center"/>
          </w:tcPr>
          <w:p w14:paraId="56083085" w14:textId="6AE435CB" w:rsidR="00ED2B76" w:rsidRPr="00AA0679" w:rsidRDefault="00ED2B76" w:rsidP="00ED2B76">
            <w:pPr>
              <w:keepNext/>
              <w:keepLines/>
              <w:spacing w:before="200"/>
              <w:outlineLvl w:val="4"/>
            </w:pPr>
            <w:r w:rsidRPr="00FE7D4D">
              <w:rPr>
                <w:rFonts w:cs="Times New Roman"/>
                <w:sz w:val="20"/>
                <w:szCs w:val="20"/>
              </w:rPr>
              <w:t>Outdoor</w:t>
            </w:r>
          </w:p>
        </w:tc>
        <w:tc>
          <w:tcPr>
            <w:tcW w:w="1710" w:type="dxa"/>
            <w:vAlign w:val="center"/>
          </w:tcPr>
          <w:p w14:paraId="133A43EC" w14:textId="4A42FFC7" w:rsidR="00ED2B76" w:rsidRPr="00FE7D4D" w:rsidRDefault="00507615" w:rsidP="00F460CC">
            <w:pPr>
              <w:jc w:val="center"/>
              <w:rPr>
                <w:rFonts w:asciiTheme="majorBidi" w:hAnsiTheme="majorBidi" w:cstheme="majorBidi"/>
                <w:sz w:val="20"/>
                <w:szCs w:val="20"/>
              </w:rPr>
            </w:pPr>
            <w:r w:rsidRPr="00FE7D4D">
              <w:rPr>
                <w:rFonts w:asciiTheme="majorBidi" w:hAnsiTheme="majorBidi" w:cstheme="majorBidi"/>
                <w:sz w:val="20"/>
                <w:szCs w:val="20"/>
              </w:rPr>
              <w:t>7.5%</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w:t>
            </w:r>
            <w:r w:rsidR="001129A1" w:rsidRPr="00FE7D4D">
              <w:rPr>
                <w:rFonts w:asciiTheme="majorBidi" w:hAnsiTheme="majorBidi" w:cstheme="majorBidi"/>
                <w:b/>
                <w:sz w:val="20"/>
                <w:szCs w:val="20"/>
              </w:rPr>
              <w:t xml:space="preserve"> </w:t>
            </w:r>
            <w:r w:rsidRPr="00FE7D4D">
              <w:rPr>
                <w:rFonts w:asciiTheme="majorBidi" w:hAnsiTheme="majorBidi" w:cstheme="majorBidi"/>
                <w:sz w:val="20"/>
                <w:szCs w:val="20"/>
              </w:rPr>
              <w:t>11.5%</w:t>
            </w:r>
          </w:p>
        </w:tc>
        <w:tc>
          <w:tcPr>
            <w:tcW w:w="1710" w:type="dxa"/>
            <w:vAlign w:val="center"/>
          </w:tcPr>
          <w:p w14:paraId="3D4C73E6" w14:textId="54A440C6" w:rsidR="00ED2B76" w:rsidRPr="00FE7D4D" w:rsidRDefault="00507615" w:rsidP="00F460CC">
            <w:pPr>
              <w:jc w:val="center"/>
              <w:rPr>
                <w:rFonts w:asciiTheme="majorBidi" w:hAnsiTheme="majorBidi" w:cstheme="majorBidi"/>
                <w:sz w:val="20"/>
                <w:szCs w:val="20"/>
              </w:rPr>
            </w:pPr>
            <w:r w:rsidRPr="00FE7D4D">
              <w:rPr>
                <w:rFonts w:asciiTheme="majorBidi" w:hAnsiTheme="majorBidi" w:cstheme="majorBidi"/>
                <w:sz w:val="20"/>
                <w:szCs w:val="20"/>
              </w:rPr>
              <w:t>1.8%</w:t>
            </w:r>
            <w:r w:rsidR="00011813" w:rsidRPr="00FE7D4D">
              <w:rPr>
                <w:rFonts w:asciiTheme="majorBidi" w:hAnsiTheme="majorBidi" w:cstheme="majorBidi"/>
                <w:sz w:val="20"/>
                <w:szCs w:val="20"/>
              </w:rPr>
              <w:t xml:space="preserve"> -</w:t>
            </w:r>
            <w:r w:rsidR="001129A1" w:rsidRPr="00FE7D4D">
              <w:rPr>
                <w:rFonts w:asciiTheme="majorBidi" w:hAnsiTheme="majorBidi" w:cstheme="majorBidi"/>
                <w:sz w:val="20"/>
                <w:szCs w:val="20"/>
              </w:rPr>
              <w:t xml:space="preserve"> </w:t>
            </w:r>
            <w:r w:rsidRPr="00FE7D4D">
              <w:rPr>
                <w:rFonts w:asciiTheme="majorBidi" w:hAnsiTheme="majorBidi" w:cstheme="majorBidi"/>
                <w:sz w:val="20"/>
                <w:szCs w:val="20"/>
              </w:rPr>
              <w:t>7.0%</w:t>
            </w:r>
          </w:p>
        </w:tc>
        <w:tc>
          <w:tcPr>
            <w:tcW w:w="2430" w:type="dxa"/>
            <w:vAlign w:val="center"/>
          </w:tcPr>
          <w:p w14:paraId="39071D1D" w14:textId="3EBFFE7E" w:rsidR="00ED2B76" w:rsidRPr="00FE7D4D" w:rsidRDefault="00011813"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2,688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4,128</w:t>
            </w:r>
          </w:p>
        </w:tc>
        <w:tc>
          <w:tcPr>
            <w:tcW w:w="2335" w:type="dxa"/>
            <w:vAlign w:val="center"/>
          </w:tcPr>
          <w:p w14:paraId="60F4C437" w14:textId="778830AB" w:rsidR="00ED2B76" w:rsidRPr="00FE7D4D" w:rsidRDefault="000B2937" w:rsidP="00F460CC">
            <w:pPr>
              <w:jc w:val="center"/>
              <w:rPr>
                <w:rFonts w:asciiTheme="majorBidi" w:hAnsiTheme="majorBidi" w:cstheme="majorBidi"/>
                <w:sz w:val="20"/>
                <w:szCs w:val="20"/>
              </w:rPr>
            </w:pPr>
            <w:r w:rsidRPr="00FE7D4D">
              <w:rPr>
                <w:rFonts w:asciiTheme="majorBidi" w:hAnsiTheme="majorBidi" w:cstheme="majorBidi"/>
                <w:sz w:val="20"/>
                <w:szCs w:val="20"/>
              </w:rPr>
              <w:t>640 - 2,535</w:t>
            </w:r>
          </w:p>
        </w:tc>
      </w:tr>
      <w:tr w:rsidR="00A05470" w:rsidRPr="00FE7D4D" w14:paraId="3F957CB1" w14:textId="77777777" w:rsidTr="00F460CC">
        <w:tc>
          <w:tcPr>
            <w:tcW w:w="1075" w:type="dxa"/>
            <w:vMerge/>
          </w:tcPr>
          <w:p w14:paraId="25665A59" w14:textId="77777777" w:rsidR="00A05470" w:rsidRPr="00FE7D4D" w:rsidRDefault="00A05470" w:rsidP="00ED2B76"/>
        </w:tc>
        <w:tc>
          <w:tcPr>
            <w:tcW w:w="3690" w:type="dxa"/>
            <w:gridSpan w:val="2"/>
            <w:shd w:val="clear" w:color="auto" w:fill="DDD9C3" w:themeFill="background2" w:themeFillShade="E6"/>
          </w:tcPr>
          <w:p w14:paraId="69A82D9D" w14:textId="64ACEA7B" w:rsidR="00A05470" w:rsidRPr="00AA0679" w:rsidRDefault="00A05470" w:rsidP="00ED2B76">
            <w:pPr>
              <w:keepNext/>
              <w:keepLines/>
              <w:spacing w:before="200"/>
              <w:outlineLvl w:val="4"/>
            </w:pPr>
            <w:r w:rsidRPr="00FE7D4D">
              <w:rPr>
                <w:rFonts w:cs="Times New Roman"/>
                <w:sz w:val="20"/>
                <w:szCs w:val="20"/>
              </w:rPr>
              <w:t>Total outdoor contribution</w:t>
            </w:r>
          </w:p>
        </w:tc>
        <w:tc>
          <w:tcPr>
            <w:tcW w:w="3420" w:type="dxa"/>
            <w:gridSpan w:val="2"/>
            <w:shd w:val="clear" w:color="auto" w:fill="DDD9C3" w:themeFill="background2" w:themeFillShade="E6"/>
            <w:vAlign w:val="center"/>
          </w:tcPr>
          <w:p w14:paraId="1067E6DA" w14:textId="2A99CEE6" w:rsidR="00A05470" w:rsidRPr="00FE7D4D" w:rsidRDefault="00A05470"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62.6%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25.2%</w:t>
            </w:r>
          </w:p>
        </w:tc>
        <w:tc>
          <w:tcPr>
            <w:tcW w:w="2430" w:type="dxa"/>
            <w:shd w:val="clear" w:color="auto" w:fill="DDD9C3" w:themeFill="background2" w:themeFillShade="E6"/>
            <w:vAlign w:val="center"/>
          </w:tcPr>
          <w:p w14:paraId="7D0FE147" w14:textId="2E7C8C4C" w:rsidR="00A05470" w:rsidRPr="00FE7D4D" w:rsidRDefault="00A05470"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22,550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9,079</w:t>
            </w:r>
          </w:p>
        </w:tc>
        <w:tc>
          <w:tcPr>
            <w:tcW w:w="2335" w:type="dxa"/>
            <w:shd w:val="clear" w:color="auto" w:fill="DDD9C3" w:themeFill="background2" w:themeFillShade="E6"/>
            <w:vAlign w:val="center"/>
          </w:tcPr>
          <w:p w14:paraId="654267D0" w14:textId="430678AF" w:rsidR="00A05470" w:rsidRPr="00FE7D4D" w:rsidRDefault="00A05470" w:rsidP="00F460CC">
            <w:pPr>
              <w:jc w:val="center"/>
              <w:rPr>
                <w:rFonts w:asciiTheme="majorBidi" w:hAnsiTheme="majorBidi" w:cstheme="majorBidi"/>
                <w:sz w:val="20"/>
                <w:szCs w:val="20"/>
              </w:rPr>
            </w:pPr>
            <w:r w:rsidRPr="00FE7D4D">
              <w:rPr>
                <w:rFonts w:asciiTheme="majorBidi" w:hAnsiTheme="majorBidi" w:cstheme="majorBidi"/>
                <w:sz w:val="20"/>
                <w:szCs w:val="20"/>
              </w:rPr>
              <w:t>8,942 - 30,763</w:t>
            </w:r>
          </w:p>
        </w:tc>
      </w:tr>
      <w:tr w:rsidR="00ED2B76" w:rsidRPr="00FE7D4D" w14:paraId="2A2F940C" w14:textId="77777777" w:rsidTr="00F460CC">
        <w:tc>
          <w:tcPr>
            <w:tcW w:w="1075" w:type="dxa"/>
            <w:vMerge/>
          </w:tcPr>
          <w:p w14:paraId="64DD5BE1" w14:textId="77777777" w:rsidR="00ED2B76" w:rsidRPr="00FE7D4D" w:rsidRDefault="00ED2B76" w:rsidP="00ED2B76"/>
        </w:tc>
        <w:tc>
          <w:tcPr>
            <w:tcW w:w="1584" w:type="dxa"/>
            <w:vMerge w:val="restart"/>
          </w:tcPr>
          <w:p w14:paraId="1B1AAED1" w14:textId="5BF47CF5" w:rsidR="00ED2B76" w:rsidRPr="00AA0679" w:rsidRDefault="00ED2B76" w:rsidP="00ED2B76">
            <w:pPr>
              <w:keepNext/>
              <w:keepLines/>
              <w:spacing w:before="200"/>
              <w:outlineLvl w:val="4"/>
            </w:pPr>
            <w:r w:rsidRPr="00FE7D4D">
              <w:rPr>
                <w:rFonts w:cs="Times New Roman"/>
                <w:sz w:val="20"/>
                <w:szCs w:val="20"/>
              </w:rPr>
              <w:t>Due to PM</w:t>
            </w:r>
            <w:r w:rsidRPr="00FE7D4D">
              <w:rPr>
                <w:rFonts w:cs="Times New Roman"/>
                <w:sz w:val="20"/>
                <w:szCs w:val="20"/>
                <w:vertAlign w:val="subscript"/>
              </w:rPr>
              <w:t>2.5</w:t>
            </w:r>
            <w:r w:rsidRPr="00FE7D4D">
              <w:rPr>
                <w:rFonts w:cs="Times New Roman"/>
                <w:sz w:val="20"/>
                <w:szCs w:val="20"/>
              </w:rPr>
              <w:t xml:space="preserve"> of indoor origin</w:t>
            </w:r>
          </w:p>
        </w:tc>
        <w:tc>
          <w:tcPr>
            <w:tcW w:w="2106" w:type="dxa"/>
            <w:vAlign w:val="center"/>
          </w:tcPr>
          <w:p w14:paraId="69B146DD" w14:textId="4D6A9B92" w:rsidR="00ED2B76" w:rsidRPr="00AA0679" w:rsidRDefault="00ED2B76" w:rsidP="00ED2B76">
            <w:pPr>
              <w:keepNext/>
              <w:keepLines/>
              <w:spacing w:before="200"/>
              <w:outlineLvl w:val="4"/>
            </w:pPr>
            <w:r w:rsidRPr="00FE7D4D">
              <w:rPr>
                <w:rFonts w:cs="Times New Roman"/>
                <w:sz w:val="20"/>
                <w:szCs w:val="20"/>
              </w:rPr>
              <w:t>Residences</w:t>
            </w:r>
          </w:p>
        </w:tc>
        <w:tc>
          <w:tcPr>
            <w:tcW w:w="1710" w:type="dxa"/>
            <w:vAlign w:val="center"/>
          </w:tcPr>
          <w:p w14:paraId="50F87C4D" w14:textId="5908CF95" w:rsidR="00ED2B76" w:rsidRPr="00FE7D4D" w:rsidRDefault="00507615" w:rsidP="00F460CC">
            <w:pPr>
              <w:jc w:val="center"/>
              <w:rPr>
                <w:rFonts w:asciiTheme="majorBidi" w:hAnsiTheme="majorBidi" w:cstheme="majorBidi"/>
                <w:sz w:val="20"/>
                <w:szCs w:val="20"/>
              </w:rPr>
            </w:pPr>
            <w:r w:rsidRPr="00FE7D4D">
              <w:rPr>
                <w:rFonts w:asciiTheme="majorBidi" w:hAnsiTheme="majorBidi" w:cstheme="majorBidi"/>
                <w:sz w:val="20"/>
                <w:szCs w:val="20"/>
              </w:rPr>
              <w:t>28.1%</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w:t>
            </w:r>
            <w:r w:rsidR="00A05470" w:rsidRPr="00FE7D4D">
              <w:rPr>
                <w:rFonts w:asciiTheme="majorBidi" w:hAnsiTheme="majorBidi" w:cstheme="majorBidi"/>
                <w:b/>
                <w:sz w:val="20"/>
                <w:szCs w:val="20"/>
              </w:rPr>
              <w:t xml:space="preserve"> </w:t>
            </w:r>
            <w:r w:rsidRPr="00FE7D4D">
              <w:rPr>
                <w:rFonts w:asciiTheme="majorBidi" w:hAnsiTheme="majorBidi" w:cstheme="majorBidi"/>
                <w:sz w:val="20"/>
                <w:szCs w:val="20"/>
              </w:rPr>
              <w:t>26.3%</w:t>
            </w:r>
          </w:p>
        </w:tc>
        <w:tc>
          <w:tcPr>
            <w:tcW w:w="1710" w:type="dxa"/>
            <w:vAlign w:val="center"/>
          </w:tcPr>
          <w:p w14:paraId="67C58504" w14:textId="7933B355" w:rsidR="00ED2B76" w:rsidRPr="00FE7D4D" w:rsidRDefault="00011813" w:rsidP="00F460CC">
            <w:pPr>
              <w:jc w:val="center"/>
              <w:rPr>
                <w:rFonts w:asciiTheme="majorBidi" w:hAnsiTheme="majorBidi" w:cstheme="majorBidi"/>
                <w:sz w:val="20"/>
                <w:szCs w:val="20"/>
              </w:rPr>
            </w:pPr>
            <w:r w:rsidRPr="00FE7D4D">
              <w:rPr>
                <w:rFonts w:asciiTheme="majorBidi" w:hAnsiTheme="majorBidi" w:cstheme="majorBidi"/>
                <w:sz w:val="20"/>
                <w:szCs w:val="20"/>
              </w:rPr>
              <w:t>5.2% -</w:t>
            </w:r>
            <w:r w:rsidR="00F460CC" w:rsidRPr="00FE7D4D">
              <w:rPr>
                <w:rFonts w:asciiTheme="majorBidi" w:hAnsiTheme="majorBidi" w:cstheme="majorBidi"/>
                <w:sz w:val="20"/>
                <w:szCs w:val="20"/>
              </w:rPr>
              <w:t xml:space="preserve"> </w:t>
            </w:r>
            <w:r w:rsidRPr="00FE7D4D">
              <w:rPr>
                <w:rFonts w:asciiTheme="majorBidi" w:hAnsiTheme="majorBidi" w:cstheme="majorBidi"/>
                <w:sz w:val="20"/>
                <w:szCs w:val="20"/>
              </w:rPr>
              <w:t>48.2%</w:t>
            </w:r>
          </w:p>
        </w:tc>
        <w:tc>
          <w:tcPr>
            <w:tcW w:w="2430" w:type="dxa"/>
            <w:vAlign w:val="center"/>
          </w:tcPr>
          <w:p w14:paraId="1F8CCBA3" w14:textId="14B5BCDD" w:rsidR="00ED2B76" w:rsidRPr="00FE7D4D" w:rsidRDefault="00011813"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10,108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9,479</w:t>
            </w:r>
          </w:p>
        </w:tc>
        <w:tc>
          <w:tcPr>
            <w:tcW w:w="2335" w:type="dxa"/>
            <w:vAlign w:val="center"/>
          </w:tcPr>
          <w:p w14:paraId="776CF63E" w14:textId="6B53AFF1" w:rsidR="00ED2B76" w:rsidRPr="00FE7D4D" w:rsidRDefault="000B2937" w:rsidP="00F460CC">
            <w:pPr>
              <w:jc w:val="center"/>
              <w:rPr>
                <w:rFonts w:asciiTheme="majorBidi" w:hAnsiTheme="majorBidi" w:cstheme="majorBidi"/>
                <w:sz w:val="20"/>
                <w:szCs w:val="20"/>
              </w:rPr>
            </w:pPr>
            <w:r w:rsidRPr="00FE7D4D">
              <w:rPr>
                <w:rFonts w:asciiTheme="majorBidi" w:hAnsiTheme="majorBidi" w:cstheme="majorBidi"/>
                <w:sz w:val="20"/>
                <w:szCs w:val="20"/>
              </w:rPr>
              <w:t>1,860 -</w:t>
            </w:r>
            <w:r w:rsidR="00F460CC" w:rsidRPr="00FE7D4D">
              <w:rPr>
                <w:rFonts w:asciiTheme="majorBidi" w:hAnsiTheme="majorBidi" w:cstheme="majorBidi"/>
                <w:sz w:val="20"/>
                <w:szCs w:val="20"/>
              </w:rPr>
              <w:t xml:space="preserve"> </w:t>
            </w:r>
            <w:r w:rsidRPr="00FE7D4D">
              <w:rPr>
                <w:rFonts w:asciiTheme="majorBidi" w:hAnsiTheme="majorBidi" w:cstheme="majorBidi"/>
                <w:sz w:val="20"/>
                <w:szCs w:val="20"/>
              </w:rPr>
              <w:t>17,359</w:t>
            </w:r>
          </w:p>
        </w:tc>
      </w:tr>
      <w:tr w:rsidR="00ED2B76" w:rsidRPr="00FE7D4D" w14:paraId="6A20325E" w14:textId="77777777" w:rsidTr="00F460CC">
        <w:tc>
          <w:tcPr>
            <w:tcW w:w="1075" w:type="dxa"/>
            <w:vMerge/>
          </w:tcPr>
          <w:p w14:paraId="6EC5833B" w14:textId="77777777" w:rsidR="00ED2B76" w:rsidRPr="00FE7D4D" w:rsidRDefault="00ED2B76" w:rsidP="00ED2B76"/>
        </w:tc>
        <w:tc>
          <w:tcPr>
            <w:tcW w:w="1584" w:type="dxa"/>
            <w:vMerge/>
          </w:tcPr>
          <w:p w14:paraId="2A484DE5" w14:textId="77777777" w:rsidR="00ED2B76" w:rsidRPr="00FE7D4D" w:rsidRDefault="00ED2B76" w:rsidP="00ED2B76"/>
        </w:tc>
        <w:tc>
          <w:tcPr>
            <w:tcW w:w="2106" w:type="dxa"/>
            <w:vAlign w:val="center"/>
          </w:tcPr>
          <w:p w14:paraId="32E10D8E" w14:textId="0DDEFE58" w:rsidR="00ED2B76" w:rsidRPr="00AA0679" w:rsidRDefault="00ED2B76" w:rsidP="00ED2B76">
            <w:pPr>
              <w:keepNext/>
              <w:keepLines/>
              <w:spacing w:before="200"/>
              <w:outlineLvl w:val="4"/>
            </w:pPr>
            <w:r w:rsidRPr="00FE7D4D">
              <w:rPr>
                <w:rFonts w:cs="Times New Roman"/>
                <w:sz w:val="20"/>
                <w:szCs w:val="20"/>
              </w:rPr>
              <w:t>Other indoor locations</w:t>
            </w:r>
          </w:p>
        </w:tc>
        <w:tc>
          <w:tcPr>
            <w:tcW w:w="1710" w:type="dxa"/>
            <w:vAlign w:val="center"/>
          </w:tcPr>
          <w:p w14:paraId="7ED1BF5F" w14:textId="75FD9365" w:rsidR="00ED2B76" w:rsidRPr="00FE7D4D" w:rsidRDefault="00507615" w:rsidP="00F460CC">
            <w:pPr>
              <w:jc w:val="center"/>
              <w:rPr>
                <w:rFonts w:asciiTheme="majorBidi" w:hAnsiTheme="majorBidi" w:cstheme="majorBidi"/>
                <w:sz w:val="20"/>
                <w:szCs w:val="20"/>
              </w:rPr>
            </w:pPr>
            <w:r w:rsidRPr="00FE7D4D">
              <w:rPr>
                <w:rFonts w:asciiTheme="majorBidi" w:hAnsiTheme="majorBidi" w:cstheme="majorBidi"/>
                <w:sz w:val="20"/>
                <w:szCs w:val="20"/>
              </w:rPr>
              <w:t>9.4%</w:t>
            </w:r>
            <w:r w:rsidR="00011813" w:rsidRPr="00FE7D4D">
              <w:rPr>
                <w:rFonts w:asciiTheme="majorBidi" w:hAnsiTheme="majorBidi" w:cstheme="majorBidi"/>
                <w:sz w:val="20"/>
                <w:szCs w:val="20"/>
              </w:rPr>
              <w:t xml:space="preserve"> </w:t>
            </w:r>
            <w:r w:rsidR="00011813" w:rsidRPr="00FE7D4D">
              <w:rPr>
                <w:rFonts w:asciiTheme="majorBidi" w:hAnsiTheme="majorBidi" w:cstheme="majorBidi"/>
                <w:b/>
                <w:sz w:val="20"/>
                <w:szCs w:val="20"/>
              </w:rPr>
              <w:t>±</w:t>
            </w:r>
            <w:r w:rsidR="00F460CC" w:rsidRPr="00FE7D4D">
              <w:rPr>
                <w:rFonts w:asciiTheme="majorBidi" w:hAnsiTheme="majorBidi" w:cstheme="majorBidi"/>
                <w:b/>
                <w:sz w:val="20"/>
                <w:szCs w:val="20"/>
              </w:rPr>
              <w:t xml:space="preserve"> </w:t>
            </w:r>
            <w:r w:rsidRPr="00FE7D4D">
              <w:rPr>
                <w:rFonts w:asciiTheme="majorBidi" w:hAnsiTheme="majorBidi" w:cstheme="majorBidi"/>
                <w:sz w:val="20"/>
                <w:szCs w:val="20"/>
              </w:rPr>
              <w:t>13.0%</w:t>
            </w:r>
          </w:p>
        </w:tc>
        <w:tc>
          <w:tcPr>
            <w:tcW w:w="1710" w:type="dxa"/>
            <w:vAlign w:val="center"/>
          </w:tcPr>
          <w:p w14:paraId="4FA7A7F5" w14:textId="2774CEFA" w:rsidR="00ED2B76" w:rsidRPr="00FE7D4D" w:rsidRDefault="00011813" w:rsidP="00F460CC">
            <w:pPr>
              <w:jc w:val="center"/>
              <w:rPr>
                <w:rFonts w:asciiTheme="majorBidi" w:hAnsiTheme="majorBidi" w:cstheme="majorBidi"/>
                <w:sz w:val="20"/>
                <w:szCs w:val="20"/>
              </w:rPr>
            </w:pPr>
            <w:r w:rsidRPr="00FE7D4D">
              <w:rPr>
                <w:rFonts w:asciiTheme="majorBidi" w:hAnsiTheme="majorBidi" w:cstheme="majorBidi"/>
                <w:sz w:val="20"/>
                <w:szCs w:val="20"/>
              </w:rPr>
              <w:t>0.0% -</w:t>
            </w:r>
            <w:r w:rsidR="00F460CC" w:rsidRPr="00FE7D4D">
              <w:rPr>
                <w:rFonts w:asciiTheme="majorBidi" w:hAnsiTheme="majorBidi" w:cstheme="majorBidi"/>
                <w:sz w:val="20"/>
                <w:szCs w:val="20"/>
              </w:rPr>
              <w:t xml:space="preserve"> </w:t>
            </w:r>
            <w:r w:rsidRPr="00FE7D4D">
              <w:rPr>
                <w:rFonts w:asciiTheme="majorBidi" w:hAnsiTheme="majorBidi" w:cstheme="majorBidi"/>
                <w:sz w:val="20"/>
                <w:szCs w:val="20"/>
              </w:rPr>
              <w:t>13.2%</w:t>
            </w:r>
          </w:p>
        </w:tc>
        <w:tc>
          <w:tcPr>
            <w:tcW w:w="2430" w:type="dxa"/>
            <w:vAlign w:val="center"/>
          </w:tcPr>
          <w:p w14:paraId="6DE33300" w14:textId="479A471D" w:rsidR="00ED2B76" w:rsidRPr="00FE7D4D" w:rsidRDefault="00011813"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3,371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4,669</w:t>
            </w:r>
          </w:p>
        </w:tc>
        <w:tc>
          <w:tcPr>
            <w:tcW w:w="2335" w:type="dxa"/>
            <w:vAlign w:val="center"/>
          </w:tcPr>
          <w:p w14:paraId="40286E67" w14:textId="737BB358" w:rsidR="00ED2B76" w:rsidRPr="00FE7D4D" w:rsidRDefault="000B2937" w:rsidP="00F460CC">
            <w:pPr>
              <w:jc w:val="center"/>
              <w:rPr>
                <w:rFonts w:asciiTheme="majorBidi" w:hAnsiTheme="majorBidi" w:cstheme="majorBidi"/>
                <w:sz w:val="20"/>
                <w:szCs w:val="20"/>
              </w:rPr>
            </w:pPr>
            <w:r w:rsidRPr="00FE7D4D">
              <w:rPr>
                <w:rFonts w:asciiTheme="majorBidi" w:hAnsiTheme="majorBidi" w:cstheme="majorBidi"/>
                <w:sz w:val="20"/>
                <w:szCs w:val="20"/>
              </w:rPr>
              <w:t>13 - 4,755</w:t>
            </w:r>
          </w:p>
        </w:tc>
      </w:tr>
      <w:tr w:rsidR="00F460CC" w:rsidRPr="00FE7D4D" w14:paraId="4B1292E9" w14:textId="77777777" w:rsidTr="00F460CC">
        <w:tc>
          <w:tcPr>
            <w:tcW w:w="1075" w:type="dxa"/>
            <w:vMerge/>
          </w:tcPr>
          <w:p w14:paraId="70392EE4" w14:textId="77777777" w:rsidR="00F460CC" w:rsidRPr="00FE7D4D" w:rsidRDefault="00F460CC" w:rsidP="00ED2B76"/>
        </w:tc>
        <w:tc>
          <w:tcPr>
            <w:tcW w:w="3690" w:type="dxa"/>
            <w:gridSpan w:val="2"/>
            <w:shd w:val="clear" w:color="auto" w:fill="DDD9C3" w:themeFill="background2" w:themeFillShade="E6"/>
            <w:vAlign w:val="center"/>
          </w:tcPr>
          <w:p w14:paraId="1E5A2517" w14:textId="09C61451" w:rsidR="00F460CC" w:rsidRPr="00AA0679" w:rsidRDefault="00F460CC" w:rsidP="00ED2B76">
            <w:pPr>
              <w:keepNext/>
              <w:keepLines/>
              <w:spacing w:before="200"/>
              <w:outlineLvl w:val="4"/>
            </w:pPr>
            <w:r w:rsidRPr="00FE7D4D">
              <w:rPr>
                <w:rFonts w:cs="Times New Roman"/>
                <w:sz w:val="20"/>
                <w:szCs w:val="20"/>
              </w:rPr>
              <w:t>Total indoor contribution</w:t>
            </w:r>
          </w:p>
        </w:tc>
        <w:tc>
          <w:tcPr>
            <w:tcW w:w="3420" w:type="dxa"/>
            <w:gridSpan w:val="2"/>
            <w:shd w:val="clear" w:color="auto" w:fill="DDD9C3" w:themeFill="background2" w:themeFillShade="E6"/>
            <w:vAlign w:val="center"/>
          </w:tcPr>
          <w:p w14:paraId="56187317" w14:textId="6B7F6631" w:rsidR="00F460CC" w:rsidRPr="00FE7D4D" w:rsidRDefault="00F460CC"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37.4%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25.2%</w:t>
            </w:r>
          </w:p>
        </w:tc>
        <w:tc>
          <w:tcPr>
            <w:tcW w:w="2430" w:type="dxa"/>
            <w:shd w:val="clear" w:color="auto" w:fill="DDD9C3" w:themeFill="background2" w:themeFillShade="E6"/>
            <w:vAlign w:val="center"/>
          </w:tcPr>
          <w:p w14:paraId="03040B55" w14:textId="05FE444E" w:rsidR="00F460CC" w:rsidRPr="00FE7D4D" w:rsidRDefault="00F460CC" w:rsidP="00F460CC">
            <w:pPr>
              <w:jc w:val="center"/>
              <w:rPr>
                <w:rFonts w:asciiTheme="majorBidi" w:hAnsiTheme="majorBidi" w:cstheme="majorBidi"/>
                <w:sz w:val="20"/>
                <w:szCs w:val="20"/>
              </w:rPr>
            </w:pPr>
            <w:r w:rsidRPr="00FE7D4D">
              <w:rPr>
                <w:rFonts w:asciiTheme="majorBidi" w:hAnsiTheme="majorBidi" w:cstheme="majorBidi"/>
                <w:sz w:val="20"/>
                <w:szCs w:val="20"/>
              </w:rPr>
              <w:t xml:space="preserve">13,478 </w:t>
            </w:r>
            <w:r w:rsidRPr="00FE7D4D">
              <w:rPr>
                <w:rFonts w:asciiTheme="majorBidi" w:hAnsiTheme="majorBidi" w:cstheme="majorBidi"/>
                <w:b/>
                <w:sz w:val="20"/>
                <w:szCs w:val="20"/>
              </w:rPr>
              <w:t xml:space="preserve">± </w:t>
            </w:r>
            <w:r w:rsidRPr="00FE7D4D">
              <w:rPr>
                <w:rFonts w:asciiTheme="majorBidi" w:hAnsiTheme="majorBidi" w:cstheme="majorBidi"/>
                <w:sz w:val="20"/>
                <w:szCs w:val="20"/>
              </w:rPr>
              <w:t>9,079</w:t>
            </w:r>
          </w:p>
        </w:tc>
        <w:tc>
          <w:tcPr>
            <w:tcW w:w="2335" w:type="dxa"/>
            <w:shd w:val="clear" w:color="auto" w:fill="DDD9C3" w:themeFill="background2" w:themeFillShade="E6"/>
            <w:vAlign w:val="center"/>
          </w:tcPr>
          <w:p w14:paraId="4D337B6B" w14:textId="38A5CE5A" w:rsidR="00F460CC" w:rsidRPr="00FE7D4D" w:rsidRDefault="00F460CC" w:rsidP="00F460CC">
            <w:pPr>
              <w:jc w:val="center"/>
              <w:rPr>
                <w:rFonts w:asciiTheme="majorBidi" w:hAnsiTheme="majorBidi" w:cstheme="majorBidi"/>
                <w:sz w:val="20"/>
                <w:szCs w:val="20"/>
              </w:rPr>
            </w:pPr>
            <w:r w:rsidRPr="00FE7D4D">
              <w:rPr>
                <w:rFonts w:asciiTheme="majorBidi" w:hAnsiTheme="majorBidi" w:cstheme="majorBidi"/>
                <w:sz w:val="20"/>
                <w:szCs w:val="20"/>
              </w:rPr>
              <w:t>1,873 - 22,114</w:t>
            </w:r>
          </w:p>
        </w:tc>
      </w:tr>
      <w:tr w:rsidR="00F460CC" w:rsidRPr="00FE7D4D" w14:paraId="10422DAD" w14:textId="77777777" w:rsidTr="00F460CC">
        <w:tc>
          <w:tcPr>
            <w:tcW w:w="1075" w:type="dxa"/>
            <w:vMerge/>
          </w:tcPr>
          <w:p w14:paraId="00BEE0E8" w14:textId="77777777" w:rsidR="00F460CC" w:rsidRPr="00FE7D4D" w:rsidRDefault="00F460CC" w:rsidP="00ED2B76"/>
        </w:tc>
        <w:tc>
          <w:tcPr>
            <w:tcW w:w="3690" w:type="dxa"/>
            <w:gridSpan w:val="2"/>
            <w:shd w:val="clear" w:color="auto" w:fill="00B0F0"/>
            <w:vAlign w:val="center"/>
          </w:tcPr>
          <w:p w14:paraId="27CE48FD" w14:textId="1CCFD679" w:rsidR="00F460CC" w:rsidRPr="00FE7D4D" w:rsidRDefault="00F460CC" w:rsidP="00E75F8F">
            <w:pPr>
              <w:rPr>
                <w:i/>
              </w:rPr>
            </w:pPr>
            <w:r w:rsidRPr="00FE7D4D">
              <w:rPr>
                <w:rFonts w:cs="Times New Roman"/>
                <w:sz w:val="20"/>
                <w:szCs w:val="20"/>
              </w:rPr>
              <w:t>Total contribution</w:t>
            </w:r>
          </w:p>
        </w:tc>
        <w:tc>
          <w:tcPr>
            <w:tcW w:w="3420" w:type="dxa"/>
            <w:gridSpan w:val="2"/>
            <w:shd w:val="clear" w:color="auto" w:fill="00B0F0"/>
            <w:vAlign w:val="center"/>
          </w:tcPr>
          <w:p w14:paraId="45698770" w14:textId="16EA1B12" w:rsidR="00F460CC" w:rsidRPr="00FE7D4D" w:rsidRDefault="00F460CC" w:rsidP="00F460CC">
            <w:pPr>
              <w:jc w:val="center"/>
              <w:rPr>
                <w:rFonts w:asciiTheme="majorBidi" w:hAnsiTheme="majorBidi" w:cstheme="majorBidi"/>
                <w:sz w:val="20"/>
                <w:szCs w:val="20"/>
              </w:rPr>
            </w:pPr>
            <w:r w:rsidRPr="00FE7D4D">
              <w:rPr>
                <w:rFonts w:asciiTheme="majorBidi" w:hAnsiTheme="majorBidi" w:cstheme="majorBidi"/>
                <w:sz w:val="20"/>
                <w:szCs w:val="20"/>
              </w:rPr>
              <w:t>100%</w:t>
            </w:r>
          </w:p>
        </w:tc>
        <w:tc>
          <w:tcPr>
            <w:tcW w:w="2430" w:type="dxa"/>
            <w:shd w:val="clear" w:color="auto" w:fill="00B0F0"/>
            <w:vAlign w:val="center"/>
          </w:tcPr>
          <w:p w14:paraId="7C7DA20F" w14:textId="23DB8645" w:rsidR="00F460CC" w:rsidRPr="00FE7D4D" w:rsidRDefault="00F460CC" w:rsidP="00F460CC">
            <w:pPr>
              <w:jc w:val="center"/>
              <w:rPr>
                <w:rFonts w:asciiTheme="majorBidi" w:hAnsiTheme="majorBidi" w:cstheme="majorBidi"/>
                <w:sz w:val="20"/>
                <w:szCs w:val="20"/>
              </w:rPr>
            </w:pPr>
            <w:r w:rsidRPr="00FE7D4D">
              <w:rPr>
                <w:rFonts w:asciiTheme="majorBidi" w:hAnsiTheme="majorBidi" w:cstheme="majorBidi"/>
                <w:sz w:val="20"/>
                <w:szCs w:val="20"/>
              </w:rPr>
              <w:t>36,028</w:t>
            </w:r>
            <w:r w:rsidRPr="00FE7D4D">
              <w:rPr>
                <w:rFonts w:asciiTheme="majorBidi" w:hAnsiTheme="majorBidi" w:cstheme="majorBidi"/>
                <w:sz w:val="20"/>
                <w:szCs w:val="20"/>
                <w:vertAlign w:val="superscript"/>
              </w:rPr>
              <w:t>*</w:t>
            </w:r>
          </w:p>
        </w:tc>
        <w:tc>
          <w:tcPr>
            <w:tcW w:w="2335" w:type="dxa"/>
            <w:shd w:val="clear" w:color="auto" w:fill="00B0F0"/>
            <w:vAlign w:val="center"/>
          </w:tcPr>
          <w:p w14:paraId="7ABF1980" w14:textId="5435827B" w:rsidR="00F460CC" w:rsidRPr="00FE7D4D" w:rsidRDefault="00F460CC" w:rsidP="00F460CC">
            <w:pPr>
              <w:jc w:val="center"/>
              <w:rPr>
                <w:rFonts w:asciiTheme="majorBidi" w:hAnsiTheme="majorBidi" w:cstheme="majorBidi"/>
                <w:sz w:val="20"/>
                <w:szCs w:val="20"/>
              </w:rPr>
            </w:pPr>
            <w:r w:rsidRPr="00FE7D4D">
              <w:rPr>
                <w:rFonts w:asciiTheme="majorBidi" w:hAnsiTheme="majorBidi" w:cstheme="majorBidi"/>
                <w:sz w:val="20"/>
                <w:szCs w:val="20"/>
              </w:rPr>
              <w:t>10,815 - 52,877</w:t>
            </w:r>
          </w:p>
        </w:tc>
      </w:tr>
    </w:tbl>
    <w:p w14:paraId="462DB09D" w14:textId="155DAF8A" w:rsidR="006111DF" w:rsidRPr="0017095E" w:rsidRDefault="0017095E" w:rsidP="00E75F8F">
      <w:pPr>
        <w:rPr>
          <w:sz w:val="20"/>
          <w:szCs w:val="20"/>
        </w:rPr>
      </w:pPr>
      <w:r w:rsidRPr="00FE7D4D">
        <w:rPr>
          <w:sz w:val="20"/>
          <w:szCs w:val="20"/>
          <w:vertAlign w:val="superscript"/>
        </w:rPr>
        <w:t>*</w:t>
      </w:r>
      <w:r w:rsidRPr="00FE7D4D">
        <w:rPr>
          <w:sz w:val="20"/>
          <w:szCs w:val="20"/>
        </w:rPr>
        <w:t xml:space="preserve"> The estimates of total contributions are based on the median values.</w:t>
      </w:r>
    </w:p>
    <w:p w14:paraId="195FCC9E" w14:textId="56CAA7C8" w:rsidR="006111DF" w:rsidRDefault="006111DF" w:rsidP="006111DF"/>
    <w:p w14:paraId="379376C1" w14:textId="71783B43" w:rsidR="006111DF" w:rsidRDefault="006111DF" w:rsidP="006111DF"/>
    <w:p w14:paraId="2C867D97" w14:textId="165DE16E" w:rsidR="006111DF" w:rsidRDefault="006111DF" w:rsidP="006111DF"/>
    <w:sectPr w:rsidR="006111DF" w:rsidSect="00FD796E">
      <w:pgSz w:w="15840" w:h="12240" w:orient="landscape"/>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800D2E" w16cid:durableId="1ED217FC"/>
  <w16cid:commentId w16cid:paraId="7B0841C6" w16cid:durableId="1ECBB979"/>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B78A9E" w14:textId="77777777" w:rsidR="00301F8D" w:rsidRDefault="00301F8D" w:rsidP="004C0685">
      <w:r>
        <w:separator/>
      </w:r>
    </w:p>
  </w:endnote>
  <w:endnote w:type="continuationSeparator" w:id="0">
    <w:p w14:paraId="40151558" w14:textId="77777777" w:rsidR="00301F8D" w:rsidRDefault="00301F8D" w:rsidP="004C0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MS Mincho">
    <w:altName w:val="ＭＳ 明朝"/>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Cambria Math">
    <w:panose1 w:val="02040503050406030204"/>
    <w:charset w:val="00"/>
    <w:family w:val="auto"/>
    <w:pitch w:val="variable"/>
    <w:sig w:usb0="E00002FF" w:usb1="420024FF" w:usb2="00000000" w:usb3="00000000" w:csb0="0000019F" w:csb1="00000000"/>
  </w:font>
  <w:font w:name="TimesNewRoman">
    <w:altName w:val="Times New Roman"/>
    <w:panose1 w:val="00000000000000000000"/>
    <w:charset w:val="00"/>
    <w:family w:val="roman"/>
    <w:notTrueType/>
    <w:pitch w:val="default"/>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C374F2" w14:textId="77777777" w:rsidR="00301F8D" w:rsidRDefault="00301F8D" w:rsidP="005454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6A5622" w14:textId="77777777" w:rsidR="00301F8D" w:rsidRDefault="00301F8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D2CAB" w14:textId="252F25D6" w:rsidR="00301F8D" w:rsidRDefault="00301F8D" w:rsidP="005454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A0679">
      <w:rPr>
        <w:rStyle w:val="PageNumber"/>
        <w:noProof/>
      </w:rPr>
      <w:t>8</w:t>
    </w:r>
    <w:r>
      <w:rPr>
        <w:rStyle w:val="PageNumber"/>
      </w:rPr>
      <w:fldChar w:fldCharType="end"/>
    </w:r>
  </w:p>
  <w:p w14:paraId="37C78386" w14:textId="77777777" w:rsidR="00301F8D" w:rsidRDefault="00301F8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80C0DF" w14:textId="77777777" w:rsidR="00301F8D" w:rsidRDefault="00301F8D" w:rsidP="004C0685">
      <w:r>
        <w:separator/>
      </w:r>
    </w:p>
  </w:footnote>
  <w:footnote w:type="continuationSeparator" w:id="0">
    <w:p w14:paraId="130F75B7" w14:textId="77777777" w:rsidR="00301F8D" w:rsidRDefault="00301F8D" w:rsidP="004C068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F9AC9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6B24E55C"/>
    <w:lvl w:ilvl="0">
      <w:start w:val="1"/>
      <w:numFmt w:val="decimal"/>
      <w:lvlText w:val="%1."/>
      <w:lvlJc w:val="left"/>
      <w:pPr>
        <w:tabs>
          <w:tab w:val="num" w:pos="1800"/>
        </w:tabs>
        <w:ind w:left="1800" w:hanging="360"/>
      </w:pPr>
    </w:lvl>
  </w:abstractNum>
  <w:abstractNum w:abstractNumId="2">
    <w:nsid w:val="FFFFFF7D"/>
    <w:multiLevelType w:val="singleLevel"/>
    <w:tmpl w:val="A8FA2590"/>
    <w:lvl w:ilvl="0">
      <w:start w:val="1"/>
      <w:numFmt w:val="decimal"/>
      <w:lvlText w:val="%1."/>
      <w:lvlJc w:val="left"/>
      <w:pPr>
        <w:tabs>
          <w:tab w:val="num" w:pos="1440"/>
        </w:tabs>
        <w:ind w:left="1440" w:hanging="360"/>
      </w:pPr>
    </w:lvl>
  </w:abstractNum>
  <w:abstractNum w:abstractNumId="3">
    <w:nsid w:val="FFFFFF7E"/>
    <w:multiLevelType w:val="singleLevel"/>
    <w:tmpl w:val="401A7C90"/>
    <w:lvl w:ilvl="0">
      <w:start w:val="1"/>
      <w:numFmt w:val="decimal"/>
      <w:lvlText w:val="%1."/>
      <w:lvlJc w:val="left"/>
      <w:pPr>
        <w:tabs>
          <w:tab w:val="num" w:pos="1080"/>
        </w:tabs>
        <w:ind w:left="1080" w:hanging="360"/>
      </w:pPr>
    </w:lvl>
  </w:abstractNum>
  <w:abstractNum w:abstractNumId="4">
    <w:nsid w:val="FFFFFF7F"/>
    <w:multiLevelType w:val="singleLevel"/>
    <w:tmpl w:val="B784DBE6"/>
    <w:lvl w:ilvl="0">
      <w:start w:val="1"/>
      <w:numFmt w:val="decimal"/>
      <w:lvlText w:val="%1."/>
      <w:lvlJc w:val="left"/>
      <w:pPr>
        <w:tabs>
          <w:tab w:val="num" w:pos="720"/>
        </w:tabs>
        <w:ind w:left="720" w:hanging="360"/>
      </w:pPr>
    </w:lvl>
  </w:abstractNum>
  <w:abstractNum w:abstractNumId="5">
    <w:nsid w:val="FFFFFF80"/>
    <w:multiLevelType w:val="singleLevel"/>
    <w:tmpl w:val="2A14905E"/>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42DAF2FC"/>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64B25AEE"/>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06483FE4"/>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F2E61112"/>
    <w:lvl w:ilvl="0">
      <w:start w:val="1"/>
      <w:numFmt w:val="decimal"/>
      <w:lvlText w:val="%1."/>
      <w:lvlJc w:val="left"/>
      <w:pPr>
        <w:tabs>
          <w:tab w:val="num" w:pos="360"/>
        </w:tabs>
        <w:ind w:left="360" w:hanging="360"/>
      </w:pPr>
    </w:lvl>
  </w:abstractNum>
  <w:abstractNum w:abstractNumId="10">
    <w:nsid w:val="FFFFFF89"/>
    <w:multiLevelType w:val="singleLevel"/>
    <w:tmpl w:val="C824A358"/>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arham Azimi">
    <w15:presenceInfo w15:providerId="Windows Live" w15:userId="626f5ba91a479a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685"/>
    <w:rsid w:val="00011780"/>
    <w:rsid w:val="00011813"/>
    <w:rsid w:val="000118DF"/>
    <w:rsid w:val="000446FD"/>
    <w:rsid w:val="000510C0"/>
    <w:rsid w:val="00061154"/>
    <w:rsid w:val="000653B1"/>
    <w:rsid w:val="000676D1"/>
    <w:rsid w:val="0007276F"/>
    <w:rsid w:val="00072ECD"/>
    <w:rsid w:val="00073F70"/>
    <w:rsid w:val="000740E8"/>
    <w:rsid w:val="00082CE8"/>
    <w:rsid w:val="00096503"/>
    <w:rsid w:val="000A1A70"/>
    <w:rsid w:val="000A6191"/>
    <w:rsid w:val="000B2937"/>
    <w:rsid w:val="000F448E"/>
    <w:rsid w:val="000F5241"/>
    <w:rsid w:val="001129A1"/>
    <w:rsid w:val="0011730F"/>
    <w:rsid w:val="00126003"/>
    <w:rsid w:val="00136D0A"/>
    <w:rsid w:val="001452FE"/>
    <w:rsid w:val="00145414"/>
    <w:rsid w:val="0017095E"/>
    <w:rsid w:val="001821F9"/>
    <w:rsid w:val="0019213E"/>
    <w:rsid w:val="001B7D31"/>
    <w:rsid w:val="001C40D7"/>
    <w:rsid w:val="001D49B9"/>
    <w:rsid w:val="001D49E8"/>
    <w:rsid w:val="00201E53"/>
    <w:rsid w:val="00224027"/>
    <w:rsid w:val="002241C9"/>
    <w:rsid w:val="002316B4"/>
    <w:rsid w:val="00233095"/>
    <w:rsid w:val="00252A26"/>
    <w:rsid w:val="00255D07"/>
    <w:rsid w:val="002663ED"/>
    <w:rsid w:val="002741F1"/>
    <w:rsid w:val="00290CA9"/>
    <w:rsid w:val="00291E96"/>
    <w:rsid w:val="002A12C4"/>
    <w:rsid w:val="002C023A"/>
    <w:rsid w:val="002C57F5"/>
    <w:rsid w:val="002E038C"/>
    <w:rsid w:val="002E1ACC"/>
    <w:rsid w:val="00301F8D"/>
    <w:rsid w:val="00302CE4"/>
    <w:rsid w:val="00314E75"/>
    <w:rsid w:val="0032533A"/>
    <w:rsid w:val="003327FD"/>
    <w:rsid w:val="00351833"/>
    <w:rsid w:val="00353756"/>
    <w:rsid w:val="00357BB5"/>
    <w:rsid w:val="00383B36"/>
    <w:rsid w:val="00391D20"/>
    <w:rsid w:val="0039268B"/>
    <w:rsid w:val="003A0DB0"/>
    <w:rsid w:val="003D17FC"/>
    <w:rsid w:val="003D3ABF"/>
    <w:rsid w:val="003E3A3B"/>
    <w:rsid w:val="003E65DD"/>
    <w:rsid w:val="003F22E0"/>
    <w:rsid w:val="004047F9"/>
    <w:rsid w:val="00421DA4"/>
    <w:rsid w:val="0045121D"/>
    <w:rsid w:val="00453C3A"/>
    <w:rsid w:val="00453FA9"/>
    <w:rsid w:val="004A35B2"/>
    <w:rsid w:val="004C0685"/>
    <w:rsid w:val="004C2144"/>
    <w:rsid w:val="004E414F"/>
    <w:rsid w:val="004E749C"/>
    <w:rsid w:val="004F4B7B"/>
    <w:rsid w:val="0050318F"/>
    <w:rsid w:val="0050538E"/>
    <w:rsid w:val="00507615"/>
    <w:rsid w:val="00515EAC"/>
    <w:rsid w:val="00521230"/>
    <w:rsid w:val="00524B3E"/>
    <w:rsid w:val="00536C88"/>
    <w:rsid w:val="00536D97"/>
    <w:rsid w:val="00540B17"/>
    <w:rsid w:val="00545470"/>
    <w:rsid w:val="00545902"/>
    <w:rsid w:val="00553246"/>
    <w:rsid w:val="00567DFA"/>
    <w:rsid w:val="005A1081"/>
    <w:rsid w:val="005C5AFE"/>
    <w:rsid w:val="005D4B48"/>
    <w:rsid w:val="005E5E27"/>
    <w:rsid w:val="00604CD3"/>
    <w:rsid w:val="00605FD4"/>
    <w:rsid w:val="006111DF"/>
    <w:rsid w:val="006336B3"/>
    <w:rsid w:val="006375E7"/>
    <w:rsid w:val="00645C0B"/>
    <w:rsid w:val="006465CF"/>
    <w:rsid w:val="006616FB"/>
    <w:rsid w:val="0066390C"/>
    <w:rsid w:val="0066541A"/>
    <w:rsid w:val="00672733"/>
    <w:rsid w:val="0069578F"/>
    <w:rsid w:val="006974BE"/>
    <w:rsid w:val="006B13B2"/>
    <w:rsid w:val="006C175E"/>
    <w:rsid w:val="006C5651"/>
    <w:rsid w:val="006E1A42"/>
    <w:rsid w:val="007011A3"/>
    <w:rsid w:val="00701571"/>
    <w:rsid w:val="00701FF5"/>
    <w:rsid w:val="00723202"/>
    <w:rsid w:val="007457DB"/>
    <w:rsid w:val="0076544B"/>
    <w:rsid w:val="00784B5A"/>
    <w:rsid w:val="007A3338"/>
    <w:rsid w:val="007A7F71"/>
    <w:rsid w:val="007B2980"/>
    <w:rsid w:val="007C1953"/>
    <w:rsid w:val="007C2454"/>
    <w:rsid w:val="007E22B1"/>
    <w:rsid w:val="00813B2E"/>
    <w:rsid w:val="00831B23"/>
    <w:rsid w:val="00844789"/>
    <w:rsid w:val="00856F57"/>
    <w:rsid w:val="008600FA"/>
    <w:rsid w:val="008656EF"/>
    <w:rsid w:val="008667D0"/>
    <w:rsid w:val="008927FD"/>
    <w:rsid w:val="008B21E1"/>
    <w:rsid w:val="008B2831"/>
    <w:rsid w:val="008C5A11"/>
    <w:rsid w:val="008D40B1"/>
    <w:rsid w:val="008D794E"/>
    <w:rsid w:val="008F4864"/>
    <w:rsid w:val="008F6CAE"/>
    <w:rsid w:val="00905CB5"/>
    <w:rsid w:val="0092530F"/>
    <w:rsid w:val="00925F96"/>
    <w:rsid w:val="00934F6F"/>
    <w:rsid w:val="00970D54"/>
    <w:rsid w:val="0097549E"/>
    <w:rsid w:val="00980194"/>
    <w:rsid w:val="009A07A8"/>
    <w:rsid w:val="009A484A"/>
    <w:rsid w:val="009A5A5C"/>
    <w:rsid w:val="009C486E"/>
    <w:rsid w:val="009C7177"/>
    <w:rsid w:val="009D3311"/>
    <w:rsid w:val="009F553A"/>
    <w:rsid w:val="00A05470"/>
    <w:rsid w:val="00A44E55"/>
    <w:rsid w:val="00A52372"/>
    <w:rsid w:val="00A64200"/>
    <w:rsid w:val="00A65802"/>
    <w:rsid w:val="00A67FB4"/>
    <w:rsid w:val="00A94C0D"/>
    <w:rsid w:val="00AA0679"/>
    <w:rsid w:val="00AB06F2"/>
    <w:rsid w:val="00AC12ED"/>
    <w:rsid w:val="00AF550B"/>
    <w:rsid w:val="00B7518E"/>
    <w:rsid w:val="00B81ADE"/>
    <w:rsid w:val="00B83144"/>
    <w:rsid w:val="00B94D88"/>
    <w:rsid w:val="00BA011A"/>
    <w:rsid w:val="00BB12EF"/>
    <w:rsid w:val="00BC21A7"/>
    <w:rsid w:val="00BD1B30"/>
    <w:rsid w:val="00BD5075"/>
    <w:rsid w:val="00BD61F2"/>
    <w:rsid w:val="00BD640A"/>
    <w:rsid w:val="00BE3125"/>
    <w:rsid w:val="00BE3193"/>
    <w:rsid w:val="00BE3587"/>
    <w:rsid w:val="00BF2C0B"/>
    <w:rsid w:val="00BF69BE"/>
    <w:rsid w:val="00C03DDE"/>
    <w:rsid w:val="00C07C39"/>
    <w:rsid w:val="00C1370A"/>
    <w:rsid w:val="00C16FED"/>
    <w:rsid w:val="00C31F04"/>
    <w:rsid w:val="00C35652"/>
    <w:rsid w:val="00C363A2"/>
    <w:rsid w:val="00C3691D"/>
    <w:rsid w:val="00C450E9"/>
    <w:rsid w:val="00C47808"/>
    <w:rsid w:val="00C6114C"/>
    <w:rsid w:val="00C66D96"/>
    <w:rsid w:val="00C7474B"/>
    <w:rsid w:val="00C8486C"/>
    <w:rsid w:val="00CD18F3"/>
    <w:rsid w:val="00CE6F15"/>
    <w:rsid w:val="00CE7E91"/>
    <w:rsid w:val="00CF16FB"/>
    <w:rsid w:val="00CF2C69"/>
    <w:rsid w:val="00CF53BD"/>
    <w:rsid w:val="00D20694"/>
    <w:rsid w:val="00D21420"/>
    <w:rsid w:val="00D309AE"/>
    <w:rsid w:val="00D408E4"/>
    <w:rsid w:val="00D70F56"/>
    <w:rsid w:val="00D74968"/>
    <w:rsid w:val="00D764B3"/>
    <w:rsid w:val="00D82DAC"/>
    <w:rsid w:val="00D8401B"/>
    <w:rsid w:val="00D869A0"/>
    <w:rsid w:val="00DB0B57"/>
    <w:rsid w:val="00DD342A"/>
    <w:rsid w:val="00DE08DC"/>
    <w:rsid w:val="00DF287A"/>
    <w:rsid w:val="00E0523F"/>
    <w:rsid w:val="00E1357C"/>
    <w:rsid w:val="00E201ED"/>
    <w:rsid w:val="00E222A7"/>
    <w:rsid w:val="00E30DA6"/>
    <w:rsid w:val="00E33E51"/>
    <w:rsid w:val="00E37601"/>
    <w:rsid w:val="00E56207"/>
    <w:rsid w:val="00E65500"/>
    <w:rsid w:val="00E75F8F"/>
    <w:rsid w:val="00E821D0"/>
    <w:rsid w:val="00E961AB"/>
    <w:rsid w:val="00EA5B20"/>
    <w:rsid w:val="00EB2BC7"/>
    <w:rsid w:val="00EC1C70"/>
    <w:rsid w:val="00ED2B76"/>
    <w:rsid w:val="00ED4D37"/>
    <w:rsid w:val="00EE1749"/>
    <w:rsid w:val="00EF06C8"/>
    <w:rsid w:val="00EF06F0"/>
    <w:rsid w:val="00EF327E"/>
    <w:rsid w:val="00EF378F"/>
    <w:rsid w:val="00EF3D3E"/>
    <w:rsid w:val="00EF4951"/>
    <w:rsid w:val="00F13219"/>
    <w:rsid w:val="00F157FE"/>
    <w:rsid w:val="00F37028"/>
    <w:rsid w:val="00F44528"/>
    <w:rsid w:val="00F460CC"/>
    <w:rsid w:val="00F811EF"/>
    <w:rsid w:val="00F9487C"/>
    <w:rsid w:val="00FA1E2B"/>
    <w:rsid w:val="00FA5E59"/>
    <w:rsid w:val="00FB3EC2"/>
    <w:rsid w:val="00FC04A7"/>
    <w:rsid w:val="00FD796E"/>
    <w:rsid w:val="00FE4ACD"/>
    <w:rsid w:val="00FE7D4D"/>
    <w:rsid w:val="00FF0E47"/>
    <w:rsid w:val="00FF37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41F9C1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864"/>
  </w:style>
  <w:style w:type="paragraph" w:styleId="Heading1">
    <w:name w:val="heading 1"/>
    <w:basedOn w:val="Normal"/>
    <w:next w:val="Normal"/>
    <w:link w:val="Heading1Char"/>
    <w:uiPriority w:val="9"/>
    <w:qFormat/>
    <w:rsid w:val="00A52372"/>
    <w:pPr>
      <w:keepNext/>
      <w:keepLines/>
      <w:spacing w:line="480" w:lineRule="auto"/>
      <w:outlineLvl w:val="0"/>
    </w:pPr>
    <w:rPr>
      <w:rFonts w:eastAsiaTheme="majorEastAsia" w:cstheme="majorBidi"/>
      <w:b/>
      <w:bCs/>
      <w:color w:val="000000" w:themeColor="text1"/>
      <w:szCs w:val="32"/>
    </w:rPr>
  </w:style>
  <w:style w:type="paragraph" w:styleId="Heading2">
    <w:name w:val="heading 2"/>
    <w:basedOn w:val="Normal"/>
    <w:next w:val="Normal"/>
    <w:link w:val="Heading2Char"/>
    <w:uiPriority w:val="9"/>
    <w:semiHidden/>
    <w:unhideWhenUsed/>
    <w:qFormat/>
    <w:rsid w:val="008F4864"/>
    <w:pPr>
      <w:keepNext/>
      <w:keepLines/>
      <w:spacing w:before="20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semiHidden/>
    <w:unhideWhenUsed/>
    <w:qFormat/>
    <w:rsid w:val="008F4864"/>
    <w:pPr>
      <w:keepNext/>
      <w:keepLines/>
      <w:spacing w:before="200"/>
      <w:outlineLvl w:val="2"/>
    </w:pPr>
    <w:rPr>
      <w:rFonts w:eastAsiaTheme="majorEastAsia" w:cstheme="majorBidi"/>
      <w:b/>
      <w:bCs/>
      <w:i/>
      <w:color w:val="000000" w:themeColor="text1"/>
    </w:rPr>
  </w:style>
  <w:style w:type="paragraph" w:styleId="Heading4">
    <w:name w:val="heading 4"/>
    <w:basedOn w:val="Normal"/>
    <w:next w:val="Normal"/>
    <w:link w:val="Heading4Char"/>
    <w:uiPriority w:val="9"/>
    <w:semiHidden/>
    <w:unhideWhenUsed/>
    <w:qFormat/>
    <w:rsid w:val="008F4864"/>
    <w:pPr>
      <w:keepNext/>
      <w:keepLines/>
      <w:spacing w:before="20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372"/>
    <w:rPr>
      <w:rFonts w:eastAsiaTheme="majorEastAsia" w:cstheme="majorBidi"/>
      <w:b/>
      <w:bCs/>
      <w:color w:val="000000" w:themeColor="text1"/>
      <w:szCs w:val="32"/>
    </w:rPr>
  </w:style>
  <w:style w:type="character" w:customStyle="1" w:styleId="Heading2Char">
    <w:name w:val="Heading 2 Char"/>
    <w:basedOn w:val="DefaultParagraphFont"/>
    <w:link w:val="Heading2"/>
    <w:uiPriority w:val="9"/>
    <w:semiHidden/>
    <w:rsid w:val="008F4864"/>
    <w:rPr>
      <w:rFonts w:eastAsiaTheme="majorEastAsia" w:cstheme="majorBidi"/>
      <w:b/>
      <w:bCs/>
      <w:color w:val="000000" w:themeColor="text1"/>
      <w:szCs w:val="26"/>
    </w:rPr>
  </w:style>
  <w:style w:type="character" w:customStyle="1" w:styleId="Heading3Char">
    <w:name w:val="Heading 3 Char"/>
    <w:basedOn w:val="DefaultParagraphFont"/>
    <w:link w:val="Heading3"/>
    <w:uiPriority w:val="9"/>
    <w:semiHidden/>
    <w:rsid w:val="008F4864"/>
    <w:rPr>
      <w:rFonts w:eastAsiaTheme="majorEastAsia" w:cstheme="majorBidi"/>
      <w:b/>
      <w:bCs/>
      <w:i/>
      <w:color w:val="000000" w:themeColor="text1"/>
    </w:rPr>
  </w:style>
  <w:style w:type="character" w:customStyle="1" w:styleId="Heading4Char">
    <w:name w:val="Heading 4 Char"/>
    <w:basedOn w:val="DefaultParagraphFont"/>
    <w:link w:val="Heading4"/>
    <w:uiPriority w:val="9"/>
    <w:semiHidden/>
    <w:rsid w:val="008F4864"/>
    <w:rPr>
      <w:rFonts w:eastAsiaTheme="majorEastAsia" w:cstheme="majorBidi"/>
      <w:b/>
      <w:bCs/>
      <w:iCs/>
      <w:color w:val="000000" w:themeColor="text1"/>
    </w:rPr>
  </w:style>
  <w:style w:type="paragraph" w:styleId="Caption">
    <w:name w:val="caption"/>
    <w:basedOn w:val="Normal"/>
    <w:next w:val="Normal"/>
    <w:uiPriority w:val="35"/>
    <w:unhideWhenUsed/>
    <w:qFormat/>
    <w:rsid w:val="008F4864"/>
    <w:pPr>
      <w:spacing w:after="200"/>
    </w:pPr>
    <w:rPr>
      <w:b/>
      <w:bCs/>
      <w:color w:val="000000" w:themeColor="text1"/>
      <w:sz w:val="20"/>
      <w:szCs w:val="18"/>
    </w:rPr>
  </w:style>
  <w:style w:type="character" w:styleId="CommentReference">
    <w:name w:val="annotation reference"/>
    <w:uiPriority w:val="99"/>
    <w:semiHidden/>
    <w:unhideWhenUsed/>
    <w:rsid w:val="004C0685"/>
    <w:rPr>
      <w:sz w:val="18"/>
      <w:szCs w:val="18"/>
    </w:rPr>
  </w:style>
  <w:style w:type="paragraph" w:styleId="CommentText">
    <w:name w:val="annotation text"/>
    <w:basedOn w:val="Normal"/>
    <w:link w:val="CommentTextChar"/>
    <w:uiPriority w:val="99"/>
    <w:unhideWhenUsed/>
    <w:rsid w:val="004C0685"/>
    <w:rPr>
      <w:rFonts w:eastAsia="MS Mincho" w:cs="Arial"/>
    </w:rPr>
  </w:style>
  <w:style w:type="character" w:customStyle="1" w:styleId="CommentTextChar">
    <w:name w:val="Comment Text Char"/>
    <w:basedOn w:val="DefaultParagraphFont"/>
    <w:link w:val="CommentText"/>
    <w:uiPriority w:val="99"/>
    <w:rsid w:val="004C0685"/>
    <w:rPr>
      <w:rFonts w:eastAsia="MS Mincho" w:cs="Arial"/>
    </w:rPr>
  </w:style>
  <w:style w:type="character" w:styleId="Hyperlink">
    <w:name w:val="Hyperlink"/>
    <w:basedOn w:val="DefaultParagraphFont"/>
    <w:uiPriority w:val="99"/>
    <w:unhideWhenUsed/>
    <w:rsid w:val="004C0685"/>
    <w:rPr>
      <w:color w:val="0000FF" w:themeColor="hyperlink"/>
      <w:u w:val="single"/>
    </w:rPr>
  </w:style>
  <w:style w:type="paragraph" w:styleId="BalloonText">
    <w:name w:val="Balloon Text"/>
    <w:basedOn w:val="Normal"/>
    <w:link w:val="BalloonTextChar"/>
    <w:uiPriority w:val="99"/>
    <w:semiHidden/>
    <w:unhideWhenUsed/>
    <w:rsid w:val="004C06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0685"/>
    <w:rPr>
      <w:rFonts w:ascii="Lucida Grande" w:hAnsi="Lucida Grande" w:cs="Lucida Grande"/>
      <w:sz w:val="18"/>
      <w:szCs w:val="18"/>
    </w:rPr>
  </w:style>
  <w:style w:type="paragraph" w:styleId="Footer">
    <w:name w:val="footer"/>
    <w:basedOn w:val="Normal"/>
    <w:link w:val="FooterChar"/>
    <w:uiPriority w:val="99"/>
    <w:unhideWhenUsed/>
    <w:rsid w:val="004C0685"/>
    <w:pPr>
      <w:tabs>
        <w:tab w:val="center" w:pos="4320"/>
        <w:tab w:val="right" w:pos="8640"/>
      </w:tabs>
    </w:pPr>
  </w:style>
  <w:style w:type="character" w:customStyle="1" w:styleId="FooterChar">
    <w:name w:val="Footer Char"/>
    <w:basedOn w:val="DefaultParagraphFont"/>
    <w:link w:val="Footer"/>
    <w:uiPriority w:val="99"/>
    <w:rsid w:val="004C0685"/>
  </w:style>
  <w:style w:type="character" w:styleId="PageNumber">
    <w:name w:val="page number"/>
    <w:basedOn w:val="DefaultParagraphFont"/>
    <w:uiPriority w:val="99"/>
    <w:semiHidden/>
    <w:unhideWhenUsed/>
    <w:rsid w:val="004C0685"/>
  </w:style>
  <w:style w:type="paragraph" w:styleId="NoSpacing">
    <w:name w:val="No Spacing"/>
    <w:aliases w:val="Double Spacing"/>
    <w:uiPriority w:val="1"/>
    <w:qFormat/>
    <w:rsid w:val="00545470"/>
    <w:pPr>
      <w:spacing w:line="480" w:lineRule="auto"/>
      <w:ind w:firstLine="720"/>
    </w:pPr>
    <w:rPr>
      <w:rFonts w:eastAsia="MS Mincho" w:cs="Arial"/>
    </w:rPr>
  </w:style>
  <w:style w:type="paragraph" w:styleId="Bibliography">
    <w:name w:val="Bibliography"/>
    <w:basedOn w:val="Normal"/>
    <w:next w:val="Normal"/>
    <w:uiPriority w:val="37"/>
    <w:unhideWhenUsed/>
    <w:rsid w:val="000F448E"/>
    <w:pPr>
      <w:tabs>
        <w:tab w:val="left" w:pos="260"/>
      </w:tabs>
      <w:spacing w:after="240"/>
      <w:ind w:left="264" w:hanging="264"/>
    </w:pPr>
  </w:style>
  <w:style w:type="paragraph" w:styleId="TOC1">
    <w:name w:val="toc 1"/>
    <w:basedOn w:val="Normal"/>
    <w:next w:val="Normal"/>
    <w:autoRedefine/>
    <w:uiPriority w:val="39"/>
    <w:unhideWhenUsed/>
    <w:rsid w:val="0092530F"/>
  </w:style>
  <w:style w:type="paragraph" w:styleId="TOC2">
    <w:name w:val="toc 2"/>
    <w:basedOn w:val="Normal"/>
    <w:next w:val="Normal"/>
    <w:autoRedefine/>
    <w:uiPriority w:val="39"/>
    <w:unhideWhenUsed/>
    <w:rsid w:val="0092530F"/>
    <w:pPr>
      <w:ind w:left="240"/>
    </w:pPr>
  </w:style>
  <w:style w:type="paragraph" w:styleId="TOC3">
    <w:name w:val="toc 3"/>
    <w:basedOn w:val="Normal"/>
    <w:next w:val="Normal"/>
    <w:autoRedefine/>
    <w:uiPriority w:val="39"/>
    <w:unhideWhenUsed/>
    <w:rsid w:val="0092530F"/>
    <w:pPr>
      <w:ind w:left="480"/>
    </w:pPr>
  </w:style>
  <w:style w:type="paragraph" w:styleId="TOC4">
    <w:name w:val="toc 4"/>
    <w:basedOn w:val="Normal"/>
    <w:next w:val="Normal"/>
    <w:autoRedefine/>
    <w:uiPriority w:val="39"/>
    <w:unhideWhenUsed/>
    <w:rsid w:val="0092530F"/>
    <w:pPr>
      <w:ind w:left="720"/>
    </w:pPr>
  </w:style>
  <w:style w:type="paragraph" w:styleId="TOC5">
    <w:name w:val="toc 5"/>
    <w:basedOn w:val="Normal"/>
    <w:next w:val="Normal"/>
    <w:autoRedefine/>
    <w:uiPriority w:val="39"/>
    <w:unhideWhenUsed/>
    <w:rsid w:val="0092530F"/>
    <w:pPr>
      <w:ind w:left="960"/>
    </w:pPr>
  </w:style>
  <w:style w:type="paragraph" w:styleId="TOC6">
    <w:name w:val="toc 6"/>
    <w:basedOn w:val="Normal"/>
    <w:next w:val="Normal"/>
    <w:autoRedefine/>
    <w:uiPriority w:val="39"/>
    <w:unhideWhenUsed/>
    <w:rsid w:val="0092530F"/>
    <w:pPr>
      <w:ind w:left="1200"/>
    </w:pPr>
  </w:style>
  <w:style w:type="paragraph" w:styleId="TOC7">
    <w:name w:val="toc 7"/>
    <w:basedOn w:val="Normal"/>
    <w:next w:val="Normal"/>
    <w:autoRedefine/>
    <w:uiPriority w:val="39"/>
    <w:unhideWhenUsed/>
    <w:rsid w:val="0092530F"/>
    <w:pPr>
      <w:ind w:left="1440"/>
    </w:pPr>
  </w:style>
  <w:style w:type="paragraph" w:styleId="TOC8">
    <w:name w:val="toc 8"/>
    <w:basedOn w:val="Normal"/>
    <w:next w:val="Normal"/>
    <w:autoRedefine/>
    <w:uiPriority w:val="39"/>
    <w:unhideWhenUsed/>
    <w:rsid w:val="0092530F"/>
    <w:pPr>
      <w:ind w:left="1680"/>
    </w:pPr>
  </w:style>
  <w:style w:type="paragraph" w:styleId="TOC9">
    <w:name w:val="toc 9"/>
    <w:basedOn w:val="Normal"/>
    <w:next w:val="Normal"/>
    <w:autoRedefine/>
    <w:uiPriority w:val="39"/>
    <w:unhideWhenUsed/>
    <w:rsid w:val="0092530F"/>
    <w:pPr>
      <w:ind w:left="1920"/>
    </w:pPr>
  </w:style>
  <w:style w:type="character" w:styleId="PlaceholderText">
    <w:name w:val="Placeholder Text"/>
    <w:uiPriority w:val="99"/>
    <w:semiHidden/>
    <w:rsid w:val="002E038C"/>
    <w:rPr>
      <w:color w:val="808080"/>
    </w:rPr>
  </w:style>
  <w:style w:type="table" w:styleId="TableGrid">
    <w:name w:val="Table Grid"/>
    <w:basedOn w:val="TableNormal"/>
    <w:uiPriority w:val="59"/>
    <w:rsid w:val="006111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D8401B"/>
    <w:rPr>
      <w:rFonts w:eastAsiaTheme="minorEastAsia" w:cstheme="minorBidi"/>
      <w:b/>
      <w:bCs/>
      <w:sz w:val="20"/>
      <w:szCs w:val="20"/>
    </w:rPr>
  </w:style>
  <w:style w:type="character" w:customStyle="1" w:styleId="CommentSubjectChar">
    <w:name w:val="Comment Subject Char"/>
    <w:basedOn w:val="CommentTextChar"/>
    <w:link w:val="CommentSubject"/>
    <w:uiPriority w:val="99"/>
    <w:semiHidden/>
    <w:rsid w:val="00D8401B"/>
    <w:rPr>
      <w:rFonts w:eastAsia="MS Mincho" w:cs="Arial"/>
      <w:b/>
      <w:bCs/>
      <w:sz w:val="20"/>
      <w:szCs w:val="20"/>
    </w:rPr>
  </w:style>
  <w:style w:type="character" w:styleId="LineNumber">
    <w:name w:val="line number"/>
    <w:basedOn w:val="DefaultParagraphFont"/>
    <w:uiPriority w:val="99"/>
    <w:semiHidden/>
    <w:unhideWhenUsed/>
    <w:rsid w:val="00421DA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864"/>
  </w:style>
  <w:style w:type="paragraph" w:styleId="Heading1">
    <w:name w:val="heading 1"/>
    <w:basedOn w:val="Normal"/>
    <w:next w:val="Normal"/>
    <w:link w:val="Heading1Char"/>
    <w:uiPriority w:val="9"/>
    <w:qFormat/>
    <w:rsid w:val="00A52372"/>
    <w:pPr>
      <w:keepNext/>
      <w:keepLines/>
      <w:spacing w:line="480" w:lineRule="auto"/>
      <w:outlineLvl w:val="0"/>
    </w:pPr>
    <w:rPr>
      <w:rFonts w:eastAsiaTheme="majorEastAsia" w:cstheme="majorBidi"/>
      <w:b/>
      <w:bCs/>
      <w:color w:val="000000" w:themeColor="text1"/>
      <w:szCs w:val="32"/>
    </w:rPr>
  </w:style>
  <w:style w:type="paragraph" w:styleId="Heading2">
    <w:name w:val="heading 2"/>
    <w:basedOn w:val="Normal"/>
    <w:next w:val="Normal"/>
    <w:link w:val="Heading2Char"/>
    <w:uiPriority w:val="9"/>
    <w:semiHidden/>
    <w:unhideWhenUsed/>
    <w:qFormat/>
    <w:rsid w:val="008F4864"/>
    <w:pPr>
      <w:keepNext/>
      <w:keepLines/>
      <w:spacing w:before="20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semiHidden/>
    <w:unhideWhenUsed/>
    <w:qFormat/>
    <w:rsid w:val="008F4864"/>
    <w:pPr>
      <w:keepNext/>
      <w:keepLines/>
      <w:spacing w:before="200"/>
      <w:outlineLvl w:val="2"/>
    </w:pPr>
    <w:rPr>
      <w:rFonts w:eastAsiaTheme="majorEastAsia" w:cstheme="majorBidi"/>
      <w:b/>
      <w:bCs/>
      <w:i/>
      <w:color w:val="000000" w:themeColor="text1"/>
    </w:rPr>
  </w:style>
  <w:style w:type="paragraph" w:styleId="Heading4">
    <w:name w:val="heading 4"/>
    <w:basedOn w:val="Normal"/>
    <w:next w:val="Normal"/>
    <w:link w:val="Heading4Char"/>
    <w:uiPriority w:val="9"/>
    <w:semiHidden/>
    <w:unhideWhenUsed/>
    <w:qFormat/>
    <w:rsid w:val="008F4864"/>
    <w:pPr>
      <w:keepNext/>
      <w:keepLines/>
      <w:spacing w:before="20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372"/>
    <w:rPr>
      <w:rFonts w:eastAsiaTheme="majorEastAsia" w:cstheme="majorBidi"/>
      <w:b/>
      <w:bCs/>
      <w:color w:val="000000" w:themeColor="text1"/>
      <w:szCs w:val="32"/>
    </w:rPr>
  </w:style>
  <w:style w:type="character" w:customStyle="1" w:styleId="Heading2Char">
    <w:name w:val="Heading 2 Char"/>
    <w:basedOn w:val="DefaultParagraphFont"/>
    <w:link w:val="Heading2"/>
    <w:uiPriority w:val="9"/>
    <w:semiHidden/>
    <w:rsid w:val="008F4864"/>
    <w:rPr>
      <w:rFonts w:eastAsiaTheme="majorEastAsia" w:cstheme="majorBidi"/>
      <w:b/>
      <w:bCs/>
      <w:color w:val="000000" w:themeColor="text1"/>
      <w:szCs w:val="26"/>
    </w:rPr>
  </w:style>
  <w:style w:type="character" w:customStyle="1" w:styleId="Heading3Char">
    <w:name w:val="Heading 3 Char"/>
    <w:basedOn w:val="DefaultParagraphFont"/>
    <w:link w:val="Heading3"/>
    <w:uiPriority w:val="9"/>
    <w:semiHidden/>
    <w:rsid w:val="008F4864"/>
    <w:rPr>
      <w:rFonts w:eastAsiaTheme="majorEastAsia" w:cstheme="majorBidi"/>
      <w:b/>
      <w:bCs/>
      <w:i/>
      <w:color w:val="000000" w:themeColor="text1"/>
    </w:rPr>
  </w:style>
  <w:style w:type="character" w:customStyle="1" w:styleId="Heading4Char">
    <w:name w:val="Heading 4 Char"/>
    <w:basedOn w:val="DefaultParagraphFont"/>
    <w:link w:val="Heading4"/>
    <w:uiPriority w:val="9"/>
    <w:semiHidden/>
    <w:rsid w:val="008F4864"/>
    <w:rPr>
      <w:rFonts w:eastAsiaTheme="majorEastAsia" w:cstheme="majorBidi"/>
      <w:b/>
      <w:bCs/>
      <w:iCs/>
      <w:color w:val="000000" w:themeColor="text1"/>
    </w:rPr>
  </w:style>
  <w:style w:type="paragraph" w:styleId="Caption">
    <w:name w:val="caption"/>
    <w:basedOn w:val="Normal"/>
    <w:next w:val="Normal"/>
    <w:uiPriority w:val="35"/>
    <w:unhideWhenUsed/>
    <w:qFormat/>
    <w:rsid w:val="008F4864"/>
    <w:pPr>
      <w:spacing w:after="200"/>
    </w:pPr>
    <w:rPr>
      <w:b/>
      <w:bCs/>
      <w:color w:val="000000" w:themeColor="text1"/>
      <w:sz w:val="20"/>
      <w:szCs w:val="18"/>
    </w:rPr>
  </w:style>
  <w:style w:type="character" w:styleId="CommentReference">
    <w:name w:val="annotation reference"/>
    <w:uiPriority w:val="99"/>
    <w:semiHidden/>
    <w:unhideWhenUsed/>
    <w:rsid w:val="004C0685"/>
    <w:rPr>
      <w:sz w:val="18"/>
      <w:szCs w:val="18"/>
    </w:rPr>
  </w:style>
  <w:style w:type="paragraph" w:styleId="CommentText">
    <w:name w:val="annotation text"/>
    <w:basedOn w:val="Normal"/>
    <w:link w:val="CommentTextChar"/>
    <w:uiPriority w:val="99"/>
    <w:unhideWhenUsed/>
    <w:rsid w:val="004C0685"/>
    <w:rPr>
      <w:rFonts w:eastAsia="MS Mincho" w:cs="Arial"/>
    </w:rPr>
  </w:style>
  <w:style w:type="character" w:customStyle="1" w:styleId="CommentTextChar">
    <w:name w:val="Comment Text Char"/>
    <w:basedOn w:val="DefaultParagraphFont"/>
    <w:link w:val="CommentText"/>
    <w:uiPriority w:val="99"/>
    <w:rsid w:val="004C0685"/>
    <w:rPr>
      <w:rFonts w:eastAsia="MS Mincho" w:cs="Arial"/>
    </w:rPr>
  </w:style>
  <w:style w:type="character" w:styleId="Hyperlink">
    <w:name w:val="Hyperlink"/>
    <w:basedOn w:val="DefaultParagraphFont"/>
    <w:uiPriority w:val="99"/>
    <w:unhideWhenUsed/>
    <w:rsid w:val="004C0685"/>
    <w:rPr>
      <w:color w:val="0000FF" w:themeColor="hyperlink"/>
      <w:u w:val="single"/>
    </w:rPr>
  </w:style>
  <w:style w:type="paragraph" w:styleId="BalloonText">
    <w:name w:val="Balloon Text"/>
    <w:basedOn w:val="Normal"/>
    <w:link w:val="BalloonTextChar"/>
    <w:uiPriority w:val="99"/>
    <w:semiHidden/>
    <w:unhideWhenUsed/>
    <w:rsid w:val="004C06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0685"/>
    <w:rPr>
      <w:rFonts w:ascii="Lucida Grande" w:hAnsi="Lucida Grande" w:cs="Lucida Grande"/>
      <w:sz w:val="18"/>
      <w:szCs w:val="18"/>
    </w:rPr>
  </w:style>
  <w:style w:type="paragraph" w:styleId="Footer">
    <w:name w:val="footer"/>
    <w:basedOn w:val="Normal"/>
    <w:link w:val="FooterChar"/>
    <w:uiPriority w:val="99"/>
    <w:unhideWhenUsed/>
    <w:rsid w:val="004C0685"/>
    <w:pPr>
      <w:tabs>
        <w:tab w:val="center" w:pos="4320"/>
        <w:tab w:val="right" w:pos="8640"/>
      </w:tabs>
    </w:pPr>
  </w:style>
  <w:style w:type="character" w:customStyle="1" w:styleId="FooterChar">
    <w:name w:val="Footer Char"/>
    <w:basedOn w:val="DefaultParagraphFont"/>
    <w:link w:val="Footer"/>
    <w:uiPriority w:val="99"/>
    <w:rsid w:val="004C0685"/>
  </w:style>
  <w:style w:type="character" w:styleId="PageNumber">
    <w:name w:val="page number"/>
    <w:basedOn w:val="DefaultParagraphFont"/>
    <w:uiPriority w:val="99"/>
    <w:semiHidden/>
    <w:unhideWhenUsed/>
    <w:rsid w:val="004C0685"/>
  </w:style>
  <w:style w:type="paragraph" w:styleId="NoSpacing">
    <w:name w:val="No Spacing"/>
    <w:aliases w:val="Double Spacing"/>
    <w:uiPriority w:val="1"/>
    <w:qFormat/>
    <w:rsid w:val="00545470"/>
    <w:pPr>
      <w:spacing w:line="480" w:lineRule="auto"/>
      <w:ind w:firstLine="720"/>
    </w:pPr>
    <w:rPr>
      <w:rFonts w:eastAsia="MS Mincho" w:cs="Arial"/>
    </w:rPr>
  </w:style>
  <w:style w:type="paragraph" w:styleId="Bibliography">
    <w:name w:val="Bibliography"/>
    <w:basedOn w:val="Normal"/>
    <w:next w:val="Normal"/>
    <w:uiPriority w:val="37"/>
    <w:unhideWhenUsed/>
    <w:rsid w:val="000F448E"/>
    <w:pPr>
      <w:tabs>
        <w:tab w:val="left" w:pos="260"/>
      </w:tabs>
      <w:spacing w:after="240"/>
      <w:ind w:left="264" w:hanging="264"/>
    </w:pPr>
  </w:style>
  <w:style w:type="paragraph" w:styleId="TOC1">
    <w:name w:val="toc 1"/>
    <w:basedOn w:val="Normal"/>
    <w:next w:val="Normal"/>
    <w:autoRedefine/>
    <w:uiPriority w:val="39"/>
    <w:unhideWhenUsed/>
    <w:rsid w:val="0092530F"/>
  </w:style>
  <w:style w:type="paragraph" w:styleId="TOC2">
    <w:name w:val="toc 2"/>
    <w:basedOn w:val="Normal"/>
    <w:next w:val="Normal"/>
    <w:autoRedefine/>
    <w:uiPriority w:val="39"/>
    <w:unhideWhenUsed/>
    <w:rsid w:val="0092530F"/>
    <w:pPr>
      <w:ind w:left="240"/>
    </w:pPr>
  </w:style>
  <w:style w:type="paragraph" w:styleId="TOC3">
    <w:name w:val="toc 3"/>
    <w:basedOn w:val="Normal"/>
    <w:next w:val="Normal"/>
    <w:autoRedefine/>
    <w:uiPriority w:val="39"/>
    <w:unhideWhenUsed/>
    <w:rsid w:val="0092530F"/>
    <w:pPr>
      <w:ind w:left="480"/>
    </w:pPr>
  </w:style>
  <w:style w:type="paragraph" w:styleId="TOC4">
    <w:name w:val="toc 4"/>
    <w:basedOn w:val="Normal"/>
    <w:next w:val="Normal"/>
    <w:autoRedefine/>
    <w:uiPriority w:val="39"/>
    <w:unhideWhenUsed/>
    <w:rsid w:val="0092530F"/>
    <w:pPr>
      <w:ind w:left="720"/>
    </w:pPr>
  </w:style>
  <w:style w:type="paragraph" w:styleId="TOC5">
    <w:name w:val="toc 5"/>
    <w:basedOn w:val="Normal"/>
    <w:next w:val="Normal"/>
    <w:autoRedefine/>
    <w:uiPriority w:val="39"/>
    <w:unhideWhenUsed/>
    <w:rsid w:val="0092530F"/>
    <w:pPr>
      <w:ind w:left="960"/>
    </w:pPr>
  </w:style>
  <w:style w:type="paragraph" w:styleId="TOC6">
    <w:name w:val="toc 6"/>
    <w:basedOn w:val="Normal"/>
    <w:next w:val="Normal"/>
    <w:autoRedefine/>
    <w:uiPriority w:val="39"/>
    <w:unhideWhenUsed/>
    <w:rsid w:val="0092530F"/>
    <w:pPr>
      <w:ind w:left="1200"/>
    </w:pPr>
  </w:style>
  <w:style w:type="paragraph" w:styleId="TOC7">
    <w:name w:val="toc 7"/>
    <w:basedOn w:val="Normal"/>
    <w:next w:val="Normal"/>
    <w:autoRedefine/>
    <w:uiPriority w:val="39"/>
    <w:unhideWhenUsed/>
    <w:rsid w:val="0092530F"/>
    <w:pPr>
      <w:ind w:left="1440"/>
    </w:pPr>
  </w:style>
  <w:style w:type="paragraph" w:styleId="TOC8">
    <w:name w:val="toc 8"/>
    <w:basedOn w:val="Normal"/>
    <w:next w:val="Normal"/>
    <w:autoRedefine/>
    <w:uiPriority w:val="39"/>
    <w:unhideWhenUsed/>
    <w:rsid w:val="0092530F"/>
    <w:pPr>
      <w:ind w:left="1680"/>
    </w:pPr>
  </w:style>
  <w:style w:type="paragraph" w:styleId="TOC9">
    <w:name w:val="toc 9"/>
    <w:basedOn w:val="Normal"/>
    <w:next w:val="Normal"/>
    <w:autoRedefine/>
    <w:uiPriority w:val="39"/>
    <w:unhideWhenUsed/>
    <w:rsid w:val="0092530F"/>
    <w:pPr>
      <w:ind w:left="1920"/>
    </w:pPr>
  </w:style>
  <w:style w:type="character" w:styleId="PlaceholderText">
    <w:name w:val="Placeholder Text"/>
    <w:uiPriority w:val="99"/>
    <w:semiHidden/>
    <w:rsid w:val="002E038C"/>
    <w:rPr>
      <w:color w:val="808080"/>
    </w:rPr>
  </w:style>
  <w:style w:type="table" w:styleId="TableGrid">
    <w:name w:val="Table Grid"/>
    <w:basedOn w:val="TableNormal"/>
    <w:uiPriority w:val="59"/>
    <w:rsid w:val="006111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D8401B"/>
    <w:rPr>
      <w:rFonts w:eastAsiaTheme="minorEastAsia" w:cstheme="minorBidi"/>
      <w:b/>
      <w:bCs/>
      <w:sz w:val="20"/>
      <w:szCs w:val="20"/>
    </w:rPr>
  </w:style>
  <w:style w:type="character" w:customStyle="1" w:styleId="CommentSubjectChar">
    <w:name w:val="Comment Subject Char"/>
    <w:basedOn w:val="CommentTextChar"/>
    <w:link w:val="CommentSubject"/>
    <w:uiPriority w:val="99"/>
    <w:semiHidden/>
    <w:rsid w:val="00D8401B"/>
    <w:rPr>
      <w:rFonts w:eastAsia="MS Mincho" w:cs="Arial"/>
      <w:b/>
      <w:bCs/>
      <w:sz w:val="20"/>
      <w:szCs w:val="20"/>
    </w:rPr>
  </w:style>
  <w:style w:type="character" w:styleId="LineNumber">
    <w:name w:val="line number"/>
    <w:basedOn w:val="DefaultParagraphFont"/>
    <w:uiPriority w:val="99"/>
    <w:semiHidden/>
    <w:unhideWhenUsed/>
    <w:rsid w:val="00421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1384">
      <w:bodyDiv w:val="1"/>
      <w:marLeft w:val="0"/>
      <w:marRight w:val="0"/>
      <w:marTop w:val="0"/>
      <w:marBottom w:val="0"/>
      <w:divBdr>
        <w:top w:val="none" w:sz="0" w:space="0" w:color="auto"/>
        <w:left w:val="none" w:sz="0" w:space="0" w:color="auto"/>
        <w:bottom w:val="none" w:sz="0" w:space="0" w:color="auto"/>
        <w:right w:val="none" w:sz="0" w:space="0" w:color="auto"/>
      </w:divBdr>
    </w:div>
    <w:div w:id="26032728">
      <w:bodyDiv w:val="1"/>
      <w:marLeft w:val="0"/>
      <w:marRight w:val="0"/>
      <w:marTop w:val="0"/>
      <w:marBottom w:val="0"/>
      <w:divBdr>
        <w:top w:val="none" w:sz="0" w:space="0" w:color="auto"/>
        <w:left w:val="none" w:sz="0" w:space="0" w:color="auto"/>
        <w:bottom w:val="none" w:sz="0" w:space="0" w:color="auto"/>
        <w:right w:val="none" w:sz="0" w:space="0" w:color="auto"/>
      </w:divBdr>
    </w:div>
    <w:div w:id="124659105">
      <w:bodyDiv w:val="1"/>
      <w:marLeft w:val="0"/>
      <w:marRight w:val="0"/>
      <w:marTop w:val="0"/>
      <w:marBottom w:val="0"/>
      <w:divBdr>
        <w:top w:val="none" w:sz="0" w:space="0" w:color="auto"/>
        <w:left w:val="none" w:sz="0" w:space="0" w:color="auto"/>
        <w:bottom w:val="none" w:sz="0" w:space="0" w:color="auto"/>
        <w:right w:val="none" w:sz="0" w:space="0" w:color="auto"/>
      </w:divBdr>
    </w:div>
    <w:div w:id="244386430">
      <w:bodyDiv w:val="1"/>
      <w:marLeft w:val="0"/>
      <w:marRight w:val="0"/>
      <w:marTop w:val="0"/>
      <w:marBottom w:val="0"/>
      <w:divBdr>
        <w:top w:val="none" w:sz="0" w:space="0" w:color="auto"/>
        <w:left w:val="none" w:sz="0" w:space="0" w:color="auto"/>
        <w:bottom w:val="none" w:sz="0" w:space="0" w:color="auto"/>
        <w:right w:val="none" w:sz="0" w:space="0" w:color="auto"/>
      </w:divBdr>
    </w:div>
    <w:div w:id="380717872">
      <w:bodyDiv w:val="1"/>
      <w:marLeft w:val="0"/>
      <w:marRight w:val="0"/>
      <w:marTop w:val="0"/>
      <w:marBottom w:val="0"/>
      <w:divBdr>
        <w:top w:val="none" w:sz="0" w:space="0" w:color="auto"/>
        <w:left w:val="none" w:sz="0" w:space="0" w:color="auto"/>
        <w:bottom w:val="none" w:sz="0" w:space="0" w:color="auto"/>
        <w:right w:val="none" w:sz="0" w:space="0" w:color="auto"/>
      </w:divBdr>
    </w:div>
    <w:div w:id="404035016">
      <w:bodyDiv w:val="1"/>
      <w:marLeft w:val="0"/>
      <w:marRight w:val="0"/>
      <w:marTop w:val="0"/>
      <w:marBottom w:val="0"/>
      <w:divBdr>
        <w:top w:val="none" w:sz="0" w:space="0" w:color="auto"/>
        <w:left w:val="none" w:sz="0" w:space="0" w:color="auto"/>
        <w:bottom w:val="none" w:sz="0" w:space="0" w:color="auto"/>
        <w:right w:val="none" w:sz="0" w:space="0" w:color="auto"/>
      </w:divBdr>
    </w:div>
    <w:div w:id="480343508">
      <w:bodyDiv w:val="1"/>
      <w:marLeft w:val="0"/>
      <w:marRight w:val="0"/>
      <w:marTop w:val="0"/>
      <w:marBottom w:val="0"/>
      <w:divBdr>
        <w:top w:val="none" w:sz="0" w:space="0" w:color="auto"/>
        <w:left w:val="none" w:sz="0" w:space="0" w:color="auto"/>
        <w:bottom w:val="none" w:sz="0" w:space="0" w:color="auto"/>
        <w:right w:val="none" w:sz="0" w:space="0" w:color="auto"/>
      </w:divBdr>
    </w:div>
    <w:div w:id="519126099">
      <w:bodyDiv w:val="1"/>
      <w:marLeft w:val="0"/>
      <w:marRight w:val="0"/>
      <w:marTop w:val="0"/>
      <w:marBottom w:val="0"/>
      <w:divBdr>
        <w:top w:val="none" w:sz="0" w:space="0" w:color="auto"/>
        <w:left w:val="none" w:sz="0" w:space="0" w:color="auto"/>
        <w:bottom w:val="none" w:sz="0" w:space="0" w:color="auto"/>
        <w:right w:val="none" w:sz="0" w:space="0" w:color="auto"/>
      </w:divBdr>
    </w:div>
    <w:div w:id="554852981">
      <w:bodyDiv w:val="1"/>
      <w:marLeft w:val="0"/>
      <w:marRight w:val="0"/>
      <w:marTop w:val="0"/>
      <w:marBottom w:val="0"/>
      <w:divBdr>
        <w:top w:val="none" w:sz="0" w:space="0" w:color="auto"/>
        <w:left w:val="none" w:sz="0" w:space="0" w:color="auto"/>
        <w:bottom w:val="none" w:sz="0" w:space="0" w:color="auto"/>
        <w:right w:val="none" w:sz="0" w:space="0" w:color="auto"/>
      </w:divBdr>
    </w:div>
    <w:div w:id="656147713">
      <w:bodyDiv w:val="1"/>
      <w:marLeft w:val="0"/>
      <w:marRight w:val="0"/>
      <w:marTop w:val="0"/>
      <w:marBottom w:val="0"/>
      <w:divBdr>
        <w:top w:val="none" w:sz="0" w:space="0" w:color="auto"/>
        <w:left w:val="none" w:sz="0" w:space="0" w:color="auto"/>
        <w:bottom w:val="none" w:sz="0" w:space="0" w:color="auto"/>
        <w:right w:val="none" w:sz="0" w:space="0" w:color="auto"/>
      </w:divBdr>
    </w:div>
    <w:div w:id="685594071">
      <w:bodyDiv w:val="1"/>
      <w:marLeft w:val="0"/>
      <w:marRight w:val="0"/>
      <w:marTop w:val="0"/>
      <w:marBottom w:val="0"/>
      <w:divBdr>
        <w:top w:val="none" w:sz="0" w:space="0" w:color="auto"/>
        <w:left w:val="none" w:sz="0" w:space="0" w:color="auto"/>
        <w:bottom w:val="none" w:sz="0" w:space="0" w:color="auto"/>
        <w:right w:val="none" w:sz="0" w:space="0" w:color="auto"/>
      </w:divBdr>
    </w:div>
    <w:div w:id="778335524">
      <w:bodyDiv w:val="1"/>
      <w:marLeft w:val="0"/>
      <w:marRight w:val="0"/>
      <w:marTop w:val="0"/>
      <w:marBottom w:val="0"/>
      <w:divBdr>
        <w:top w:val="none" w:sz="0" w:space="0" w:color="auto"/>
        <w:left w:val="none" w:sz="0" w:space="0" w:color="auto"/>
        <w:bottom w:val="none" w:sz="0" w:space="0" w:color="auto"/>
        <w:right w:val="none" w:sz="0" w:space="0" w:color="auto"/>
      </w:divBdr>
    </w:div>
    <w:div w:id="788351697">
      <w:bodyDiv w:val="1"/>
      <w:marLeft w:val="0"/>
      <w:marRight w:val="0"/>
      <w:marTop w:val="0"/>
      <w:marBottom w:val="0"/>
      <w:divBdr>
        <w:top w:val="none" w:sz="0" w:space="0" w:color="auto"/>
        <w:left w:val="none" w:sz="0" w:space="0" w:color="auto"/>
        <w:bottom w:val="none" w:sz="0" w:space="0" w:color="auto"/>
        <w:right w:val="none" w:sz="0" w:space="0" w:color="auto"/>
      </w:divBdr>
    </w:div>
    <w:div w:id="799105038">
      <w:bodyDiv w:val="1"/>
      <w:marLeft w:val="0"/>
      <w:marRight w:val="0"/>
      <w:marTop w:val="0"/>
      <w:marBottom w:val="0"/>
      <w:divBdr>
        <w:top w:val="none" w:sz="0" w:space="0" w:color="auto"/>
        <w:left w:val="none" w:sz="0" w:space="0" w:color="auto"/>
        <w:bottom w:val="none" w:sz="0" w:space="0" w:color="auto"/>
        <w:right w:val="none" w:sz="0" w:space="0" w:color="auto"/>
      </w:divBdr>
    </w:div>
    <w:div w:id="807547736">
      <w:bodyDiv w:val="1"/>
      <w:marLeft w:val="0"/>
      <w:marRight w:val="0"/>
      <w:marTop w:val="0"/>
      <w:marBottom w:val="0"/>
      <w:divBdr>
        <w:top w:val="none" w:sz="0" w:space="0" w:color="auto"/>
        <w:left w:val="none" w:sz="0" w:space="0" w:color="auto"/>
        <w:bottom w:val="none" w:sz="0" w:space="0" w:color="auto"/>
        <w:right w:val="none" w:sz="0" w:space="0" w:color="auto"/>
      </w:divBdr>
    </w:div>
    <w:div w:id="823618484">
      <w:bodyDiv w:val="1"/>
      <w:marLeft w:val="0"/>
      <w:marRight w:val="0"/>
      <w:marTop w:val="0"/>
      <w:marBottom w:val="0"/>
      <w:divBdr>
        <w:top w:val="none" w:sz="0" w:space="0" w:color="auto"/>
        <w:left w:val="none" w:sz="0" w:space="0" w:color="auto"/>
        <w:bottom w:val="none" w:sz="0" w:space="0" w:color="auto"/>
        <w:right w:val="none" w:sz="0" w:space="0" w:color="auto"/>
      </w:divBdr>
    </w:div>
    <w:div w:id="891235011">
      <w:bodyDiv w:val="1"/>
      <w:marLeft w:val="0"/>
      <w:marRight w:val="0"/>
      <w:marTop w:val="0"/>
      <w:marBottom w:val="0"/>
      <w:divBdr>
        <w:top w:val="none" w:sz="0" w:space="0" w:color="auto"/>
        <w:left w:val="none" w:sz="0" w:space="0" w:color="auto"/>
        <w:bottom w:val="none" w:sz="0" w:space="0" w:color="auto"/>
        <w:right w:val="none" w:sz="0" w:space="0" w:color="auto"/>
      </w:divBdr>
    </w:div>
    <w:div w:id="942373216">
      <w:bodyDiv w:val="1"/>
      <w:marLeft w:val="0"/>
      <w:marRight w:val="0"/>
      <w:marTop w:val="0"/>
      <w:marBottom w:val="0"/>
      <w:divBdr>
        <w:top w:val="none" w:sz="0" w:space="0" w:color="auto"/>
        <w:left w:val="none" w:sz="0" w:space="0" w:color="auto"/>
        <w:bottom w:val="none" w:sz="0" w:space="0" w:color="auto"/>
        <w:right w:val="none" w:sz="0" w:space="0" w:color="auto"/>
      </w:divBdr>
    </w:div>
    <w:div w:id="979068129">
      <w:bodyDiv w:val="1"/>
      <w:marLeft w:val="0"/>
      <w:marRight w:val="0"/>
      <w:marTop w:val="0"/>
      <w:marBottom w:val="0"/>
      <w:divBdr>
        <w:top w:val="none" w:sz="0" w:space="0" w:color="auto"/>
        <w:left w:val="none" w:sz="0" w:space="0" w:color="auto"/>
        <w:bottom w:val="none" w:sz="0" w:space="0" w:color="auto"/>
        <w:right w:val="none" w:sz="0" w:space="0" w:color="auto"/>
      </w:divBdr>
    </w:div>
    <w:div w:id="1008556083">
      <w:bodyDiv w:val="1"/>
      <w:marLeft w:val="0"/>
      <w:marRight w:val="0"/>
      <w:marTop w:val="0"/>
      <w:marBottom w:val="0"/>
      <w:divBdr>
        <w:top w:val="none" w:sz="0" w:space="0" w:color="auto"/>
        <w:left w:val="none" w:sz="0" w:space="0" w:color="auto"/>
        <w:bottom w:val="none" w:sz="0" w:space="0" w:color="auto"/>
        <w:right w:val="none" w:sz="0" w:space="0" w:color="auto"/>
      </w:divBdr>
    </w:div>
    <w:div w:id="1155030565">
      <w:bodyDiv w:val="1"/>
      <w:marLeft w:val="0"/>
      <w:marRight w:val="0"/>
      <w:marTop w:val="0"/>
      <w:marBottom w:val="0"/>
      <w:divBdr>
        <w:top w:val="none" w:sz="0" w:space="0" w:color="auto"/>
        <w:left w:val="none" w:sz="0" w:space="0" w:color="auto"/>
        <w:bottom w:val="none" w:sz="0" w:space="0" w:color="auto"/>
        <w:right w:val="none" w:sz="0" w:space="0" w:color="auto"/>
      </w:divBdr>
    </w:div>
    <w:div w:id="1196578573">
      <w:bodyDiv w:val="1"/>
      <w:marLeft w:val="0"/>
      <w:marRight w:val="0"/>
      <w:marTop w:val="0"/>
      <w:marBottom w:val="0"/>
      <w:divBdr>
        <w:top w:val="none" w:sz="0" w:space="0" w:color="auto"/>
        <w:left w:val="none" w:sz="0" w:space="0" w:color="auto"/>
        <w:bottom w:val="none" w:sz="0" w:space="0" w:color="auto"/>
        <w:right w:val="none" w:sz="0" w:space="0" w:color="auto"/>
      </w:divBdr>
    </w:div>
    <w:div w:id="1275399913">
      <w:bodyDiv w:val="1"/>
      <w:marLeft w:val="0"/>
      <w:marRight w:val="0"/>
      <w:marTop w:val="0"/>
      <w:marBottom w:val="0"/>
      <w:divBdr>
        <w:top w:val="none" w:sz="0" w:space="0" w:color="auto"/>
        <w:left w:val="none" w:sz="0" w:space="0" w:color="auto"/>
        <w:bottom w:val="none" w:sz="0" w:space="0" w:color="auto"/>
        <w:right w:val="none" w:sz="0" w:space="0" w:color="auto"/>
      </w:divBdr>
    </w:div>
    <w:div w:id="1373574849">
      <w:bodyDiv w:val="1"/>
      <w:marLeft w:val="0"/>
      <w:marRight w:val="0"/>
      <w:marTop w:val="0"/>
      <w:marBottom w:val="0"/>
      <w:divBdr>
        <w:top w:val="none" w:sz="0" w:space="0" w:color="auto"/>
        <w:left w:val="none" w:sz="0" w:space="0" w:color="auto"/>
        <w:bottom w:val="none" w:sz="0" w:space="0" w:color="auto"/>
        <w:right w:val="none" w:sz="0" w:space="0" w:color="auto"/>
      </w:divBdr>
    </w:div>
    <w:div w:id="1392732260">
      <w:bodyDiv w:val="1"/>
      <w:marLeft w:val="0"/>
      <w:marRight w:val="0"/>
      <w:marTop w:val="0"/>
      <w:marBottom w:val="0"/>
      <w:divBdr>
        <w:top w:val="none" w:sz="0" w:space="0" w:color="auto"/>
        <w:left w:val="none" w:sz="0" w:space="0" w:color="auto"/>
        <w:bottom w:val="none" w:sz="0" w:space="0" w:color="auto"/>
        <w:right w:val="none" w:sz="0" w:space="0" w:color="auto"/>
      </w:divBdr>
    </w:div>
    <w:div w:id="1447389312">
      <w:bodyDiv w:val="1"/>
      <w:marLeft w:val="0"/>
      <w:marRight w:val="0"/>
      <w:marTop w:val="0"/>
      <w:marBottom w:val="0"/>
      <w:divBdr>
        <w:top w:val="none" w:sz="0" w:space="0" w:color="auto"/>
        <w:left w:val="none" w:sz="0" w:space="0" w:color="auto"/>
        <w:bottom w:val="none" w:sz="0" w:space="0" w:color="auto"/>
        <w:right w:val="none" w:sz="0" w:space="0" w:color="auto"/>
      </w:divBdr>
    </w:div>
    <w:div w:id="1470826621">
      <w:bodyDiv w:val="1"/>
      <w:marLeft w:val="0"/>
      <w:marRight w:val="0"/>
      <w:marTop w:val="0"/>
      <w:marBottom w:val="0"/>
      <w:divBdr>
        <w:top w:val="none" w:sz="0" w:space="0" w:color="auto"/>
        <w:left w:val="none" w:sz="0" w:space="0" w:color="auto"/>
        <w:bottom w:val="none" w:sz="0" w:space="0" w:color="auto"/>
        <w:right w:val="none" w:sz="0" w:space="0" w:color="auto"/>
      </w:divBdr>
    </w:div>
    <w:div w:id="1527452061">
      <w:bodyDiv w:val="1"/>
      <w:marLeft w:val="0"/>
      <w:marRight w:val="0"/>
      <w:marTop w:val="0"/>
      <w:marBottom w:val="0"/>
      <w:divBdr>
        <w:top w:val="none" w:sz="0" w:space="0" w:color="auto"/>
        <w:left w:val="none" w:sz="0" w:space="0" w:color="auto"/>
        <w:bottom w:val="none" w:sz="0" w:space="0" w:color="auto"/>
        <w:right w:val="none" w:sz="0" w:space="0" w:color="auto"/>
      </w:divBdr>
    </w:div>
    <w:div w:id="1613855605">
      <w:bodyDiv w:val="1"/>
      <w:marLeft w:val="0"/>
      <w:marRight w:val="0"/>
      <w:marTop w:val="0"/>
      <w:marBottom w:val="0"/>
      <w:divBdr>
        <w:top w:val="none" w:sz="0" w:space="0" w:color="auto"/>
        <w:left w:val="none" w:sz="0" w:space="0" w:color="auto"/>
        <w:bottom w:val="none" w:sz="0" w:space="0" w:color="auto"/>
        <w:right w:val="none" w:sz="0" w:space="0" w:color="auto"/>
      </w:divBdr>
    </w:div>
    <w:div w:id="1769351713">
      <w:bodyDiv w:val="1"/>
      <w:marLeft w:val="0"/>
      <w:marRight w:val="0"/>
      <w:marTop w:val="0"/>
      <w:marBottom w:val="0"/>
      <w:divBdr>
        <w:top w:val="none" w:sz="0" w:space="0" w:color="auto"/>
        <w:left w:val="none" w:sz="0" w:space="0" w:color="auto"/>
        <w:bottom w:val="none" w:sz="0" w:space="0" w:color="auto"/>
        <w:right w:val="none" w:sz="0" w:space="0" w:color="auto"/>
      </w:divBdr>
    </w:div>
    <w:div w:id="1974824751">
      <w:bodyDiv w:val="1"/>
      <w:marLeft w:val="0"/>
      <w:marRight w:val="0"/>
      <w:marTop w:val="0"/>
      <w:marBottom w:val="0"/>
      <w:divBdr>
        <w:top w:val="none" w:sz="0" w:space="0" w:color="auto"/>
        <w:left w:val="none" w:sz="0" w:space="0" w:color="auto"/>
        <w:bottom w:val="none" w:sz="0" w:space="0" w:color="auto"/>
        <w:right w:val="none" w:sz="0" w:space="0" w:color="auto"/>
      </w:divBdr>
    </w:div>
    <w:div w:id="2096970393">
      <w:bodyDiv w:val="1"/>
      <w:marLeft w:val="0"/>
      <w:marRight w:val="0"/>
      <w:marTop w:val="0"/>
      <w:marBottom w:val="0"/>
      <w:divBdr>
        <w:top w:val="none" w:sz="0" w:space="0" w:color="auto"/>
        <w:left w:val="none" w:sz="0" w:space="0" w:color="auto"/>
        <w:bottom w:val="none" w:sz="0" w:space="0" w:color="auto"/>
        <w:right w:val="none" w:sz="0" w:space="0" w:color="auto"/>
      </w:divBdr>
    </w:div>
    <w:div w:id="2123106416">
      <w:bodyDiv w:val="1"/>
      <w:marLeft w:val="0"/>
      <w:marRight w:val="0"/>
      <w:marTop w:val="0"/>
      <w:marBottom w:val="0"/>
      <w:divBdr>
        <w:top w:val="none" w:sz="0" w:space="0" w:color="auto"/>
        <w:left w:val="none" w:sz="0" w:space="0" w:color="auto"/>
        <w:bottom w:val="none" w:sz="0" w:space="0" w:color="auto"/>
        <w:right w:val="none" w:sz="0" w:space="0" w:color="auto"/>
      </w:divBdr>
    </w:div>
    <w:div w:id="21429942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1/relationships/people" Target="people.xml"/><Relationship Id="rId15" Type="http://schemas.microsoft.com/office/2016/09/relationships/commentsIds" Target="commentsIds.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22315</Words>
  <Characters>127200</Characters>
  <Application>Microsoft Macintosh Word</Application>
  <DocSecurity>0</DocSecurity>
  <Lines>1060</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c:creator>
  <cp:keywords/>
  <dc:description/>
  <cp:lastModifiedBy>B</cp:lastModifiedBy>
  <cp:revision>3</cp:revision>
  <dcterms:created xsi:type="dcterms:W3CDTF">2018-09-25T17:43:00Z</dcterms:created>
  <dcterms:modified xsi:type="dcterms:W3CDTF">2018-09-25T17:43:00Z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zotero-version="5.0.55"&gt;&lt;session id="FcLQwGOa"/&gt;&lt;style id="http://www.zotero.org/styles/journal-of-exposure-science-and-environmental-epidemiology" hasBibliography="1" bibliographyStyleHasBeenSet="1"/&gt;&lt;prefs&gt;&lt;pref name="fieldType" v</vt:lpwstr>
  </property>
  <property fmtid="{D5CDD505-2E9C-101B-9397-08002B2CF9AE}" pid="3" name="ZOTERO_PREF_2">
    <vt:lpwstr>alue="Field"/&gt;&lt;pref name="dontAskDelayCitationUpdates" value="true"/&gt;&lt;/prefs&gt;&lt;/data&gt;</vt:lpwstr>
  </property>
</Properties>
</file>