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BCD" w:rsidRDefault="00987BCD" w:rsidP="00987BCD">
      <w:pPr>
        <w:rPr>
          <w:rFonts w:ascii="Times New Roman" w:hAnsi="Times New Roman" w:cs="Times New Roman"/>
          <w:b/>
          <w:noProof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t>Supplemental Materials</w:t>
      </w:r>
      <w:bookmarkStart w:id="0" w:name="_GoBack"/>
      <w:bookmarkEnd w:id="0"/>
    </w:p>
    <w:p w:rsidR="00987BCD" w:rsidRPr="000A5F02" w:rsidRDefault="00987BCD" w:rsidP="00987BCD">
      <w:pPr>
        <w:rPr>
          <w:rFonts w:ascii="Times New Roman" w:hAnsi="Times New Roman" w:cs="Times New Roman"/>
          <w:b/>
          <w:sz w:val="28"/>
        </w:rPr>
      </w:pPr>
      <w:r w:rsidRPr="000A5F02">
        <w:rPr>
          <w:rFonts w:ascii="Times New Roman" w:hAnsi="Times New Roman" w:cs="Times New Roman"/>
          <w:b/>
          <w:noProof/>
          <w:sz w:val="28"/>
        </w:rPr>
        <w:t>Figure</w:t>
      </w:r>
      <w:r>
        <w:rPr>
          <w:rFonts w:ascii="Times New Roman" w:hAnsi="Times New Roman" w:cs="Times New Roman"/>
          <w:b/>
          <w:noProof/>
          <w:sz w:val="28"/>
        </w:rPr>
        <w:t xml:space="preserve"> Legend</w:t>
      </w:r>
      <w:r w:rsidRPr="000A5F02">
        <w:rPr>
          <w:rFonts w:ascii="Times New Roman" w:hAnsi="Times New Roman" w:cs="Times New Roman"/>
          <w:b/>
          <w:noProof/>
          <w:sz w:val="28"/>
        </w:rPr>
        <w:t>s</w:t>
      </w:r>
    </w:p>
    <w:p w:rsidR="00987BCD" w:rsidRDefault="00987BCD" w:rsidP="00987BCD">
      <w:r w:rsidRPr="00CF1D56">
        <w:rPr>
          <w:b/>
        </w:rPr>
        <w:t xml:space="preserve">Fig. </w:t>
      </w:r>
      <w:proofErr w:type="gramStart"/>
      <w:r w:rsidRPr="00CF1D56">
        <w:rPr>
          <w:b/>
        </w:rPr>
        <w:t>S1</w:t>
      </w:r>
      <w:r>
        <w:t xml:space="preserve">  Study</w:t>
      </w:r>
      <w:proofErr w:type="gramEnd"/>
      <w:r>
        <w:t xml:space="preserve"> design flow chart showing how participants were distributed and assigned for each of the 4 fire scenarios and the timing, collection, and analysis of biological samples.</w:t>
      </w:r>
    </w:p>
    <w:p w:rsidR="00FC70C6" w:rsidRDefault="00FC70C6"/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BCD"/>
    <w:rsid w:val="00987BCD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F814B"/>
  <w15:chartTrackingRefBased/>
  <w15:docId w15:val="{1C1C97A3-4108-4550-A694-A81C45AF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B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Fent, Kenny (CDC/NIOSH/DSHEFS)</dc:creator>
  <cp:keywords/>
  <dc:description/>
  <cp:lastModifiedBy>Fent, Kenny (CDC/NIOSH/DSHEFS)</cp:lastModifiedBy>
  <cp:revision>1</cp:revision>
  <dcterms:created xsi:type="dcterms:W3CDTF">2019-04-11T13:39:00Z</dcterms:created>
  <dcterms:modified xsi:type="dcterms:W3CDTF">2019-04-11T13:40:00Z</dcterms:modified>
</cp:coreProperties>
</file>