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7B7A" w:rsidRDefault="001A5967" w:rsidP="001A5967">
      <w:pPr>
        <w:spacing w:line="480" w:lineRule="auto"/>
        <w:rPr>
          <w:rFonts w:ascii="Times New Roman" w:hAnsi="Times New Roman" w:cs="Times New Roman"/>
          <w:b/>
          <w:bCs/>
          <w:lang w:val="en-US"/>
        </w:rPr>
      </w:pPr>
      <w:r w:rsidRPr="001A5967">
        <w:rPr>
          <w:rFonts w:ascii="Times New Roman" w:hAnsi="Times New Roman" w:cs="Times New Roman"/>
          <w:b/>
          <w:bCs/>
          <w:lang w:val="en-US"/>
        </w:rPr>
        <w:t>Supplementary Methods</w:t>
      </w:r>
    </w:p>
    <w:p w:rsidR="001A5967" w:rsidRDefault="001A5967" w:rsidP="001A5967">
      <w:pPr>
        <w:spacing w:line="480" w:lineRule="auto"/>
        <w:rPr>
          <w:rFonts w:ascii="Times New Roman" w:hAnsi="Times New Roman" w:cs="Times New Roman"/>
          <w:i/>
          <w:iCs/>
          <w:lang w:val="en-US"/>
        </w:rPr>
      </w:pPr>
      <w:r>
        <w:rPr>
          <w:rFonts w:ascii="Times New Roman" w:hAnsi="Times New Roman" w:cs="Times New Roman"/>
          <w:i/>
          <w:iCs/>
          <w:lang w:val="en-US"/>
        </w:rPr>
        <w:t>Genetic quality control (QC) procedures</w:t>
      </w:r>
    </w:p>
    <w:p w:rsidR="00CA5942" w:rsidRDefault="001A5967" w:rsidP="001A5967">
      <w:pPr>
        <w:spacing w:line="480" w:lineRule="auto"/>
        <w:rPr>
          <w:rFonts w:ascii="Times New Roman" w:hAnsi="Times New Roman" w:cs="Times New Roman"/>
          <w:lang w:val="en-US"/>
        </w:rPr>
      </w:pPr>
      <w:r w:rsidRPr="001A5967">
        <w:rPr>
          <w:rFonts w:ascii="Times New Roman" w:hAnsi="Times New Roman" w:cs="Times New Roman"/>
          <w:lang w:val="en-US"/>
        </w:rPr>
        <w:t>QC procedures included the removal of SNPs with allele frequency differences with the reference set of &gt;10%, minor allele frequency (MAF) &lt;.005, deviation from Hardy-Weinberg Equilibrium (HWE) with p &lt; 10−12, and genotyping call rate &lt;.095. Additionally, we removed samples with genotyping call rate &lt;.09, inbreeding coefficient &lt; -.075 / &gt;.075., Affymetrix contrast QC metrix &lt;.40, Mendelian error rate &gt;5 SD from the mean, and identity-by-state status that did not match know relationship status/genotypic assessment were excluded. After phasing and imputation using the MaCH-Admix software41 we performed post-imputation QC as described in Baselmans et al</w:t>
      </w:r>
      <w:r>
        <w:rPr>
          <w:rFonts w:ascii="Times New Roman" w:hAnsi="Times New Roman" w:cs="Times New Roman"/>
          <w:lang w:val="en-US"/>
        </w:rPr>
        <w:t xml:space="preserve"> </w:t>
      </w:r>
      <w:r>
        <w:rPr>
          <w:rFonts w:ascii="Times New Roman" w:hAnsi="Times New Roman" w:cs="Times New Roman"/>
          <w:lang w:val="en-US"/>
        </w:rPr>
        <w:fldChar w:fldCharType="begin" w:fldLock="1"/>
      </w:r>
      <w:r>
        <w:rPr>
          <w:rFonts w:ascii="Times New Roman" w:hAnsi="Times New Roman" w:cs="Times New Roman"/>
          <w:lang w:val="en-US"/>
        </w:rPr>
        <w:instrText>ADDIN CSL_CITATION {"citationItems":[{"id":"ITEM-1","itemData":{"DOI":"10.1007/s10519-019-09951-0","ISSN":"0001-8244","author":[{"dropping-particle":"","family":"Baselmans","given":"B. M. L.","non-dropping-particle":"","parse-names":false,"suffix":""},{"dropping-particle":"","family":"Weijer","given":"M. P.","non-dropping-particle":"van de","parse-names":false,"suffix":""},{"dropping-particle":"","family":"Abdellaoui","given":"A.","non-dropping-particle":"","parse-names":false,"suffix":""},{"dropping-particle":"","family":"Vink","given":"J. M.","non-dropping-particle":"","parse-names":false,"suffix":""},{"dropping-particle":"","family":"Hottenga","given":"J. J.","non-dropping-particle":"","parse-names":false,"suffix":""},{"dropping-particle":"","family":"Willemsen","given":"G.","non-dropping-particle":"","parse-names":false,"suffix":""},{"dropping-particle":"","family":"Nivard","given":"M. G.","non-dropping-particle":"","parse-names":false,"suffix":""},{"dropping-particle":"","family":"Geus","given":"E. J. C.","non-dropping-particle":"de","parse-names":false,"suffix":""},{"dropping-particle":"","family":"Boomsma","given":"D. I.","non-dropping-particle":"","parse-names":false,"suffix":""},{"dropping-particle":"","family":"Bartels","given":"M.","non-dropping-particle":"","parse-names":false,"suffix":""}],"container-title":"Behavior Genetics","id":"ITEM-1","issue":"3","issued":{"date-parts":[["2019","5","27"]]},"page":"286-297","publisher":"Springer US","title":"A Genetic Investigation of the Well-Being Spectrum","type":"article-journal","volume":"49"},"uris":["http://www.mendeley.com/documents/?uuid=74f4c653-1a28-3abe-b3d5-3fbb39b3b163"]}],"mendeley":{"formattedCitation":"(Baselmans et al., 2019)","plainTextFormattedCitation":"(Baselmans et al., 2019)","previouslyFormattedCitation":"(Baselmans et al., 2019)"},"properties":{"noteIndex":0},"schema":"https://github.com/citation-style-language/schema/raw/master/csl-citation.json"}</w:instrText>
      </w:r>
      <w:r>
        <w:rPr>
          <w:rFonts w:ascii="Times New Roman" w:hAnsi="Times New Roman" w:cs="Times New Roman"/>
          <w:lang w:val="en-US"/>
        </w:rPr>
        <w:fldChar w:fldCharType="separate"/>
      </w:r>
      <w:r w:rsidRPr="001A5967">
        <w:rPr>
          <w:rFonts w:ascii="Times New Roman" w:hAnsi="Times New Roman" w:cs="Times New Roman"/>
          <w:noProof/>
          <w:lang w:val="en-US"/>
        </w:rPr>
        <w:t>(Baselmans et al., 2019)</w:t>
      </w:r>
      <w:r>
        <w:rPr>
          <w:rFonts w:ascii="Times New Roman" w:hAnsi="Times New Roman" w:cs="Times New Roman"/>
          <w:lang w:val="en-US"/>
        </w:rPr>
        <w:fldChar w:fldCharType="end"/>
      </w:r>
      <w:r>
        <w:rPr>
          <w:rFonts w:ascii="Times New Roman" w:hAnsi="Times New Roman" w:cs="Times New Roman"/>
          <w:lang w:val="en-US"/>
        </w:rPr>
        <w:t>.</w:t>
      </w:r>
    </w:p>
    <w:p w:rsidR="00CA5942" w:rsidRDefault="00CA5942" w:rsidP="001A5967">
      <w:pPr>
        <w:spacing w:line="480" w:lineRule="auto"/>
        <w:rPr>
          <w:rFonts w:ascii="Times New Roman" w:hAnsi="Times New Roman" w:cs="Times New Roman"/>
          <w:i/>
          <w:iCs/>
          <w:lang w:val="en-US"/>
        </w:rPr>
      </w:pPr>
      <w:r>
        <w:rPr>
          <w:rFonts w:ascii="Times New Roman" w:hAnsi="Times New Roman" w:cs="Times New Roman"/>
          <w:i/>
          <w:iCs/>
          <w:lang w:val="en-US"/>
        </w:rPr>
        <w:t>Educational attainment and socioeconomic status correction</w:t>
      </w:r>
    </w:p>
    <w:p w:rsidR="00CA5942" w:rsidRPr="00D3762F" w:rsidRDefault="00CA5942" w:rsidP="00CA5942">
      <w:pPr>
        <w:spacing w:line="480" w:lineRule="auto"/>
        <w:jc w:val="both"/>
        <w:rPr>
          <w:rFonts w:ascii="Times New Roman" w:hAnsi="Times New Roman" w:cs="Times New Roman"/>
          <w:bCs/>
          <w:iCs/>
          <w:lang w:val="en-GB"/>
        </w:rPr>
      </w:pPr>
      <w:r w:rsidRPr="00D3762F">
        <w:rPr>
          <w:rFonts w:ascii="Times New Roman" w:hAnsi="Times New Roman" w:cs="Times New Roman"/>
          <w:iCs/>
          <w:lang w:val="en-GB"/>
        </w:rPr>
        <w:t>We corrected in two ways: first, to approximate individual SES, we included a variable representing the individual’s educational attainment (EA). EA was scored in seven categories: 1) primary school only, 2) lower vocational schooling, 3) lower secondary schooling, 4) intermediate vocational schooling, 5) intermediate/higher secondary schooling, 6) higher vocational schooling and 7) university. This EA variable was included as a covariate in all 139 associations. In addition to EA, we included the GECCO variable “status score of the neighbo</w:t>
      </w:r>
      <w:r>
        <w:rPr>
          <w:rFonts w:ascii="Times New Roman" w:hAnsi="Times New Roman" w:cs="Times New Roman"/>
          <w:iCs/>
          <w:lang w:val="en-GB"/>
        </w:rPr>
        <w:t>u</w:t>
      </w:r>
      <w:bookmarkStart w:id="0" w:name="_GoBack"/>
      <w:bookmarkEnd w:id="0"/>
      <w:r w:rsidRPr="00D3762F">
        <w:rPr>
          <w:rFonts w:ascii="Times New Roman" w:hAnsi="Times New Roman" w:cs="Times New Roman"/>
          <w:iCs/>
          <w:lang w:val="en-GB"/>
        </w:rPr>
        <w:t>rhood” as a measurement of neighbo</w:t>
      </w:r>
      <w:r>
        <w:rPr>
          <w:rFonts w:ascii="Times New Roman" w:hAnsi="Times New Roman" w:cs="Times New Roman"/>
          <w:iCs/>
          <w:lang w:val="en-GB"/>
        </w:rPr>
        <w:t>u</w:t>
      </w:r>
      <w:r w:rsidRPr="00D3762F">
        <w:rPr>
          <w:rFonts w:ascii="Times New Roman" w:hAnsi="Times New Roman" w:cs="Times New Roman"/>
          <w:iCs/>
          <w:lang w:val="en-GB"/>
        </w:rPr>
        <w:t>rhood SES. These status scores were created based on three variables: 1) the percentage of individuals with a low income, 2) the percentage of individuals with low EA, and 3) the unemployment rate within the postal code. We did not include the SES variable in the association analyses with variables in the domains income and SES scores, as these are used to calculate the SES variable. Therefore, we corrected for neighbo</w:t>
      </w:r>
      <w:r>
        <w:rPr>
          <w:rFonts w:ascii="Times New Roman" w:hAnsi="Times New Roman" w:cs="Times New Roman"/>
          <w:iCs/>
          <w:lang w:val="en-GB"/>
        </w:rPr>
        <w:t>u</w:t>
      </w:r>
      <w:r w:rsidRPr="00D3762F">
        <w:rPr>
          <w:rFonts w:ascii="Times New Roman" w:hAnsi="Times New Roman" w:cs="Times New Roman"/>
          <w:iCs/>
          <w:lang w:val="en-GB"/>
        </w:rPr>
        <w:t xml:space="preserve">rhood SES in 132 associations. </w:t>
      </w:r>
    </w:p>
    <w:p w:rsidR="00CA5942" w:rsidRPr="00CA5942" w:rsidRDefault="00CA5942" w:rsidP="001A5967">
      <w:pPr>
        <w:spacing w:line="480" w:lineRule="auto"/>
        <w:rPr>
          <w:rFonts w:ascii="Times New Roman" w:hAnsi="Times New Roman" w:cs="Times New Roman"/>
          <w:i/>
          <w:iCs/>
          <w:lang w:val="en-US"/>
        </w:rPr>
      </w:pPr>
    </w:p>
    <w:p w:rsidR="001A5967" w:rsidRPr="00CA5942" w:rsidRDefault="001A5967" w:rsidP="001A5967">
      <w:pPr>
        <w:spacing w:line="480" w:lineRule="auto"/>
        <w:rPr>
          <w:rFonts w:ascii="Times New Roman" w:hAnsi="Times New Roman" w:cs="Times New Roman"/>
          <w:b/>
          <w:bCs/>
        </w:rPr>
      </w:pPr>
      <w:r>
        <w:rPr>
          <w:rFonts w:ascii="Times New Roman" w:hAnsi="Times New Roman" w:cs="Times New Roman"/>
          <w:lang w:val="en-US"/>
        </w:rPr>
        <w:br/>
      </w:r>
      <w:r w:rsidRPr="00CA5942">
        <w:rPr>
          <w:rFonts w:ascii="Times New Roman" w:hAnsi="Times New Roman" w:cs="Times New Roman"/>
          <w:b/>
          <w:bCs/>
        </w:rPr>
        <w:t>References</w:t>
      </w:r>
    </w:p>
    <w:p w:rsidR="001A5967" w:rsidRPr="00CA5942" w:rsidRDefault="001A5967" w:rsidP="001A5967">
      <w:pPr>
        <w:widowControl w:val="0"/>
        <w:autoSpaceDE w:val="0"/>
        <w:autoSpaceDN w:val="0"/>
        <w:adjustRightInd w:val="0"/>
        <w:spacing w:line="480" w:lineRule="auto"/>
        <w:ind w:left="480" w:hanging="480"/>
        <w:rPr>
          <w:rFonts w:ascii="Times New Roman" w:hAnsi="Times New Roman" w:cs="Times New Roman"/>
          <w:noProof/>
          <w:lang w:val="en-US"/>
        </w:rPr>
      </w:pPr>
      <w:r>
        <w:rPr>
          <w:rFonts w:ascii="Times New Roman" w:hAnsi="Times New Roman" w:cs="Times New Roman"/>
          <w:lang w:val="en-US"/>
        </w:rPr>
        <w:lastRenderedPageBreak/>
        <w:fldChar w:fldCharType="begin" w:fldLock="1"/>
      </w:r>
      <w:r w:rsidRPr="00CA5942">
        <w:rPr>
          <w:rFonts w:ascii="Times New Roman" w:hAnsi="Times New Roman" w:cs="Times New Roman"/>
        </w:rPr>
        <w:instrText xml:space="preserve">ADDIN Mendeley Bibliography CSL_BIBLIOGRAPHY </w:instrText>
      </w:r>
      <w:r>
        <w:rPr>
          <w:rFonts w:ascii="Times New Roman" w:hAnsi="Times New Roman" w:cs="Times New Roman"/>
          <w:lang w:val="en-US"/>
        </w:rPr>
        <w:fldChar w:fldCharType="separate"/>
      </w:r>
      <w:r w:rsidRPr="001A5967">
        <w:rPr>
          <w:rFonts w:ascii="Times New Roman" w:hAnsi="Times New Roman" w:cs="Times New Roman"/>
          <w:noProof/>
          <w:szCs w:val="24"/>
        </w:rPr>
        <w:t xml:space="preserve">Baselmans, B. M. L., van de Weijer, M. P., Abdellaoui, A., Vink, J. M., Hottenga, J. J., Willemsen, G., Nivard, M. G., de Geus, E. J. C., Boomsma, D. I., &amp; Bartels, M. (2019). </w:t>
      </w:r>
      <w:r w:rsidRPr="00CA5942">
        <w:rPr>
          <w:rFonts w:ascii="Times New Roman" w:hAnsi="Times New Roman" w:cs="Times New Roman"/>
          <w:noProof/>
          <w:szCs w:val="24"/>
          <w:lang w:val="en-US"/>
        </w:rPr>
        <w:t xml:space="preserve">A Genetic Investigation of the Well-Being Spectrum. </w:t>
      </w:r>
      <w:r w:rsidRPr="00CA5942">
        <w:rPr>
          <w:rFonts w:ascii="Times New Roman" w:hAnsi="Times New Roman" w:cs="Times New Roman"/>
          <w:i/>
          <w:iCs/>
          <w:noProof/>
          <w:szCs w:val="24"/>
          <w:lang w:val="en-US"/>
        </w:rPr>
        <w:t>Behavior Genetics</w:t>
      </w:r>
      <w:r w:rsidRPr="00CA5942">
        <w:rPr>
          <w:rFonts w:ascii="Times New Roman" w:hAnsi="Times New Roman" w:cs="Times New Roman"/>
          <w:noProof/>
          <w:szCs w:val="24"/>
          <w:lang w:val="en-US"/>
        </w:rPr>
        <w:t xml:space="preserve">, </w:t>
      </w:r>
      <w:r w:rsidRPr="00CA5942">
        <w:rPr>
          <w:rFonts w:ascii="Times New Roman" w:hAnsi="Times New Roman" w:cs="Times New Roman"/>
          <w:i/>
          <w:iCs/>
          <w:noProof/>
          <w:szCs w:val="24"/>
          <w:lang w:val="en-US"/>
        </w:rPr>
        <w:t>49</w:t>
      </w:r>
      <w:r w:rsidRPr="00CA5942">
        <w:rPr>
          <w:rFonts w:ascii="Times New Roman" w:hAnsi="Times New Roman" w:cs="Times New Roman"/>
          <w:noProof/>
          <w:szCs w:val="24"/>
          <w:lang w:val="en-US"/>
        </w:rPr>
        <w:t>(3), 286–297. https://doi.org/10.1007/s10519-019-09951-0</w:t>
      </w:r>
    </w:p>
    <w:p w:rsidR="001A5967" w:rsidRPr="001A5967" w:rsidRDefault="001A5967" w:rsidP="001A5967">
      <w:pPr>
        <w:spacing w:line="480" w:lineRule="auto"/>
        <w:rPr>
          <w:rFonts w:ascii="Times New Roman" w:hAnsi="Times New Roman" w:cs="Times New Roman"/>
          <w:lang w:val="en-US"/>
        </w:rPr>
      </w:pPr>
      <w:r>
        <w:rPr>
          <w:rFonts w:ascii="Times New Roman" w:hAnsi="Times New Roman" w:cs="Times New Roman"/>
          <w:lang w:val="en-US"/>
        </w:rPr>
        <w:fldChar w:fldCharType="end"/>
      </w:r>
    </w:p>
    <w:sectPr w:rsidR="001A5967" w:rsidRPr="001A59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Mangal">
    <w:altName w:val="Courier New"/>
    <w:panose1 w:val="00000400000000000000"/>
    <w:charset w:val="01"/>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967"/>
    <w:rsid w:val="001A5967"/>
    <w:rsid w:val="00BF7B7A"/>
    <w:rsid w:val="00CA5942"/>
    <w:rsid w:val="00F66BA1"/>
  </w:rsids>
  <m:mathPr>
    <m:mathFont m:val="Cambria Math"/>
    <m:brkBin m:val="before"/>
    <m:brkBinSub m:val="--"/>
    <m:smallFrac m:val="0"/>
    <m:dispDef/>
    <m:lMargin m:val="0"/>
    <m:rMargin m:val="0"/>
    <m:defJc m:val="centerGroup"/>
    <m:wrapIndent m:val="1440"/>
    <m:intLim m:val="subSup"/>
    <m:naryLim m:val="undOvr"/>
  </m:mathPr>
  <w:themeFontLang w:val="nl-NL"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4BE56"/>
  <w15:chartTrackingRefBased/>
  <w15:docId w15:val="{140F0854-E8A5-4761-8115-80C045452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A5942"/>
    <w:rPr>
      <w:sz w:val="16"/>
      <w:szCs w:val="16"/>
    </w:rPr>
  </w:style>
  <w:style w:type="paragraph" w:styleId="CommentText">
    <w:name w:val="annotation text"/>
    <w:basedOn w:val="Normal"/>
    <w:link w:val="CommentTextChar"/>
    <w:uiPriority w:val="99"/>
    <w:unhideWhenUsed/>
    <w:rsid w:val="00CA5942"/>
    <w:pPr>
      <w:spacing w:line="240" w:lineRule="auto"/>
    </w:pPr>
    <w:rPr>
      <w:sz w:val="20"/>
      <w:szCs w:val="20"/>
    </w:rPr>
  </w:style>
  <w:style w:type="character" w:customStyle="1" w:styleId="CommentTextChar">
    <w:name w:val="Comment Text Char"/>
    <w:basedOn w:val="DefaultParagraphFont"/>
    <w:link w:val="CommentText"/>
    <w:uiPriority w:val="99"/>
    <w:rsid w:val="00CA5942"/>
    <w:rPr>
      <w:sz w:val="20"/>
      <w:szCs w:val="20"/>
    </w:rPr>
  </w:style>
  <w:style w:type="paragraph" w:styleId="BalloonText">
    <w:name w:val="Balloon Text"/>
    <w:basedOn w:val="Normal"/>
    <w:link w:val="BalloonTextChar"/>
    <w:uiPriority w:val="99"/>
    <w:semiHidden/>
    <w:unhideWhenUsed/>
    <w:rsid w:val="00CA59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9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2C018B-CA2F-4D38-951E-6CB4E1023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641</Words>
  <Characters>3531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Vrije Universiteit Amsterdam</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Weijer, M.P. van de</dc:creator>
  <cp:keywords/>
  <dc:description/>
  <cp:lastModifiedBy>Weijer, M.P. van de</cp:lastModifiedBy>
  <cp:revision>2</cp:revision>
  <dcterms:created xsi:type="dcterms:W3CDTF">2020-08-18T11:34:00Z</dcterms:created>
  <dcterms:modified xsi:type="dcterms:W3CDTF">2020-08-18T11:34:00Z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http://www.zotero.org/styles/elsevier-with-titles</vt:lpwstr>
  </property>
  <property fmtid="{D5CDD505-2E9C-101B-9397-08002B2CF9AE}" pid="13" name="Mendeley Recent Style Name 5_1">
    <vt:lpwstr>Elsevier (numeric, with titles)</vt:lpwstr>
  </property>
  <property fmtid="{D5CDD505-2E9C-101B-9397-08002B2CF9AE}" pid="14" name="Mendeley Recent Style Id 6_1">
    <vt:lpwstr>http://www.zotero.org/styles/environmental-health-perspectives</vt:lpwstr>
  </property>
  <property fmtid="{D5CDD505-2E9C-101B-9397-08002B2CF9AE}" pid="15" name="Mendeley Recent Style Name 6_1">
    <vt:lpwstr>Environmental Health Perspectives</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http://www.zotero.org/styles/international-journal-of-epidemiology</vt:lpwstr>
  </property>
  <property fmtid="{D5CDD505-2E9C-101B-9397-08002B2CF9AE}" pid="19" name="Mendeley Recent Style Name 8_1">
    <vt:lpwstr>International Journal of Epidemiology</vt:lpwstr>
  </property>
  <property fmtid="{D5CDD505-2E9C-101B-9397-08002B2CF9AE}" pid="20" name="Mendeley Recent Style Id 9_1">
    <vt:lpwstr>http://www.zotero.org/styles/modern-humanities-research-association</vt:lpwstr>
  </property>
  <property fmtid="{D5CDD505-2E9C-101B-9397-08002B2CF9AE}" pid="21" name="Mendeley Recent Style Name 9_1">
    <vt:lpwstr>Modern Humanities Research Association 3rd edition (note with bibliography)</vt:lpwstr>
  </property>
  <property fmtid="{D5CDD505-2E9C-101B-9397-08002B2CF9AE}" pid="22" name="Mendeley Document_1">
    <vt:lpwstr>True</vt:lpwstr>
  </property>
  <property fmtid="{D5CDD505-2E9C-101B-9397-08002B2CF9AE}" pid="23" name="Mendeley Unique User Id_1">
    <vt:lpwstr>4e7a9bc4-4135-3c2b-82f4-044540a79f2e</vt:lpwstr>
  </property>
  <property fmtid="{D5CDD505-2E9C-101B-9397-08002B2CF9AE}" pid="24" name="Mendeley Citation Style_1">
    <vt:lpwstr>http://www.zotero.org/styles/apa</vt:lpwstr>
  </property>
</Properties>
</file>