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7033DE" w14:textId="02FCAAA1" w:rsidR="00EF5E2B" w:rsidRPr="002C2B1F" w:rsidRDefault="00EF5E2B" w:rsidP="002C2B1F">
      <w:pPr>
        <w:spacing w:line="480" w:lineRule="auto"/>
        <w:rPr>
          <w:rFonts w:ascii="Times New Roman" w:hAnsi="Times New Roman" w:cs="Times New Roman"/>
          <w:b/>
        </w:rPr>
      </w:pPr>
      <w:r w:rsidRPr="002C2B1F">
        <w:rPr>
          <w:rFonts w:ascii="Times New Roman" w:hAnsi="Times New Roman" w:cs="Times New Roman"/>
          <w:b/>
        </w:rPr>
        <w:t>Supplemental Figure 1</w:t>
      </w:r>
    </w:p>
    <w:p w14:paraId="1ACB0108" w14:textId="26F5015E" w:rsidR="00550384" w:rsidRPr="002C2B1F" w:rsidRDefault="00EF5E2B" w:rsidP="002C2B1F">
      <w:pPr>
        <w:spacing w:line="480" w:lineRule="auto"/>
        <w:rPr>
          <w:rFonts w:ascii="Times New Roman" w:hAnsi="Times New Roman" w:cs="Times New Roman"/>
        </w:rPr>
      </w:pPr>
      <w:r w:rsidRPr="002C2B1F">
        <w:rPr>
          <w:rFonts w:ascii="Times New Roman" w:hAnsi="Times New Roman" w:cs="Times New Roman"/>
        </w:rPr>
        <w:t xml:space="preserve">We compared the </w:t>
      </w:r>
      <w:r w:rsidR="00CC57FC" w:rsidRPr="002C2B1F">
        <w:rPr>
          <w:rFonts w:ascii="Times New Roman" w:hAnsi="Times New Roman" w:cs="Times New Roman"/>
        </w:rPr>
        <w:t>distribution of infants born in each gestational age group to nationally representative figures provided by the CDC</w:t>
      </w:r>
      <w:r w:rsidR="00550384" w:rsidRPr="002C2B1F">
        <w:rPr>
          <w:rFonts w:ascii="Times New Roman" w:hAnsi="Times New Roman" w:cs="Times New Roman"/>
        </w:rPr>
        <w:t xml:space="preserve"> (</w:t>
      </w:r>
      <w:r w:rsidR="001A3A4F" w:rsidRPr="002C2B1F">
        <w:rPr>
          <w:rFonts w:ascii="Times New Roman" w:hAnsi="Times New Roman" w:cs="Times New Roman"/>
        </w:rPr>
        <w:t xml:space="preserve">Table 23 on Page 58: </w:t>
      </w:r>
      <w:r w:rsidR="00550384" w:rsidRPr="002C2B1F">
        <w:rPr>
          <w:rFonts w:ascii="Times New Roman" w:hAnsi="Times New Roman" w:cs="Times New Roman"/>
        </w:rPr>
        <w:t>https://www.cdc.gov/nchs/data/nvsr/nvsr66/nvsr66_01.pdf)</w:t>
      </w:r>
      <w:r w:rsidR="00CC57FC" w:rsidRPr="002C2B1F">
        <w:rPr>
          <w:rFonts w:ascii="Times New Roman" w:hAnsi="Times New Roman" w:cs="Times New Roman"/>
        </w:rPr>
        <w:t xml:space="preserve">. In particular, the CDC provides the number of infants born at &lt; 28 weeks, 28 – 31 </w:t>
      </w:r>
      <w:r w:rsidR="00550384" w:rsidRPr="002C2B1F">
        <w:rPr>
          <w:rFonts w:ascii="Times New Roman" w:hAnsi="Times New Roman" w:cs="Times New Roman"/>
        </w:rPr>
        <w:t>week</w:t>
      </w:r>
      <w:r w:rsidR="001A3A4F" w:rsidRPr="002C2B1F">
        <w:rPr>
          <w:rFonts w:ascii="Times New Roman" w:hAnsi="Times New Roman" w:cs="Times New Roman"/>
        </w:rPr>
        <w:t>s</w:t>
      </w:r>
      <w:r w:rsidR="00550384" w:rsidRPr="002C2B1F">
        <w:rPr>
          <w:rFonts w:ascii="Times New Roman" w:hAnsi="Times New Roman" w:cs="Times New Roman"/>
        </w:rPr>
        <w:t>, 32-33</w:t>
      </w:r>
      <w:r w:rsidR="001A3A4F" w:rsidRPr="002C2B1F">
        <w:rPr>
          <w:rFonts w:ascii="Times New Roman" w:hAnsi="Times New Roman" w:cs="Times New Roman"/>
        </w:rPr>
        <w:t xml:space="preserve"> weeks</w:t>
      </w:r>
      <w:r w:rsidR="00550384" w:rsidRPr="002C2B1F">
        <w:rPr>
          <w:rFonts w:ascii="Times New Roman" w:hAnsi="Times New Roman" w:cs="Times New Roman"/>
        </w:rPr>
        <w:t>, and 34-36</w:t>
      </w:r>
      <w:r w:rsidR="001A3A4F" w:rsidRPr="002C2B1F">
        <w:rPr>
          <w:rFonts w:ascii="Times New Roman" w:hAnsi="Times New Roman" w:cs="Times New Roman"/>
        </w:rPr>
        <w:t>weeks</w:t>
      </w:r>
      <w:r w:rsidR="00550384" w:rsidRPr="002C2B1F">
        <w:rPr>
          <w:rFonts w:ascii="Times New Roman" w:hAnsi="Times New Roman" w:cs="Times New Roman"/>
        </w:rPr>
        <w:t xml:space="preserve">. Because these groups do not align perfectly with the groups defined by ICD codes, we adopted to following strategy for comparison. </w:t>
      </w:r>
    </w:p>
    <w:p w14:paraId="292D441A" w14:textId="77777777" w:rsidR="00550384" w:rsidRPr="002C2B1F" w:rsidRDefault="00550384" w:rsidP="002C2B1F">
      <w:pPr>
        <w:spacing w:line="480" w:lineRule="auto"/>
        <w:rPr>
          <w:rFonts w:ascii="Times New Roman" w:hAnsi="Times New Roman" w:cs="Times New Roman"/>
        </w:rPr>
      </w:pPr>
    </w:p>
    <w:p w14:paraId="489A55EA" w14:textId="59BA5DD3" w:rsidR="00550384" w:rsidRPr="002C2B1F" w:rsidRDefault="00550384" w:rsidP="002C2B1F">
      <w:pPr>
        <w:spacing w:line="480" w:lineRule="auto"/>
        <w:rPr>
          <w:rFonts w:ascii="Times New Roman" w:hAnsi="Times New Roman" w:cs="Times New Roman"/>
        </w:rPr>
      </w:pPr>
      <w:r w:rsidRPr="002C2B1F">
        <w:rPr>
          <w:rFonts w:ascii="Times New Roman" w:hAnsi="Times New Roman" w:cs="Times New Roman"/>
        </w:rPr>
        <w:t xml:space="preserve">The following figure shows the cumulative fraction of preterm infants born at or below the gestational age displayed on the x-axis in both our data and the numbers provided by the CDC. For example, in our data (red line) just over 10% of preterm infants were born at or below 30 weeks of gestation. Likewise, approximately 16% of infants were born at or below 31 weeks of gestation according to the CDC data. </w:t>
      </w:r>
    </w:p>
    <w:p w14:paraId="0909D844" w14:textId="77777777" w:rsidR="00550384" w:rsidRPr="002C2B1F" w:rsidRDefault="00550384" w:rsidP="002C2B1F">
      <w:pPr>
        <w:spacing w:line="480" w:lineRule="auto"/>
        <w:rPr>
          <w:rFonts w:ascii="Times New Roman" w:hAnsi="Times New Roman" w:cs="Times New Roman"/>
        </w:rPr>
      </w:pPr>
    </w:p>
    <w:p w14:paraId="5DAE5F89" w14:textId="565D1386" w:rsidR="00550384" w:rsidRPr="002C2B1F" w:rsidRDefault="00550384" w:rsidP="002C2B1F">
      <w:pPr>
        <w:spacing w:line="480" w:lineRule="auto"/>
        <w:rPr>
          <w:rFonts w:ascii="Times New Roman" w:hAnsi="Times New Roman" w:cs="Times New Roman"/>
        </w:rPr>
      </w:pPr>
      <w:r w:rsidRPr="002C2B1F">
        <w:rPr>
          <w:rFonts w:ascii="Times New Roman" w:hAnsi="Times New Roman" w:cs="Times New Roman"/>
        </w:rPr>
        <w:t>Points on the graph indicate where the groups occurred and are connected by lines to aid in visualization, though the lines are not interpolations between the points.</w:t>
      </w:r>
    </w:p>
    <w:p w14:paraId="141DCD63" w14:textId="77777777" w:rsidR="00550384" w:rsidRPr="002C2B1F" w:rsidRDefault="00550384" w:rsidP="002C2B1F">
      <w:pPr>
        <w:spacing w:line="480" w:lineRule="auto"/>
        <w:rPr>
          <w:rFonts w:ascii="Times New Roman" w:hAnsi="Times New Roman" w:cs="Times New Roman"/>
        </w:rPr>
      </w:pPr>
    </w:p>
    <w:p w14:paraId="4BC2DD3C" w14:textId="583350E5" w:rsidR="00550384" w:rsidRPr="002C2B1F" w:rsidRDefault="00550384" w:rsidP="002C2B1F">
      <w:pPr>
        <w:spacing w:line="480" w:lineRule="auto"/>
        <w:rPr>
          <w:rFonts w:ascii="Times New Roman" w:hAnsi="Times New Roman" w:cs="Times New Roman"/>
        </w:rPr>
      </w:pPr>
      <w:r w:rsidRPr="002C2B1F">
        <w:rPr>
          <w:rFonts w:ascii="Times New Roman" w:hAnsi="Times New Roman" w:cs="Times New Roman"/>
        </w:rPr>
        <w:t>As can be seen in the graph, the fraction of infants born at or below each gestational age group in our data agrees strongly with the estimates provided by the CDC, increasing the generalizability of the findings in the main text.</w:t>
      </w:r>
    </w:p>
    <w:p w14:paraId="322AA5A0" w14:textId="78F34F11" w:rsidR="00EF5E2B" w:rsidRPr="002C2B1F" w:rsidRDefault="00EF5E2B" w:rsidP="002C2B1F">
      <w:pPr>
        <w:spacing w:line="480" w:lineRule="auto"/>
        <w:rPr>
          <w:rFonts w:ascii="Times New Roman" w:hAnsi="Times New Roman" w:cs="Times New Roman"/>
        </w:rPr>
      </w:pPr>
      <w:r w:rsidRPr="002C2B1F">
        <w:rPr>
          <w:rFonts w:ascii="Times New Roman" w:hAnsi="Times New Roman" w:cs="Times New Roman"/>
        </w:rPr>
        <w:t xml:space="preserve"> </w:t>
      </w:r>
    </w:p>
    <w:p w14:paraId="2B5E3923" w14:textId="77777777" w:rsidR="00372F09" w:rsidRPr="002C2B1F" w:rsidRDefault="00372F09" w:rsidP="002C2B1F">
      <w:pPr>
        <w:spacing w:line="480" w:lineRule="auto"/>
        <w:rPr>
          <w:rFonts w:ascii="Times New Roman" w:hAnsi="Times New Roman" w:cs="Times New Roman"/>
          <w:b/>
        </w:rPr>
      </w:pPr>
    </w:p>
    <w:p w14:paraId="01C84A2F" w14:textId="1DB187CF" w:rsidR="00DA18DB" w:rsidRPr="002C2B1F" w:rsidRDefault="00E1166A" w:rsidP="002C2B1F">
      <w:pPr>
        <w:spacing w:line="480" w:lineRule="auto"/>
        <w:rPr>
          <w:rFonts w:ascii="Times New Roman" w:hAnsi="Times New Roman" w:cs="Times New Roman"/>
          <w:b/>
        </w:rPr>
      </w:pPr>
      <w:r w:rsidRPr="002C2B1F">
        <w:rPr>
          <w:rFonts w:ascii="Times New Roman" w:hAnsi="Times New Roman" w:cs="Times New Roman"/>
          <w:b/>
          <w:noProof/>
        </w:rPr>
        <w:lastRenderedPageBreak/>
        <w:drawing>
          <wp:inline distT="0" distB="0" distL="0" distR="0" wp14:anchorId="3EB3C1CD" wp14:editId="11B260EA">
            <wp:extent cx="5943600" cy="3714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l_figure_1.pdf"/>
                    <pic:cNvPicPr/>
                  </pic:nvPicPr>
                  <pic:blipFill>
                    <a:blip r:embed="rId5">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p>
    <w:p w14:paraId="26B7D394" w14:textId="3256105A" w:rsidR="00372F09" w:rsidRPr="002C2B1F" w:rsidRDefault="00372F09" w:rsidP="002C2B1F">
      <w:pPr>
        <w:spacing w:line="480" w:lineRule="auto"/>
        <w:rPr>
          <w:rFonts w:ascii="Times New Roman" w:hAnsi="Times New Roman" w:cs="Times New Roman"/>
        </w:rPr>
      </w:pPr>
      <w:r w:rsidRPr="002C2B1F">
        <w:rPr>
          <w:rFonts w:ascii="Times New Roman" w:hAnsi="Times New Roman" w:cs="Times New Roman"/>
          <w:b/>
        </w:rPr>
        <w:t xml:space="preserve">Supplemental Figure 1: </w:t>
      </w:r>
      <w:r w:rsidRPr="002C2B1F">
        <w:rPr>
          <w:rFonts w:ascii="Times New Roman" w:hAnsi="Times New Roman" w:cs="Times New Roman"/>
        </w:rPr>
        <w:t xml:space="preserve">Comparison of birth rates at different gestational age in the Aetna population and national rates provided by the CDC. The x-axis is gestational age at time of birth and the y-axis is the cumulative fraction of infants born at that gestational age. </w:t>
      </w:r>
    </w:p>
    <w:p w14:paraId="2ABE0917" w14:textId="576F7A44" w:rsidR="00273CA4" w:rsidRPr="002C2B1F" w:rsidRDefault="00273CA4" w:rsidP="002C2B1F">
      <w:pPr>
        <w:spacing w:line="480" w:lineRule="auto"/>
        <w:rPr>
          <w:rFonts w:ascii="Times New Roman" w:hAnsi="Times New Roman" w:cs="Times New Roman"/>
        </w:rPr>
      </w:pPr>
    </w:p>
    <w:p w14:paraId="768E11E3" w14:textId="77777777" w:rsidR="00273CA4" w:rsidRPr="002C2B1F" w:rsidRDefault="00273CA4" w:rsidP="002C2B1F">
      <w:pPr>
        <w:spacing w:line="480" w:lineRule="auto"/>
        <w:rPr>
          <w:rFonts w:ascii="Times New Roman" w:hAnsi="Times New Roman" w:cs="Times New Roman"/>
        </w:rPr>
      </w:pPr>
    </w:p>
    <w:p w14:paraId="513AB27E" w14:textId="08A4AA22" w:rsidR="00273CA4" w:rsidRPr="002C2B1F" w:rsidRDefault="00273CA4" w:rsidP="002C2B1F">
      <w:pPr>
        <w:spacing w:line="480" w:lineRule="auto"/>
        <w:rPr>
          <w:rFonts w:ascii="Times New Roman" w:hAnsi="Times New Roman" w:cs="Times New Roman"/>
          <w:b/>
        </w:rPr>
      </w:pPr>
      <w:r w:rsidRPr="002C2B1F">
        <w:rPr>
          <w:rFonts w:ascii="Times New Roman" w:hAnsi="Times New Roman" w:cs="Times New Roman"/>
          <w:b/>
        </w:rPr>
        <w:t>Assessment Gestational Age and Birth Weight Accuracies</w:t>
      </w:r>
    </w:p>
    <w:p w14:paraId="53DE6EC1" w14:textId="438892ED" w:rsidR="00273CA4" w:rsidRPr="002C2B1F" w:rsidRDefault="00273CA4" w:rsidP="002C2B1F">
      <w:pPr>
        <w:spacing w:line="480" w:lineRule="auto"/>
        <w:rPr>
          <w:rFonts w:ascii="Times New Roman" w:hAnsi="Times New Roman" w:cs="Times New Roman"/>
        </w:rPr>
      </w:pPr>
      <w:r w:rsidRPr="002C2B1F">
        <w:rPr>
          <w:rFonts w:ascii="Times New Roman" w:hAnsi="Times New Roman" w:cs="Times New Roman"/>
        </w:rPr>
        <w:t xml:space="preserve">To assess how accurate birth weight and gestation age are captured by ICD codes, we estimated the number of infants who had a clinically implausible birth weight and gestational age combination. A birth weight was determined to be implausibly </w:t>
      </w:r>
      <w:r w:rsidRPr="002C2B1F">
        <w:rPr>
          <w:rFonts w:ascii="Times New Roman" w:hAnsi="Times New Roman" w:cs="Times New Roman"/>
          <w:i/>
        </w:rPr>
        <w:t>low</w:t>
      </w:r>
      <w:r w:rsidRPr="002C2B1F">
        <w:rPr>
          <w:rFonts w:ascii="Times New Roman" w:hAnsi="Times New Roman" w:cs="Times New Roman"/>
        </w:rPr>
        <w:t xml:space="preserve"> if it was 3 standard deviations below the mean birth weight reported in Olsen et al</w:t>
      </w:r>
      <w:r w:rsidR="002C2B1F">
        <w:rPr>
          <w:rFonts w:ascii="Times New Roman" w:hAnsi="Times New Roman" w:cs="Times New Roman"/>
        </w:rPr>
        <w:t xml:space="preserve"> </w:t>
      </w:r>
      <w:r w:rsidRPr="002C2B1F">
        <w:rPr>
          <w:rFonts w:ascii="Times New Roman" w:hAnsi="Times New Roman" w:cs="Times New Roman"/>
        </w:rPr>
        <w:fldChar w:fldCharType="begin" w:fldLock="1"/>
      </w:r>
      <w:r w:rsidR="002C2B1F" w:rsidRPr="002C2B1F">
        <w:rPr>
          <w:rFonts w:ascii="Times New Roman" w:hAnsi="Times New Roman" w:cs="Times New Roman"/>
        </w:rPr>
        <w:instrText>ADDIN CSL_CITATION {"citationItems":[{"id":"ITEM-1","itemData":{"DOI":"10.1542/peds.2009-0913","ISBN":"1098-4275 (Electronic)\\n0031-4005 (Linking)","ISSN":"1098-4275","PMID":"20100760","abstract":"OBJECTIVE: The objective of this study was to create and validate new intrauterine weight, length, and head circumference growth curves using a contemporary, large, racially diverse US sample and compare with the Lubchenco curves.\\n\\nMETHODS: Data on 391 681 infants (Pediatrix Medical Group) aged 22 to 42 weeks at birth from 248 hospitals within 33 US states (1998-2006) for birth weight, length, head circumference, estimated gestational age, gender, and race were used. Separate subsamples were used to create and validate curves. Smoothed percentile curves (3rd to 97th) were created by the Lambda Mu Sigma (LMS) method. The validation sample was used to confirm representativeness of the curves. The new curves were compared with the Lubchenco curves.\\n\\nRESULTS: Final sample included 257 855 singleton infants (57.2% male) who survived to discharge. Gender-specific weight-, length-, and head circumference-for-age curves were created (n = 130 111) and successfully validated (n = 127 744). Small-for-gestational age and large-for-gestational age classifications using the Lubchenco curves differed significantly from the new curves for each gestational age (all P &lt; .0001). The Lubchenco curves underestimated the percentage of infants who were small-for-gestational-age except for younger girls (&lt; or =36 weeks), for whom it was more likely to be overestimated; underestimated percentage of infants (&lt; or =36 weeks) who were large-for-gestational-age; and overestimated percentage of infants (&gt;36 weeks) who were large-for-gestational-age.\\n\\nCONCLUSIONS: The Lubchenco curves may not represent the current US population. The new intrauterine growth curves created and validated in this study, based on a contemporary, large, racially diverse US sample, provide clinicians with an updated tool for growth assessment in US NICUs. Research into the ability of the new definitions of small-for-gestational-age and large-for-gestational-age to identify high-risk infants in terms of short-term and long-term health outcomes is needed.","author":[{"dropping-particle":"","family":"Olsen","given":"Irene E","non-dropping-particle":"","parse-names":false,"suffix":""},{"dropping-particle":"","family":"Groveman","given":"Sue A","non-dropping-particle":"","parse-names":false,"suffix":""},{"dropping-particle":"","family":"Lawson","given":"M Louise","non-dropping-particle":"","parse-names":false,"suffix":""},{"dropping-particle":"","family":"Clark","given":"Reese H","non-dropping-particle":"","parse-names":false,"suffix":""},{"dropping-particle":"","family":"Zemel","given":"Babette S","non-dropping-particle":"","parse-names":false,"suffix":""}],"container-title":"Pediatrics","id":"ITEM-1","issue":"2","issued":{"date-parts":[["2010"]]},"page":"e214-24","title":"New intrauterine growth curves based on United States data.","type":"article-journal","volume":"125"},"uris":["http://www.mendeley.com/documents/?uuid=674b414d-5de0-45eb-a7f3-e4a861844f45","http://www.mendeley.com/documents/?uuid=aea2ca12-96d2-4228-8813-48bc2dddc1b3"]}],"mendeley":{"formattedCitation":"(Olsen &lt;i&gt;et al.&lt;/i&gt;, 2010)","plainTextFormattedCitation":"(Olsen et al., 2010)","previouslyFormattedCitation":"&lt;sup&gt;15&lt;/sup&gt;"},"properties":{"noteIndex":0},"schema":"https://github.com/citation-style-language/schema/raw/master/csl-citation.json"}</w:instrText>
      </w:r>
      <w:r w:rsidRPr="002C2B1F">
        <w:rPr>
          <w:rFonts w:ascii="Times New Roman" w:hAnsi="Times New Roman" w:cs="Times New Roman"/>
        </w:rPr>
        <w:fldChar w:fldCharType="separate"/>
      </w:r>
      <w:r w:rsidR="002C2B1F" w:rsidRPr="002C2B1F">
        <w:rPr>
          <w:rFonts w:ascii="Times New Roman" w:hAnsi="Times New Roman" w:cs="Times New Roman"/>
          <w:noProof/>
        </w:rPr>
        <w:t xml:space="preserve">(Olsen </w:t>
      </w:r>
      <w:r w:rsidR="002C2B1F" w:rsidRPr="002C2B1F">
        <w:rPr>
          <w:rFonts w:ascii="Times New Roman" w:hAnsi="Times New Roman" w:cs="Times New Roman"/>
          <w:i/>
          <w:noProof/>
        </w:rPr>
        <w:t>et al.</w:t>
      </w:r>
      <w:r w:rsidR="002C2B1F" w:rsidRPr="002C2B1F">
        <w:rPr>
          <w:rFonts w:ascii="Times New Roman" w:hAnsi="Times New Roman" w:cs="Times New Roman"/>
          <w:noProof/>
        </w:rPr>
        <w:t>, 2010)</w:t>
      </w:r>
      <w:r w:rsidRPr="002C2B1F">
        <w:rPr>
          <w:rFonts w:ascii="Times New Roman" w:hAnsi="Times New Roman" w:cs="Times New Roman"/>
        </w:rPr>
        <w:fldChar w:fldCharType="end"/>
      </w:r>
      <w:r w:rsidRPr="002C2B1F">
        <w:rPr>
          <w:rFonts w:ascii="Times New Roman" w:hAnsi="Times New Roman" w:cs="Times New Roman"/>
        </w:rPr>
        <w:t>, using the infant’s minimum possible gestational age, as the database contained only ranges for gestational age and birth weight rather than precise values. For example, if the infant received a code indicating 31-</w:t>
      </w:r>
      <w:r w:rsidRPr="002C2B1F">
        <w:rPr>
          <w:rFonts w:ascii="Times New Roman" w:hAnsi="Times New Roman" w:cs="Times New Roman"/>
        </w:rPr>
        <w:lastRenderedPageBreak/>
        <w:t xml:space="preserve">32 weeks (ICD-9 765.26), we used three standard deviations below the mean for 31-week infants from Olsen et al as the cutoff point. A corresponding set of analyses was used to determine infants who had an implausibly </w:t>
      </w:r>
      <w:r w:rsidRPr="002C2B1F">
        <w:rPr>
          <w:rFonts w:ascii="Times New Roman" w:hAnsi="Times New Roman" w:cs="Times New Roman"/>
          <w:i/>
        </w:rPr>
        <w:t>high</w:t>
      </w:r>
      <w:r w:rsidRPr="002C2B1F">
        <w:rPr>
          <w:rFonts w:ascii="Times New Roman" w:hAnsi="Times New Roman" w:cs="Times New Roman"/>
        </w:rPr>
        <w:t xml:space="preserve"> birth weight using the infant’s maximum possible gestational age. </w:t>
      </w:r>
    </w:p>
    <w:p w14:paraId="174BB9EF" w14:textId="77777777" w:rsidR="00273CA4" w:rsidRPr="002C2B1F" w:rsidRDefault="00273CA4" w:rsidP="002C2B1F">
      <w:pPr>
        <w:spacing w:line="480" w:lineRule="auto"/>
        <w:rPr>
          <w:rFonts w:ascii="Times New Roman" w:hAnsi="Times New Roman" w:cs="Times New Roman"/>
        </w:rPr>
      </w:pPr>
    </w:p>
    <w:p w14:paraId="4F28B4CE" w14:textId="32A3EC95" w:rsidR="00273CA4" w:rsidRPr="002C2B1F" w:rsidRDefault="00273CA4" w:rsidP="002C2B1F">
      <w:pPr>
        <w:spacing w:line="480" w:lineRule="auto"/>
        <w:rPr>
          <w:rFonts w:ascii="Times New Roman" w:hAnsi="Times New Roman" w:cs="Times New Roman"/>
        </w:rPr>
      </w:pPr>
      <w:r w:rsidRPr="002C2B1F">
        <w:rPr>
          <w:rFonts w:ascii="Times New Roman" w:hAnsi="Times New Roman" w:cs="Times New Roman"/>
        </w:rPr>
        <w:t xml:space="preserve">Overall, of the preterm infants with documentation for both gestational age and birth weight, 0.27% had implausible combinations.  The highest percentage of implausible combinations occurred in the 24-week gestational age band, where 2.9% of infants were identified as outliers.  Because these rates were low we conclude both measures are captured with high fidelity in the data. </w:t>
      </w:r>
    </w:p>
    <w:p w14:paraId="16061EED" w14:textId="335E4735" w:rsidR="00273CA4" w:rsidRPr="002C2B1F" w:rsidRDefault="00273CA4" w:rsidP="002C2B1F">
      <w:pPr>
        <w:spacing w:line="480" w:lineRule="auto"/>
        <w:rPr>
          <w:rFonts w:ascii="Times New Roman" w:hAnsi="Times New Roman" w:cs="Times New Roman"/>
        </w:rPr>
      </w:pPr>
    </w:p>
    <w:p w14:paraId="42DE8A67" w14:textId="3297A786" w:rsidR="002C2B1F" w:rsidRPr="0059502A" w:rsidRDefault="0059502A" w:rsidP="002C2B1F">
      <w:pPr>
        <w:spacing w:line="480" w:lineRule="auto"/>
        <w:rPr>
          <w:rFonts w:ascii="Times New Roman" w:hAnsi="Times New Roman" w:cs="Times New Roman"/>
          <w:b/>
        </w:rPr>
      </w:pPr>
      <w:r>
        <w:rPr>
          <w:rFonts w:ascii="Times New Roman" w:hAnsi="Times New Roman" w:cs="Times New Roman"/>
          <w:b/>
        </w:rPr>
        <w:t>References</w:t>
      </w:r>
      <w:bookmarkStart w:id="0" w:name="_GoBack"/>
      <w:bookmarkEnd w:id="0"/>
    </w:p>
    <w:p w14:paraId="739B31C0" w14:textId="144924E4" w:rsidR="002C2B1F" w:rsidRPr="002C2B1F" w:rsidRDefault="002C2B1F" w:rsidP="002C2B1F">
      <w:pPr>
        <w:widowControl w:val="0"/>
        <w:autoSpaceDE w:val="0"/>
        <w:autoSpaceDN w:val="0"/>
        <w:adjustRightInd w:val="0"/>
        <w:spacing w:line="480" w:lineRule="auto"/>
        <w:rPr>
          <w:rFonts w:ascii="Times New Roman" w:hAnsi="Times New Roman" w:cs="Times New Roman"/>
          <w:noProof/>
        </w:rPr>
      </w:pPr>
      <w:r w:rsidRPr="002C2B1F">
        <w:rPr>
          <w:rFonts w:ascii="Times New Roman" w:hAnsi="Times New Roman" w:cs="Times New Roman"/>
        </w:rPr>
        <w:fldChar w:fldCharType="begin" w:fldLock="1"/>
      </w:r>
      <w:r w:rsidRPr="002C2B1F">
        <w:rPr>
          <w:rFonts w:ascii="Times New Roman" w:hAnsi="Times New Roman" w:cs="Times New Roman"/>
        </w:rPr>
        <w:instrText xml:space="preserve">ADDIN Mendeley Bibliography CSL_BIBLIOGRAPHY </w:instrText>
      </w:r>
      <w:r w:rsidRPr="002C2B1F">
        <w:rPr>
          <w:rFonts w:ascii="Times New Roman" w:hAnsi="Times New Roman" w:cs="Times New Roman"/>
        </w:rPr>
        <w:fldChar w:fldCharType="separate"/>
      </w:r>
      <w:r w:rsidRPr="002C2B1F">
        <w:rPr>
          <w:rFonts w:ascii="Times New Roman" w:hAnsi="Times New Roman" w:cs="Times New Roman"/>
          <w:noProof/>
        </w:rPr>
        <w:t xml:space="preserve">Olsen, I. E. </w:t>
      </w:r>
      <w:r w:rsidRPr="002C2B1F">
        <w:rPr>
          <w:rFonts w:ascii="Times New Roman" w:hAnsi="Times New Roman" w:cs="Times New Roman"/>
          <w:i/>
          <w:iCs/>
          <w:noProof/>
        </w:rPr>
        <w:t>et al.</w:t>
      </w:r>
      <w:r w:rsidRPr="002C2B1F">
        <w:rPr>
          <w:rFonts w:ascii="Times New Roman" w:hAnsi="Times New Roman" w:cs="Times New Roman"/>
          <w:noProof/>
        </w:rPr>
        <w:t xml:space="preserve"> (2010) ‘New intrauterine growth curves based on United States data.’, </w:t>
      </w:r>
      <w:r w:rsidRPr="002C2B1F">
        <w:rPr>
          <w:rFonts w:ascii="Times New Roman" w:hAnsi="Times New Roman" w:cs="Times New Roman"/>
          <w:i/>
          <w:iCs/>
          <w:noProof/>
        </w:rPr>
        <w:t>Pediatrics</w:t>
      </w:r>
      <w:r w:rsidRPr="002C2B1F">
        <w:rPr>
          <w:rFonts w:ascii="Times New Roman" w:hAnsi="Times New Roman" w:cs="Times New Roman"/>
          <w:noProof/>
        </w:rPr>
        <w:t>, 125(2), pp. e214-24. doi: 10.1542/peds.2009-0913.</w:t>
      </w:r>
    </w:p>
    <w:p w14:paraId="6C6796C6" w14:textId="138DF6B7" w:rsidR="002C2B1F" w:rsidRPr="002C2B1F" w:rsidRDefault="002C2B1F" w:rsidP="002C2B1F">
      <w:pPr>
        <w:spacing w:line="480" w:lineRule="auto"/>
        <w:rPr>
          <w:rFonts w:ascii="Times New Roman" w:hAnsi="Times New Roman" w:cs="Times New Roman"/>
        </w:rPr>
      </w:pPr>
      <w:r w:rsidRPr="002C2B1F">
        <w:rPr>
          <w:rFonts w:ascii="Times New Roman" w:hAnsi="Times New Roman" w:cs="Times New Roman"/>
        </w:rPr>
        <w:fldChar w:fldCharType="end"/>
      </w:r>
    </w:p>
    <w:sectPr w:rsidR="002C2B1F" w:rsidRPr="002C2B1F" w:rsidSect="00160F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5E6"/>
    <w:rsid w:val="00160F30"/>
    <w:rsid w:val="001A3A4F"/>
    <w:rsid w:val="00273CA4"/>
    <w:rsid w:val="002C2B1F"/>
    <w:rsid w:val="00372F09"/>
    <w:rsid w:val="003F67A2"/>
    <w:rsid w:val="00550384"/>
    <w:rsid w:val="0059502A"/>
    <w:rsid w:val="00756D7C"/>
    <w:rsid w:val="007965E6"/>
    <w:rsid w:val="009A6949"/>
    <w:rsid w:val="009D4C17"/>
    <w:rsid w:val="00B15409"/>
    <w:rsid w:val="00CC57FC"/>
    <w:rsid w:val="00DD28E9"/>
    <w:rsid w:val="00E1166A"/>
    <w:rsid w:val="00EF5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86BF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83BA8-666A-454D-A971-86859F88B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986</Words>
  <Characters>5623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cp:revision>
  <dcterms:created xsi:type="dcterms:W3CDTF">2017-07-28T14:34:00Z</dcterms:created>
  <dcterms:modified xsi:type="dcterms:W3CDTF">2019-10-22T17:55:00Z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eb6ab9b2-4be3-3672-b75b-d645c1c2dd47</vt:lpwstr>
  </property>
  <property fmtid="{D5CDD505-2E9C-101B-9397-08002B2CF9AE}" pid="24" name="Mendeley Citation Style_1">
    <vt:lpwstr>http://www.zotero.org/styles/harvard-cite-them-right</vt:lpwstr>
  </property>
</Properties>
</file>