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021FE8" w14:textId="4EBD68AD" w:rsidR="00360C50" w:rsidRPr="00F75E05" w:rsidRDefault="38B455FD" w:rsidP="00F75E05">
      <w:pPr>
        <w:spacing w:line="480" w:lineRule="auto"/>
        <w:rPr>
          <w:b/>
          <w:bCs/>
        </w:rPr>
      </w:pPr>
      <w:bookmarkStart w:id="0" w:name="_GoBack"/>
      <w:bookmarkEnd w:id="0"/>
      <w:r w:rsidRPr="00424833">
        <w:rPr>
          <w:b/>
          <w:bCs/>
        </w:rPr>
        <w:t>Supplement</w:t>
      </w:r>
    </w:p>
    <w:p w14:paraId="38F72B4C" w14:textId="35EE49AE" w:rsidR="000D23BB" w:rsidRPr="00424833" w:rsidRDefault="000D23BB" w:rsidP="00F75E05">
      <w:pPr>
        <w:pStyle w:val="ListParagraph"/>
        <w:numPr>
          <w:ilvl w:val="0"/>
          <w:numId w:val="22"/>
        </w:numPr>
        <w:spacing w:after="240" w:line="480" w:lineRule="auto"/>
      </w:pPr>
      <w:r w:rsidRPr="00424833">
        <w:rPr>
          <w:b/>
          <w:bCs/>
        </w:rPr>
        <w:t xml:space="preserve">Pre-Workshop Questionnaire </w:t>
      </w:r>
    </w:p>
    <w:p w14:paraId="585B5D47" w14:textId="77777777" w:rsidR="000D23BB" w:rsidRPr="00424833" w:rsidRDefault="000D23BB" w:rsidP="00F75E05">
      <w:pPr>
        <w:spacing w:after="240" w:line="480" w:lineRule="auto"/>
      </w:pPr>
      <w:r w:rsidRPr="00424833">
        <w:t xml:space="preserve">The survey consists of the following four sections: </w:t>
      </w:r>
    </w:p>
    <w:p w14:paraId="44164B6D" w14:textId="77777777" w:rsidR="000D23BB" w:rsidRPr="00424833" w:rsidRDefault="000D23BB" w:rsidP="00F75E05">
      <w:pPr>
        <w:pStyle w:val="ListParagraph"/>
        <w:numPr>
          <w:ilvl w:val="0"/>
          <w:numId w:val="26"/>
        </w:numPr>
        <w:spacing w:after="240" w:line="480" w:lineRule="auto"/>
      </w:pPr>
      <w:r w:rsidRPr="00424833">
        <w:rPr>
          <w:lang w:val="it-IT"/>
        </w:rPr>
        <w:t>Section 1: Baseline Provider Information</w:t>
      </w:r>
    </w:p>
    <w:p w14:paraId="26587E40" w14:textId="77777777" w:rsidR="000D23BB" w:rsidRPr="00424833" w:rsidRDefault="000D23BB" w:rsidP="00F75E05">
      <w:pPr>
        <w:pStyle w:val="ListParagraph"/>
        <w:numPr>
          <w:ilvl w:val="0"/>
          <w:numId w:val="26"/>
        </w:numPr>
        <w:spacing w:after="240" w:line="480" w:lineRule="auto"/>
      </w:pPr>
      <w:r w:rsidRPr="00424833">
        <w:rPr>
          <w:lang w:val="it-IT"/>
        </w:rPr>
        <w:t>Section 2: Establishing RDS Diagnosis and Indicators for Surfactant Administration</w:t>
      </w:r>
    </w:p>
    <w:p w14:paraId="2BF01513" w14:textId="77777777" w:rsidR="000D23BB" w:rsidRPr="00424833" w:rsidRDefault="000D23BB" w:rsidP="00F75E05">
      <w:pPr>
        <w:pStyle w:val="ListParagraph"/>
        <w:numPr>
          <w:ilvl w:val="0"/>
          <w:numId w:val="26"/>
        </w:numPr>
        <w:spacing w:after="240" w:line="480" w:lineRule="auto"/>
      </w:pPr>
      <w:r w:rsidRPr="00424833">
        <w:t xml:space="preserve">Section 3: Administration Methods and Techniques </w:t>
      </w:r>
    </w:p>
    <w:p w14:paraId="346539BE" w14:textId="77777777" w:rsidR="000D23BB" w:rsidRPr="00424833" w:rsidRDefault="000D23BB" w:rsidP="00F75E05">
      <w:pPr>
        <w:pStyle w:val="ListParagraph"/>
        <w:numPr>
          <w:ilvl w:val="0"/>
          <w:numId w:val="26"/>
        </w:numPr>
        <w:spacing w:after="240" w:line="480" w:lineRule="auto"/>
        <w:rPr>
          <w:rFonts w:eastAsiaTheme="minorEastAsia"/>
        </w:rPr>
      </w:pPr>
      <w:r w:rsidRPr="00424833">
        <w:t xml:space="preserve">Section 4: Other Considerations </w:t>
      </w:r>
    </w:p>
    <w:p w14:paraId="2A64FE93" w14:textId="77777777" w:rsidR="000D23BB" w:rsidRPr="00424833" w:rsidRDefault="000D23BB" w:rsidP="00F75E05">
      <w:pPr>
        <w:spacing w:after="240" w:line="480" w:lineRule="auto"/>
        <w:rPr>
          <w:i/>
          <w:iCs/>
        </w:rPr>
      </w:pPr>
      <w:r w:rsidRPr="00424833">
        <w:rPr>
          <w:i/>
          <w:iCs/>
        </w:rPr>
        <w:t xml:space="preserve">Section 1: Baseline Provider Information </w:t>
      </w:r>
    </w:p>
    <w:p w14:paraId="7F870AFD" w14:textId="77777777" w:rsidR="000D23BB" w:rsidRPr="00424833" w:rsidRDefault="000D23BB" w:rsidP="00F75E05">
      <w:pPr>
        <w:pStyle w:val="ListParagraph"/>
        <w:numPr>
          <w:ilvl w:val="0"/>
          <w:numId w:val="27"/>
        </w:numPr>
        <w:spacing w:after="240" w:line="480" w:lineRule="auto"/>
      </w:pPr>
      <w:r w:rsidRPr="00424833">
        <w:t xml:space="preserve">Please enter the title of your current role. </w:t>
      </w:r>
    </w:p>
    <w:p w14:paraId="7ABD97F3" w14:textId="77777777" w:rsidR="000D23BB" w:rsidRPr="00424833" w:rsidRDefault="000D23BB" w:rsidP="00F75E05">
      <w:pPr>
        <w:pStyle w:val="ListParagraph"/>
        <w:spacing w:after="240" w:line="480" w:lineRule="auto"/>
      </w:pPr>
    </w:p>
    <w:p w14:paraId="567B31D9" w14:textId="77777777" w:rsidR="000D23BB" w:rsidRPr="00424833" w:rsidRDefault="000D23BB" w:rsidP="00F75E05">
      <w:pPr>
        <w:pStyle w:val="ListParagraph"/>
        <w:numPr>
          <w:ilvl w:val="0"/>
          <w:numId w:val="27"/>
        </w:numPr>
        <w:spacing w:after="240" w:line="480" w:lineRule="auto"/>
      </w:pPr>
      <w:r w:rsidRPr="00424833">
        <w:t xml:space="preserve">How many years of clinical practice experience do you have with using surfactants in neonates? </w:t>
      </w:r>
    </w:p>
    <w:p w14:paraId="4F343350" w14:textId="77777777" w:rsidR="000D23BB" w:rsidRPr="00424833" w:rsidRDefault="000D23BB" w:rsidP="00F75E05">
      <w:pPr>
        <w:pStyle w:val="ListParagraph"/>
        <w:spacing w:after="240" w:line="480" w:lineRule="auto"/>
      </w:pPr>
    </w:p>
    <w:p w14:paraId="20A169F8" w14:textId="77777777" w:rsidR="000D23BB" w:rsidRPr="00424833" w:rsidRDefault="000D23BB" w:rsidP="00F75E05">
      <w:pPr>
        <w:pStyle w:val="ListParagraph"/>
        <w:numPr>
          <w:ilvl w:val="0"/>
          <w:numId w:val="27"/>
        </w:numPr>
        <w:spacing w:after="240" w:line="480" w:lineRule="auto"/>
      </w:pPr>
      <w:r w:rsidRPr="00424833">
        <w:t xml:space="preserve">What type of institution do you currently work in? (Multiple choice)  </w:t>
      </w:r>
    </w:p>
    <w:p w14:paraId="6B6B03C4" w14:textId="77777777" w:rsidR="000D23BB" w:rsidRPr="00424833" w:rsidRDefault="000D23BB" w:rsidP="00F75E05">
      <w:pPr>
        <w:pStyle w:val="ListParagraph"/>
        <w:numPr>
          <w:ilvl w:val="1"/>
          <w:numId w:val="27"/>
        </w:numPr>
        <w:spacing w:after="240" w:line="480" w:lineRule="auto"/>
      </w:pPr>
      <w:r w:rsidRPr="00424833">
        <w:t xml:space="preserve">Academic medical center </w:t>
      </w:r>
    </w:p>
    <w:p w14:paraId="037C6AA5" w14:textId="77777777" w:rsidR="000D23BB" w:rsidRPr="00424833" w:rsidRDefault="000D23BB" w:rsidP="00F75E05">
      <w:pPr>
        <w:pStyle w:val="ListParagraph"/>
        <w:numPr>
          <w:ilvl w:val="1"/>
          <w:numId w:val="27"/>
        </w:numPr>
        <w:spacing w:after="240" w:line="480" w:lineRule="auto"/>
      </w:pPr>
      <w:r w:rsidRPr="00424833">
        <w:t>Community hospital</w:t>
      </w:r>
    </w:p>
    <w:p w14:paraId="34671B70" w14:textId="5FF8D455" w:rsidR="000D23BB" w:rsidRPr="00424833" w:rsidRDefault="000D23BB" w:rsidP="00F75E05">
      <w:pPr>
        <w:pStyle w:val="ListParagraph"/>
        <w:numPr>
          <w:ilvl w:val="1"/>
          <w:numId w:val="27"/>
        </w:numPr>
        <w:spacing w:after="240" w:line="480" w:lineRule="auto"/>
      </w:pPr>
      <w:r w:rsidRPr="00424833">
        <w:t xml:space="preserve">Both </w:t>
      </w:r>
    </w:p>
    <w:p w14:paraId="72946F93" w14:textId="77777777" w:rsidR="000D23BB" w:rsidRPr="00424833" w:rsidRDefault="000D23BB" w:rsidP="00F75E05">
      <w:pPr>
        <w:spacing w:after="240" w:line="480" w:lineRule="auto"/>
        <w:rPr>
          <w:i/>
          <w:iCs/>
        </w:rPr>
      </w:pPr>
      <w:r w:rsidRPr="00424833">
        <w:rPr>
          <w:i/>
          <w:iCs/>
        </w:rPr>
        <w:t>Section 2: Establishing RDS Diagnosis and Indicators for Surfactant Administration</w:t>
      </w:r>
    </w:p>
    <w:p w14:paraId="43895D14" w14:textId="77777777" w:rsidR="000D23BB" w:rsidRPr="00424833" w:rsidRDefault="000D23BB" w:rsidP="00F75E05">
      <w:pPr>
        <w:pStyle w:val="ListParagraph"/>
        <w:numPr>
          <w:ilvl w:val="0"/>
          <w:numId w:val="27"/>
        </w:numPr>
        <w:spacing w:after="240" w:line="480" w:lineRule="auto"/>
        <w:rPr>
          <w:rFonts w:eastAsiaTheme="minorEastAsia"/>
        </w:rPr>
      </w:pPr>
      <w:r w:rsidRPr="00424833">
        <w:rPr>
          <w:rFonts w:eastAsiaTheme="minorEastAsia"/>
        </w:rPr>
        <w:t xml:space="preserve">Is chest x-ray (CXR) confirmation needed for RDS diagnosis prior to surfactant administration for ALL babies in your unit? Please describe why or why not. </w:t>
      </w:r>
      <w:r w:rsidRPr="00424833">
        <w:rPr>
          <w:rFonts w:eastAsiaTheme="minorEastAsia"/>
          <w:color w:val="FF0000"/>
        </w:rPr>
        <w:t xml:space="preserve"> </w:t>
      </w:r>
    </w:p>
    <w:p w14:paraId="07C499B7" w14:textId="77777777" w:rsidR="000D23BB" w:rsidRPr="00424833" w:rsidRDefault="000D23BB" w:rsidP="00F75E05">
      <w:pPr>
        <w:pStyle w:val="ListParagraph"/>
        <w:spacing w:after="240" w:line="480" w:lineRule="auto"/>
        <w:rPr>
          <w:rFonts w:eastAsiaTheme="minorEastAsia"/>
        </w:rPr>
      </w:pPr>
    </w:p>
    <w:p w14:paraId="1C49C5F8" w14:textId="77777777" w:rsidR="000D23BB" w:rsidRPr="00424833" w:rsidRDefault="000D23BB" w:rsidP="00F75E05">
      <w:pPr>
        <w:pStyle w:val="ListParagraph"/>
        <w:numPr>
          <w:ilvl w:val="0"/>
          <w:numId w:val="27"/>
        </w:numPr>
        <w:spacing w:after="240" w:line="480" w:lineRule="auto"/>
        <w:rPr>
          <w:rFonts w:eastAsiaTheme="minorEastAsia"/>
        </w:rPr>
      </w:pPr>
      <w:r w:rsidRPr="00424833">
        <w:t xml:space="preserve">Does administering surfactant early in the course of RDS improve outcomes? Which outcomes, specifically? </w:t>
      </w:r>
    </w:p>
    <w:p w14:paraId="553C6F51" w14:textId="77777777" w:rsidR="000D23BB" w:rsidRPr="00424833" w:rsidRDefault="000D23BB" w:rsidP="00F75E05">
      <w:pPr>
        <w:pStyle w:val="ListParagraph"/>
        <w:spacing w:after="240" w:line="480" w:lineRule="auto"/>
        <w:rPr>
          <w:rFonts w:eastAsiaTheme="minorEastAsia"/>
        </w:rPr>
      </w:pPr>
    </w:p>
    <w:p w14:paraId="0A87676C" w14:textId="77777777" w:rsidR="000D23BB" w:rsidRPr="00424833" w:rsidRDefault="000D23BB" w:rsidP="00F75E05">
      <w:pPr>
        <w:pStyle w:val="ListParagraph"/>
        <w:numPr>
          <w:ilvl w:val="0"/>
          <w:numId w:val="27"/>
        </w:numPr>
        <w:spacing w:after="240" w:line="480" w:lineRule="auto"/>
        <w:rPr>
          <w:rFonts w:eastAsiaTheme="minorEastAsia"/>
        </w:rPr>
      </w:pPr>
      <w:r w:rsidRPr="00424833">
        <w:t xml:space="preserve">How would you define early rescue surfactant administration? </w:t>
      </w:r>
      <w:r w:rsidRPr="00424833">
        <w:rPr>
          <w:color w:val="FF0000"/>
        </w:rPr>
        <w:t xml:space="preserve"> </w:t>
      </w:r>
    </w:p>
    <w:p w14:paraId="07974A6B" w14:textId="77777777" w:rsidR="000D23BB" w:rsidRPr="00424833" w:rsidRDefault="000D23BB" w:rsidP="00F75E05">
      <w:pPr>
        <w:pStyle w:val="ListParagraph"/>
        <w:spacing w:after="240" w:line="480" w:lineRule="auto"/>
        <w:rPr>
          <w:rFonts w:eastAsiaTheme="minorEastAsia"/>
        </w:rPr>
      </w:pPr>
    </w:p>
    <w:p w14:paraId="520E967B" w14:textId="77777777" w:rsidR="000D23BB" w:rsidRPr="00424833" w:rsidRDefault="000D23BB" w:rsidP="00F75E05">
      <w:pPr>
        <w:pStyle w:val="ListParagraph"/>
        <w:numPr>
          <w:ilvl w:val="0"/>
          <w:numId w:val="27"/>
        </w:numPr>
        <w:spacing w:after="240" w:line="480" w:lineRule="auto"/>
        <w:rPr>
          <w:rFonts w:eastAsiaTheme="minorEastAsia"/>
        </w:rPr>
      </w:pPr>
      <w:r w:rsidRPr="00424833">
        <w:rPr>
          <w:u w:val="single"/>
        </w:rPr>
        <w:t>Please indicate your level of agreement</w:t>
      </w:r>
      <w:r w:rsidRPr="00E5157F">
        <w:t>:</w:t>
      </w:r>
      <w:r w:rsidRPr="00424833">
        <w:t xml:space="preserve"> Earlier surfactant administration may help to avoid prolonged invasive/non-invasive mechanical ventilation resulting in a common goal to improve outcomes. (Multiple choice)  </w:t>
      </w:r>
    </w:p>
    <w:p w14:paraId="14AFBB96" w14:textId="77777777" w:rsidR="000D23BB" w:rsidRPr="00424833" w:rsidRDefault="000D23BB" w:rsidP="00F75E05">
      <w:pPr>
        <w:pStyle w:val="ListParagraph"/>
        <w:numPr>
          <w:ilvl w:val="1"/>
          <w:numId w:val="27"/>
        </w:numPr>
        <w:spacing w:after="240" w:line="480" w:lineRule="auto"/>
        <w:rPr>
          <w:rFonts w:eastAsiaTheme="minorEastAsia"/>
        </w:rPr>
      </w:pPr>
      <w:r w:rsidRPr="00424833">
        <w:t>Strongly disagree</w:t>
      </w:r>
    </w:p>
    <w:p w14:paraId="34BC273C" w14:textId="77777777" w:rsidR="000D23BB" w:rsidRPr="00424833" w:rsidRDefault="000D23BB" w:rsidP="00F75E05">
      <w:pPr>
        <w:pStyle w:val="ListParagraph"/>
        <w:numPr>
          <w:ilvl w:val="1"/>
          <w:numId w:val="27"/>
        </w:numPr>
        <w:spacing w:after="240" w:line="480" w:lineRule="auto"/>
        <w:rPr>
          <w:rFonts w:eastAsiaTheme="minorEastAsia"/>
        </w:rPr>
      </w:pPr>
      <w:r w:rsidRPr="00424833">
        <w:t>Disagree</w:t>
      </w:r>
    </w:p>
    <w:p w14:paraId="3139F60D" w14:textId="77777777" w:rsidR="000D23BB" w:rsidRPr="00424833" w:rsidRDefault="000D23BB" w:rsidP="00F75E05">
      <w:pPr>
        <w:pStyle w:val="ListParagraph"/>
        <w:numPr>
          <w:ilvl w:val="1"/>
          <w:numId w:val="27"/>
        </w:numPr>
        <w:spacing w:after="240" w:line="480" w:lineRule="auto"/>
        <w:rPr>
          <w:rFonts w:eastAsiaTheme="minorEastAsia"/>
        </w:rPr>
      </w:pPr>
      <w:r w:rsidRPr="00424833">
        <w:t>Neutral</w:t>
      </w:r>
    </w:p>
    <w:p w14:paraId="17A10E9E" w14:textId="77777777" w:rsidR="000D23BB" w:rsidRPr="00424833" w:rsidRDefault="000D23BB" w:rsidP="00F75E05">
      <w:pPr>
        <w:pStyle w:val="ListParagraph"/>
        <w:numPr>
          <w:ilvl w:val="1"/>
          <w:numId w:val="27"/>
        </w:numPr>
        <w:spacing w:after="240" w:line="480" w:lineRule="auto"/>
        <w:rPr>
          <w:rFonts w:eastAsiaTheme="minorEastAsia"/>
        </w:rPr>
      </w:pPr>
      <w:r w:rsidRPr="00424833">
        <w:t>Agree</w:t>
      </w:r>
    </w:p>
    <w:p w14:paraId="18BA783A" w14:textId="77777777" w:rsidR="000D23BB" w:rsidRPr="00424833" w:rsidRDefault="000D23BB" w:rsidP="00F75E05">
      <w:pPr>
        <w:pStyle w:val="ListParagraph"/>
        <w:numPr>
          <w:ilvl w:val="1"/>
          <w:numId w:val="27"/>
        </w:numPr>
        <w:spacing w:after="240" w:line="480" w:lineRule="auto"/>
        <w:rPr>
          <w:rFonts w:eastAsiaTheme="minorEastAsia"/>
        </w:rPr>
      </w:pPr>
      <w:r w:rsidRPr="00424833">
        <w:t>Strongly agree</w:t>
      </w:r>
    </w:p>
    <w:p w14:paraId="44A2FEB8" w14:textId="77777777" w:rsidR="000D23BB" w:rsidRPr="00424833" w:rsidRDefault="000D23BB" w:rsidP="00F75E05">
      <w:pPr>
        <w:pStyle w:val="ListParagraph"/>
        <w:spacing w:after="240" w:line="480" w:lineRule="auto"/>
        <w:ind w:left="1440"/>
        <w:rPr>
          <w:rFonts w:eastAsiaTheme="minorEastAsia"/>
        </w:rPr>
      </w:pPr>
    </w:p>
    <w:p w14:paraId="3C12B4C8" w14:textId="77777777" w:rsidR="000D23BB" w:rsidRPr="00424833" w:rsidRDefault="000D23BB" w:rsidP="00F75E05">
      <w:pPr>
        <w:pStyle w:val="ListParagraph"/>
        <w:numPr>
          <w:ilvl w:val="0"/>
          <w:numId w:val="27"/>
        </w:numPr>
        <w:spacing w:after="240" w:line="480" w:lineRule="auto"/>
        <w:rPr>
          <w:rFonts w:eastAsiaTheme="minorEastAsia"/>
        </w:rPr>
      </w:pPr>
      <w:r w:rsidRPr="00424833">
        <w:t xml:space="preserve">What are the three most important indicators (clinical and demographic factors) to determine the use of surfactant? </w:t>
      </w:r>
    </w:p>
    <w:p w14:paraId="34AE31A0" w14:textId="77777777" w:rsidR="000D23BB" w:rsidRPr="00424833" w:rsidRDefault="000D23BB" w:rsidP="00F75E05">
      <w:pPr>
        <w:pStyle w:val="ListParagraph"/>
        <w:spacing w:after="240" w:line="480" w:lineRule="auto"/>
        <w:rPr>
          <w:rFonts w:eastAsiaTheme="minorEastAsia"/>
        </w:rPr>
      </w:pPr>
    </w:p>
    <w:p w14:paraId="19B2A038" w14:textId="77777777" w:rsidR="000D23BB" w:rsidRPr="00424833" w:rsidRDefault="000D23BB" w:rsidP="00F75E05">
      <w:pPr>
        <w:pStyle w:val="ListParagraph"/>
        <w:numPr>
          <w:ilvl w:val="0"/>
          <w:numId w:val="27"/>
        </w:numPr>
        <w:spacing w:after="240" w:line="480" w:lineRule="auto"/>
        <w:rPr>
          <w:rFonts w:eastAsiaTheme="minorEastAsia"/>
        </w:rPr>
      </w:pPr>
      <w:r w:rsidRPr="00424833">
        <w:t>Is FiO</w:t>
      </w:r>
      <w:r w:rsidRPr="00424833">
        <w:rPr>
          <w:vertAlign w:val="subscript"/>
        </w:rPr>
        <w:t>2</w:t>
      </w:r>
      <w:r w:rsidRPr="00424833">
        <w:t xml:space="preserve"> the main indicator for surfactant use? (Multiple choice)  </w:t>
      </w:r>
    </w:p>
    <w:p w14:paraId="74B936B1" w14:textId="77777777" w:rsidR="000D23BB" w:rsidRPr="00424833" w:rsidRDefault="000D23BB" w:rsidP="00F75E05">
      <w:pPr>
        <w:pStyle w:val="ListParagraph"/>
        <w:numPr>
          <w:ilvl w:val="1"/>
          <w:numId w:val="27"/>
        </w:numPr>
        <w:spacing w:after="240" w:line="480" w:lineRule="auto"/>
        <w:rPr>
          <w:rFonts w:eastAsiaTheme="minorEastAsia"/>
        </w:rPr>
      </w:pPr>
      <w:r w:rsidRPr="00424833">
        <w:t>Yes</w:t>
      </w:r>
    </w:p>
    <w:p w14:paraId="007426E8" w14:textId="77777777" w:rsidR="000D23BB" w:rsidRPr="00424833" w:rsidRDefault="000D23BB" w:rsidP="00F75E05">
      <w:pPr>
        <w:pStyle w:val="ListParagraph"/>
        <w:numPr>
          <w:ilvl w:val="1"/>
          <w:numId w:val="27"/>
        </w:numPr>
        <w:spacing w:after="240" w:line="480" w:lineRule="auto"/>
        <w:rPr>
          <w:rFonts w:eastAsiaTheme="minorEastAsia"/>
        </w:rPr>
      </w:pPr>
      <w:r w:rsidRPr="00424833">
        <w:t>No</w:t>
      </w:r>
    </w:p>
    <w:p w14:paraId="0305367A" w14:textId="77777777" w:rsidR="000D23BB" w:rsidRPr="00424833" w:rsidRDefault="000D23BB" w:rsidP="00F75E05">
      <w:pPr>
        <w:pStyle w:val="ListParagraph"/>
        <w:numPr>
          <w:ilvl w:val="1"/>
          <w:numId w:val="27"/>
        </w:numPr>
        <w:spacing w:after="240" w:line="480" w:lineRule="auto"/>
        <w:rPr>
          <w:rFonts w:eastAsiaTheme="minorEastAsia"/>
        </w:rPr>
      </w:pPr>
      <w:r w:rsidRPr="00424833">
        <w:t xml:space="preserve">Maybe (Please elaborate) </w:t>
      </w:r>
    </w:p>
    <w:p w14:paraId="7A078F87" w14:textId="77777777" w:rsidR="000D23BB" w:rsidRPr="00424833" w:rsidRDefault="000D23BB" w:rsidP="00F75E05">
      <w:pPr>
        <w:pStyle w:val="ListParagraph"/>
        <w:spacing w:after="240" w:line="480" w:lineRule="auto"/>
        <w:ind w:left="1440"/>
        <w:rPr>
          <w:rFonts w:eastAsiaTheme="minorEastAsia"/>
        </w:rPr>
      </w:pPr>
    </w:p>
    <w:p w14:paraId="0F1A3600" w14:textId="77777777" w:rsidR="000D23BB" w:rsidRPr="00424833" w:rsidRDefault="000D23BB" w:rsidP="00F75E05">
      <w:pPr>
        <w:pStyle w:val="ListParagraph"/>
        <w:numPr>
          <w:ilvl w:val="0"/>
          <w:numId w:val="27"/>
        </w:numPr>
        <w:spacing w:after="240" w:line="480" w:lineRule="auto"/>
        <w:rPr>
          <w:rFonts w:eastAsiaTheme="minorEastAsia"/>
        </w:rPr>
      </w:pPr>
      <w:r w:rsidRPr="00424833">
        <w:t>At what threshold FiO</w:t>
      </w:r>
      <w:r w:rsidRPr="00424833">
        <w:rPr>
          <w:vertAlign w:val="subscript"/>
        </w:rPr>
        <w:t>2</w:t>
      </w:r>
      <w:r w:rsidRPr="00424833">
        <w:t xml:space="preserve"> should infants be treated with surfactant? </w:t>
      </w:r>
    </w:p>
    <w:p w14:paraId="7B966434" w14:textId="77777777" w:rsidR="000D23BB" w:rsidRPr="00424833" w:rsidRDefault="000D23BB" w:rsidP="00F75E05">
      <w:pPr>
        <w:pStyle w:val="ListParagraph"/>
        <w:spacing w:after="240" w:line="480" w:lineRule="auto"/>
        <w:rPr>
          <w:rFonts w:eastAsiaTheme="minorEastAsia"/>
        </w:rPr>
      </w:pPr>
    </w:p>
    <w:p w14:paraId="538F26A9" w14:textId="77777777" w:rsidR="000D23BB" w:rsidRPr="00424833" w:rsidRDefault="000D23BB" w:rsidP="00F75E05">
      <w:pPr>
        <w:pStyle w:val="ListParagraph"/>
        <w:numPr>
          <w:ilvl w:val="0"/>
          <w:numId w:val="27"/>
        </w:numPr>
        <w:spacing w:after="240" w:line="480" w:lineRule="auto"/>
        <w:rPr>
          <w:rFonts w:eastAsiaTheme="minorEastAsia"/>
        </w:rPr>
      </w:pPr>
      <w:r w:rsidRPr="00424833">
        <w:rPr>
          <w:u w:val="single"/>
        </w:rPr>
        <w:t>Please indicate your level of agreement</w:t>
      </w:r>
      <w:r w:rsidRPr="00E5157F">
        <w:t>:</w:t>
      </w:r>
      <w:r w:rsidRPr="00424833">
        <w:t xml:space="preserve"> An FiO</w:t>
      </w:r>
      <w:r w:rsidRPr="00424833">
        <w:rPr>
          <w:vertAlign w:val="subscript"/>
        </w:rPr>
        <w:t>2</w:t>
      </w:r>
      <w:r w:rsidRPr="00424833">
        <w:t xml:space="preserve"> exceeding 0.3 within 2 hours of age with adequate CPAP support indicates that surfactant should be administered. (Multiple choice)  </w:t>
      </w:r>
    </w:p>
    <w:p w14:paraId="35CB0054" w14:textId="77777777" w:rsidR="000D23BB" w:rsidRPr="00424833" w:rsidRDefault="000D23BB" w:rsidP="00F75E05">
      <w:pPr>
        <w:pStyle w:val="ListParagraph"/>
        <w:numPr>
          <w:ilvl w:val="1"/>
          <w:numId w:val="27"/>
        </w:numPr>
        <w:spacing w:after="240" w:line="480" w:lineRule="auto"/>
        <w:rPr>
          <w:rFonts w:eastAsiaTheme="minorEastAsia"/>
        </w:rPr>
      </w:pPr>
      <w:r w:rsidRPr="00424833">
        <w:t>Strongly disagree</w:t>
      </w:r>
    </w:p>
    <w:p w14:paraId="47D875AD" w14:textId="77777777" w:rsidR="000D23BB" w:rsidRPr="00424833" w:rsidRDefault="000D23BB" w:rsidP="00F75E05">
      <w:pPr>
        <w:pStyle w:val="ListParagraph"/>
        <w:numPr>
          <w:ilvl w:val="1"/>
          <w:numId w:val="27"/>
        </w:numPr>
        <w:spacing w:after="240" w:line="480" w:lineRule="auto"/>
        <w:rPr>
          <w:rFonts w:eastAsiaTheme="minorEastAsia"/>
        </w:rPr>
      </w:pPr>
      <w:r w:rsidRPr="00424833">
        <w:t>Disagree</w:t>
      </w:r>
    </w:p>
    <w:p w14:paraId="56273B8C" w14:textId="77777777" w:rsidR="000D23BB" w:rsidRPr="00424833" w:rsidRDefault="000D23BB" w:rsidP="00F75E05">
      <w:pPr>
        <w:pStyle w:val="ListParagraph"/>
        <w:numPr>
          <w:ilvl w:val="1"/>
          <w:numId w:val="27"/>
        </w:numPr>
        <w:spacing w:after="240" w:line="480" w:lineRule="auto"/>
        <w:rPr>
          <w:rFonts w:eastAsiaTheme="minorEastAsia"/>
        </w:rPr>
      </w:pPr>
      <w:r w:rsidRPr="00424833">
        <w:t>Neutral</w:t>
      </w:r>
    </w:p>
    <w:p w14:paraId="3A245190" w14:textId="77777777" w:rsidR="000D23BB" w:rsidRPr="00424833" w:rsidRDefault="000D23BB" w:rsidP="00F75E05">
      <w:pPr>
        <w:pStyle w:val="ListParagraph"/>
        <w:numPr>
          <w:ilvl w:val="1"/>
          <w:numId w:val="27"/>
        </w:numPr>
        <w:spacing w:after="240" w:line="480" w:lineRule="auto"/>
        <w:rPr>
          <w:rFonts w:eastAsiaTheme="minorEastAsia"/>
        </w:rPr>
      </w:pPr>
      <w:r w:rsidRPr="00424833">
        <w:t>Agree</w:t>
      </w:r>
    </w:p>
    <w:p w14:paraId="1E59C3C7" w14:textId="77777777" w:rsidR="000D23BB" w:rsidRPr="00424833" w:rsidRDefault="000D23BB" w:rsidP="00F75E05">
      <w:pPr>
        <w:pStyle w:val="ListParagraph"/>
        <w:numPr>
          <w:ilvl w:val="1"/>
          <w:numId w:val="27"/>
        </w:numPr>
        <w:spacing w:after="240" w:line="480" w:lineRule="auto"/>
        <w:rPr>
          <w:rFonts w:eastAsiaTheme="minorEastAsia"/>
        </w:rPr>
      </w:pPr>
      <w:r w:rsidRPr="00424833">
        <w:t>Strongly agree</w:t>
      </w:r>
    </w:p>
    <w:p w14:paraId="74B86130" w14:textId="77777777" w:rsidR="000D23BB" w:rsidRPr="00424833" w:rsidRDefault="000D23BB" w:rsidP="00F75E05">
      <w:pPr>
        <w:pStyle w:val="ListParagraph"/>
        <w:spacing w:after="240" w:line="480" w:lineRule="auto"/>
        <w:ind w:left="1440"/>
        <w:rPr>
          <w:rFonts w:eastAsiaTheme="minorEastAsia"/>
        </w:rPr>
      </w:pPr>
    </w:p>
    <w:p w14:paraId="60755B9B" w14:textId="77777777" w:rsidR="000D23BB" w:rsidRPr="00424833" w:rsidRDefault="000D23BB" w:rsidP="00F75E05">
      <w:pPr>
        <w:pStyle w:val="ListParagraph"/>
        <w:numPr>
          <w:ilvl w:val="0"/>
          <w:numId w:val="27"/>
        </w:numPr>
        <w:spacing w:after="240" w:line="480" w:lineRule="auto"/>
        <w:rPr>
          <w:rFonts w:eastAsiaTheme="minorEastAsia"/>
        </w:rPr>
      </w:pPr>
      <w:r w:rsidRPr="00424833">
        <w:t xml:space="preserve">Is there a certain gestational age range below which surfactant should be administered immediately or in the delivery room, irrespective of needing intubation for resuscitation? </w:t>
      </w:r>
    </w:p>
    <w:p w14:paraId="11483C2D" w14:textId="77777777" w:rsidR="000D23BB" w:rsidRPr="00424833" w:rsidRDefault="000D23BB" w:rsidP="00F75E05">
      <w:pPr>
        <w:pStyle w:val="ListParagraph"/>
        <w:spacing w:after="240" w:line="480" w:lineRule="auto"/>
        <w:rPr>
          <w:rFonts w:eastAsiaTheme="minorEastAsia"/>
        </w:rPr>
      </w:pPr>
    </w:p>
    <w:p w14:paraId="1B394F49" w14:textId="77777777" w:rsidR="000D23BB" w:rsidRPr="00424833" w:rsidRDefault="000D23BB" w:rsidP="00F75E05">
      <w:pPr>
        <w:pStyle w:val="ListParagraph"/>
        <w:numPr>
          <w:ilvl w:val="0"/>
          <w:numId w:val="27"/>
        </w:numPr>
        <w:spacing w:after="240" w:line="480" w:lineRule="auto"/>
        <w:rPr>
          <w:rFonts w:eastAsiaTheme="minorEastAsia"/>
        </w:rPr>
      </w:pPr>
      <w:r w:rsidRPr="00424833">
        <w:rPr>
          <w:rFonts w:eastAsiaTheme="minorEastAsia"/>
        </w:rPr>
        <w:t xml:space="preserve">After the first 2 hours of age, what are the indicators for surfactant administration for RDS? </w:t>
      </w:r>
    </w:p>
    <w:p w14:paraId="00A35B32" w14:textId="77777777" w:rsidR="000D23BB" w:rsidRPr="00424833" w:rsidRDefault="000D23BB" w:rsidP="00F75E05">
      <w:pPr>
        <w:pStyle w:val="ListParagraph"/>
        <w:spacing w:after="240" w:line="480" w:lineRule="auto"/>
        <w:rPr>
          <w:rFonts w:eastAsiaTheme="minorEastAsia"/>
        </w:rPr>
      </w:pPr>
    </w:p>
    <w:p w14:paraId="15EE3F12" w14:textId="359B976B" w:rsidR="000D23BB" w:rsidRPr="00424833" w:rsidRDefault="000D23BB" w:rsidP="00F75E05">
      <w:pPr>
        <w:pStyle w:val="ListParagraph"/>
        <w:numPr>
          <w:ilvl w:val="0"/>
          <w:numId w:val="27"/>
        </w:numPr>
        <w:spacing w:after="240" w:line="480" w:lineRule="auto"/>
        <w:rPr>
          <w:rFonts w:eastAsiaTheme="minorEastAsia"/>
        </w:rPr>
      </w:pPr>
      <w:r w:rsidRPr="00424833">
        <w:t xml:space="preserve">What other meaningful tools/measures are useful for determining surfactant administration (e.g., lung ultrasound, respiratory severity score, etc.)? </w:t>
      </w:r>
    </w:p>
    <w:p w14:paraId="6FF647F7" w14:textId="77777777" w:rsidR="000D23BB" w:rsidRPr="00424833" w:rsidRDefault="000D23BB" w:rsidP="00F75E05">
      <w:pPr>
        <w:pStyle w:val="ListParagraph"/>
        <w:spacing w:after="240" w:line="480" w:lineRule="auto"/>
        <w:rPr>
          <w:rFonts w:eastAsiaTheme="minorEastAsia"/>
        </w:rPr>
      </w:pPr>
    </w:p>
    <w:p w14:paraId="5633BD70" w14:textId="77777777" w:rsidR="000D23BB" w:rsidRPr="00424833" w:rsidRDefault="000D23BB" w:rsidP="00F75E05">
      <w:pPr>
        <w:pStyle w:val="ListParagraph"/>
        <w:numPr>
          <w:ilvl w:val="0"/>
          <w:numId w:val="27"/>
        </w:numPr>
        <w:spacing w:after="240" w:line="480" w:lineRule="auto"/>
        <w:rPr>
          <w:rFonts w:eastAsiaTheme="minorEastAsia"/>
        </w:rPr>
      </w:pPr>
      <w:r w:rsidRPr="00424833">
        <w:rPr>
          <w:rFonts w:eastAsiaTheme="minorEastAsia"/>
        </w:rPr>
        <w:lastRenderedPageBreak/>
        <w:t xml:space="preserve">What are the specific considerations for surfactant administration in subpopulations of neonates (e.g., certain gestational age groups)? </w:t>
      </w:r>
    </w:p>
    <w:p w14:paraId="19F746BC" w14:textId="77777777" w:rsidR="000D23BB" w:rsidRPr="00424833" w:rsidRDefault="000D23BB" w:rsidP="00F75E05">
      <w:pPr>
        <w:pStyle w:val="ListParagraph"/>
        <w:spacing w:after="240" w:line="480" w:lineRule="auto"/>
        <w:rPr>
          <w:rFonts w:eastAsiaTheme="minorEastAsia"/>
        </w:rPr>
      </w:pPr>
    </w:p>
    <w:p w14:paraId="3E6153FE" w14:textId="77777777" w:rsidR="000D23BB" w:rsidRPr="00424833" w:rsidRDefault="000D23BB" w:rsidP="00F75E05">
      <w:pPr>
        <w:pStyle w:val="ListParagraph"/>
        <w:numPr>
          <w:ilvl w:val="0"/>
          <w:numId w:val="27"/>
        </w:numPr>
        <w:spacing w:after="240" w:line="480" w:lineRule="auto"/>
        <w:rPr>
          <w:rFonts w:eastAsiaTheme="minorEastAsia"/>
        </w:rPr>
      </w:pPr>
      <w:r w:rsidRPr="00424833">
        <w:rPr>
          <w:rFonts w:eastAsiaTheme="minorEastAsia"/>
        </w:rPr>
        <w:t xml:space="preserve">From a surfactant administration perspective, how would you classify clinically meaningful gestational age cohorts? </w:t>
      </w:r>
    </w:p>
    <w:p w14:paraId="36E00BDE" w14:textId="77777777" w:rsidR="000D23BB" w:rsidRPr="00424833" w:rsidRDefault="000D23BB" w:rsidP="00F75E05">
      <w:pPr>
        <w:pStyle w:val="ListParagraph"/>
        <w:spacing w:after="240" w:line="480" w:lineRule="auto"/>
        <w:rPr>
          <w:rFonts w:eastAsiaTheme="minorEastAsia"/>
        </w:rPr>
      </w:pPr>
    </w:p>
    <w:p w14:paraId="4C342042" w14:textId="77777777" w:rsidR="000D23BB" w:rsidRPr="00424833" w:rsidRDefault="000D23BB" w:rsidP="00F75E05">
      <w:pPr>
        <w:pStyle w:val="ListParagraph"/>
        <w:numPr>
          <w:ilvl w:val="0"/>
          <w:numId w:val="27"/>
        </w:numPr>
        <w:spacing w:after="240" w:line="480" w:lineRule="auto"/>
        <w:rPr>
          <w:rFonts w:eastAsiaTheme="minorEastAsia"/>
        </w:rPr>
      </w:pPr>
      <w:r w:rsidRPr="00424833">
        <w:t xml:space="preserve">What are the barriers to the timely administration of surfactant? </w:t>
      </w:r>
    </w:p>
    <w:p w14:paraId="06C6714D" w14:textId="77777777" w:rsidR="000D23BB" w:rsidRPr="00424833" w:rsidRDefault="000D23BB" w:rsidP="00F75E05">
      <w:pPr>
        <w:pStyle w:val="ListParagraph"/>
        <w:spacing w:after="240" w:line="480" w:lineRule="auto"/>
        <w:rPr>
          <w:rFonts w:eastAsiaTheme="minorEastAsia"/>
        </w:rPr>
      </w:pPr>
    </w:p>
    <w:p w14:paraId="2E4A0E8C" w14:textId="32E1BBF9" w:rsidR="000D23BB" w:rsidRPr="00424833" w:rsidRDefault="000D23BB" w:rsidP="00F75E05">
      <w:pPr>
        <w:pStyle w:val="ListParagraph"/>
        <w:numPr>
          <w:ilvl w:val="0"/>
          <w:numId w:val="27"/>
        </w:numPr>
        <w:spacing w:after="240" w:line="480" w:lineRule="auto"/>
        <w:rPr>
          <w:rFonts w:eastAsiaTheme="minorEastAsia"/>
        </w:rPr>
      </w:pPr>
      <w:r w:rsidRPr="00424833">
        <w:t xml:space="preserve">Is there anything else related to the timing of surfactant administration that wasn’t mentioned? (If no, leave blank) </w:t>
      </w:r>
      <w:r w:rsidRPr="00424833">
        <w:rPr>
          <w:color w:val="FF0000"/>
        </w:rPr>
        <w:t xml:space="preserve"> </w:t>
      </w:r>
    </w:p>
    <w:p w14:paraId="6A1CCD66" w14:textId="77777777" w:rsidR="000D23BB" w:rsidRPr="00424833" w:rsidRDefault="000D23BB" w:rsidP="00F75E05">
      <w:pPr>
        <w:spacing w:after="240" w:line="480" w:lineRule="auto"/>
        <w:rPr>
          <w:i/>
          <w:iCs/>
        </w:rPr>
      </w:pPr>
      <w:r w:rsidRPr="00424833">
        <w:rPr>
          <w:i/>
          <w:iCs/>
        </w:rPr>
        <w:t>Section 3: Administration Methods and Techniques</w:t>
      </w:r>
    </w:p>
    <w:p w14:paraId="6E00B943" w14:textId="77777777" w:rsidR="000D23BB" w:rsidRPr="00424833" w:rsidRDefault="000D23BB" w:rsidP="00F75E05">
      <w:pPr>
        <w:pStyle w:val="ListParagraph"/>
        <w:numPr>
          <w:ilvl w:val="0"/>
          <w:numId w:val="27"/>
        </w:numPr>
        <w:spacing w:after="240" w:line="480" w:lineRule="auto"/>
        <w:rPr>
          <w:rFonts w:eastAsiaTheme="minorEastAsia"/>
        </w:rPr>
      </w:pPr>
      <w:r w:rsidRPr="00424833">
        <w:t xml:space="preserve">Does the type of equipment (MAC, 5-Fr feeding tube) used for surfactant administration matter? Please describe why or why not. </w:t>
      </w:r>
    </w:p>
    <w:p w14:paraId="2CD03F2B" w14:textId="77777777" w:rsidR="000D23BB" w:rsidRPr="00424833" w:rsidRDefault="000D23BB" w:rsidP="00F75E05">
      <w:pPr>
        <w:pStyle w:val="ListParagraph"/>
        <w:spacing w:after="240" w:line="480" w:lineRule="auto"/>
      </w:pPr>
    </w:p>
    <w:p w14:paraId="4C1429F7" w14:textId="77777777" w:rsidR="000D23BB" w:rsidRPr="00424833" w:rsidRDefault="000D23BB" w:rsidP="00F75E05">
      <w:pPr>
        <w:pStyle w:val="ListParagraph"/>
        <w:numPr>
          <w:ilvl w:val="0"/>
          <w:numId w:val="27"/>
        </w:numPr>
        <w:spacing w:after="240" w:line="480" w:lineRule="auto"/>
      </w:pPr>
      <w:r w:rsidRPr="00424833">
        <w:t>Do you routinely reposition the baby during surfactant administration?</w:t>
      </w:r>
      <w:r w:rsidRPr="00424833">
        <w:rPr>
          <w:color w:val="FF0000"/>
        </w:rPr>
        <w:t xml:space="preserve"> </w:t>
      </w:r>
      <w:r w:rsidRPr="00424833">
        <w:t xml:space="preserve">Please describe why or why not.  </w:t>
      </w:r>
    </w:p>
    <w:p w14:paraId="3C9ABE4D" w14:textId="77777777" w:rsidR="000D23BB" w:rsidRPr="00424833" w:rsidRDefault="000D23BB" w:rsidP="00F75E05">
      <w:pPr>
        <w:pStyle w:val="ListParagraph"/>
        <w:spacing w:after="240" w:line="480" w:lineRule="auto"/>
      </w:pPr>
    </w:p>
    <w:p w14:paraId="17835416" w14:textId="77777777" w:rsidR="000D23BB" w:rsidRPr="00424833" w:rsidRDefault="000D23BB" w:rsidP="00F75E05">
      <w:pPr>
        <w:pStyle w:val="ListParagraph"/>
        <w:numPr>
          <w:ilvl w:val="0"/>
          <w:numId w:val="27"/>
        </w:numPr>
        <w:spacing w:after="240" w:line="480" w:lineRule="auto"/>
      </w:pPr>
      <w:r w:rsidRPr="00424833">
        <w:t xml:space="preserve">Do you prefer using a single bolus or divided aliquot dosing when administering surfactant? (Multiple choice)  </w:t>
      </w:r>
    </w:p>
    <w:p w14:paraId="243D87BE" w14:textId="1902AEDE" w:rsidR="000D23BB" w:rsidRPr="00424833" w:rsidRDefault="000D23BB" w:rsidP="00F75E05">
      <w:pPr>
        <w:pStyle w:val="ListParagraph"/>
        <w:numPr>
          <w:ilvl w:val="1"/>
          <w:numId w:val="27"/>
        </w:numPr>
        <w:spacing w:after="240" w:line="480" w:lineRule="auto"/>
      </w:pPr>
      <w:r w:rsidRPr="00424833">
        <w:t xml:space="preserve">Single </w:t>
      </w:r>
      <w:r w:rsidR="006968B9">
        <w:t>b</w:t>
      </w:r>
      <w:r w:rsidRPr="00424833">
        <w:t>olus</w:t>
      </w:r>
    </w:p>
    <w:p w14:paraId="678D3CE4" w14:textId="77777777" w:rsidR="000D23BB" w:rsidRPr="00424833" w:rsidRDefault="000D23BB" w:rsidP="00F75E05">
      <w:pPr>
        <w:pStyle w:val="ListParagraph"/>
        <w:numPr>
          <w:ilvl w:val="1"/>
          <w:numId w:val="27"/>
        </w:numPr>
        <w:spacing w:after="240" w:line="480" w:lineRule="auto"/>
      </w:pPr>
      <w:r w:rsidRPr="00424833">
        <w:t>Divided aliquots</w:t>
      </w:r>
    </w:p>
    <w:p w14:paraId="3065F1DD" w14:textId="77777777" w:rsidR="000D23BB" w:rsidRPr="00424833" w:rsidRDefault="000D23BB" w:rsidP="00F75E05">
      <w:pPr>
        <w:pStyle w:val="ListParagraph"/>
        <w:numPr>
          <w:ilvl w:val="1"/>
          <w:numId w:val="27"/>
        </w:numPr>
        <w:spacing w:after="240" w:line="480" w:lineRule="auto"/>
      </w:pPr>
      <w:r w:rsidRPr="00424833">
        <w:lastRenderedPageBreak/>
        <w:t xml:space="preserve">Other (please specify) </w:t>
      </w:r>
    </w:p>
    <w:p w14:paraId="51FC6880" w14:textId="77777777" w:rsidR="000D23BB" w:rsidRPr="00424833" w:rsidRDefault="000D23BB" w:rsidP="00F75E05">
      <w:pPr>
        <w:pStyle w:val="ListParagraph"/>
        <w:spacing w:after="240" w:line="480" w:lineRule="auto"/>
      </w:pPr>
    </w:p>
    <w:p w14:paraId="5B41DFB3" w14:textId="77777777" w:rsidR="000D23BB" w:rsidRPr="00424833" w:rsidRDefault="000D23BB" w:rsidP="00F75E05">
      <w:pPr>
        <w:pStyle w:val="ListParagraph"/>
        <w:numPr>
          <w:ilvl w:val="0"/>
          <w:numId w:val="27"/>
        </w:numPr>
        <w:spacing w:after="240" w:line="480" w:lineRule="auto"/>
      </w:pPr>
      <w:r w:rsidRPr="00424833">
        <w:t xml:space="preserve">Follow up: Why do you prefer that method? </w:t>
      </w:r>
    </w:p>
    <w:p w14:paraId="092FB0C5" w14:textId="77777777" w:rsidR="000D23BB" w:rsidRPr="00424833" w:rsidRDefault="000D23BB" w:rsidP="00F75E05">
      <w:pPr>
        <w:pStyle w:val="ListParagraph"/>
        <w:spacing w:after="240" w:line="480" w:lineRule="auto"/>
      </w:pPr>
    </w:p>
    <w:p w14:paraId="059D27C6" w14:textId="77777777" w:rsidR="000D23BB" w:rsidRPr="00424833" w:rsidRDefault="000D23BB" w:rsidP="00F75E05">
      <w:pPr>
        <w:pStyle w:val="ListParagraph"/>
        <w:numPr>
          <w:ilvl w:val="0"/>
          <w:numId w:val="27"/>
        </w:numPr>
        <w:spacing w:after="240" w:line="480" w:lineRule="auto"/>
        <w:rPr>
          <w:rFonts w:eastAsiaTheme="minorEastAsia"/>
        </w:rPr>
      </w:pPr>
      <w:r w:rsidRPr="00424833">
        <w:rPr>
          <w:rFonts w:eastAsiaTheme="minorEastAsia"/>
        </w:rPr>
        <w:t>Do you practice the INSURE (</w:t>
      </w:r>
      <w:r w:rsidRPr="00424833">
        <w:rPr>
          <w:rFonts w:ascii="Calibri" w:eastAsia="Times New Roman" w:hAnsi="Calibri" w:cs="Calibri"/>
          <w:color w:val="000000" w:themeColor="text1"/>
        </w:rPr>
        <w:t xml:space="preserve">INtubation-SURfactant-Extubation) </w:t>
      </w:r>
      <w:r w:rsidRPr="00424833">
        <w:rPr>
          <w:rFonts w:eastAsiaTheme="minorEastAsia"/>
        </w:rPr>
        <w:t xml:space="preserve">technique? </w:t>
      </w:r>
    </w:p>
    <w:p w14:paraId="790B7EDD" w14:textId="77777777" w:rsidR="000D23BB" w:rsidRPr="00424833" w:rsidRDefault="000D23BB" w:rsidP="00F75E05">
      <w:pPr>
        <w:pStyle w:val="ListParagraph"/>
        <w:spacing w:after="240" w:line="480" w:lineRule="auto"/>
        <w:rPr>
          <w:rFonts w:eastAsiaTheme="minorEastAsia"/>
        </w:rPr>
      </w:pPr>
    </w:p>
    <w:p w14:paraId="490EDD5E" w14:textId="77777777" w:rsidR="000D23BB" w:rsidRPr="00424833" w:rsidRDefault="000D23BB" w:rsidP="00F75E05">
      <w:pPr>
        <w:pStyle w:val="ListParagraph"/>
        <w:numPr>
          <w:ilvl w:val="0"/>
          <w:numId w:val="27"/>
        </w:numPr>
        <w:spacing w:after="240" w:line="480" w:lineRule="auto"/>
        <w:rPr>
          <w:rFonts w:eastAsiaTheme="minorEastAsia"/>
        </w:rPr>
      </w:pPr>
      <w:r w:rsidRPr="00424833">
        <w:rPr>
          <w:rFonts w:eastAsiaTheme="minorEastAsia"/>
        </w:rPr>
        <w:t xml:space="preserve">If you do use INSURE, how soon should babies be extubated? </w:t>
      </w:r>
    </w:p>
    <w:p w14:paraId="5A4F4D5E" w14:textId="77777777" w:rsidR="000D23BB" w:rsidRPr="00424833" w:rsidRDefault="000D23BB" w:rsidP="00F75E05">
      <w:pPr>
        <w:pStyle w:val="ListParagraph"/>
        <w:spacing w:after="240" w:line="480" w:lineRule="auto"/>
        <w:rPr>
          <w:rFonts w:eastAsiaTheme="minorEastAsia"/>
        </w:rPr>
      </w:pPr>
    </w:p>
    <w:p w14:paraId="2F57F068" w14:textId="77777777" w:rsidR="000D23BB" w:rsidRPr="00424833" w:rsidRDefault="000D23BB" w:rsidP="00F75E05">
      <w:pPr>
        <w:pStyle w:val="ListParagraph"/>
        <w:numPr>
          <w:ilvl w:val="0"/>
          <w:numId w:val="27"/>
        </w:numPr>
        <w:spacing w:after="240" w:line="480" w:lineRule="auto"/>
        <w:rPr>
          <w:rFonts w:eastAsiaTheme="minorEastAsia"/>
        </w:rPr>
      </w:pPr>
      <w:r w:rsidRPr="00424833">
        <w:rPr>
          <w:u w:val="single"/>
        </w:rPr>
        <w:t>Please indicate your level of agreement</w:t>
      </w:r>
      <w:r w:rsidRPr="00E5157F">
        <w:t>:</w:t>
      </w:r>
      <w:r w:rsidRPr="00424833">
        <w:rPr>
          <w:rFonts w:ascii="Calibri" w:eastAsia="Times New Roman" w:hAnsi="Calibri" w:cs="Calibri"/>
          <w:color w:val="000000" w:themeColor="text1"/>
        </w:rPr>
        <w:t xml:space="preserve"> For spontaneously breathing infants on continuous positive airway pressure (CPAP) with RDS, less-invasive methods of surfactant administration are appropriate alternatives for the INSURE technique. </w:t>
      </w:r>
      <w:r w:rsidRPr="00424833">
        <w:t xml:space="preserve">(Multiple choice)  </w:t>
      </w:r>
    </w:p>
    <w:p w14:paraId="5BAE96C7" w14:textId="77777777" w:rsidR="000D23BB" w:rsidRPr="00424833" w:rsidRDefault="000D23BB" w:rsidP="00F75E05">
      <w:pPr>
        <w:pStyle w:val="ListParagraph"/>
        <w:numPr>
          <w:ilvl w:val="1"/>
          <w:numId w:val="27"/>
        </w:numPr>
        <w:spacing w:after="240" w:line="480" w:lineRule="auto"/>
        <w:rPr>
          <w:rFonts w:eastAsiaTheme="minorEastAsia"/>
        </w:rPr>
      </w:pPr>
      <w:r w:rsidRPr="00424833">
        <w:t>Strongly disagree</w:t>
      </w:r>
    </w:p>
    <w:p w14:paraId="53DB37B1" w14:textId="77777777" w:rsidR="000D23BB" w:rsidRPr="00424833" w:rsidRDefault="000D23BB" w:rsidP="00F75E05">
      <w:pPr>
        <w:pStyle w:val="ListParagraph"/>
        <w:numPr>
          <w:ilvl w:val="1"/>
          <w:numId w:val="27"/>
        </w:numPr>
        <w:spacing w:after="240" w:line="480" w:lineRule="auto"/>
        <w:rPr>
          <w:rFonts w:eastAsiaTheme="minorEastAsia"/>
        </w:rPr>
      </w:pPr>
      <w:r w:rsidRPr="00424833">
        <w:t>Disagree</w:t>
      </w:r>
    </w:p>
    <w:p w14:paraId="1BF4749E" w14:textId="77777777" w:rsidR="000D23BB" w:rsidRPr="00424833" w:rsidRDefault="000D23BB" w:rsidP="00F75E05">
      <w:pPr>
        <w:pStyle w:val="ListParagraph"/>
        <w:numPr>
          <w:ilvl w:val="1"/>
          <w:numId w:val="27"/>
        </w:numPr>
        <w:spacing w:after="240" w:line="480" w:lineRule="auto"/>
        <w:rPr>
          <w:rFonts w:eastAsiaTheme="minorEastAsia"/>
        </w:rPr>
      </w:pPr>
      <w:r w:rsidRPr="00424833">
        <w:t>Neutral</w:t>
      </w:r>
    </w:p>
    <w:p w14:paraId="0C2A99C8" w14:textId="77777777" w:rsidR="000D23BB" w:rsidRPr="00424833" w:rsidRDefault="000D23BB" w:rsidP="00F75E05">
      <w:pPr>
        <w:pStyle w:val="ListParagraph"/>
        <w:numPr>
          <w:ilvl w:val="1"/>
          <w:numId w:val="27"/>
        </w:numPr>
        <w:spacing w:after="240" w:line="480" w:lineRule="auto"/>
        <w:rPr>
          <w:rFonts w:eastAsiaTheme="minorEastAsia"/>
        </w:rPr>
      </w:pPr>
      <w:r w:rsidRPr="00424833">
        <w:t>Agree</w:t>
      </w:r>
    </w:p>
    <w:p w14:paraId="595A52F7" w14:textId="77777777" w:rsidR="000D23BB" w:rsidRPr="00424833" w:rsidRDefault="000D23BB" w:rsidP="00F75E05">
      <w:pPr>
        <w:pStyle w:val="ListParagraph"/>
        <w:numPr>
          <w:ilvl w:val="1"/>
          <w:numId w:val="27"/>
        </w:numPr>
        <w:spacing w:after="240" w:line="480" w:lineRule="auto"/>
        <w:rPr>
          <w:rFonts w:eastAsiaTheme="minorEastAsia"/>
        </w:rPr>
      </w:pPr>
      <w:r w:rsidRPr="00424833">
        <w:t>Strongly agree</w:t>
      </w:r>
    </w:p>
    <w:p w14:paraId="792DA83E" w14:textId="77777777" w:rsidR="000D23BB" w:rsidRPr="00424833" w:rsidRDefault="000D23BB" w:rsidP="00F75E05">
      <w:pPr>
        <w:pStyle w:val="ListParagraph"/>
        <w:spacing w:after="240" w:line="480" w:lineRule="auto"/>
      </w:pPr>
    </w:p>
    <w:p w14:paraId="679C3C8B" w14:textId="38495FC4" w:rsidR="000D23BB" w:rsidRPr="00424833" w:rsidRDefault="00291C92" w:rsidP="00F75E05">
      <w:pPr>
        <w:pStyle w:val="ListParagraph"/>
        <w:numPr>
          <w:ilvl w:val="0"/>
          <w:numId w:val="27"/>
        </w:numPr>
        <w:spacing w:after="240" w:line="480" w:lineRule="auto"/>
        <w:rPr>
          <w:color w:val="FF0000"/>
        </w:rPr>
      </w:pPr>
      <w:r>
        <w:t>When is less-</w:t>
      </w:r>
      <w:r w:rsidR="000D23BB" w:rsidRPr="00424833">
        <w:t xml:space="preserve">invasive surfactant administration (LISA) using a vascular or specially-designed catheter/minimally invasive surfactant therapy (MIST) using a feeding tube an appropriate option for surfactant administration? </w:t>
      </w:r>
    </w:p>
    <w:p w14:paraId="6FCBA198" w14:textId="77777777" w:rsidR="000D23BB" w:rsidRPr="00424833" w:rsidRDefault="000D23BB" w:rsidP="00F75E05">
      <w:pPr>
        <w:pStyle w:val="ListParagraph"/>
        <w:spacing w:after="240" w:line="480" w:lineRule="auto"/>
      </w:pPr>
    </w:p>
    <w:p w14:paraId="72034325" w14:textId="77777777" w:rsidR="000D23BB" w:rsidRPr="00424833" w:rsidRDefault="000D23BB" w:rsidP="00F75E05">
      <w:pPr>
        <w:pStyle w:val="ListParagraph"/>
        <w:numPr>
          <w:ilvl w:val="0"/>
          <w:numId w:val="27"/>
        </w:numPr>
        <w:spacing w:after="240" w:line="480" w:lineRule="auto"/>
      </w:pPr>
      <w:r w:rsidRPr="00424833">
        <w:lastRenderedPageBreak/>
        <w:t xml:space="preserve">When is laryngeal mask airway (LMA) an appropriate option for surfactant administration (e.g., babies over a certain weight)? </w:t>
      </w:r>
    </w:p>
    <w:p w14:paraId="0233D742" w14:textId="77777777" w:rsidR="000D23BB" w:rsidRPr="00424833" w:rsidRDefault="000D23BB" w:rsidP="00F75E05">
      <w:pPr>
        <w:pStyle w:val="ListParagraph"/>
        <w:spacing w:after="240" w:line="480" w:lineRule="auto"/>
      </w:pPr>
    </w:p>
    <w:p w14:paraId="19D5B959" w14:textId="77777777" w:rsidR="000D23BB" w:rsidRPr="00424833" w:rsidRDefault="000D23BB" w:rsidP="00F75E05">
      <w:pPr>
        <w:pStyle w:val="ListParagraph"/>
        <w:numPr>
          <w:ilvl w:val="0"/>
          <w:numId w:val="27"/>
        </w:numPr>
        <w:spacing w:after="240" w:line="480" w:lineRule="auto"/>
      </w:pPr>
      <w:r w:rsidRPr="00424833">
        <w:t>When is aerosol administration of surfactant appropriate?</w:t>
      </w:r>
    </w:p>
    <w:p w14:paraId="373451EB" w14:textId="77777777" w:rsidR="000D23BB" w:rsidRPr="00424833" w:rsidRDefault="000D23BB" w:rsidP="00F75E05">
      <w:pPr>
        <w:pStyle w:val="ListParagraph"/>
        <w:spacing w:after="240" w:line="480" w:lineRule="auto"/>
      </w:pPr>
    </w:p>
    <w:p w14:paraId="6D3772E5" w14:textId="77777777" w:rsidR="000D23BB" w:rsidRPr="00424833" w:rsidRDefault="000D23BB" w:rsidP="00F75E05">
      <w:pPr>
        <w:pStyle w:val="ListParagraph"/>
        <w:numPr>
          <w:ilvl w:val="0"/>
          <w:numId w:val="27"/>
        </w:numPr>
        <w:spacing w:after="240" w:line="480" w:lineRule="auto"/>
      </w:pPr>
      <w:r w:rsidRPr="00424833">
        <w:t xml:space="preserve">What are current knowledge gaps for the above alternative surfactant administration methods (LMA and aerosol)? </w:t>
      </w:r>
    </w:p>
    <w:p w14:paraId="033FA2D2" w14:textId="77777777" w:rsidR="000D23BB" w:rsidRPr="00424833" w:rsidRDefault="000D23BB" w:rsidP="00F75E05">
      <w:pPr>
        <w:spacing w:after="240" w:line="480" w:lineRule="auto"/>
        <w:rPr>
          <w:i/>
          <w:iCs/>
        </w:rPr>
      </w:pPr>
      <w:r w:rsidRPr="00424833">
        <w:rPr>
          <w:i/>
          <w:iCs/>
        </w:rPr>
        <w:t xml:space="preserve">Section 4: Other Considerations </w:t>
      </w:r>
    </w:p>
    <w:p w14:paraId="3B560DDC" w14:textId="77777777" w:rsidR="000D23BB" w:rsidRPr="00424833" w:rsidRDefault="000D23BB" w:rsidP="00F75E05">
      <w:pPr>
        <w:pStyle w:val="ListParagraph"/>
        <w:numPr>
          <w:ilvl w:val="0"/>
          <w:numId w:val="27"/>
        </w:numPr>
        <w:spacing w:after="240" w:line="480" w:lineRule="auto"/>
      </w:pPr>
      <w:r w:rsidRPr="00424833">
        <w:rPr>
          <w:u w:val="single"/>
        </w:rPr>
        <w:t>Please indicate your level of agreement</w:t>
      </w:r>
      <w:r w:rsidRPr="00E5157F">
        <w:t>:</w:t>
      </w:r>
      <w:r w:rsidRPr="00424833">
        <w:t xml:space="preserve"> Criteria for redosing surfactant are similar to criteria for initial dose. (Multiple choice)  </w:t>
      </w:r>
    </w:p>
    <w:p w14:paraId="6F5E73E8" w14:textId="77777777" w:rsidR="000D23BB" w:rsidRPr="00424833" w:rsidRDefault="000D23BB" w:rsidP="00F75E05">
      <w:pPr>
        <w:pStyle w:val="ListParagraph"/>
        <w:numPr>
          <w:ilvl w:val="1"/>
          <w:numId w:val="27"/>
        </w:numPr>
        <w:spacing w:after="240" w:line="480" w:lineRule="auto"/>
        <w:rPr>
          <w:rFonts w:eastAsiaTheme="minorEastAsia"/>
        </w:rPr>
      </w:pPr>
      <w:r w:rsidRPr="00424833">
        <w:t>Strongly disagree</w:t>
      </w:r>
    </w:p>
    <w:p w14:paraId="15918AF6" w14:textId="77777777" w:rsidR="000D23BB" w:rsidRPr="00424833" w:rsidRDefault="000D23BB" w:rsidP="00F75E05">
      <w:pPr>
        <w:pStyle w:val="ListParagraph"/>
        <w:numPr>
          <w:ilvl w:val="1"/>
          <w:numId w:val="27"/>
        </w:numPr>
        <w:spacing w:after="240" w:line="480" w:lineRule="auto"/>
        <w:rPr>
          <w:rFonts w:eastAsiaTheme="minorEastAsia"/>
        </w:rPr>
      </w:pPr>
      <w:r w:rsidRPr="00424833">
        <w:t>Disagree</w:t>
      </w:r>
    </w:p>
    <w:p w14:paraId="0B8CC6A1" w14:textId="77777777" w:rsidR="000D23BB" w:rsidRPr="00424833" w:rsidRDefault="000D23BB" w:rsidP="00F75E05">
      <w:pPr>
        <w:pStyle w:val="ListParagraph"/>
        <w:numPr>
          <w:ilvl w:val="1"/>
          <w:numId w:val="27"/>
        </w:numPr>
        <w:spacing w:after="240" w:line="480" w:lineRule="auto"/>
        <w:rPr>
          <w:rFonts w:eastAsiaTheme="minorEastAsia"/>
        </w:rPr>
      </w:pPr>
      <w:r w:rsidRPr="00424833">
        <w:t>Neutral</w:t>
      </w:r>
    </w:p>
    <w:p w14:paraId="32ACB800" w14:textId="77777777" w:rsidR="000D23BB" w:rsidRPr="00424833" w:rsidRDefault="000D23BB" w:rsidP="00F75E05">
      <w:pPr>
        <w:pStyle w:val="ListParagraph"/>
        <w:numPr>
          <w:ilvl w:val="1"/>
          <w:numId w:val="27"/>
        </w:numPr>
        <w:spacing w:after="240" w:line="480" w:lineRule="auto"/>
        <w:rPr>
          <w:rFonts w:eastAsiaTheme="minorEastAsia"/>
        </w:rPr>
      </w:pPr>
      <w:r w:rsidRPr="00424833">
        <w:t>Agree</w:t>
      </w:r>
    </w:p>
    <w:p w14:paraId="271BA39B" w14:textId="77777777" w:rsidR="000D23BB" w:rsidRPr="00424833" w:rsidRDefault="000D23BB" w:rsidP="00F75E05">
      <w:pPr>
        <w:pStyle w:val="ListParagraph"/>
        <w:numPr>
          <w:ilvl w:val="1"/>
          <w:numId w:val="27"/>
        </w:numPr>
        <w:spacing w:after="240" w:line="480" w:lineRule="auto"/>
        <w:rPr>
          <w:rFonts w:eastAsiaTheme="minorEastAsia"/>
        </w:rPr>
      </w:pPr>
      <w:r w:rsidRPr="00424833">
        <w:t>Strongly agree</w:t>
      </w:r>
    </w:p>
    <w:p w14:paraId="6A602F59" w14:textId="77777777" w:rsidR="000D23BB" w:rsidRPr="00424833" w:rsidRDefault="000D23BB" w:rsidP="00F75E05">
      <w:pPr>
        <w:pStyle w:val="ListParagraph"/>
        <w:spacing w:after="240" w:line="480" w:lineRule="auto"/>
        <w:rPr>
          <w:rFonts w:eastAsiaTheme="minorEastAsia"/>
        </w:rPr>
      </w:pPr>
    </w:p>
    <w:p w14:paraId="07055276" w14:textId="77777777" w:rsidR="000D23BB" w:rsidRPr="00424833" w:rsidRDefault="000D23BB" w:rsidP="00F75E05">
      <w:pPr>
        <w:pStyle w:val="ListParagraph"/>
        <w:numPr>
          <w:ilvl w:val="0"/>
          <w:numId w:val="27"/>
        </w:numPr>
        <w:spacing w:after="240" w:line="480" w:lineRule="auto"/>
        <w:rPr>
          <w:rFonts w:eastAsiaTheme="minorEastAsia"/>
          <w:i/>
          <w:iCs/>
          <w:color w:val="FF0000"/>
        </w:rPr>
      </w:pPr>
      <w:r w:rsidRPr="00424833">
        <w:t>Do you routinely premedicate before using the following administration methods: INSURE, LISA/MIST, LMA, other (please specify).</w:t>
      </w:r>
    </w:p>
    <w:p w14:paraId="72392645" w14:textId="77777777" w:rsidR="000D23BB" w:rsidRPr="00424833" w:rsidRDefault="000D23BB" w:rsidP="00F75E05">
      <w:pPr>
        <w:pStyle w:val="ListParagraph"/>
        <w:spacing w:after="240" w:line="480" w:lineRule="auto"/>
        <w:rPr>
          <w:rFonts w:eastAsiaTheme="minorEastAsia"/>
          <w:i/>
          <w:iCs/>
          <w:color w:val="FF0000"/>
        </w:rPr>
      </w:pPr>
    </w:p>
    <w:p w14:paraId="51027ADC" w14:textId="47FD8E9B" w:rsidR="0040165A" w:rsidRPr="00424833" w:rsidRDefault="000D23BB" w:rsidP="00F75E05">
      <w:pPr>
        <w:pStyle w:val="ListParagraph"/>
        <w:numPr>
          <w:ilvl w:val="0"/>
          <w:numId w:val="27"/>
        </w:numPr>
        <w:spacing w:after="240" w:line="480" w:lineRule="auto"/>
      </w:pPr>
      <w:r w:rsidRPr="00424833">
        <w:t>What factors impact your decision to use or not use premedication for each selected method</w:t>
      </w:r>
      <w:r w:rsidR="0040165A" w:rsidRPr="00424833">
        <w:t>?</w:t>
      </w:r>
    </w:p>
    <w:p w14:paraId="67BF5C5E" w14:textId="77777777" w:rsidR="0040165A" w:rsidRPr="00424833" w:rsidRDefault="0040165A" w:rsidP="00F75E05">
      <w:pPr>
        <w:pStyle w:val="ListParagraph"/>
        <w:spacing w:after="240" w:line="480" w:lineRule="auto"/>
      </w:pPr>
    </w:p>
    <w:p w14:paraId="5D5558C4" w14:textId="5FB617E4" w:rsidR="000D23BB" w:rsidRPr="00424833" w:rsidRDefault="000D23BB" w:rsidP="00F75E05">
      <w:pPr>
        <w:pStyle w:val="ListParagraph"/>
        <w:numPr>
          <w:ilvl w:val="0"/>
          <w:numId w:val="27"/>
        </w:numPr>
        <w:spacing w:after="240" w:line="480" w:lineRule="auto"/>
      </w:pPr>
      <w:r w:rsidRPr="00424833">
        <w:t xml:space="preserve">Is sucrose routinely administered before administration of surfactant? Why or why not? </w:t>
      </w:r>
    </w:p>
    <w:p w14:paraId="7E9CC81E" w14:textId="77777777" w:rsidR="0040165A" w:rsidRPr="00424833" w:rsidRDefault="0040165A" w:rsidP="00F75E05">
      <w:pPr>
        <w:pStyle w:val="ListParagraph"/>
        <w:spacing w:after="240" w:line="480" w:lineRule="auto"/>
      </w:pPr>
    </w:p>
    <w:p w14:paraId="2E3B2F8C" w14:textId="300D19F8" w:rsidR="000D23BB" w:rsidRPr="00424833" w:rsidRDefault="000D23BB" w:rsidP="00F75E05">
      <w:pPr>
        <w:pStyle w:val="ListParagraph"/>
        <w:numPr>
          <w:ilvl w:val="0"/>
          <w:numId w:val="27"/>
        </w:numPr>
        <w:spacing w:after="240" w:line="480" w:lineRule="auto"/>
        <w:rPr>
          <w:rFonts w:eastAsiaTheme="minorEastAsia"/>
          <w:i/>
          <w:iCs/>
          <w:color w:val="FF0000"/>
        </w:rPr>
      </w:pPr>
      <w:r w:rsidRPr="00424833">
        <w:t>If yes, for which administration methods do you use sucrose as premedication?</w:t>
      </w:r>
      <w:r w:rsidRPr="00424833">
        <w:rPr>
          <w:color w:val="000000" w:themeColor="text1"/>
        </w:rPr>
        <w:t xml:space="preserve"> (</w:t>
      </w:r>
      <w:r w:rsidRPr="00424833">
        <w:rPr>
          <w:rFonts w:eastAsiaTheme="minorEastAsia"/>
          <w:color w:val="000000" w:themeColor="text1"/>
        </w:rPr>
        <w:t xml:space="preserve">Conventional mechanical ventilation, INSURE, LISA/MIST, LMA, </w:t>
      </w:r>
      <w:r w:rsidR="00FD4F49">
        <w:rPr>
          <w:rFonts w:eastAsiaTheme="minorEastAsia"/>
          <w:color w:val="000000" w:themeColor="text1"/>
        </w:rPr>
        <w:t>o</w:t>
      </w:r>
      <w:r w:rsidRPr="00424833">
        <w:rPr>
          <w:rFonts w:eastAsiaTheme="minorEastAsia"/>
          <w:color w:val="000000" w:themeColor="text1"/>
        </w:rPr>
        <w:t xml:space="preserve">ther </w:t>
      </w:r>
      <w:r w:rsidR="007F59C9">
        <w:rPr>
          <w:rFonts w:eastAsiaTheme="minorEastAsia"/>
          <w:color w:val="000000" w:themeColor="text1"/>
        </w:rPr>
        <w:t>[</w:t>
      </w:r>
      <w:r w:rsidRPr="00424833">
        <w:rPr>
          <w:rFonts w:eastAsiaTheme="minorEastAsia"/>
          <w:color w:val="000000" w:themeColor="text1"/>
        </w:rPr>
        <w:t>please specify</w:t>
      </w:r>
      <w:r w:rsidR="00263877">
        <w:rPr>
          <w:rFonts w:eastAsiaTheme="minorEastAsia"/>
          <w:color w:val="000000" w:themeColor="text1"/>
        </w:rPr>
        <w:t>]</w:t>
      </w:r>
      <w:r w:rsidRPr="00424833">
        <w:rPr>
          <w:rFonts w:eastAsiaTheme="minorEastAsia"/>
          <w:color w:val="000000" w:themeColor="text1"/>
        </w:rPr>
        <w:t xml:space="preserve">) </w:t>
      </w:r>
    </w:p>
    <w:p w14:paraId="2F9BC741" w14:textId="77777777" w:rsidR="000D23BB" w:rsidRPr="00424833" w:rsidRDefault="000D23BB" w:rsidP="00F75E05">
      <w:pPr>
        <w:pStyle w:val="ListParagraph"/>
        <w:spacing w:after="240" w:line="480" w:lineRule="auto"/>
      </w:pPr>
    </w:p>
    <w:p w14:paraId="0637E7B3" w14:textId="77777777" w:rsidR="000D23BB" w:rsidRPr="00424833" w:rsidRDefault="000D23BB" w:rsidP="00F75E05">
      <w:pPr>
        <w:pStyle w:val="ListParagraph"/>
        <w:numPr>
          <w:ilvl w:val="0"/>
          <w:numId w:val="27"/>
        </w:numPr>
        <w:spacing w:after="240" w:line="480" w:lineRule="auto"/>
      </w:pPr>
      <w:r w:rsidRPr="00424833">
        <w:t xml:space="preserve">Is IV atropine routinely administered before administration of surfactant? Why or why not? </w:t>
      </w:r>
    </w:p>
    <w:p w14:paraId="29C084C3" w14:textId="77777777" w:rsidR="000D23BB" w:rsidRPr="00424833" w:rsidRDefault="000D23BB" w:rsidP="00F75E05">
      <w:pPr>
        <w:pStyle w:val="ListParagraph"/>
        <w:spacing w:after="240" w:line="480" w:lineRule="auto"/>
      </w:pPr>
    </w:p>
    <w:p w14:paraId="59B1F24C" w14:textId="77777777" w:rsidR="000D23BB" w:rsidRPr="00424833" w:rsidRDefault="000D23BB" w:rsidP="00F75E05">
      <w:pPr>
        <w:pStyle w:val="ListParagraph"/>
        <w:numPr>
          <w:ilvl w:val="0"/>
          <w:numId w:val="27"/>
        </w:numPr>
        <w:spacing w:after="240" w:line="480" w:lineRule="auto"/>
        <w:rPr>
          <w:color w:val="000000" w:themeColor="text1"/>
        </w:rPr>
      </w:pPr>
      <w:r w:rsidRPr="00424833">
        <w:t>For which administration methods do you use IV atropine as premedication</w:t>
      </w:r>
      <w:r w:rsidRPr="00424833">
        <w:rPr>
          <w:color w:val="000000" w:themeColor="text1"/>
        </w:rPr>
        <w:t>? (Select all that apply)</w:t>
      </w:r>
    </w:p>
    <w:p w14:paraId="1AA93610" w14:textId="77777777" w:rsidR="000D23BB" w:rsidRPr="00424833" w:rsidRDefault="000D23BB" w:rsidP="00F75E05">
      <w:pPr>
        <w:spacing w:line="480" w:lineRule="auto"/>
        <w:ind w:left="1080"/>
        <w:rPr>
          <w:rFonts w:eastAsiaTheme="minorEastAsia"/>
          <w:color w:val="000000" w:themeColor="text1"/>
        </w:rPr>
      </w:pPr>
      <w:r w:rsidRPr="00424833">
        <w:rPr>
          <w:rFonts w:eastAsiaTheme="minorEastAsia"/>
          <w:color w:val="000000" w:themeColor="text1"/>
        </w:rPr>
        <w:t>a. Conventional mechanical ventilation</w:t>
      </w:r>
    </w:p>
    <w:p w14:paraId="688BBF3A" w14:textId="77777777" w:rsidR="000D23BB" w:rsidRPr="00424833" w:rsidRDefault="000D23BB" w:rsidP="00F75E05">
      <w:pPr>
        <w:spacing w:line="480" w:lineRule="auto"/>
        <w:ind w:left="1080"/>
        <w:rPr>
          <w:rFonts w:eastAsiaTheme="minorEastAsia"/>
          <w:color w:val="000000" w:themeColor="text1"/>
        </w:rPr>
      </w:pPr>
      <w:r w:rsidRPr="00424833">
        <w:rPr>
          <w:rFonts w:eastAsiaTheme="minorEastAsia"/>
          <w:color w:val="000000" w:themeColor="text1"/>
        </w:rPr>
        <w:t>b. INSURE</w:t>
      </w:r>
    </w:p>
    <w:p w14:paraId="543415D8" w14:textId="77777777" w:rsidR="000D23BB" w:rsidRPr="00424833" w:rsidRDefault="000D23BB" w:rsidP="00F75E05">
      <w:pPr>
        <w:spacing w:line="480" w:lineRule="auto"/>
        <w:ind w:left="1080"/>
        <w:rPr>
          <w:rFonts w:eastAsiaTheme="minorEastAsia"/>
          <w:color w:val="000000" w:themeColor="text1"/>
        </w:rPr>
      </w:pPr>
      <w:r w:rsidRPr="00424833">
        <w:rPr>
          <w:rFonts w:eastAsiaTheme="minorEastAsia"/>
          <w:color w:val="000000" w:themeColor="text1"/>
        </w:rPr>
        <w:t>c. LISA/MIST</w:t>
      </w:r>
    </w:p>
    <w:p w14:paraId="6D36F062" w14:textId="77777777" w:rsidR="000D23BB" w:rsidRPr="00424833" w:rsidRDefault="000D23BB" w:rsidP="00F75E05">
      <w:pPr>
        <w:spacing w:line="480" w:lineRule="auto"/>
        <w:ind w:left="1080"/>
        <w:rPr>
          <w:rFonts w:eastAsiaTheme="minorEastAsia"/>
          <w:color w:val="000000" w:themeColor="text1"/>
        </w:rPr>
      </w:pPr>
      <w:r w:rsidRPr="00424833">
        <w:rPr>
          <w:rFonts w:eastAsiaTheme="minorEastAsia"/>
          <w:color w:val="000000" w:themeColor="text1"/>
        </w:rPr>
        <w:t>d. LMA</w:t>
      </w:r>
    </w:p>
    <w:p w14:paraId="6FB0D589" w14:textId="77777777" w:rsidR="000D23BB" w:rsidRPr="00424833" w:rsidRDefault="000D23BB" w:rsidP="00F75E05">
      <w:pPr>
        <w:spacing w:line="480" w:lineRule="auto"/>
        <w:ind w:left="1080"/>
        <w:rPr>
          <w:rFonts w:eastAsiaTheme="minorEastAsia"/>
          <w:color w:val="000000" w:themeColor="text1"/>
        </w:rPr>
      </w:pPr>
      <w:r w:rsidRPr="00424833">
        <w:rPr>
          <w:rFonts w:eastAsiaTheme="minorEastAsia"/>
          <w:color w:val="000000" w:themeColor="text1"/>
        </w:rPr>
        <w:t>e. Other (please specify)</w:t>
      </w:r>
    </w:p>
    <w:p w14:paraId="19F8706A" w14:textId="77777777" w:rsidR="000D23BB" w:rsidRPr="00424833" w:rsidRDefault="000D23BB" w:rsidP="00F75E05">
      <w:pPr>
        <w:pStyle w:val="ListParagraph"/>
        <w:numPr>
          <w:ilvl w:val="0"/>
          <w:numId w:val="27"/>
        </w:numPr>
        <w:spacing w:after="240" w:line="480" w:lineRule="auto"/>
        <w:rPr>
          <w:rFonts w:eastAsiaTheme="minorEastAsia"/>
        </w:rPr>
      </w:pPr>
      <w:r w:rsidRPr="00424833">
        <w:rPr>
          <w:rFonts w:eastAsiaTheme="minorEastAsia"/>
        </w:rPr>
        <w:t>Do you have any other comments or anything else to add? (If no, leave blank).</w:t>
      </w:r>
    </w:p>
    <w:p w14:paraId="3D32C85C" w14:textId="77777777" w:rsidR="00CA7C1A" w:rsidRPr="00424833" w:rsidRDefault="00CA7C1A" w:rsidP="00F75E05">
      <w:pPr>
        <w:spacing w:after="240" w:line="480" w:lineRule="auto"/>
      </w:pPr>
      <w:r w:rsidRPr="00424833">
        <w:br w:type="page"/>
      </w:r>
    </w:p>
    <w:p w14:paraId="4E249646" w14:textId="77777777" w:rsidR="00D34AF0" w:rsidRPr="00424833" w:rsidRDefault="00D34AF0" w:rsidP="00F75E05">
      <w:pPr>
        <w:pStyle w:val="ListParagraph"/>
        <w:numPr>
          <w:ilvl w:val="0"/>
          <w:numId w:val="22"/>
        </w:numPr>
        <w:spacing w:after="240" w:line="480" w:lineRule="auto"/>
        <w:rPr>
          <w:b/>
          <w:bCs/>
        </w:rPr>
      </w:pPr>
      <w:r w:rsidRPr="00424833">
        <w:rPr>
          <w:b/>
          <w:bCs/>
        </w:rPr>
        <w:lastRenderedPageBreak/>
        <w:t>List of Panelists</w:t>
      </w:r>
    </w:p>
    <w:tbl>
      <w:tblPr>
        <w:tblW w:w="9594" w:type="dxa"/>
        <w:tblInd w:w="-5" w:type="dxa"/>
        <w:tblCellMar>
          <w:left w:w="0" w:type="dxa"/>
          <w:right w:w="0" w:type="dxa"/>
        </w:tblCellMar>
        <w:tblLook w:val="0420" w:firstRow="1" w:lastRow="0" w:firstColumn="0" w:lastColumn="0" w:noHBand="0" w:noVBand="1"/>
      </w:tblPr>
      <w:tblGrid>
        <w:gridCol w:w="1890"/>
        <w:gridCol w:w="4730"/>
        <w:gridCol w:w="1487"/>
        <w:gridCol w:w="1487"/>
      </w:tblGrid>
      <w:tr w:rsidR="00105E60" w:rsidRPr="00424833" w14:paraId="03CF8D2E" w14:textId="77777777" w:rsidTr="00DB53D7">
        <w:trPr>
          <w:trHeight w:val="413"/>
        </w:trPr>
        <w:tc>
          <w:tcPr>
            <w:tcW w:w="1890" w:type="dxa"/>
            <w:tcBorders>
              <w:top w:val="single" w:sz="4" w:space="0" w:color="000000" w:themeColor="text1"/>
              <w:left w:val="single" w:sz="4" w:space="0" w:color="000000" w:themeColor="text1"/>
              <w:bottom w:val="single" w:sz="4" w:space="0" w:color="000000" w:themeColor="text1"/>
              <w:right w:val="nil"/>
            </w:tcBorders>
            <w:shd w:val="clear" w:color="auto" w:fill="AEAAAA" w:themeFill="background2" w:themeFillShade="BF"/>
            <w:tcMar>
              <w:top w:w="15" w:type="dxa"/>
              <w:left w:w="15" w:type="dxa"/>
              <w:bottom w:w="72" w:type="dxa"/>
              <w:right w:w="15" w:type="dxa"/>
            </w:tcMar>
            <w:vAlign w:val="center"/>
            <w:hideMark/>
          </w:tcPr>
          <w:p w14:paraId="6CA5E0CE" w14:textId="77777777" w:rsidR="00105E60" w:rsidRPr="00424833" w:rsidRDefault="00105E60" w:rsidP="00F75E05">
            <w:pPr>
              <w:spacing w:line="480" w:lineRule="auto"/>
              <w:ind w:left="360"/>
              <w:rPr>
                <w:sz w:val="20"/>
                <w:szCs w:val="20"/>
              </w:rPr>
            </w:pPr>
            <w:r w:rsidRPr="00424833">
              <w:rPr>
                <w:b/>
                <w:bCs/>
                <w:sz w:val="20"/>
                <w:szCs w:val="20"/>
              </w:rPr>
              <w:t>Name</w:t>
            </w:r>
          </w:p>
        </w:tc>
        <w:tc>
          <w:tcPr>
            <w:tcW w:w="4730" w:type="dxa"/>
            <w:tcBorders>
              <w:top w:val="single" w:sz="4" w:space="0" w:color="000000" w:themeColor="text1"/>
              <w:left w:val="nil"/>
              <w:bottom w:val="single" w:sz="4" w:space="0" w:color="000000" w:themeColor="text1"/>
              <w:right w:val="nil"/>
            </w:tcBorders>
            <w:shd w:val="clear" w:color="auto" w:fill="AEAAAA" w:themeFill="background2" w:themeFillShade="BF"/>
            <w:tcMar>
              <w:top w:w="15" w:type="dxa"/>
              <w:left w:w="15" w:type="dxa"/>
              <w:bottom w:w="72" w:type="dxa"/>
              <w:right w:w="15" w:type="dxa"/>
            </w:tcMar>
            <w:vAlign w:val="center"/>
            <w:hideMark/>
          </w:tcPr>
          <w:p w14:paraId="32AE35D3" w14:textId="77777777" w:rsidR="00105E60" w:rsidRPr="00424833" w:rsidRDefault="00105E60" w:rsidP="00F75E05">
            <w:pPr>
              <w:spacing w:line="480" w:lineRule="auto"/>
              <w:ind w:left="360"/>
              <w:rPr>
                <w:sz w:val="20"/>
                <w:szCs w:val="20"/>
              </w:rPr>
            </w:pPr>
            <w:r w:rsidRPr="00424833">
              <w:rPr>
                <w:b/>
                <w:bCs/>
                <w:sz w:val="20"/>
                <w:szCs w:val="20"/>
              </w:rPr>
              <w:t>Position</w:t>
            </w:r>
          </w:p>
        </w:tc>
        <w:tc>
          <w:tcPr>
            <w:tcW w:w="1487" w:type="dxa"/>
            <w:tcBorders>
              <w:top w:val="single" w:sz="4" w:space="0" w:color="000000" w:themeColor="text1"/>
              <w:left w:val="nil"/>
              <w:bottom w:val="single" w:sz="4" w:space="0" w:color="000000" w:themeColor="text1"/>
              <w:right w:val="nil"/>
            </w:tcBorders>
            <w:shd w:val="clear" w:color="auto" w:fill="AEAAAA" w:themeFill="background2" w:themeFillShade="BF"/>
          </w:tcPr>
          <w:p w14:paraId="45D0554C" w14:textId="5ACBC506" w:rsidR="00105E60" w:rsidRPr="00424833" w:rsidRDefault="00105E60" w:rsidP="00F75E05">
            <w:pPr>
              <w:spacing w:line="480" w:lineRule="auto"/>
              <w:ind w:left="360"/>
              <w:rPr>
                <w:b/>
                <w:bCs/>
                <w:sz w:val="20"/>
                <w:szCs w:val="20"/>
              </w:rPr>
            </w:pPr>
            <w:r>
              <w:rPr>
                <w:b/>
                <w:bCs/>
                <w:sz w:val="20"/>
                <w:szCs w:val="20"/>
              </w:rPr>
              <w:t>Geographic Location</w:t>
            </w:r>
          </w:p>
        </w:tc>
        <w:tc>
          <w:tcPr>
            <w:tcW w:w="1487" w:type="dxa"/>
            <w:tcBorders>
              <w:top w:val="single" w:sz="4" w:space="0" w:color="000000" w:themeColor="text1"/>
              <w:left w:val="nil"/>
              <w:bottom w:val="single" w:sz="4" w:space="0" w:color="000000" w:themeColor="text1"/>
              <w:right w:val="single" w:sz="4" w:space="0" w:color="000000" w:themeColor="text1"/>
            </w:tcBorders>
            <w:shd w:val="clear" w:color="auto" w:fill="AEAAAA" w:themeFill="background2" w:themeFillShade="BF"/>
            <w:tcMar>
              <w:top w:w="15" w:type="dxa"/>
              <w:left w:w="15" w:type="dxa"/>
              <w:bottom w:w="72" w:type="dxa"/>
              <w:right w:w="15" w:type="dxa"/>
            </w:tcMar>
            <w:vAlign w:val="center"/>
            <w:hideMark/>
          </w:tcPr>
          <w:p w14:paraId="6053A436" w14:textId="12D6643E" w:rsidR="00105E60" w:rsidRPr="00424833" w:rsidRDefault="00105E60" w:rsidP="00F75E05">
            <w:pPr>
              <w:spacing w:line="480" w:lineRule="auto"/>
              <w:ind w:left="360"/>
              <w:rPr>
                <w:sz w:val="20"/>
                <w:szCs w:val="20"/>
              </w:rPr>
            </w:pPr>
            <w:r w:rsidRPr="00424833">
              <w:rPr>
                <w:b/>
                <w:bCs/>
                <w:sz w:val="20"/>
                <w:szCs w:val="20"/>
              </w:rPr>
              <w:t>Role</w:t>
            </w:r>
          </w:p>
        </w:tc>
      </w:tr>
      <w:tr w:rsidR="00105E60" w:rsidRPr="00424833" w14:paraId="4748FD39" w14:textId="77777777" w:rsidTr="00E5157F">
        <w:trPr>
          <w:trHeight w:val="596"/>
        </w:trPr>
        <w:tc>
          <w:tcPr>
            <w:tcW w:w="1890" w:type="dxa"/>
            <w:tcBorders>
              <w:top w:val="single" w:sz="4" w:space="0" w:color="000000" w:themeColor="text1"/>
              <w:left w:val="single" w:sz="4" w:space="0" w:color="000000" w:themeColor="text1"/>
              <w:bottom w:val="single" w:sz="4" w:space="0" w:color="000000" w:themeColor="text1"/>
              <w:right w:val="nil"/>
            </w:tcBorders>
            <w:shd w:val="clear" w:color="auto" w:fill="auto"/>
            <w:tcMar>
              <w:top w:w="15" w:type="dxa"/>
              <w:left w:w="15" w:type="dxa"/>
              <w:bottom w:w="72" w:type="dxa"/>
              <w:right w:w="15" w:type="dxa"/>
            </w:tcMar>
            <w:vAlign w:val="center"/>
            <w:hideMark/>
          </w:tcPr>
          <w:p w14:paraId="4C67BDDB" w14:textId="77777777" w:rsidR="00105E60" w:rsidRPr="00424833" w:rsidRDefault="00105E60" w:rsidP="00F75E05">
            <w:pPr>
              <w:spacing w:line="480" w:lineRule="auto"/>
              <w:ind w:left="360"/>
              <w:rPr>
                <w:sz w:val="20"/>
                <w:szCs w:val="20"/>
              </w:rPr>
            </w:pPr>
            <w:r w:rsidRPr="00424833">
              <w:rPr>
                <w:sz w:val="20"/>
                <w:szCs w:val="20"/>
              </w:rPr>
              <w:t>Vineet Bhandari, MD, DM</w:t>
            </w:r>
          </w:p>
        </w:tc>
        <w:tc>
          <w:tcPr>
            <w:tcW w:w="4730" w:type="dxa"/>
            <w:tcBorders>
              <w:top w:val="single" w:sz="4" w:space="0" w:color="000000" w:themeColor="text1"/>
              <w:left w:val="nil"/>
              <w:bottom w:val="single" w:sz="4" w:space="0" w:color="000000" w:themeColor="text1"/>
              <w:right w:val="nil"/>
            </w:tcBorders>
            <w:shd w:val="clear" w:color="auto" w:fill="auto"/>
            <w:tcMar>
              <w:top w:w="15" w:type="dxa"/>
              <w:left w:w="15" w:type="dxa"/>
              <w:bottom w:w="72" w:type="dxa"/>
              <w:right w:w="15" w:type="dxa"/>
            </w:tcMar>
            <w:vAlign w:val="center"/>
            <w:hideMark/>
          </w:tcPr>
          <w:p w14:paraId="42EB517A" w14:textId="77777777" w:rsidR="00105E60" w:rsidRPr="00424833" w:rsidRDefault="00105E60" w:rsidP="00F75E05">
            <w:pPr>
              <w:spacing w:line="480" w:lineRule="auto"/>
              <w:ind w:left="360"/>
              <w:rPr>
                <w:sz w:val="20"/>
                <w:szCs w:val="20"/>
              </w:rPr>
            </w:pPr>
            <w:r w:rsidRPr="00424833">
              <w:rPr>
                <w:sz w:val="20"/>
                <w:szCs w:val="20"/>
              </w:rPr>
              <w:t>Division Head, Neonatology, The Children’s Regional Hospital at Cooper; Professor of Pediatrics, Obstetrics, Gynecology and Biomedical Sciences, Cooper Medical School of Rowan University</w:t>
            </w:r>
          </w:p>
        </w:tc>
        <w:tc>
          <w:tcPr>
            <w:tcW w:w="1487" w:type="dxa"/>
            <w:tcBorders>
              <w:top w:val="single" w:sz="4" w:space="0" w:color="000000" w:themeColor="text1"/>
              <w:left w:val="nil"/>
              <w:bottom w:val="single" w:sz="4" w:space="0" w:color="000000" w:themeColor="text1"/>
              <w:right w:val="nil"/>
            </w:tcBorders>
          </w:tcPr>
          <w:p w14:paraId="15092211" w14:textId="6307D3AA" w:rsidR="00105E60" w:rsidRPr="00424833" w:rsidRDefault="00DB53D7" w:rsidP="00F75E05">
            <w:pPr>
              <w:spacing w:line="480" w:lineRule="auto"/>
              <w:ind w:left="360"/>
              <w:rPr>
                <w:sz w:val="20"/>
                <w:szCs w:val="20"/>
              </w:rPr>
            </w:pPr>
            <w:r>
              <w:rPr>
                <w:sz w:val="20"/>
                <w:szCs w:val="20"/>
              </w:rPr>
              <w:t xml:space="preserve">Camden, NJ </w:t>
            </w:r>
          </w:p>
        </w:tc>
        <w:tc>
          <w:tcPr>
            <w:tcW w:w="1487" w:type="dxa"/>
            <w:tcBorders>
              <w:top w:val="single" w:sz="4" w:space="0" w:color="000000" w:themeColor="text1"/>
              <w:left w:val="nil"/>
              <w:bottom w:val="single" w:sz="4" w:space="0" w:color="000000" w:themeColor="text1"/>
              <w:right w:val="single" w:sz="4" w:space="0" w:color="000000" w:themeColor="text1"/>
            </w:tcBorders>
            <w:shd w:val="clear" w:color="auto" w:fill="auto"/>
            <w:tcMar>
              <w:top w:w="15" w:type="dxa"/>
              <w:left w:w="15" w:type="dxa"/>
              <w:bottom w:w="72" w:type="dxa"/>
              <w:right w:w="15" w:type="dxa"/>
            </w:tcMar>
            <w:hideMark/>
          </w:tcPr>
          <w:p w14:paraId="58A183C5" w14:textId="646515FB" w:rsidR="00105E60" w:rsidRPr="00424833" w:rsidRDefault="00105E60" w:rsidP="00F75E05">
            <w:pPr>
              <w:spacing w:line="480" w:lineRule="auto"/>
              <w:ind w:left="360"/>
              <w:rPr>
                <w:sz w:val="20"/>
                <w:szCs w:val="20"/>
              </w:rPr>
            </w:pPr>
            <w:r w:rsidRPr="00424833">
              <w:rPr>
                <w:sz w:val="20"/>
                <w:szCs w:val="20"/>
              </w:rPr>
              <w:t>Chair</w:t>
            </w:r>
          </w:p>
        </w:tc>
      </w:tr>
      <w:tr w:rsidR="00105E60" w:rsidRPr="00424833" w14:paraId="4A35E02F" w14:textId="77777777" w:rsidTr="00E5157F">
        <w:trPr>
          <w:trHeight w:val="228"/>
        </w:trPr>
        <w:tc>
          <w:tcPr>
            <w:tcW w:w="1890" w:type="dxa"/>
            <w:tcBorders>
              <w:top w:val="single" w:sz="4" w:space="0" w:color="000000" w:themeColor="text1"/>
              <w:left w:val="single" w:sz="4" w:space="0" w:color="000000" w:themeColor="text1"/>
              <w:bottom w:val="single" w:sz="4" w:space="0" w:color="000000" w:themeColor="text1"/>
              <w:right w:val="nil"/>
            </w:tcBorders>
            <w:shd w:val="clear" w:color="auto" w:fill="auto"/>
            <w:tcMar>
              <w:top w:w="15" w:type="dxa"/>
              <w:left w:w="15" w:type="dxa"/>
              <w:bottom w:w="72" w:type="dxa"/>
              <w:right w:w="15" w:type="dxa"/>
            </w:tcMar>
            <w:vAlign w:val="center"/>
            <w:hideMark/>
          </w:tcPr>
          <w:p w14:paraId="562759AF" w14:textId="77777777" w:rsidR="00105E60" w:rsidRPr="00424833" w:rsidRDefault="00105E60" w:rsidP="00F75E05">
            <w:pPr>
              <w:spacing w:line="480" w:lineRule="auto"/>
              <w:ind w:left="360"/>
              <w:rPr>
                <w:sz w:val="20"/>
                <w:szCs w:val="20"/>
              </w:rPr>
            </w:pPr>
            <w:r w:rsidRPr="00424833">
              <w:rPr>
                <w:sz w:val="20"/>
                <w:szCs w:val="20"/>
              </w:rPr>
              <w:t>Bheru Gandhi, MD</w:t>
            </w:r>
          </w:p>
        </w:tc>
        <w:tc>
          <w:tcPr>
            <w:tcW w:w="4730" w:type="dxa"/>
            <w:tcBorders>
              <w:top w:val="single" w:sz="4" w:space="0" w:color="000000" w:themeColor="text1"/>
              <w:left w:val="nil"/>
              <w:bottom w:val="single" w:sz="4" w:space="0" w:color="000000" w:themeColor="text1"/>
              <w:right w:val="nil"/>
            </w:tcBorders>
            <w:shd w:val="clear" w:color="auto" w:fill="auto"/>
            <w:tcMar>
              <w:top w:w="15" w:type="dxa"/>
              <w:left w:w="15" w:type="dxa"/>
              <w:bottom w:w="72" w:type="dxa"/>
              <w:right w:w="15" w:type="dxa"/>
            </w:tcMar>
            <w:vAlign w:val="center"/>
            <w:hideMark/>
          </w:tcPr>
          <w:p w14:paraId="3EA87095" w14:textId="77777777" w:rsidR="00105E60" w:rsidRPr="00424833" w:rsidRDefault="00105E60" w:rsidP="00F75E05">
            <w:pPr>
              <w:spacing w:line="480" w:lineRule="auto"/>
              <w:ind w:left="360"/>
              <w:rPr>
                <w:sz w:val="20"/>
                <w:szCs w:val="20"/>
              </w:rPr>
            </w:pPr>
            <w:r w:rsidRPr="00424833">
              <w:rPr>
                <w:sz w:val="20"/>
                <w:szCs w:val="20"/>
              </w:rPr>
              <w:t>Assistant Professor of Pediatrics, Texas Children’s Hospital, Baylor College of Medicine</w:t>
            </w:r>
          </w:p>
        </w:tc>
        <w:tc>
          <w:tcPr>
            <w:tcW w:w="1487" w:type="dxa"/>
            <w:tcBorders>
              <w:top w:val="single" w:sz="4" w:space="0" w:color="000000" w:themeColor="text1"/>
              <w:left w:val="nil"/>
              <w:bottom w:val="single" w:sz="4" w:space="0" w:color="000000" w:themeColor="text1"/>
              <w:right w:val="nil"/>
            </w:tcBorders>
          </w:tcPr>
          <w:p w14:paraId="540A44EF" w14:textId="0B461FB2" w:rsidR="00105E60" w:rsidRPr="00424833" w:rsidRDefault="00DB53D7" w:rsidP="00F75E05">
            <w:pPr>
              <w:spacing w:line="480" w:lineRule="auto"/>
              <w:ind w:left="360"/>
              <w:rPr>
                <w:sz w:val="20"/>
                <w:szCs w:val="20"/>
              </w:rPr>
            </w:pPr>
            <w:r>
              <w:rPr>
                <w:sz w:val="20"/>
                <w:szCs w:val="20"/>
              </w:rPr>
              <w:t>Houston, TX</w:t>
            </w:r>
          </w:p>
        </w:tc>
        <w:tc>
          <w:tcPr>
            <w:tcW w:w="1487" w:type="dxa"/>
            <w:tcBorders>
              <w:top w:val="single" w:sz="4" w:space="0" w:color="000000" w:themeColor="text1"/>
              <w:left w:val="nil"/>
              <w:bottom w:val="single" w:sz="4" w:space="0" w:color="000000" w:themeColor="text1"/>
              <w:right w:val="single" w:sz="4" w:space="0" w:color="000000" w:themeColor="text1"/>
            </w:tcBorders>
            <w:shd w:val="clear" w:color="auto" w:fill="auto"/>
            <w:tcMar>
              <w:top w:w="15" w:type="dxa"/>
              <w:left w:w="15" w:type="dxa"/>
              <w:bottom w:w="72" w:type="dxa"/>
              <w:right w:w="15" w:type="dxa"/>
            </w:tcMar>
            <w:hideMark/>
          </w:tcPr>
          <w:p w14:paraId="5EF3CE15" w14:textId="1A6C9E86" w:rsidR="00105E60" w:rsidRPr="00424833" w:rsidRDefault="00105E60" w:rsidP="00F75E05">
            <w:pPr>
              <w:spacing w:line="480" w:lineRule="auto"/>
              <w:ind w:left="360"/>
              <w:rPr>
                <w:sz w:val="20"/>
                <w:szCs w:val="20"/>
              </w:rPr>
            </w:pPr>
            <w:r w:rsidRPr="00424833">
              <w:rPr>
                <w:sz w:val="20"/>
                <w:szCs w:val="20"/>
              </w:rPr>
              <w:t>Panelist</w:t>
            </w:r>
          </w:p>
        </w:tc>
      </w:tr>
      <w:tr w:rsidR="00105E60" w:rsidRPr="00424833" w14:paraId="3E032B6F" w14:textId="77777777" w:rsidTr="00E5157F">
        <w:trPr>
          <w:trHeight w:val="228"/>
        </w:trPr>
        <w:tc>
          <w:tcPr>
            <w:tcW w:w="1890" w:type="dxa"/>
            <w:tcBorders>
              <w:top w:val="single" w:sz="4" w:space="0" w:color="000000" w:themeColor="text1"/>
              <w:left w:val="single" w:sz="4" w:space="0" w:color="000000" w:themeColor="text1"/>
              <w:bottom w:val="single" w:sz="4" w:space="0" w:color="000000" w:themeColor="text1"/>
              <w:right w:val="nil"/>
            </w:tcBorders>
            <w:shd w:val="clear" w:color="auto" w:fill="auto"/>
            <w:tcMar>
              <w:top w:w="15" w:type="dxa"/>
              <w:left w:w="15" w:type="dxa"/>
              <w:bottom w:w="72" w:type="dxa"/>
              <w:right w:w="15" w:type="dxa"/>
            </w:tcMar>
            <w:vAlign w:val="center"/>
            <w:hideMark/>
          </w:tcPr>
          <w:p w14:paraId="0FE63BC6" w14:textId="77777777" w:rsidR="00105E60" w:rsidRPr="00424833" w:rsidRDefault="00105E60" w:rsidP="00F75E05">
            <w:pPr>
              <w:spacing w:line="480" w:lineRule="auto"/>
              <w:ind w:left="360"/>
              <w:rPr>
                <w:sz w:val="20"/>
                <w:szCs w:val="20"/>
              </w:rPr>
            </w:pPr>
            <w:r w:rsidRPr="00424833">
              <w:rPr>
                <w:sz w:val="20"/>
                <w:szCs w:val="20"/>
              </w:rPr>
              <w:t>Fernando Moya, MD</w:t>
            </w:r>
          </w:p>
        </w:tc>
        <w:tc>
          <w:tcPr>
            <w:tcW w:w="4730" w:type="dxa"/>
            <w:tcBorders>
              <w:top w:val="single" w:sz="4" w:space="0" w:color="000000" w:themeColor="text1"/>
              <w:left w:val="nil"/>
              <w:bottom w:val="single" w:sz="4" w:space="0" w:color="000000" w:themeColor="text1"/>
              <w:right w:val="nil"/>
            </w:tcBorders>
            <w:shd w:val="clear" w:color="auto" w:fill="auto"/>
            <w:tcMar>
              <w:top w:w="15" w:type="dxa"/>
              <w:left w:w="15" w:type="dxa"/>
              <w:bottom w:w="72" w:type="dxa"/>
              <w:right w:w="15" w:type="dxa"/>
            </w:tcMar>
            <w:vAlign w:val="center"/>
            <w:hideMark/>
          </w:tcPr>
          <w:p w14:paraId="0E8FE676" w14:textId="77777777" w:rsidR="00105E60" w:rsidRPr="00424833" w:rsidRDefault="00105E60" w:rsidP="00F75E05">
            <w:pPr>
              <w:spacing w:line="480" w:lineRule="auto"/>
              <w:ind w:left="360"/>
              <w:rPr>
                <w:sz w:val="20"/>
                <w:szCs w:val="20"/>
              </w:rPr>
            </w:pPr>
            <w:r w:rsidRPr="00424833">
              <w:rPr>
                <w:sz w:val="20"/>
                <w:szCs w:val="20"/>
              </w:rPr>
              <w:t>Director, Division of Wilmington Pediatric Subspecialists, Department of Pediatrics, UNC School of Medicine</w:t>
            </w:r>
          </w:p>
        </w:tc>
        <w:tc>
          <w:tcPr>
            <w:tcW w:w="1487" w:type="dxa"/>
            <w:tcBorders>
              <w:top w:val="single" w:sz="4" w:space="0" w:color="000000" w:themeColor="text1"/>
              <w:left w:val="nil"/>
              <w:bottom w:val="single" w:sz="4" w:space="0" w:color="000000" w:themeColor="text1"/>
              <w:right w:val="nil"/>
            </w:tcBorders>
          </w:tcPr>
          <w:p w14:paraId="015C110C" w14:textId="0A9CF33A" w:rsidR="00105E60" w:rsidRPr="00424833" w:rsidRDefault="00DB53D7" w:rsidP="00F75E05">
            <w:pPr>
              <w:spacing w:line="480" w:lineRule="auto"/>
              <w:ind w:left="360"/>
              <w:rPr>
                <w:sz w:val="20"/>
                <w:szCs w:val="20"/>
              </w:rPr>
            </w:pPr>
            <w:r>
              <w:rPr>
                <w:sz w:val="20"/>
                <w:szCs w:val="20"/>
              </w:rPr>
              <w:t>Wilmington, NC</w:t>
            </w:r>
          </w:p>
        </w:tc>
        <w:tc>
          <w:tcPr>
            <w:tcW w:w="1487" w:type="dxa"/>
            <w:tcBorders>
              <w:top w:val="single" w:sz="4" w:space="0" w:color="000000" w:themeColor="text1"/>
              <w:left w:val="nil"/>
              <w:bottom w:val="single" w:sz="4" w:space="0" w:color="000000" w:themeColor="text1"/>
              <w:right w:val="single" w:sz="4" w:space="0" w:color="000000" w:themeColor="text1"/>
            </w:tcBorders>
            <w:shd w:val="clear" w:color="auto" w:fill="auto"/>
            <w:tcMar>
              <w:top w:w="15" w:type="dxa"/>
              <w:left w:w="15" w:type="dxa"/>
              <w:bottom w:w="72" w:type="dxa"/>
              <w:right w:w="15" w:type="dxa"/>
            </w:tcMar>
            <w:hideMark/>
          </w:tcPr>
          <w:p w14:paraId="4188F3F1" w14:textId="29035EE4" w:rsidR="00105E60" w:rsidRPr="00424833" w:rsidRDefault="00105E60" w:rsidP="00F75E05">
            <w:pPr>
              <w:spacing w:line="480" w:lineRule="auto"/>
              <w:ind w:left="360"/>
              <w:rPr>
                <w:sz w:val="20"/>
                <w:szCs w:val="20"/>
              </w:rPr>
            </w:pPr>
            <w:r w:rsidRPr="00424833">
              <w:rPr>
                <w:sz w:val="20"/>
                <w:szCs w:val="20"/>
              </w:rPr>
              <w:t>Panelist</w:t>
            </w:r>
          </w:p>
        </w:tc>
      </w:tr>
      <w:tr w:rsidR="00105E60" w:rsidRPr="00424833" w14:paraId="609FA20E" w14:textId="77777777" w:rsidTr="00E5157F">
        <w:trPr>
          <w:trHeight w:val="228"/>
        </w:trPr>
        <w:tc>
          <w:tcPr>
            <w:tcW w:w="1890" w:type="dxa"/>
            <w:tcBorders>
              <w:top w:val="single" w:sz="4" w:space="0" w:color="000000" w:themeColor="text1"/>
              <w:left w:val="single" w:sz="4" w:space="0" w:color="000000" w:themeColor="text1"/>
              <w:bottom w:val="single" w:sz="4" w:space="0" w:color="000000" w:themeColor="text1"/>
              <w:right w:val="nil"/>
            </w:tcBorders>
            <w:shd w:val="clear" w:color="auto" w:fill="auto"/>
            <w:tcMar>
              <w:top w:w="15" w:type="dxa"/>
              <w:left w:w="15" w:type="dxa"/>
              <w:bottom w:w="72" w:type="dxa"/>
              <w:right w:w="15" w:type="dxa"/>
            </w:tcMar>
            <w:vAlign w:val="center"/>
            <w:hideMark/>
          </w:tcPr>
          <w:p w14:paraId="1AA614B9" w14:textId="77777777" w:rsidR="00105E60" w:rsidRPr="00424833" w:rsidRDefault="00105E60" w:rsidP="00F75E05">
            <w:pPr>
              <w:spacing w:line="480" w:lineRule="auto"/>
              <w:ind w:left="360"/>
              <w:rPr>
                <w:sz w:val="20"/>
                <w:szCs w:val="20"/>
              </w:rPr>
            </w:pPr>
            <w:r w:rsidRPr="00424833">
              <w:rPr>
                <w:sz w:val="20"/>
                <w:szCs w:val="20"/>
              </w:rPr>
              <w:t>Kari Roberts, MD</w:t>
            </w:r>
          </w:p>
        </w:tc>
        <w:tc>
          <w:tcPr>
            <w:tcW w:w="4730" w:type="dxa"/>
            <w:tcBorders>
              <w:top w:val="single" w:sz="4" w:space="0" w:color="000000" w:themeColor="text1"/>
              <w:left w:val="nil"/>
              <w:bottom w:val="single" w:sz="4" w:space="0" w:color="000000" w:themeColor="text1"/>
              <w:right w:val="nil"/>
            </w:tcBorders>
            <w:shd w:val="clear" w:color="auto" w:fill="auto"/>
            <w:tcMar>
              <w:top w:w="15" w:type="dxa"/>
              <w:left w:w="15" w:type="dxa"/>
              <w:bottom w:w="72" w:type="dxa"/>
              <w:right w:w="15" w:type="dxa"/>
            </w:tcMar>
            <w:vAlign w:val="center"/>
            <w:hideMark/>
          </w:tcPr>
          <w:p w14:paraId="7075B70D" w14:textId="77777777" w:rsidR="00105E60" w:rsidRPr="00424833" w:rsidRDefault="00105E60" w:rsidP="00F75E05">
            <w:pPr>
              <w:spacing w:line="480" w:lineRule="auto"/>
              <w:ind w:left="360"/>
              <w:rPr>
                <w:sz w:val="20"/>
                <w:szCs w:val="20"/>
              </w:rPr>
            </w:pPr>
            <w:r w:rsidRPr="00424833">
              <w:rPr>
                <w:sz w:val="20"/>
                <w:szCs w:val="20"/>
              </w:rPr>
              <w:t xml:space="preserve">Neonatologist, Associate Professor of Pediatrics, University of Minnesota </w:t>
            </w:r>
          </w:p>
        </w:tc>
        <w:tc>
          <w:tcPr>
            <w:tcW w:w="1487" w:type="dxa"/>
            <w:tcBorders>
              <w:top w:val="single" w:sz="4" w:space="0" w:color="000000" w:themeColor="text1"/>
              <w:left w:val="nil"/>
              <w:bottom w:val="single" w:sz="4" w:space="0" w:color="000000" w:themeColor="text1"/>
              <w:right w:val="nil"/>
            </w:tcBorders>
          </w:tcPr>
          <w:p w14:paraId="4D35D588" w14:textId="7EFC32D3" w:rsidR="00105E60" w:rsidRPr="00424833" w:rsidRDefault="00DB53D7" w:rsidP="00F75E05">
            <w:pPr>
              <w:spacing w:line="480" w:lineRule="auto"/>
              <w:ind w:left="360"/>
              <w:rPr>
                <w:sz w:val="20"/>
                <w:szCs w:val="20"/>
              </w:rPr>
            </w:pPr>
            <w:r w:rsidRPr="00DB53D7">
              <w:rPr>
                <w:sz w:val="20"/>
                <w:szCs w:val="20"/>
              </w:rPr>
              <w:t>Minneapolis, MN</w:t>
            </w:r>
          </w:p>
        </w:tc>
        <w:tc>
          <w:tcPr>
            <w:tcW w:w="1487" w:type="dxa"/>
            <w:tcBorders>
              <w:top w:val="single" w:sz="4" w:space="0" w:color="000000" w:themeColor="text1"/>
              <w:left w:val="nil"/>
              <w:bottom w:val="single" w:sz="4" w:space="0" w:color="000000" w:themeColor="text1"/>
              <w:right w:val="single" w:sz="4" w:space="0" w:color="000000" w:themeColor="text1"/>
            </w:tcBorders>
            <w:shd w:val="clear" w:color="auto" w:fill="auto"/>
            <w:tcMar>
              <w:top w:w="15" w:type="dxa"/>
              <w:left w:w="15" w:type="dxa"/>
              <w:bottom w:w="72" w:type="dxa"/>
              <w:right w:w="15" w:type="dxa"/>
            </w:tcMar>
            <w:hideMark/>
          </w:tcPr>
          <w:p w14:paraId="6EFC5040" w14:textId="4406A006" w:rsidR="00105E60" w:rsidRPr="00424833" w:rsidRDefault="00105E60" w:rsidP="00F75E05">
            <w:pPr>
              <w:spacing w:line="480" w:lineRule="auto"/>
              <w:ind w:left="360"/>
              <w:rPr>
                <w:sz w:val="20"/>
                <w:szCs w:val="20"/>
              </w:rPr>
            </w:pPr>
            <w:r w:rsidRPr="00424833">
              <w:rPr>
                <w:sz w:val="20"/>
                <w:szCs w:val="20"/>
              </w:rPr>
              <w:t>Panelist</w:t>
            </w:r>
          </w:p>
        </w:tc>
      </w:tr>
      <w:tr w:rsidR="00105E60" w:rsidRPr="00424833" w14:paraId="6D9B6E09" w14:textId="77777777" w:rsidTr="00E5157F">
        <w:trPr>
          <w:trHeight w:val="264"/>
        </w:trPr>
        <w:tc>
          <w:tcPr>
            <w:tcW w:w="1890" w:type="dxa"/>
            <w:tcBorders>
              <w:top w:val="single" w:sz="4" w:space="0" w:color="000000" w:themeColor="text1"/>
              <w:left w:val="single" w:sz="4" w:space="0" w:color="000000" w:themeColor="text1"/>
              <w:bottom w:val="single" w:sz="4" w:space="0" w:color="000000" w:themeColor="text1"/>
              <w:right w:val="nil"/>
            </w:tcBorders>
            <w:shd w:val="clear" w:color="auto" w:fill="auto"/>
            <w:tcMar>
              <w:top w:w="15" w:type="dxa"/>
              <w:left w:w="15" w:type="dxa"/>
              <w:bottom w:w="72" w:type="dxa"/>
              <w:right w:w="15" w:type="dxa"/>
            </w:tcMar>
            <w:vAlign w:val="center"/>
            <w:hideMark/>
          </w:tcPr>
          <w:p w14:paraId="6718E832" w14:textId="77777777" w:rsidR="00105E60" w:rsidRPr="00424833" w:rsidRDefault="00105E60" w:rsidP="00F75E05">
            <w:pPr>
              <w:spacing w:line="480" w:lineRule="auto"/>
              <w:ind w:left="360"/>
              <w:rPr>
                <w:sz w:val="20"/>
                <w:szCs w:val="20"/>
              </w:rPr>
            </w:pPr>
            <w:r w:rsidRPr="00424833">
              <w:rPr>
                <w:sz w:val="20"/>
                <w:szCs w:val="20"/>
              </w:rPr>
              <w:t>Venkatakrishna Kakkilaya, MD</w:t>
            </w:r>
          </w:p>
        </w:tc>
        <w:tc>
          <w:tcPr>
            <w:tcW w:w="4730" w:type="dxa"/>
            <w:tcBorders>
              <w:top w:val="single" w:sz="4" w:space="0" w:color="000000" w:themeColor="text1"/>
              <w:left w:val="nil"/>
              <w:bottom w:val="single" w:sz="4" w:space="0" w:color="000000" w:themeColor="text1"/>
              <w:right w:val="nil"/>
            </w:tcBorders>
            <w:shd w:val="clear" w:color="auto" w:fill="auto"/>
            <w:tcMar>
              <w:top w:w="15" w:type="dxa"/>
              <w:left w:w="15" w:type="dxa"/>
              <w:bottom w:w="72" w:type="dxa"/>
              <w:right w:w="15" w:type="dxa"/>
            </w:tcMar>
            <w:vAlign w:val="center"/>
            <w:hideMark/>
          </w:tcPr>
          <w:p w14:paraId="4190C2B2" w14:textId="65303A29" w:rsidR="00105E60" w:rsidRPr="00424833" w:rsidRDefault="00105E60" w:rsidP="00F75E05">
            <w:pPr>
              <w:spacing w:line="480" w:lineRule="auto"/>
              <w:ind w:left="360"/>
              <w:rPr>
                <w:sz w:val="20"/>
                <w:szCs w:val="20"/>
              </w:rPr>
            </w:pPr>
            <w:r w:rsidRPr="00424833">
              <w:rPr>
                <w:sz w:val="20"/>
                <w:szCs w:val="20"/>
              </w:rPr>
              <w:t>Attending Physician, Neonatal-Perinatal Medicine at Parkland Memorial Hospital; Associate Professor of Pediatrics</w:t>
            </w:r>
            <w:r w:rsidR="00D856FF">
              <w:rPr>
                <w:sz w:val="20"/>
                <w:szCs w:val="20"/>
              </w:rPr>
              <w:t xml:space="preserve"> at UT Southwestern Medical Center</w:t>
            </w:r>
          </w:p>
        </w:tc>
        <w:tc>
          <w:tcPr>
            <w:tcW w:w="1487" w:type="dxa"/>
            <w:tcBorders>
              <w:top w:val="single" w:sz="4" w:space="0" w:color="000000" w:themeColor="text1"/>
              <w:left w:val="nil"/>
              <w:bottom w:val="single" w:sz="4" w:space="0" w:color="000000" w:themeColor="text1"/>
              <w:right w:val="nil"/>
            </w:tcBorders>
          </w:tcPr>
          <w:p w14:paraId="2B760552" w14:textId="2360F8AD" w:rsidR="00105E60" w:rsidRPr="00424833" w:rsidRDefault="00DB53D7" w:rsidP="00F75E05">
            <w:pPr>
              <w:spacing w:line="480" w:lineRule="auto"/>
              <w:ind w:left="360"/>
              <w:rPr>
                <w:sz w:val="20"/>
                <w:szCs w:val="20"/>
              </w:rPr>
            </w:pPr>
            <w:r>
              <w:rPr>
                <w:sz w:val="20"/>
                <w:szCs w:val="20"/>
              </w:rPr>
              <w:t>Dallas, TX</w:t>
            </w:r>
          </w:p>
        </w:tc>
        <w:tc>
          <w:tcPr>
            <w:tcW w:w="1487" w:type="dxa"/>
            <w:tcBorders>
              <w:top w:val="single" w:sz="4" w:space="0" w:color="000000" w:themeColor="text1"/>
              <w:left w:val="nil"/>
              <w:bottom w:val="single" w:sz="4" w:space="0" w:color="000000" w:themeColor="text1"/>
              <w:right w:val="single" w:sz="4" w:space="0" w:color="000000" w:themeColor="text1"/>
            </w:tcBorders>
            <w:shd w:val="clear" w:color="auto" w:fill="auto"/>
            <w:tcMar>
              <w:top w:w="15" w:type="dxa"/>
              <w:left w:w="15" w:type="dxa"/>
              <w:bottom w:w="72" w:type="dxa"/>
              <w:right w:w="15" w:type="dxa"/>
            </w:tcMar>
            <w:hideMark/>
          </w:tcPr>
          <w:p w14:paraId="6989FC28" w14:textId="254D8F0F" w:rsidR="00105E60" w:rsidRPr="00424833" w:rsidRDefault="00105E60" w:rsidP="00F75E05">
            <w:pPr>
              <w:spacing w:line="480" w:lineRule="auto"/>
              <w:ind w:left="360"/>
              <w:rPr>
                <w:sz w:val="20"/>
                <w:szCs w:val="20"/>
              </w:rPr>
            </w:pPr>
            <w:r w:rsidRPr="00424833">
              <w:rPr>
                <w:sz w:val="20"/>
                <w:szCs w:val="20"/>
              </w:rPr>
              <w:t>Panelist</w:t>
            </w:r>
          </w:p>
        </w:tc>
      </w:tr>
      <w:tr w:rsidR="00105E60" w:rsidRPr="00424833" w14:paraId="0A4949B2" w14:textId="77777777" w:rsidTr="00E5157F">
        <w:trPr>
          <w:trHeight w:val="228"/>
        </w:trPr>
        <w:tc>
          <w:tcPr>
            <w:tcW w:w="1890" w:type="dxa"/>
            <w:tcBorders>
              <w:top w:val="single" w:sz="4" w:space="0" w:color="000000" w:themeColor="text1"/>
              <w:left w:val="single" w:sz="4" w:space="0" w:color="000000" w:themeColor="text1"/>
              <w:bottom w:val="single" w:sz="4" w:space="0" w:color="000000" w:themeColor="text1"/>
              <w:right w:val="nil"/>
            </w:tcBorders>
            <w:shd w:val="clear" w:color="auto" w:fill="auto"/>
            <w:tcMar>
              <w:top w:w="15" w:type="dxa"/>
              <w:left w:w="15" w:type="dxa"/>
              <w:bottom w:w="72" w:type="dxa"/>
              <w:right w:w="15" w:type="dxa"/>
            </w:tcMar>
            <w:vAlign w:val="center"/>
            <w:hideMark/>
          </w:tcPr>
          <w:p w14:paraId="7ED9317F" w14:textId="77777777" w:rsidR="00105E60" w:rsidRPr="00424833" w:rsidRDefault="00105E60" w:rsidP="00F75E05">
            <w:pPr>
              <w:spacing w:line="480" w:lineRule="auto"/>
              <w:ind w:left="360"/>
              <w:rPr>
                <w:sz w:val="20"/>
                <w:szCs w:val="20"/>
              </w:rPr>
            </w:pPr>
            <w:r w:rsidRPr="00424833">
              <w:rPr>
                <w:sz w:val="20"/>
                <w:szCs w:val="20"/>
              </w:rPr>
              <w:t>Clyde Wright, MD</w:t>
            </w:r>
          </w:p>
        </w:tc>
        <w:tc>
          <w:tcPr>
            <w:tcW w:w="4730" w:type="dxa"/>
            <w:tcBorders>
              <w:top w:val="single" w:sz="4" w:space="0" w:color="000000" w:themeColor="text1"/>
              <w:left w:val="nil"/>
              <w:bottom w:val="single" w:sz="4" w:space="0" w:color="000000" w:themeColor="text1"/>
              <w:right w:val="nil"/>
            </w:tcBorders>
            <w:shd w:val="clear" w:color="auto" w:fill="auto"/>
            <w:tcMar>
              <w:top w:w="15" w:type="dxa"/>
              <w:left w:w="15" w:type="dxa"/>
              <w:bottom w:w="72" w:type="dxa"/>
              <w:right w:w="15" w:type="dxa"/>
            </w:tcMar>
            <w:vAlign w:val="center"/>
            <w:hideMark/>
          </w:tcPr>
          <w:p w14:paraId="6D4CDA6F" w14:textId="77777777" w:rsidR="00105E60" w:rsidRPr="00424833" w:rsidRDefault="00105E60" w:rsidP="00F75E05">
            <w:pPr>
              <w:spacing w:line="480" w:lineRule="auto"/>
              <w:ind w:left="360"/>
              <w:rPr>
                <w:sz w:val="20"/>
                <w:szCs w:val="20"/>
              </w:rPr>
            </w:pPr>
            <w:r w:rsidRPr="00424833">
              <w:rPr>
                <w:sz w:val="20"/>
                <w:szCs w:val="20"/>
              </w:rPr>
              <w:t>Associate Professor of Pediatrics, Section of Neonatology at University of Colorado School of Medicine</w:t>
            </w:r>
          </w:p>
        </w:tc>
        <w:tc>
          <w:tcPr>
            <w:tcW w:w="1487" w:type="dxa"/>
            <w:tcBorders>
              <w:top w:val="single" w:sz="4" w:space="0" w:color="000000" w:themeColor="text1"/>
              <w:left w:val="nil"/>
              <w:bottom w:val="single" w:sz="4" w:space="0" w:color="000000" w:themeColor="text1"/>
              <w:right w:val="nil"/>
            </w:tcBorders>
          </w:tcPr>
          <w:p w14:paraId="2A385D25" w14:textId="5B1A7B6D" w:rsidR="00105E60" w:rsidRPr="00424833" w:rsidRDefault="00DB53D7" w:rsidP="00F75E05">
            <w:pPr>
              <w:spacing w:line="480" w:lineRule="auto"/>
              <w:ind w:left="360"/>
              <w:rPr>
                <w:sz w:val="20"/>
                <w:szCs w:val="20"/>
              </w:rPr>
            </w:pPr>
            <w:r w:rsidRPr="00DB53D7">
              <w:rPr>
                <w:sz w:val="20"/>
                <w:szCs w:val="20"/>
              </w:rPr>
              <w:t>Aurora, CO</w:t>
            </w:r>
          </w:p>
        </w:tc>
        <w:tc>
          <w:tcPr>
            <w:tcW w:w="1487" w:type="dxa"/>
            <w:tcBorders>
              <w:top w:val="single" w:sz="4" w:space="0" w:color="000000" w:themeColor="text1"/>
              <w:left w:val="nil"/>
              <w:bottom w:val="single" w:sz="4" w:space="0" w:color="000000" w:themeColor="text1"/>
              <w:right w:val="single" w:sz="4" w:space="0" w:color="000000" w:themeColor="text1"/>
            </w:tcBorders>
            <w:shd w:val="clear" w:color="auto" w:fill="auto"/>
            <w:tcMar>
              <w:top w:w="15" w:type="dxa"/>
              <w:left w:w="15" w:type="dxa"/>
              <w:bottom w:w="72" w:type="dxa"/>
              <w:right w:w="15" w:type="dxa"/>
            </w:tcMar>
            <w:hideMark/>
          </w:tcPr>
          <w:p w14:paraId="3864B38F" w14:textId="69B6F094" w:rsidR="00105E60" w:rsidRPr="00424833" w:rsidRDefault="00105E60" w:rsidP="00F75E05">
            <w:pPr>
              <w:spacing w:line="480" w:lineRule="auto"/>
              <w:ind w:left="360"/>
              <w:rPr>
                <w:sz w:val="20"/>
                <w:szCs w:val="20"/>
              </w:rPr>
            </w:pPr>
            <w:r w:rsidRPr="00424833">
              <w:rPr>
                <w:sz w:val="20"/>
                <w:szCs w:val="20"/>
              </w:rPr>
              <w:t>Panelist</w:t>
            </w:r>
          </w:p>
        </w:tc>
      </w:tr>
      <w:tr w:rsidR="00105E60" w:rsidRPr="00424833" w14:paraId="7067B284" w14:textId="77777777" w:rsidTr="00E5157F">
        <w:trPr>
          <w:trHeight w:val="228"/>
        </w:trPr>
        <w:tc>
          <w:tcPr>
            <w:tcW w:w="1890" w:type="dxa"/>
            <w:tcBorders>
              <w:top w:val="single" w:sz="4" w:space="0" w:color="000000" w:themeColor="text1"/>
              <w:left w:val="single" w:sz="4" w:space="0" w:color="000000" w:themeColor="text1"/>
              <w:bottom w:val="single" w:sz="4" w:space="0" w:color="000000" w:themeColor="text1"/>
              <w:right w:val="nil"/>
            </w:tcBorders>
            <w:shd w:val="clear" w:color="auto" w:fill="auto"/>
            <w:tcMar>
              <w:top w:w="15" w:type="dxa"/>
              <w:left w:w="15" w:type="dxa"/>
              <w:bottom w:w="72" w:type="dxa"/>
              <w:right w:w="15" w:type="dxa"/>
            </w:tcMar>
            <w:vAlign w:val="center"/>
            <w:hideMark/>
          </w:tcPr>
          <w:p w14:paraId="389CF5D9" w14:textId="77777777" w:rsidR="00105E60" w:rsidRPr="00424833" w:rsidRDefault="00105E60" w:rsidP="00F75E05">
            <w:pPr>
              <w:spacing w:line="480" w:lineRule="auto"/>
              <w:ind w:left="360"/>
              <w:rPr>
                <w:sz w:val="20"/>
                <w:szCs w:val="20"/>
              </w:rPr>
            </w:pPr>
            <w:r w:rsidRPr="00424833">
              <w:rPr>
                <w:sz w:val="20"/>
                <w:szCs w:val="20"/>
              </w:rPr>
              <w:t>Rita Ryan, MD</w:t>
            </w:r>
          </w:p>
        </w:tc>
        <w:tc>
          <w:tcPr>
            <w:tcW w:w="4730" w:type="dxa"/>
            <w:tcBorders>
              <w:top w:val="single" w:sz="4" w:space="0" w:color="000000" w:themeColor="text1"/>
              <w:left w:val="nil"/>
              <w:bottom w:val="single" w:sz="4" w:space="0" w:color="000000" w:themeColor="text1"/>
              <w:right w:val="nil"/>
            </w:tcBorders>
            <w:shd w:val="clear" w:color="auto" w:fill="auto"/>
            <w:tcMar>
              <w:top w:w="15" w:type="dxa"/>
              <w:left w:w="15" w:type="dxa"/>
              <w:bottom w:w="72" w:type="dxa"/>
              <w:right w:w="15" w:type="dxa"/>
            </w:tcMar>
            <w:vAlign w:val="center"/>
            <w:hideMark/>
          </w:tcPr>
          <w:p w14:paraId="78906AE8" w14:textId="77777777" w:rsidR="00105E60" w:rsidRPr="00424833" w:rsidRDefault="00105E60" w:rsidP="00F75E05">
            <w:pPr>
              <w:spacing w:line="480" w:lineRule="auto"/>
              <w:ind w:left="360"/>
              <w:rPr>
                <w:sz w:val="20"/>
                <w:szCs w:val="20"/>
              </w:rPr>
            </w:pPr>
            <w:r w:rsidRPr="00424833">
              <w:rPr>
                <w:sz w:val="20"/>
                <w:szCs w:val="20"/>
              </w:rPr>
              <w:t>Professor of Pediatrics (Neonatology), UH Rainbow Babies and Children’s Hospital – Case Western Reserve University</w:t>
            </w:r>
          </w:p>
        </w:tc>
        <w:tc>
          <w:tcPr>
            <w:tcW w:w="1487" w:type="dxa"/>
            <w:tcBorders>
              <w:top w:val="single" w:sz="4" w:space="0" w:color="000000" w:themeColor="text1"/>
              <w:left w:val="nil"/>
              <w:bottom w:val="single" w:sz="4" w:space="0" w:color="000000" w:themeColor="text1"/>
              <w:right w:val="nil"/>
            </w:tcBorders>
          </w:tcPr>
          <w:p w14:paraId="5077DFCB" w14:textId="165E505C" w:rsidR="00105E60" w:rsidRPr="00424833" w:rsidRDefault="00DB53D7" w:rsidP="00F75E05">
            <w:pPr>
              <w:spacing w:line="480" w:lineRule="auto"/>
              <w:ind w:left="360"/>
              <w:rPr>
                <w:sz w:val="20"/>
                <w:szCs w:val="20"/>
              </w:rPr>
            </w:pPr>
            <w:r w:rsidRPr="00DB53D7">
              <w:rPr>
                <w:sz w:val="20"/>
                <w:szCs w:val="20"/>
              </w:rPr>
              <w:t>Cleveland, OH</w:t>
            </w:r>
          </w:p>
        </w:tc>
        <w:tc>
          <w:tcPr>
            <w:tcW w:w="1487" w:type="dxa"/>
            <w:tcBorders>
              <w:top w:val="single" w:sz="4" w:space="0" w:color="000000" w:themeColor="text1"/>
              <w:left w:val="nil"/>
              <w:bottom w:val="single" w:sz="4" w:space="0" w:color="000000" w:themeColor="text1"/>
              <w:right w:val="single" w:sz="4" w:space="0" w:color="000000" w:themeColor="text1"/>
            </w:tcBorders>
            <w:shd w:val="clear" w:color="auto" w:fill="auto"/>
            <w:tcMar>
              <w:top w:w="15" w:type="dxa"/>
              <w:left w:w="15" w:type="dxa"/>
              <w:bottom w:w="72" w:type="dxa"/>
              <w:right w:w="15" w:type="dxa"/>
            </w:tcMar>
            <w:hideMark/>
          </w:tcPr>
          <w:p w14:paraId="576247C2" w14:textId="4F5A2630" w:rsidR="00105E60" w:rsidRPr="00424833" w:rsidRDefault="00105E60" w:rsidP="00F75E05">
            <w:pPr>
              <w:spacing w:line="480" w:lineRule="auto"/>
              <w:ind w:left="360"/>
              <w:rPr>
                <w:sz w:val="20"/>
                <w:szCs w:val="20"/>
              </w:rPr>
            </w:pPr>
            <w:r w:rsidRPr="00424833">
              <w:rPr>
                <w:sz w:val="20"/>
                <w:szCs w:val="20"/>
              </w:rPr>
              <w:t>Panelist</w:t>
            </w:r>
          </w:p>
        </w:tc>
      </w:tr>
      <w:tr w:rsidR="00105E60" w:rsidRPr="00424833" w14:paraId="7EB98B24" w14:textId="77777777" w:rsidTr="00E5157F">
        <w:trPr>
          <w:trHeight w:val="267"/>
        </w:trPr>
        <w:tc>
          <w:tcPr>
            <w:tcW w:w="1890" w:type="dxa"/>
            <w:tcBorders>
              <w:top w:val="single" w:sz="4" w:space="0" w:color="000000" w:themeColor="text1"/>
              <w:left w:val="single" w:sz="4" w:space="0" w:color="000000" w:themeColor="text1"/>
              <w:bottom w:val="single" w:sz="4" w:space="0" w:color="000000" w:themeColor="text1"/>
              <w:right w:val="nil"/>
            </w:tcBorders>
            <w:shd w:val="clear" w:color="auto" w:fill="auto"/>
            <w:tcMar>
              <w:top w:w="15" w:type="dxa"/>
              <w:left w:w="15" w:type="dxa"/>
              <w:bottom w:w="72" w:type="dxa"/>
              <w:right w:w="15" w:type="dxa"/>
            </w:tcMar>
            <w:vAlign w:val="center"/>
            <w:hideMark/>
          </w:tcPr>
          <w:p w14:paraId="55387860" w14:textId="77777777" w:rsidR="00105E60" w:rsidRPr="00424833" w:rsidRDefault="00105E60" w:rsidP="00F75E05">
            <w:pPr>
              <w:spacing w:line="480" w:lineRule="auto"/>
              <w:ind w:left="360"/>
              <w:rPr>
                <w:sz w:val="20"/>
                <w:szCs w:val="20"/>
              </w:rPr>
            </w:pPr>
            <w:r w:rsidRPr="00424833">
              <w:rPr>
                <w:sz w:val="20"/>
                <w:szCs w:val="20"/>
              </w:rPr>
              <w:lastRenderedPageBreak/>
              <w:t>Michel Mikhael, MD, FAAP</w:t>
            </w:r>
          </w:p>
        </w:tc>
        <w:tc>
          <w:tcPr>
            <w:tcW w:w="4730" w:type="dxa"/>
            <w:tcBorders>
              <w:top w:val="single" w:sz="4" w:space="0" w:color="000000" w:themeColor="text1"/>
              <w:left w:val="nil"/>
              <w:bottom w:val="single" w:sz="4" w:space="0" w:color="000000" w:themeColor="text1"/>
              <w:right w:val="nil"/>
            </w:tcBorders>
            <w:shd w:val="clear" w:color="auto" w:fill="auto"/>
            <w:tcMar>
              <w:top w:w="15" w:type="dxa"/>
              <w:left w:w="15" w:type="dxa"/>
              <w:bottom w:w="72" w:type="dxa"/>
              <w:right w:w="15" w:type="dxa"/>
            </w:tcMar>
            <w:vAlign w:val="center"/>
            <w:hideMark/>
          </w:tcPr>
          <w:p w14:paraId="726ECF9E" w14:textId="77777777" w:rsidR="00105E60" w:rsidRPr="00424833" w:rsidRDefault="00105E60" w:rsidP="00F75E05">
            <w:pPr>
              <w:spacing w:line="480" w:lineRule="auto"/>
              <w:ind w:left="360"/>
              <w:rPr>
                <w:sz w:val="20"/>
                <w:szCs w:val="20"/>
              </w:rPr>
            </w:pPr>
            <w:r w:rsidRPr="00424833">
              <w:rPr>
                <w:sz w:val="20"/>
                <w:szCs w:val="20"/>
              </w:rPr>
              <w:t>Medical Director, Children’s Hospital of Orange County Small Baby Unit; Assistant Professor, UC Irvine</w:t>
            </w:r>
          </w:p>
        </w:tc>
        <w:tc>
          <w:tcPr>
            <w:tcW w:w="1487" w:type="dxa"/>
            <w:tcBorders>
              <w:top w:val="single" w:sz="4" w:space="0" w:color="000000" w:themeColor="text1"/>
              <w:left w:val="nil"/>
              <w:bottom w:val="single" w:sz="4" w:space="0" w:color="000000" w:themeColor="text1"/>
              <w:right w:val="nil"/>
            </w:tcBorders>
          </w:tcPr>
          <w:p w14:paraId="783E8D1B" w14:textId="428E6444" w:rsidR="00105E60" w:rsidRPr="00424833" w:rsidRDefault="00DB53D7" w:rsidP="00F75E05">
            <w:pPr>
              <w:spacing w:line="480" w:lineRule="auto"/>
              <w:ind w:left="360"/>
              <w:rPr>
                <w:sz w:val="20"/>
                <w:szCs w:val="20"/>
              </w:rPr>
            </w:pPr>
            <w:r>
              <w:rPr>
                <w:sz w:val="20"/>
                <w:szCs w:val="20"/>
              </w:rPr>
              <w:t>Orange, CA</w:t>
            </w:r>
          </w:p>
        </w:tc>
        <w:tc>
          <w:tcPr>
            <w:tcW w:w="1487" w:type="dxa"/>
            <w:tcBorders>
              <w:top w:val="single" w:sz="4" w:space="0" w:color="000000" w:themeColor="text1"/>
              <w:left w:val="nil"/>
              <w:bottom w:val="single" w:sz="4" w:space="0" w:color="000000" w:themeColor="text1"/>
              <w:right w:val="single" w:sz="4" w:space="0" w:color="000000" w:themeColor="text1"/>
            </w:tcBorders>
            <w:shd w:val="clear" w:color="auto" w:fill="auto"/>
            <w:tcMar>
              <w:top w:w="15" w:type="dxa"/>
              <w:left w:w="15" w:type="dxa"/>
              <w:bottom w:w="72" w:type="dxa"/>
              <w:right w:w="15" w:type="dxa"/>
            </w:tcMar>
            <w:hideMark/>
          </w:tcPr>
          <w:p w14:paraId="201FCAF3" w14:textId="21D15F37" w:rsidR="00105E60" w:rsidRPr="00424833" w:rsidRDefault="00105E60" w:rsidP="00F75E05">
            <w:pPr>
              <w:spacing w:line="480" w:lineRule="auto"/>
              <w:ind w:left="360"/>
              <w:rPr>
                <w:sz w:val="20"/>
                <w:szCs w:val="20"/>
              </w:rPr>
            </w:pPr>
            <w:r w:rsidRPr="00424833">
              <w:rPr>
                <w:sz w:val="20"/>
                <w:szCs w:val="20"/>
              </w:rPr>
              <w:t>Panelist</w:t>
            </w:r>
          </w:p>
        </w:tc>
      </w:tr>
      <w:tr w:rsidR="00105E60" w:rsidRPr="00424833" w14:paraId="74D8F621" w14:textId="77777777" w:rsidTr="00E5157F">
        <w:trPr>
          <w:trHeight w:val="228"/>
        </w:trPr>
        <w:tc>
          <w:tcPr>
            <w:tcW w:w="1890" w:type="dxa"/>
            <w:tcBorders>
              <w:top w:val="single" w:sz="4" w:space="0" w:color="000000" w:themeColor="text1"/>
              <w:left w:val="single" w:sz="4" w:space="0" w:color="000000" w:themeColor="text1"/>
              <w:bottom w:val="single" w:sz="4" w:space="0" w:color="000000" w:themeColor="text1"/>
              <w:right w:val="nil"/>
            </w:tcBorders>
            <w:shd w:val="clear" w:color="auto" w:fill="auto"/>
            <w:tcMar>
              <w:top w:w="15" w:type="dxa"/>
              <w:left w:w="15" w:type="dxa"/>
              <w:bottom w:w="72" w:type="dxa"/>
              <w:right w:w="15" w:type="dxa"/>
            </w:tcMar>
            <w:vAlign w:val="center"/>
            <w:hideMark/>
          </w:tcPr>
          <w:p w14:paraId="2F1BCD21" w14:textId="77777777" w:rsidR="00105E60" w:rsidRPr="00424833" w:rsidRDefault="00105E60" w:rsidP="00F75E05">
            <w:pPr>
              <w:spacing w:line="480" w:lineRule="auto"/>
              <w:ind w:left="360"/>
              <w:rPr>
                <w:sz w:val="20"/>
                <w:szCs w:val="20"/>
              </w:rPr>
            </w:pPr>
            <w:r w:rsidRPr="00424833">
              <w:rPr>
                <w:sz w:val="20"/>
                <w:szCs w:val="20"/>
              </w:rPr>
              <w:t>Jill Herr, MSN NNP-BC</w:t>
            </w:r>
          </w:p>
        </w:tc>
        <w:tc>
          <w:tcPr>
            <w:tcW w:w="4730" w:type="dxa"/>
            <w:tcBorders>
              <w:top w:val="single" w:sz="4" w:space="0" w:color="000000" w:themeColor="text1"/>
              <w:left w:val="nil"/>
              <w:bottom w:val="single" w:sz="4" w:space="0" w:color="000000" w:themeColor="text1"/>
              <w:right w:val="nil"/>
            </w:tcBorders>
            <w:shd w:val="clear" w:color="auto" w:fill="auto"/>
            <w:tcMar>
              <w:top w:w="15" w:type="dxa"/>
              <w:left w:w="15" w:type="dxa"/>
              <w:bottom w:w="72" w:type="dxa"/>
              <w:right w:w="15" w:type="dxa"/>
            </w:tcMar>
            <w:vAlign w:val="center"/>
            <w:hideMark/>
          </w:tcPr>
          <w:p w14:paraId="589937F0" w14:textId="77777777" w:rsidR="00105E60" w:rsidRPr="00424833" w:rsidRDefault="00105E60" w:rsidP="00F75E05">
            <w:pPr>
              <w:spacing w:line="480" w:lineRule="auto"/>
              <w:ind w:left="360"/>
              <w:rPr>
                <w:sz w:val="20"/>
                <w:szCs w:val="20"/>
              </w:rPr>
            </w:pPr>
            <w:r w:rsidRPr="00424833">
              <w:rPr>
                <w:sz w:val="20"/>
                <w:szCs w:val="20"/>
              </w:rPr>
              <w:t>Neonatal Nurse Practitioner, Connecticut Children’s Medical Center</w:t>
            </w:r>
          </w:p>
        </w:tc>
        <w:tc>
          <w:tcPr>
            <w:tcW w:w="1487" w:type="dxa"/>
            <w:tcBorders>
              <w:top w:val="single" w:sz="4" w:space="0" w:color="000000" w:themeColor="text1"/>
              <w:left w:val="nil"/>
              <w:bottom w:val="single" w:sz="4" w:space="0" w:color="000000" w:themeColor="text1"/>
              <w:right w:val="nil"/>
            </w:tcBorders>
          </w:tcPr>
          <w:p w14:paraId="3FA173D7" w14:textId="04C9D7E9" w:rsidR="00105E60" w:rsidRPr="00424833" w:rsidRDefault="00DB53D7" w:rsidP="00F75E05">
            <w:pPr>
              <w:spacing w:line="480" w:lineRule="auto"/>
              <w:ind w:left="360"/>
              <w:rPr>
                <w:sz w:val="20"/>
                <w:szCs w:val="20"/>
              </w:rPr>
            </w:pPr>
            <w:r w:rsidRPr="00DB53D7">
              <w:rPr>
                <w:sz w:val="20"/>
                <w:szCs w:val="20"/>
              </w:rPr>
              <w:t>Hartford, C</w:t>
            </w:r>
            <w:r>
              <w:rPr>
                <w:sz w:val="20"/>
                <w:szCs w:val="20"/>
              </w:rPr>
              <w:t>T</w:t>
            </w:r>
          </w:p>
        </w:tc>
        <w:tc>
          <w:tcPr>
            <w:tcW w:w="1487" w:type="dxa"/>
            <w:tcBorders>
              <w:top w:val="single" w:sz="4" w:space="0" w:color="000000" w:themeColor="text1"/>
              <w:left w:val="nil"/>
              <w:bottom w:val="single" w:sz="4" w:space="0" w:color="000000" w:themeColor="text1"/>
              <w:right w:val="single" w:sz="4" w:space="0" w:color="000000" w:themeColor="text1"/>
            </w:tcBorders>
            <w:shd w:val="clear" w:color="auto" w:fill="auto"/>
            <w:tcMar>
              <w:top w:w="15" w:type="dxa"/>
              <w:left w:w="15" w:type="dxa"/>
              <w:bottom w:w="72" w:type="dxa"/>
              <w:right w:w="15" w:type="dxa"/>
            </w:tcMar>
            <w:hideMark/>
          </w:tcPr>
          <w:p w14:paraId="0903E0EF" w14:textId="12B833A1" w:rsidR="00105E60" w:rsidRPr="00424833" w:rsidRDefault="00105E60" w:rsidP="00F75E05">
            <w:pPr>
              <w:spacing w:line="480" w:lineRule="auto"/>
              <w:ind w:left="360"/>
              <w:rPr>
                <w:sz w:val="20"/>
                <w:szCs w:val="20"/>
              </w:rPr>
            </w:pPr>
            <w:r w:rsidRPr="00424833">
              <w:rPr>
                <w:sz w:val="20"/>
                <w:szCs w:val="20"/>
              </w:rPr>
              <w:t>Panelist</w:t>
            </w:r>
          </w:p>
        </w:tc>
      </w:tr>
      <w:tr w:rsidR="00105E60" w:rsidRPr="00424833" w14:paraId="5AE9E661" w14:textId="77777777" w:rsidTr="00E5157F">
        <w:trPr>
          <w:trHeight w:val="228"/>
        </w:trPr>
        <w:tc>
          <w:tcPr>
            <w:tcW w:w="1890" w:type="dxa"/>
            <w:tcBorders>
              <w:top w:val="single" w:sz="4" w:space="0" w:color="000000" w:themeColor="text1"/>
              <w:left w:val="single" w:sz="4" w:space="0" w:color="000000" w:themeColor="text1"/>
              <w:bottom w:val="single" w:sz="4" w:space="0" w:color="000000" w:themeColor="text1"/>
              <w:right w:val="nil"/>
            </w:tcBorders>
            <w:shd w:val="clear" w:color="auto" w:fill="auto"/>
            <w:tcMar>
              <w:top w:w="15" w:type="dxa"/>
              <w:left w:w="15" w:type="dxa"/>
              <w:bottom w:w="72" w:type="dxa"/>
              <w:right w:w="15" w:type="dxa"/>
            </w:tcMar>
            <w:vAlign w:val="center"/>
            <w:hideMark/>
          </w:tcPr>
          <w:p w14:paraId="426750DD" w14:textId="77777777" w:rsidR="00105E60" w:rsidRPr="00424833" w:rsidRDefault="00105E60" w:rsidP="00F75E05">
            <w:pPr>
              <w:spacing w:line="480" w:lineRule="auto"/>
              <w:ind w:left="360"/>
              <w:rPr>
                <w:sz w:val="20"/>
                <w:szCs w:val="20"/>
              </w:rPr>
            </w:pPr>
            <w:r w:rsidRPr="00424833">
              <w:rPr>
                <w:sz w:val="20"/>
                <w:szCs w:val="20"/>
              </w:rPr>
              <w:t>Munish Gupta, MD</w:t>
            </w:r>
          </w:p>
        </w:tc>
        <w:tc>
          <w:tcPr>
            <w:tcW w:w="4730" w:type="dxa"/>
            <w:tcBorders>
              <w:top w:val="single" w:sz="4" w:space="0" w:color="000000" w:themeColor="text1"/>
              <w:left w:val="nil"/>
              <w:bottom w:val="single" w:sz="4" w:space="0" w:color="000000" w:themeColor="text1"/>
              <w:right w:val="nil"/>
            </w:tcBorders>
            <w:shd w:val="clear" w:color="auto" w:fill="auto"/>
            <w:tcMar>
              <w:top w:w="15" w:type="dxa"/>
              <w:left w:w="15" w:type="dxa"/>
              <w:bottom w:w="72" w:type="dxa"/>
              <w:right w:w="15" w:type="dxa"/>
            </w:tcMar>
            <w:vAlign w:val="center"/>
            <w:hideMark/>
          </w:tcPr>
          <w:p w14:paraId="10961850" w14:textId="47677597" w:rsidR="00105E60" w:rsidRPr="00424833" w:rsidRDefault="00105E60" w:rsidP="00F75E05">
            <w:pPr>
              <w:spacing w:line="480" w:lineRule="auto"/>
              <w:ind w:left="360"/>
              <w:rPr>
                <w:sz w:val="20"/>
                <w:szCs w:val="20"/>
              </w:rPr>
            </w:pPr>
            <w:r w:rsidRPr="00424833">
              <w:rPr>
                <w:sz w:val="20"/>
                <w:szCs w:val="20"/>
              </w:rPr>
              <w:t>Neonatologist, Beth Israel Deaconess Medical Center; Assistant Professor, Harvard Medical School</w:t>
            </w:r>
          </w:p>
        </w:tc>
        <w:tc>
          <w:tcPr>
            <w:tcW w:w="1487" w:type="dxa"/>
            <w:tcBorders>
              <w:top w:val="single" w:sz="4" w:space="0" w:color="000000" w:themeColor="text1"/>
              <w:left w:val="nil"/>
              <w:bottom w:val="single" w:sz="4" w:space="0" w:color="000000" w:themeColor="text1"/>
              <w:right w:val="nil"/>
            </w:tcBorders>
          </w:tcPr>
          <w:p w14:paraId="2047A783" w14:textId="1935ED4A" w:rsidR="00105E60" w:rsidRPr="00424833" w:rsidRDefault="00DB53D7" w:rsidP="00F75E05">
            <w:pPr>
              <w:spacing w:line="480" w:lineRule="auto"/>
              <w:ind w:left="360"/>
              <w:rPr>
                <w:sz w:val="20"/>
                <w:szCs w:val="20"/>
              </w:rPr>
            </w:pPr>
            <w:r>
              <w:rPr>
                <w:sz w:val="20"/>
                <w:szCs w:val="20"/>
              </w:rPr>
              <w:t>Boston, MA</w:t>
            </w:r>
          </w:p>
        </w:tc>
        <w:tc>
          <w:tcPr>
            <w:tcW w:w="1487" w:type="dxa"/>
            <w:tcBorders>
              <w:top w:val="single" w:sz="4" w:space="0" w:color="000000" w:themeColor="text1"/>
              <w:left w:val="nil"/>
              <w:bottom w:val="single" w:sz="4" w:space="0" w:color="000000" w:themeColor="text1"/>
              <w:right w:val="single" w:sz="4" w:space="0" w:color="000000" w:themeColor="text1"/>
            </w:tcBorders>
            <w:shd w:val="clear" w:color="auto" w:fill="auto"/>
            <w:tcMar>
              <w:top w:w="15" w:type="dxa"/>
              <w:left w:w="15" w:type="dxa"/>
              <w:bottom w:w="72" w:type="dxa"/>
              <w:right w:w="15" w:type="dxa"/>
            </w:tcMar>
            <w:hideMark/>
          </w:tcPr>
          <w:p w14:paraId="692F695C" w14:textId="2FE5DC78" w:rsidR="00105E60" w:rsidRPr="00424833" w:rsidRDefault="00105E60" w:rsidP="00F75E05">
            <w:pPr>
              <w:spacing w:line="480" w:lineRule="auto"/>
              <w:ind w:left="360"/>
              <w:rPr>
                <w:sz w:val="20"/>
                <w:szCs w:val="20"/>
              </w:rPr>
            </w:pPr>
            <w:r w:rsidRPr="00424833">
              <w:rPr>
                <w:sz w:val="20"/>
                <w:szCs w:val="20"/>
              </w:rPr>
              <w:t>Panelist</w:t>
            </w:r>
          </w:p>
        </w:tc>
      </w:tr>
      <w:tr w:rsidR="00105E60" w:rsidRPr="00424833" w14:paraId="4335F4BC" w14:textId="77777777" w:rsidTr="00E5157F">
        <w:trPr>
          <w:trHeight w:val="292"/>
        </w:trPr>
        <w:tc>
          <w:tcPr>
            <w:tcW w:w="1890" w:type="dxa"/>
            <w:tcBorders>
              <w:top w:val="single" w:sz="4" w:space="0" w:color="000000" w:themeColor="text1"/>
              <w:left w:val="single" w:sz="4" w:space="0" w:color="000000" w:themeColor="text1"/>
              <w:bottom w:val="single" w:sz="4" w:space="0" w:color="000000" w:themeColor="text1"/>
              <w:right w:val="nil"/>
            </w:tcBorders>
            <w:shd w:val="clear" w:color="auto" w:fill="auto"/>
            <w:tcMar>
              <w:top w:w="15" w:type="dxa"/>
              <w:left w:w="15" w:type="dxa"/>
              <w:bottom w:w="72" w:type="dxa"/>
              <w:right w:w="15" w:type="dxa"/>
            </w:tcMar>
            <w:vAlign w:val="center"/>
            <w:hideMark/>
          </w:tcPr>
          <w:p w14:paraId="5A381005" w14:textId="77777777" w:rsidR="00105E60" w:rsidRPr="00424833" w:rsidRDefault="00105E60" w:rsidP="00F75E05">
            <w:pPr>
              <w:spacing w:line="480" w:lineRule="auto"/>
              <w:ind w:left="360"/>
              <w:rPr>
                <w:sz w:val="20"/>
                <w:szCs w:val="20"/>
              </w:rPr>
            </w:pPr>
            <w:r w:rsidRPr="00424833">
              <w:rPr>
                <w:sz w:val="20"/>
                <w:szCs w:val="20"/>
              </w:rPr>
              <w:t>Chad Pezzano, MA, RRT-NPS</w:t>
            </w:r>
          </w:p>
        </w:tc>
        <w:tc>
          <w:tcPr>
            <w:tcW w:w="4730" w:type="dxa"/>
            <w:tcBorders>
              <w:top w:val="single" w:sz="4" w:space="0" w:color="000000" w:themeColor="text1"/>
              <w:left w:val="nil"/>
              <w:bottom w:val="single" w:sz="4" w:space="0" w:color="000000" w:themeColor="text1"/>
              <w:right w:val="nil"/>
            </w:tcBorders>
            <w:shd w:val="clear" w:color="auto" w:fill="auto"/>
            <w:tcMar>
              <w:top w:w="15" w:type="dxa"/>
              <w:left w:w="15" w:type="dxa"/>
              <w:bottom w:w="72" w:type="dxa"/>
              <w:right w:w="15" w:type="dxa"/>
            </w:tcMar>
            <w:vAlign w:val="center"/>
            <w:hideMark/>
          </w:tcPr>
          <w:p w14:paraId="33CB8887" w14:textId="6C7C13BC" w:rsidR="00105E60" w:rsidRPr="00424833" w:rsidRDefault="00105E60" w:rsidP="00F75E05">
            <w:pPr>
              <w:spacing w:line="480" w:lineRule="auto"/>
              <w:ind w:left="360"/>
              <w:rPr>
                <w:sz w:val="20"/>
                <w:szCs w:val="20"/>
              </w:rPr>
            </w:pPr>
            <w:r w:rsidRPr="00424833">
              <w:rPr>
                <w:sz w:val="20"/>
                <w:szCs w:val="20"/>
              </w:rPr>
              <w:t xml:space="preserve">Department of Cardio-Respiratory Services Pediatric/Neonatal Manager, Albany Medical Center </w:t>
            </w:r>
          </w:p>
        </w:tc>
        <w:tc>
          <w:tcPr>
            <w:tcW w:w="1487" w:type="dxa"/>
            <w:tcBorders>
              <w:top w:val="single" w:sz="4" w:space="0" w:color="000000" w:themeColor="text1"/>
              <w:left w:val="nil"/>
              <w:bottom w:val="single" w:sz="4" w:space="0" w:color="000000" w:themeColor="text1"/>
              <w:right w:val="nil"/>
            </w:tcBorders>
          </w:tcPr>
          <w:p w14:paraId="19A041DC" w14:textId="19215A99" w:rsidR="00105E60" w:rsidRPr="00424833" w:rsidRDefault="00DB53D7" w:rsidP="00F75E05">
            <w:pPr>
              <w:spacing w:line="480" w:lineRule="auto"/>
              <w:ind w:left="360"/>
              <w:rPr>
                <w:sz w:val="20"/>
                <w:szCs w:val="20"/>
              </w:rPr>
            </w:pPr>
            <w:r>
              <w:rPr>
                <w:sz w:val="20"/>
                <w:szCs w:val="20"/>
              </w:rPr>
              <w:t>Albany, NY</w:t>
            </w:r>
          </w:p>
        </w:tc>
        <w:tc>
          <w:tcPr>
            <w:tcW w:w="1487" w:type="dxa"/>
            <w:tcBorders>
              <w:top w:val="single" w:sz="4" w:space="0" w:color="000000" w:themeColor="text1"/>
              <w:left w:val="nil"/>
              <w:bottom w:val="single" w:sz="4" w:space="0" w:color="000000" w:themeColor="text1"/>
              <w:right w:val="single" w:sz="4" w:space="0" w:color="000000" w:themeColor="text1"/>
            </w:tcBorders>
            <w:shd w:val="clear" w:color="auto" w:fill="auto"/>
            <w:tcMar>
              <w:top w:w="15" w:type="dxa"/>
              <w:left w:w="15" w:type="dxa"/>
              <w:bottom w:w="72" w:type="dxa"/>
              <w:right w:w="15" w:type="dxa"/>
            </w:tcMar>
            <w:hideMark/>
          </w:tcPr>
          <w:p w14:paraId="22416E6C" w14:textId="77F1FDBD" w:rsidR="00105E60" w:rsidRPr="00424833" w:rsidRDefault="00105E60" w:rsidP="00F75E05">
            <w:pPr>
              <w:spacing w:line="480" w:lineRule="auto"/>
              <w:ind w:left="360"/>
              <w:rPr>
                <w:sz w:val="20"/>
                <w:szCs w:val="20"/>
              </w:rPr>
            </w:pPr>
            <w:r w:rsidRPr="00424833">
              <w:rPr>
                <w:sz w:val="20"/>
                <w:szCs w:val="20"/>
              </w:rPr>
              <w:t>Panelist</w:t>
            </w:r>
          </w:p>
        </w:tc>
      </w:tr>
    </w:tbl>
    <w:p w14:paraId="2D86C222" w14:textId="77777777" w:rsidR="00D34AF0" w:rsidRPr="00D34AF0" w:rsidRDefault="00D34AF0" w:rsidP="00F75E05">
      <w:pPr>
        <w:spacing w:after="240" w:line="480" w:lineRule="auto"/>
        <w:rPr>
          <w:b/>
          <w:bCs/>
        </w:rPr>
      </w:pPr>
    </w:p>
    <w:p w14:paraId="1503572D" w14:textId="77777777" w:rsidR="00D34AF0" w:rsidRDefault="00D34AF0" w:rsidP="00F75E05">
      <w:pPr>
        <w:spacing w:line="480" w:lineRule="auto"/>
        <w:rPr>
          <w:b/>
          <w:bCs/>
        </w:rPr>
      </w:pPr>
      <w:r>
        <w:rPr>
          <w:b/>
          <w:bCs/>
        </w:rPr>
        <w:br w:type="page"/>
      </w:r>
    </w:p>
    <w:p w14:paraId="6AF98DA3" w14:textId="25D26F44" w:rsidR="000D23BB" w:rsidRPr="00424833" w:rsidRDefault="00CA7C1A" w:rsidP="00F75E05">
      <w:pPr>
        <w:pStyle w:val="ListParagraph"/>
        <w:numPr>
          <w:ilvl w:val="0"/>
          <w:numId w:val="22"/>
        </w:numPr>
        <w:spacing w:after="240" w:line="480" w:lineRule="auto"/>
        <w:rPr>
          <w:b/>
          <w:bCs/>
        </w:rPr>
      </w:pPr>
      <w:r w:rsidRPr="00424833">
        <w:rPr>
          <w:b/>
          <w:bCs/>
        </w:rPr>
        <w:lastRenderedPageBreak/>
        <w:t xml:space="preserve">Initial statements, final statements and voting results </w:t>
      </w:r>
    </w:p>
    <w:tbl>
      <w:tblPr>
        <w:tblStyle w:val="TableGrid"/>
        <w:tblW w:w="0" w:type="auto"/>
        <w:tblLayout w:type="fixed"/>
        <w:tblLook w:val="06A0" w:firstRow="1" w:lastRow="0" w:firstColumn="1" w:lastColumn="0" w:noHBand="1" w:noVBand="1"/>
      </w:tblPr>
      <w:tblGrid>
        <w:gridCol w:w="3608"/>
        <w:gridCol w:w="3608"/>
        <w:gridCol w:w="2145"/>
      </w:tblGrid>
      <w:tr w:rsidR="3DDCC067" w:rsidRPr="00424833" w14:paraId="48ECBEBF" w14:textId="77777777" w:rsidTr="3DDCC067">
        <w:tc>
          <w:tcPr>
            <w:tcW w:w="3608" w:type="dxa"/>
            <w:tcBorders>
              <w:top w:val="single" w:sz="8" w:space="0" w:color="auto"/>
              <w:left w:val="single" w:sz="8" w:space="0" w:color="auto"/>
              <w:bottom w:val="single" w:sz="8" w:space="0" w:color="auto"/>
              <w:right w:val="single" w:sz="8" w:space="0" w:color="auto"/>
            </w:tcBorders>
          </w:tcPr>
          <w:p w14:paraId="1063448C" w14:textId="275895C3" w:rsidR="3DDCC067" w:rsidRPr="00424833" w:rsidRDefault="3DDCC067" w:rsidP="00F75E05">
            <w:pPr>
              <w:spacing w:after="240" w:line="480" w:lineRule="auto"/>
            </w:pPr>
            <w:r w:rsidRPr="00424833">
              <w:rPr>
                <w:rFonts w:ascii="Calibri" w:eastAsia="Calibri" w:hAnsi="Calibri" w:cs="Calibri"/>
                <w:b/>
                <w:bCs/>
                <w:sz w:val="20"/>
                <w:szCs w:val="20"/>
              </w:rPr>
              <w:t>Proposed Statement</w:t>
            </w:r>
          </w:p>
        </w:tc>
        <w:tc>
          <w:tcPr>
            <w:tcW w:w="3608" w:type="dxa"/>
            <w:tcBorders>
              <w:top w:val="single" w:sz="8" w:space="0" w:color="auto"/>
              <w:left w:val="single" w:sz="8" w:space="0" w:color="auto"/>
              <w:bottom w:val="single" w:sz="8" w:space="0" w:color="auto"/>
              <w:right w:val="single" w:sz="8" w:space="0" w:color="auto"/>
            </w:tcBorders>
          </w:tcPr>
          <w:p w14:paraId="27440EB6" w14:textId="75995C04" w:rsidR="3DDCC067" w:rsidRPr="00424833" w:rsidRDefault="3DDCC067" w:rsidP="00F75E05">
            <w:pPr>
              <w:spacing w:after="240" w:line="480" w:lineRule="auto"/>
            </w:pPr>
            <w:r w:rsidRPr="00424833">
              <w:rPr>
                <w:rFonts w:ascii="Calibri" w:eastAsia="Calibri" w:hAnsi="Calibri" w:cs="Calibri"/>
                <w:b/>
                <w:bCs/>
                <w:sz w:val="20"/>
                <w:szCs w:val="20"/>
              </w:rPr>
              <w:t>Final Statement</w:t>
            </w:r>
          </w:p>
        </w:tc>
        <w:tc>
          <w:tcPr>
            <w:tcW w:w="2145" w:type="dxa"/>
            <w:tcBorders>
              <w:top w:val="single" w:sz="8" w:space="0" w:color="auto"/>
              <w:left w:val="single" w:sz="8" w:space="0" w:color="auto"/>
              <w:bottom w:val="single" w:sz="8" w:space="0" w:color="auto"/>
              <w:right w:val="single" w:sz="8" w:space="0" w:color="auto"/>
            </w:tcBorders>
          </w:tcPr>
          <w:p w14:paraId="61CC75A7" w14:textId="76A067BE" w:rsidR="3DDCC067" w:rsidRPr="00424833" w:rsidRDefault="3DDCC067" w:rsidP="00F75E05">
            <w:pPr>
              <w:spacing w:after="240" w:line="480" w:lineRule="auto"/>
            </w:pPr>
            <w:r w:rsidRPr="00424833">
              <w:rPr>
                <w:rFonts w:ascii="Calibri" w:eastAsia="Calibri" w:hAnsi="Calibri" w:cs="Calibri"/>
                <w:b/>
                <w:bCs/>
                <w:sz w:val="20"/>
                <w:szCs w:val="20"/>
              </w:rPr>
              <w:t>Result</w:t>
            </w:r>
          </w:p>
        </w:tc>
      </w:tr>
      <w:tr w:rsidR="3DDCC067" w:rsidRPr="00424833" w14:paraId="651BE521" w14:textId="77777777" w:rsidTr="3DDCC067">
        <w:tc>
          <w:tcPr>
            <w:tcW w:w="9361" w:type="dxa"/>
            <w:gridSpan w:val="3"/>
            <w:tcBorders>
              <w:top w:val="single" w:sz="8" w:space="0" w:color="auto"/>
              <w:left w:val="single" w:sz="8" w:space="0" w:color="auto"/>
              <w:bottom w:val="single" w:sz="8" w:space="0" w:color="auto"/>
              <w:right w:val="single" w:sz="8" w:space="0" w:color="auto"/>
            </w:tcBorders>
            <w:shd w:val="clear" w:color="auto" w:fill="D0CECE" w:themeFill="background2" w:themeFillShade="E6"/>
          </w:tcPr>
          <w:p w14:paraId="0C1434F3" w14:textId="7493CB58" w:rsidR="3DDCC067" w:rsidRPr="00424833" w:rsidRDefault="3DDCC067" w:rsidP="00F75E05">
            <w:pPr>
              <w:spacing w:after="240" w:line="480" w:lineRule="auto"/>
            </w:pPr>
            <w:r w:rsidRPr="00424833">
              <w:rPr>
                <w:rFonts w:ascii="Calibri" w:eastAsia="Calibri" w:hAnsi="Calibri" w:cs="Calibri"/>
                <w:b/>
                <w:bCs/>
                <w:sz w:val="20"/>
                <w:szCs w:val="20"/>
              </w:rPr>
              <w:t>Section 1 (Workshop 1A)</w:t>
            </w:r>
          </w:p>
        </w:tc>
      </w:tr>
      <w:tr w:rsidR="3DDCC067" w:rsidRPr="00424833" w14:paraId="61511099" w14:textId="77777777" w:rsidTr="3DDCC067">
        <w:tc>
          <w:tcPr>
            <w:tcW w:w="3608" w:type="dxa"/>
            <w:tcBorders>
              <w:top w:val="single" w:sz="8" w:space="0" w:color="auto"/>
              <w:left w:val="single" w:sz="8" w:space="0" w:color="auto"/>
              <w:bottom w:val="single" w:sz="8" w:space="0" w:color="auto"/>
              <w:right w:val="single" w:sz="8" w:space="0" w:color="auto"/>
            </w:tcBorders>
          </w:tcPr>
          <w:p w14:paraId="41196922" w14:textId="6557E23D" w:rsidR="3DDCC067" w:rsidRPr="00424833" w:rsidRDefault="3DDCC067" w:rsidP="00F75E05">
            <w:pPr>
              <w:spacing w:after="240" w:line="480" w:lineRule="auto"/>
            </w:pPr>
            <w:r w:rsidRPr="00424833">
              <w:rPr>
                <w:rFonts w:ascii="Calibri" w:eastAsia="Calibri" w:hAnsi="Calibri" w:cs="Calibri"/>
                <w:sz w:val="20"/>
                <w:szCs w:val="20"/>
              </w:rPr>
              <w:t>1. Administration of surfactant early in preterm infants with RDS improves outcomes.</w:t>
            </w:r>
          </w:p>
        </w:tc>
        <w:tc>
          <w:tcPr>
            <w:tcW w:w="3608" w:type="dxa"/>
            <w:tcBorders>
              <w:top w:val="nil"/>
              <w:left w:val="single" w:sz="8" w:space="0" w:color="auto"/>
              <w:bottom w:val="single" w:sz="8" w:space="0" w:color="auto"/>
              <w:right w:val="single" w:sz="8" w:space="0" w:color="auto"/>
            </w:tcBorders>
          </w:tcPr>
          <w:p w14:paraId="42A977E4" w14:textId="19F26AE2" w:rsidR="3DDCC067" w:rsidRPr="00424833" w:rsidRDefault="3DDCC067" w:rsidP="00F75E05">
            <w:pPr>
              <w:spacing w:after="240" w:line="480" w:lineRule="auto"/>
            </w:pPr>
            <w:r w:rsidRPr="00424833">
              <w:rPr>
                <w:rFonts w:ascii="Calibri" w:eastAsia="Calibri" w:hAnsi="Calibri" w:cs="Calibri"/>
                <w:sz w:val="20"/>
                <w:szCs w:val="20"/>
              </w:rPr>
              <w:t>1. In preterm infants with a diagnosis of RDS, when the clinical decision has been made to administer surfactant, giving surfactant early (≤2 hours of life) improves outcomes.</w:t>
            </w:r>
          </w:p>
        </w:tc>
        <w:tc>
          <w:tcPr>
            <w:tcW w:w="2145" w:type="dxa"/>
            <w:tcBorders>
              <w:top w:val="nil"/>
              <w:left w:val="single" w:sz="8" w:space="0" w:color="auto"/>
              <w:bottom w:val="single" w:sz="8" w:space="0" w:color="auto"/>
              <w:right w:val="single" w:sz="8" w:space="0" w:color="auto"/>
            </w:tcBorders>
          </w:tcPr>
          <w:p w14:paraId="052D8FB4" w14:textId="232364E9" w:rsidR="3DDCC067" w:rsidRPr="00424833" w:rsidRDefault="3DDCC067" w:rsidP="00F75E05">
            <w:pPr>
              <w:spacing w:after="240" w:line="480" w:lineRule="auto"/>
            </w:pPr>
            <w:r w:rsidRPr="00424833">
              <w:rPr>
                <w:rFonts w:ascii="Calibri" w:eastAsia="Calibri" w:hAnsi="Calibri" w:cs="Calibri"/>
                <w:sz w:val="20"/>
                <w:szCs w:val="20"/>
              </w:rPr>
              <w:t>Consensus achieved (0 strongly disagree, 1 disagree, 0 neutral, 4 agree, 6 strongly agree)</w:t>
            </w:r>
          </w:p>
        </w:tc>
      </w:tr>
      <w:tr w:rsidR="3DDCC067" w:rsidRPr="00424833" w14:paraId="07112707" w14:textId="77777777" w:rsidTr="3DDCC067">
        <w:tc>
          <w:tcPr>
            <w:tcW w:w="3608" w:type="dxa"/>
            <w:tcBorders>
              <w:top w:val="single" w:sz="8" w:space="0" w:color="auto"/>
              <w:left w:val="single" w:sz="8" w:space="0" w:color="auto"/>
              <w:bottom w:val="single" w:sz="8" w:space="0" w:color="auto"/>
              <w:right w:val="single" w:sz="8" w:space="0" w:color="auto"/>
            </w:tcBorders>
          </w:tcPr>
          <w:p w14:paraId="7A56319C" w14:textId="668E6CF6" w:rsidR="3DDCC067" w:rsidRPr="00424833" w:rsidRDefault="3DDCC067" w:rsidP="00F75E05">
            <w:pPr>
              <w:spacing w:after="240" w:line="480" w:lineRule="auto"/>
            </w:pPr>
            <w:r w:rsidRPr="00424833">
              <w:rPr>
                <w:rFonts w:ascii="Calibri" w:eastAsia="Calibri" w:hAnsi="Calibri" w:cs="Calibri"/>
                <w:sz w:val="20"/>
                <w:szCs w:val="20"/>
              </w:rPr>
              <w:t>7. Early surfactant therapy (administered within 2 hours of life) is appropriate for any infant with RDS who meets the dosing criteria.</w:t>
            </w:r>
          </w:p>
        </w:tc>
        <w:tc>
          <w:tcPr>
            <w:tcW w:w="3608" w:type="dxa"/>
            <w:tcBorders>
              <w:top w:val="single" w:sz="8" w:space="0" w:color="auto"/>
              <w:left w:val="single" w:sz="8" w:space="0" w:color="auto"/>
              <w:bottom w:val="single" w:sz="8" w:space="0" w:color="auto"/>
              <w:right w:val="single" w:sz="8" w:space="0" w:color="auto"/>
            </w:tcBorders>
          </w:tcPr>
          <w:p w14:paraId="603E22FF" w14:textId="416CDE4F" w:rsidR="3DDCC067" w:rsidRPr="00424833" w:rsidRDefault="3DDCC067" w:rsidP="00F75E05">
            <w:pPr>
              <w:spacing w:after="240" w:line="480" w:lineRule="auto"/>
            </w:pPr>
            <w:r w:rsidRPr="00424833">
              <w:rPr>
                <w:rFonts w:ascii="Calibri" w:eastAsia="Calibri" w:hAnsi="Calibri" w:cs="Calibri"/>
                <w:sz w:val="20"/>
                <w:szCs w:val="20"/>
              </w:rPr>
              <w:t>7. Early surfactant therapy (administered within 2 hours of life) is appropriate for any preterm infant with RDS who meets the dosing criteria.</w:t>
            </w:r>
          </w:p>
        </w:tc>
        <w:tc>
          <w:tcPr>
            <w:tcW w:w="2145" w:type="dxa"/>
            <w:tcBorders>
              <w:top w:val="single" w:sz="8" w:space="0" w:color="auto"/>
              <w:left w:val="single" w:sz="8" w:space="0" w:color="auto"/>
              <w:bottom w:val="single" w:sz="8" w:space="0" w:color="auto"/>
              <w:right w:val="single" w:sz="8" w:space="0" w:color="auto"/>
            </w:tcBorders>
          </w:tcPr>
          <w:p w14:paraId="69E28456" w14:textId="73AD4104" w:rsidR="3DDCC067" w:rsidRPr="00424833" w:rsidRDefault="3DDCC067" w:rsidP="00F75E05">
            <w:pPr>
              <w:spacing w:after="240" w:line="480" w:lineRule="auto"/>
            </w:pPr>
            <w:r w:rsidRPr="00424833">
              <w:rPr>
                <w:rFonts w:ascii="Calibri" w:eastAsia="Calibri" w:hAnsi="Calibri" w:cs="Calibri"/>
                <w:b/>
                <w:bCs/>
                <w:sz w:val="20"/>
                <w:szCs w:val="20"/>
              </w:rPr>
              <w:t>Consensus NOT achieved</w:t>
            </w:r>
            <w:r w:rsidRPr="00424833">
              <w:rPr>
                <w:rFonts w:ascii="Calibri" w:eastAsia="Calibri" w:hAnsi="Calibri" w:cs="Calibri"/>
                <w:sz w:val="20"/>
                <w:szCs w:val="20"/>
              </w:rPr>
              <w:t xml:space="preserve"> (1 strongly disagree, 2 disagree, 0 neutral, 8 agree, 0 strongly agree)</w:t>
            </w:r>
          </w:p>
        </w:tc>
      </w:tr>
      <w:tr w:rsidR="3DDCC067" w:rsidRPr="00424833" w14:paraId="3DB0E2B8" w14:textId="77777777" w:rsidTr="3DDCC067">
        <w:tc>
          <w:tcPr>
            <w:tcW w:w="3608" w:type="dxa"/>
            <w:tcBorders>
              <w:top w:val="single" w:sz="8" w:space="0" w:color="auto"/>
              <w:left w:val="single" w:sz="8" w:space="0" w:color="auto"/>
              <w:bottom w:val="single" w:sz="8" w:space="0" w:color="auto"/>
              <w:right w:val="single" w:sz="8" w:space="0" w:color="auto"/>
            </w:tcBorders>
          </w:tcPr>
          <w:p w14:paraId="51EF4967" w14:textId="75C248B3" w:rsidR="3DDCC067" w:rsidRPr="00424833" w:rsidRDefault="3DDCC067" w:rsidP="00F75E05">
            <w:pPr>
              <w:spacing w:after="240" w:line="480" w:lineRule="auto"/>
            </w:pPr>
            <w:r w:rsidRPr="00424833">
              <w:rPr>
                <w:rFonts w:ascii="Calibri" w:eastAsia="Calibri" w:hAnsi="Calibri" w:cs="Calibri"/>
                <w:sz w:val="20"/>
                <w:szCs w:val="20"/>
              </w:rPr>
              <w:t>8. All preterm infants intubated for respiratory support due to RDS should be treated with surfactant therapy based on dosing criteria.</w:t>
            </w:r>
          </w:p>
        </w:tc>
        <w:tc>
          <w:tcPr>
            <w:tcW w:w="3608" w:type="dxa"/>
            <w:tcBorders>
              <w:top w:val="single" w:sz="8" w:space="0" w:color="auto"/>
              <w:left w:val="single" w:sz="8" w:space="0" w:color="auto"/>
              <w:bottom w:val="single" w:sz="8" w:space="0" w:color="auto"/>
              <w:right w:val="single" w:sz="8" w:space="0" w:color="auto"/>
            </w:tcBorders>
          </w:tcPr>
          <w:p w14:paraId="45280E53" w14:textId="2BEB2ECD" w:rsidR="3DDCC067" w:rsidRPr="00424833" w:rsidRDefault="3DDCC067" w:rsidP="00F75E05">
            <w:pPr>
              <w:spacing w:after="240" w:line="480" w:lineRule="auto"/>
            </w:pPr>
            <w:r w:rsidRPr="00424833">
              <w:rPr>
                <w:rFonts w:ascii="Calibri" w:eastAsia="Calibri" w:hAnsi="Calibri" w:cs="Calibri"/>
                <w:sz w:val="20"/>
                <w:szCs w:val="20"/>
              </w:rPr>
              <w:t>8. All preterm infants intubated due to RDS should be treated with surfactant therapy based on dosing criteria.</w:t>
            </w:r>
          </w:p>
        </w:tc>
        <w:tc>
          <w:tcPr>
            <w:tcW w:w="2145" w:type="dxa"/>
            <w:tcBorders>
              <w:top w:val="single" w:sz="8" w:space="0" w:color="auto"/>
              <w:left w:val="single" w:sz="8" w:space="0" w:color="auto"/>
              <w:bottom w:val="single" w:sz="8" w:space="0" w:color="auto"/>
              <w:right w:val="single" w:sz="8" w:space="0" w:color="auto"/>
            </w:tcBorders>
          </w:tcPr>
          <w:p w14:paraId="24445CA1" w14:textId="3EEC1253" w:rsidR="3DDCC067" w:rsidRPr="00424833" w:rsidRDefault="3DDCC067" w:rsidP="00F75E05">
            <w:pPr>
              <w:spacing w:after="240" w:line="480" w:lineRule="auto"/>
            </w:pPr>
            <w:r w:rsidRPr="00424833">
              <w:rPr>
                <w:rFonts w:ascii="Calibri" w:eastAsia="Calibri" w:hAnsi="Calibri" w:cs="Calibri"/>
                <w:sz w:val="20"/>
                <w:szCs w:val="20"/>
              </w:rPr>
              <w:t>Consensus achieved (0 strongly disagree, 0 disagree, 0 neutral, 5 agree, 6 strongly agree)</w:t>
            </w:r>
          </w:p>
        </w:tc>
      </w:tr>
      <w:tr w:rsidR="3DDCC067" w:rsidRPr="00424833" w14:paraId="79496987" w14:textId="77777777" w:rsidTr="3DDCC067">
        <w:tc>
          <w:tcPr>
            <w:tcW w:w="9361" w:type="dxa"/>
            <w:gridSpan w:val="3"/>
            <w:tcBorders>
              <w:top w:val="single" w:sz="8" w:space="0" w:color="auto"/>
              <w:left w:val="single" w:sz="8" w:space="0" w:color="auto"/>
              <w:bottom w:val="single" w:sz="8" w:space="0" w:color="auto"/>
              <w:right w:val="single" w:sz="8" w:space="0" w:color="auto"/>
            </w:tcBorders>
            <w:shd w:val="clear" w:color="auto" w:fill="E7E6E6" w:themeFill="background2"/>
          </w:tcPr>
          <w:p w14:paraId="1EF527D4" w14:textId="0D0DBB18" w:rsidR="3DDCC067" w:rsidRPr="00424833" w:rsidRDefault="3DDCC067" w:rsidP="00F75E05">
            <w:pPr>
              <w:spacing w:after="240" w:line="480" w:lineRule="auto"/>
            </w:pPr>
            <w:r w:rsidRPr="00424833">
              <w:rPr>
                <w:rFonts w:ascii="Calibri" w:eastAsia="Calibri" w:hAnsi="Calibri" w:cs="Calibri"/>
                <w:i/>
                <w:iCs/>
                <w:sz w:val="20"/>
                <w:szCs w:val="20"/>
              </w:rPr>
              <w:t xml:space="preserve">*Note: statements 1, 7, and 8 were combined into statement 178 and voted on during </w:t>
            </w:r>
            <w:r w:rsidR="00514723">
              <w:rPr>
                <w:rFonts w:ascii="Calibri" w:eastAsia="Calibri" w:hAnsi="Calibri" w:cs="Calibri"/>
                <w:i/>
                <w:iCs/>
                <w:sz w:val="20"/>
                <w:szCs w:val="20"/>
              </w:rPr>
              <w:t>w</w:t>
            </w:r>
            <w:r w:rsidRPr="00424833">
              <w:rPr>
                <w:rFonts w:ascii="Calibri" w:eastAsia="Calibri" w:hAnsi="Calibri" w:cs="Calibri"/>
                <w:i/>
                <w:iCs/>
                <w:sz w:val="20"/>
                <w:szCs w:val="20"/>
              </w:rPr>
              <w:t>orkshop 2</w:t>
            </w:r>
          </w:p>
        </w:tc>
      </w:tr>
      <w:tr w:rsidR="3DDCC067" w:rsidRPr="00424833" w14:paraId="1379E7AF" w14:textId="77777777" w:rsidTr="3DDCC067">
        <w:tc>
          <w:tcPr>
            <w:tcW w:w="3608" w:type="dxa"/>
            <w:tcBorders>
              <w:top w:val="single" w:sz="8" w:space="0" w:color="auto"/>
              <w:left w:val="single" w:sz="8" w:space="0" w:color="auto"/>
              <w:bottom w:val="single" w:sz="8" w:space="0" w:color="auto"/>
              <w:right w:val="single" w:sz="8" w:space="0" w:color="auto"/>
            </w:tcBorders>
          </w:tcPr>
          <w:p w14:paraId="44425A12" w14:textId="2AACD41F" w:rsidR="3DDCC067" w:rsidRPr="00424833" w:rsidRDefault="3DDCC067" w:rsidP="00F75E05">
            <w:pPr>
              <w:spacing w:after="240" w:line="480" w:lineRule="auto"/>
            </w:pPr>
            <w:r w:rsidRPr="00424833">
              <w:rPr>
                <w:rFonts w:ascii="Calibri" w:eastAsia="Calibri" w:hAnsi="Calibri" w:cs="Calibri"/>
                <w:sz w:val="20"/>
                <w:szCs w:val="20"/>
              </w:rPr>
              <w:t xml:space="preserve">2. For preterm infants with RDS, an elevated FiO2 (e.g., generally ≥ 0.3) is an important indicator for the need of surfactant treatment; other clinical </w:t>
            </w:r>
            <w:r w:rsidRPr="00424833">
              <w:rPr>
                <w:rFonts w:ascii="Calibri" w:eastAsia="Calibri" w:hAnsi="Calibri" w:cs="Calibri"/>
                <w:sz w:val="20"/>
                <w:szCs w:val="20"/>
              </w:rPr>
              <w:lastRenderedPageBreak/>
              <w:t>measures of respiratory distress and/or support, alone or in combination, may precede and preempt FiO2 as indication of need for surfactant treatment.</w:t>
            </w:r>
          </w:p>
        </w:tc>
        <w:tc>
          <w:tcPr>
            <w:tcW w:w="3608" w:type="dxa"/>
            <w:tcBorders>
              <w:top w:val="nil"/>
              <w:left w:val="single" w:sz="8" w:space="0" w:color="auto"/>
              <w:bottom w:val="single" w:sz="8" w:space="0" w:color="auto"/>
              <w:right w:val="single" w:sz="8" w:space="0" w:color="auto"/>
            </w:tcBorders>
          </w:tcPr>
          <w:p w14:paraId="7B3CDD72" w14:textId="301506F1" w:rsidR="3DDCC067" w:rsidRPr="00424833" w:rsidRDefault="3DDCC067" w:rsidP="00F75E05">
            <w:pPr>
              <w:spacing w:after="240" w:line="480" w:lineRule="auto"/>
            </w:pPr>
            <w:r w:rsidRPr="00424833">
              <w:rPr>
                <w:rFonts w:ascii="Calibri" w:eastAsia="Calibri" w:hAnsi="Calibri" w:cs="Calibri"/>
                <w:sz w:val="20"/>
                <w:szCs w:val="20"/>
              </w:rPr>
              <w:lastRenderedPageBreak/>
              <w:t xml:space="preserve">2. For preterm infants with RDS, an elevated FiO2 while on respiratory support is an important indicator for the need of surfactant treatment; other </w:t>
            </w:r>
            <w:r w:rsidRPr="00424833">
              <w:rPr>
                <w:rFonts w:ascii="Calibri" w:eastAsia="Calibri" w:hAnsi="Calibri" w:cs="Calibri"/>
                <w:sz w:val="20"/>
                <w:szCs w:val="20"/>
              </w:rPr>
              <w:lastRenderedPageBreak/>
              <w:t>clinical measures of respiratory distress and/or support, alone or in combination, may precede and preempt FiO2 as indication of need for surfactant treatment.</w:t>
            </w:r>
          </w:p>
        </w:tc>
        <w:tc>
          <w:tcPr>
            <w:tcW w:w="2145" w:type="dxa"/>
            <w:tcBorders>
              <w:top w:val="nil"/>
              <w:left w:val="single" w:sz="8" w:space="0" w:color="auto"/>
              <w:bottom w:val="single" w:sz="8" w:space="0" w:color="auto"/>
              <w:right w:val="single" w:sz="8" w:space="0" w:color="auto"/>
            </w:tcBorders>
          </w:tcPr>
          <w:p w14:paraId="547079DA" w14:textId="6E14E5EC" w:rsidR="3DDCC067" w:rsidRPr="00424833" w:rsidRDefault="3DDCC067" w:rsidP="00F75E05">
            <w:pPr>
              <w:spacing w:after="240" w:line="480" w:lineRule="auto"/>
            </w:pPr>
            <w:r w:rsidRPr="00424833">
              <w:rPr>
                <w:rFonts w:ascii="Calibri" w:eastAsia="Calibri" w:hAnsi="Calibri" w:cs="Calibri"/>
                <w:sz w:val="20"/>
                <w:szCs w:val="20"/>
              </w:rPr>
              <w:lastRenderedPageBreak/>
              <w:t>Consensus achieved (0 strongly disagree, 0 disagree, 0 neutral, 6 agree, 5 strongly agree)</w:t>
            </w:r>
          </w:p>
        </w:tc>
      </w:tr>
      <w:tr w:rsidR="3DDCC067" w:rsidRPr="00424833" w14:paraId="4AF2F541" w14:textId="77777777" w:rsidTr="3DDCC067">
        <w:tc>
          <w:tcPr>
            <w:tcW w:w="3608" w:type="dxa"/>
            <w:tcBorders>
              <w:top w:val="single" w:sz="8" w:space="0" w:color="auto"/>
              <w:left w:val="single" w:sz="8" w:space="0" w:color="auto"/>
              <w:bottom w:val="single" w:sz="8" w:space="0" w:color="auto"/>
              <w:right w:val="single" w:sz="8" w:space="0" w:color="auto"/>
            </w:tcBorders>
          </w:tcPr>
          <w:p w14:paraId="07C28E35" w14:textId="60AE5891" w:rsidR="3DDCC067" w:rsidRPr="00424833" w:rsidRDefault="3DDCC067" w:rsidP="00F75E05">
            <w:pPr>
              <w:spacing w:after="240" w:line="480" w:lineRule="auto"/>
            </w:pPr>
            <w:r w:rsidRPr="00424833">
              <w:rPr>
                <w:rFonts w:ascii="Calibri" w:eastAsia="Calibri" w:hAnsi="Calibri" w:cs="Calibri"/>
                <w:sz w:val="20"/>
                <w:szCs w:val="20"/>
              </w:rPr>
              <w:t>9. After the first 2 hours of life, work of breathing and FiO2 ≥ 0.3 are strong indicators for surfactant treatment for RDS based on dosing criteria.</w:t>
            </w:r>
          </w:p>
        </w:tc>
        <w:tc>
          <w:tcPr>
            <w:tcW w:w="3608" w:type="dxa"/>
            <w:tcBorders>
              <w:top w:val="single" w:sz="8" w:space="0" w:color="auto"/>
              <w:left w:val="single" w:sz="8" w:space="0" w:color="auto"/>
              <w:bottom w:val="single" w:sz="8" w:space="0" w:color="auto"/>
              <w:right w:val="single" w:sz="8" w:space="0" w:color="auto"/>
            </w:tcBorders>
          </w:tcPr>
          <w:p w14:paraId="79BC8835" w14:textId="0FFFEDF8" w:rsidR="3DDCC067" w:rsidRPr="00424833" w:rsidRDefault="3DDCC067" w:rsidP="00F75E05">
            <w:pPr>
              <w:spacing w:after="240" w:line="480" w:lineRule="auto"/>
            </w:pPr>
            <w:r w:rsidRPr="00424833">
              <w:rPr>
                <w:rFonts w:ascii="Calibri" w:eastAsia="Calibri" w:hAnsi="Calibri" w:cs="Calibri"/>
                <w:sz w:val="20"/>
                <w:szCs w:val="20"/>
              </w:rPr>
              <w:t>9. After the first 2 hours of life, increased work of breathing on positive pressure support, and/or elevated FiO2 are important indicators for surfactant treatment for RDS based on dosing criteria.</w:t>
            </w:r>
          </w:p>
        </w:tc>
        <w:tc>
          <w:tcPr>
            <w:tcW w:w="2145" w:type="dxa"/>
            <w:tcBorders>
              <w:top w:val="single" w:sz="8" w:space="0" w:color="auto"/>
              <w:left w:val="single" w:sz="8" w:space="0" w:color="auto"/>
              <w:bottom w:val="single" w:sz="8" w:space="0" w:color="auto"/>
              <w:right w:val="single" w:sz="8" w:space="0" w:color="auto"/>
            </w:tcBorders>
          </w:tcPr>
          <w:p w14:paraId="13C265CB" w14:textId="73400FA3" w:rsidR="3DDCC067" w:rsidRPr="00424833" w:rsidRDefault="3DDCC067" w:rsidP="00F75E05">
            <w:pPr>
              <w:spacing w:after="240" w:line="480" w:lineRule="auto"/>
            </w:pPr>
            <w:r w:rsidRPr="00424833">
              <w:rPr>
                <w:rFonts w:ascii="Calibri" w:eastAsia="Calibri" w:hAnsi="Calibri" w:cs="Calibri"/>
                <w:sz w:val="20"/>
                <w:szCs w:val="20"/>
              </w:rPr>
              <w:t>Consensus achieved (0 strongly disagree, 2 disagree, 0 neutral, 5 agree, 4 strongly agree)</w:t>
            </w:r>
          </w:p>
        </w:tc>
      </w:tr>
      <w:tr w:rsidR="3DDCC067" w:rsidRPr="00424833" w14:paraId="61848E70" w14:textId="77777777" w:rsidTr="3DDCC067">
        <w:tc>
          <w:tcPr>
            <w:tcW w:w="3608" w:type="dxa"/>
            <w:tcBorders>
              <w:top w:val="single" w:sz="8" w:space="0" w:color="auto"/>
              <w:left w:val="single" w:sz="8" w:space="0" w:color="auto"/>
              <w:bottom w:val="single" w:sz="8" w:space="0" w:color="auto"/>
              <w:right w:val="single" w:sz="8" w:space="0" w:color="auto"/>
            </w:tcBorders>
          </w:tcPr>
          <w:p w14:paraId="2123F7E7" w14:textId="367EAF55" w:rsidR="3DDCC067" w:rsidRPr="00424833" w:rsidRDefault="3DDCC067" w:rsidP="00F75E05">
            <w:pPr>
              <w:spacing w:after="240" w:line="480" w:lineRule="auto"/>
            </w:pPr>
            <w:r w:rsidRPr="00424833">
              <w:rPr>
                <w:rFonts w:ascii="Calibri" w:eastAsia="Calibri" w:hAnsi="Calibri" w:cs="Calibri"/>
                <w:sz w:val="20"/>
                <w:szCs w:val="20"/>
              </w:rPr>
              <w:t>10. Surfactant should be administered within 2 hours of life in preterm infants with RDS who have FiO2 ≥ 0.3 with adequate respiratory support.</w:t>
            </w:r>
          </w:p>
        </w:tc>
        <w:tc>
          <w:tcPr>
            <w:tcW w:w="3608" w:type="dxa"/>
            <w:tcBorders>
              <w:top w:val="single" w:sz="8" w:space="0" w:color="auto"/>
              <w:left w:val="single" w:sz="8" w:space="0" w:color="auto"/>
              <w:bottom w:val="single" w:sz="8" w:space="0" w:color="auto"/>
              <w:right w:val="single" w:sz="8" w:space="0" w:color="auto"/>
            </w:tcBorders>
          </w:tcPr>
          <w:p w14:paraId="03DB6209" w14:textId="191E44EC" w:rsidR="3DDCC067" w:rsidRPr="00424833" w:rsidRDefault="3DDCC067" w:rsidP="00F75E05">
            <w:pPr>
              <w:spacing w:after="240" w:line="480" w:lineRule="auto"/>
            </w:pPr>
            <w:r w:rsidRPr="00424833">
              <w:rPr>
                <w:rFonts w:ascii="Calibri" w:eastAsia="Calibri" w:hAnsi="Calibri" w:cs="Calibri"/>
                <w:sz w:val="20"/>
                <w:szCs w:val="20"/>
              </w:rPr>
              <w:t>10. Surfactant should be administered within 2 hours of life in preterm infants with RDS who require FiO2 ≥ 0.3 with adequate positive pressure respiratory support meeting dosing criteria.</w:t>
            </w:r>
          </w:p>
        </w:tc>
        <w:tc>
          <w:tcPr>
            <w:tcW w:w="2145" w:type="dxa"/>
            <w:tcBorders>
              <w:top w:val="single" w:sz="8" w:space="0" w:color="auto"/>
              <w:left w:val="single" w:sz="8" w:space="0" w:color="auto"/>
              <w:bottom w:val="single" w:sz="8" w:space="0" w:color="auto"/>
              <w:right w:val="single" w:sz="8" w:space="0" w:color="auto"/>
            </w:tcBorders>
          </w:tcPr>
          <w:p w14:paraId="2E802FB2" w14:textId="4C692D23" w:rsidR="3DDCC067" w:rsidRPr="00424833" w:rsidRDefault="3DDCC067" w:rsidP="00F75E05">
            <w:pPr>
              <w:spacing w:after="240" w:line="480" w:lineRule="auto"/>
            </w:pPr>
            <w:r w:rsidRPr="00424833">
              <w:rPr>
                <w:rFonts w:ascii="Calibri" w:eastAsia="Calibri" w:hAnsi="Calibri" w:cs="Calibri"/>
                <w:b/>
                <w:bCs/>
                <w:sz w:val="20"/>
                <w:szCs w:val="20"/>
              </w:rPr>
              <w:t>Consensus NOT achieved</w:t>
            </w:r>
            <w:r w:rsidRPr="00424833">
              <w:rPr>
                <w:rFonts w:ascii="Calibri" w:eastAsia="Calibri" w:hAnsi="Calibri" w:cs="Calibri"/>
                <w:sz w:val="20"/>
                <w:szCs w:val="20"/>
              </w:rPr>
              <w:t xml:space="preserve"> (3 strongly disagree, 0 disagree, 2 neutral, 4 agree, 2 strongly agree)</w:t>
            </w:r>
          </w:p>
        </w:tc>
      </w:tr>
      <w:tr w:rsidR="3DDCC067" w:rsidRPr="00424833" w14:paraId="4294A5D4" w14:textId="77777777" w:rsidTr="3DDCC067">
        <w:tc>
          <w:tcPr>
            <w:tcW w:w="9361" w:type="dxa"/>
            <w:gridSpan w:val="3"/>
            <w:tcBorders>
              <w:top w:val="single" w:sz="8" w:space="0" w:color="auto"/>
              <w:left w:val="single" w:sz="8" w:space="0" w:color="auto"/>
              <w:bottom w:val="single" w:sz="8" w:space="0" w:color="auto"/>
              <w:right w:val="single" w:sz="8" w:space="0" w:color="auto"/>
            </w:tcBorders>
            <w:shd w:val="clear" w:color="auto" w:fill="E7E6E6" w:themeFill="background2"/>
          </w:tcPr>
          <w:p w14:paraId="3F79127F" w14:textId="685901A8" w:rsidR="3DDCC067" w:rsidRPr="00424833" w:rsidRDefault="3DDCC067" w:rsidP="00F75E05">
            <w:pPr>
              <w:spacing w:after="240" w:line="480" w:lineRule="auto"/>
            </w:pPr>
            <w:r w:rsidRPr="00424833">
              <w:rPr>
                <w:rFonts w:ascii="Calibri" w:eastAsia="Calibri" w:hAnsi="Calibri" w:cs="Calibri"/>
                <w:i/>
                <w:iCs/>
                <w:sz w:val="20"/>
                <w:szCs w:val="20"/>
              </w:rPr>
              <w:t xml:space="preserve">*Note: statements 2, 9, and 10 were combined into statement 2910 and voted on during </w:t>
            </w:r>
            <w:r w:rsidR="00514723">
              <w:rPr>
                <w:rFonts w:ascii="Calibri" w:eastAsia="Calibri" w:hAnsi="Calibri" w:cs="Calibri"/>
                <w:i/>
                <w:iCs/>
                <w:sz w:val="20"/>
                <w:szCs w:val="20"/>
              </w:rPr>
              <w:t>w</w:t>
            </w:r>
            <w:r w:rsidRPr="00424833">
              <w:rPr>
                <w:rFonts w:ascii="Calibri" w:eastAsia="Calibri" w:hAnsi="Calibri" w:cs="Calibri"/>
                <w:i/>
                <w:iCs/>
                <w:sz w:val="20"/>
                <w:szCs w:val="20"/>
              </w:rPr>
              <w:t>orkshop 2</w:t>
            </w:r>
          </w:p>
        </w:tc>
      </w:tr>
      <w:tr w:rsidR="3DDCC067" w:rsidRPr="00424833" w14:paraId="0B9D3B52" w14:textId="77777777" w:rsidTr="3DDCC067">
        <w:tc>
          <w:tcPr>
            <w:tcW w:w="3608" w:type="dxa"/>
            <w:tcBorders>
              <w:top w:val="single" w:sz="8" w:space="0" w:color="auto"/>
              <w:left w:val="single" w:sz="8" w:space="0" w:color="auto"/>
              <w:bottom w:val="single" w:sz="8" w:space="0" w:color="auto"/>
              <w:right w:val="single" w:sz="8" w:space="0" w:color="auto"/>
            </w:tcBorders>
          </w:tcPr>
          <w:p w14:paraId="7631C4C7" w14:textId="33F7564A" w:rsidR="3DDCC067" w:rsidRPr="00424833" w:rsidRDefault="3DDCC067" w:rsidP="00F75E05">
            <w:pPr>
              <w:spacing w:after="240" w:line="480" w:lineRule="auto"/>
            </w:pPr>
            <w:r w:rsidRPr="00424833">
              <w:rPr>
                <w:rFonts w:ascii="Calibri" w:eastAsia="Calibri" w:hAnsi="Calibri" w:cs="Calibri"/>
                <w:sz w:val="20"/>
                <w:szCs w:val="20"/>
              </w:rPr>
              <w:t>3. Chest x-ray (CXR) confirmation for RDS diagnosis is recommended but not required prior to surfactant administration.</w:t>
            </w:r>
          </w:p>
        </w:tc>
        <w:tc>
          <w:tcPr>
            <w:tcW w:w="3608" w:type="dxa"/>
            <w:tcBorders>
              <w:top w:val="nil"/>
              <w:left w:val="single" w:sz="8" w:space="0" w:color="auto"/>
              <w:bottom w:val="single" w:sz="8" w:space="0" w:color="auto"/>
              <w:right w:val="single" w:sz="8" w:space="0" w:color="auto"/>
            </w:tcBorders>
          </w:tcPr>
          <w:p w14:paraId="68EA0AB5" w14:textId="1981BE17" w:rsidR="3DDCC067" w:rsidRPr="00424833" w:rsidRDefault="3DDCC067" w:rsidP="00F75E05">
            <w:pPr>
              <w:spacing w:after="240" w:line="480" w:lineRule="auto"/>
            </w:pPr>
            <w:r w:rsidRPr="00424833">
              <w:rPr>
                <w:rFonts w:ascii="Calibri" w:eastAsia="Calibri" w:hAnsi="Calibri" w:cs="Calibri"/>
                <w:sz w:val="20"/>
                <w:szCs w:val="20"/>
              </w:rPr>
              <w:t>3. Chest x-ray (CXR) confirmation for RDS diagnosis is suggested but not required prior to surfactant administration.</w:t>
            </w:r>
          </w:p>
        </w:tc>
        <w:tc>
          <w:tcPr>
            <w:tcW w:w="2145" w:type="dxa"/>
            <w:tcBorders>
              <w:top w:val="nil"/>
              <w:left w:val="single" w:sz="8" w:space="0" w:color="auto"/>
              <w:bottom w:val="single" w:sz="8" w:space="0" w:color="auto"/>
              <w:right w:val="single" w:sz="8" w:space="0" w:color="auto"/>
            </w:tcBorders>
          </w:tcPr>
          <w:p w14:paraId="7105F4F9" w14:textId="507A8F5C" w:rsidR="3DDCC067" w:rsidRPr="00424833" w:rsidRDefault="3DDCC067" w:rsidP="00F75E05">
            <w:pPr>
              <w:spacing w:after="240" w:line="480" w:lineRule="auto"/>
            </w:pPr>
            <w:r w:rsidRPr="00424833">
              <w:rPr>
                <w:rFonts w:ascii="Calibri" w:eastAsia="Calibri" w:hAnsi="Calibri" w:cs="Calibri"/>
                <w:sz w:val="20"/>
                <w:szCs w:val="20"/>
              </w:rPr>
              <w:t>Consensus achieved (0 strongly disagree, 0 disagree, 1 neutral, 4 agree, 6 strongly agree)</w:t>
            </w:r>
          </w:p>
        </w:tc>
      </w:tr>
      <w:tr w:rsidR="3DDCC067" w:rsidRPr="00424833" w14:paraId="7769967C" w14:textId="77777777" w:rsidTr="3DDCC067">
        <w:tc>
          <w:tcPr>
            <w:tcW w:w="3608" w:type="dxa"/>
            <w:tcBorders>
              <w:top w:val="single" w:sz="8" w:space="0" w:color="auto"/>
              <w:left w:val="single" w:sz="8" w:space="0" w:color="auto"/>
              <w:bottom w:val="single" w:sz="8" w:space="0" w:color="auto"/>
              <w:right w:val="single" w:sz="8" w:space="0" w:color="auto"/>
            </w:tcBorders>
          </w:tcPr>
          <w:p w14:paraId="1D044BF6" w14:textId="7A2D83A9" w:rsidR="3DDCC067" w:rsidRPr="00424833" w:rsidRDefault="3DDCC067" w:rsidP="00F75E05">
            <w:pPr>
              <w:spacing w:after="240" w:line="480" w:lineRule="auto"/>
            </w:pPr>
            <w:r w:rsidRPr="00424833">
              <w:rPr>
                <w:rFonts w:ascii="Calibri" w:eastAsia="Calibri" w:hAnsi="Calibri" w:cs="Calibri"/>
                <w:sz w:val="20"/>
                <w:szCs w:val="20"/>
              </w:rPr>
              <w:t xml:space="preserve">4. The three most important indicators when determining the use of surfactant </w:t>
            </w:r>
            <w:r w:rsidRPr="00424833">
              <w:rPr>
                <w:rFonts w:ascii="Calibri" w:eastAsia="Calibri" w:hAnsi="Calibri" w:cs="Calibri"/>
                <w:sz w:val="20"/>
                <w:szCs w:val="20"/>
              </w:rPr>
              <w:lastRenderedPageBreak/>
              <w:t>for preterm infants with RDS are 1. gestational age 2. FiO2 requirement &amp; 3. clinical signs and symptoms (e.g., work of breathing, CXR).</w:t>
            </w:r>
          </w:p>
        </w:tc>
        <w:tc>
          <w:tcPr>
            <w:tcW w:w="3608" w:type="dxa"/>
            <w:tcBorders>
              <w:top w:val="single" w:sz="8" w:space="0" w:color="auto"/>
              <w:left w:val="single" w:sz="8" w:space="0" w:color="auto"/>
              <w:bottom w:val="single" w:sz="8" w:space="0" w:color="auto"/>
              <w:right w:val="single" w:sz="8" w:space="0" w:color="auto"/>
            </w:tcBorders>
          </w:tcPr>
          <w:p w14:paraId="55E17CE9" w14:textId="5D3E712A" w:rsidR="3DDCC067" w:rsidRPr="00424833" w:rsidRDefault="3DDCC067" w:rsidP="00F75E05">
            <w:pPr>
              <w:spacing w:after="240" w:line="480" w:lineRule="auto"/>
            </w:pPr>
            <w:r w:rsidRPr="00424833">
              <w:rPr>
                <w:rFonts w:ascii="Calibri" w:eastAsia="Calibri" w:hAnsi="Calibri" w:cs="Calibri"/>
                <w:sz w:val="20"/>
                <w:szCs w:val="20"/>
              </w:rPr>
              <w:lastRenderedPageBreak/>
              <w:t xml:space="preserve">4. The most important indicators when determining the use of surfactant for </w:t>
            </w:r>
            <w:r w:rsidRPr="00424833">
              <w:rPr>
                <w:rFonts w:ascii="Calibri" w:eastAsia="Calibri" w:hAnsi="Calibri" w:cs="Calibri"/>
                <w:sz w:val="20"/>
                <w:szCs w:val="20"/>
              </w:rPr>
              <w:lastRenderedPageBreak/>
              <w:t>preterm infants with RDS are gestational age, FiO2 requirement &amp; clinical signs and symptoms (eg, work of breathing, CXR).</w:t>
            </w:r>
          </w:p>
        </w:tc>
        <w:tc>
          <w:tcPr>
            <w:tcW w:w="2145" w:type="dxa"/>
            <w:tcBorders>
              <w:top w:val="single" w:sz="8" w:space="0" w:color="auto"/>
              <w:left w:val="single" w:sz="8" w:space="0" w:color="auto"/>
              <w:bottom w:val="single" w:sz="8" w:space="0" w:color="auto"/>
              <w:right w:val="single" w:sz="8" w:space="0" w:color="auto"/>
            </w:tcBorders>
          </w:tcPr>
          <w:p w14:paraId="4595549B" w14:textId="678CC1D0" w:rsidR="3DDCC067" w:rsidRPr="00424833" w:rsidRDefault="3DDCC067" w:rsidP="00F75E05">
            <w:pPr>
              <w:spacing w:after="240" w:line="480" w:lineRule="auto"/>
            </w:pPr>
            <w:r w:rsidRPr="00424833">
              <w:rPr>
                <w:rFonts w:ascii="Calibri" w:eastAsia="Calibri" w:hAnsi="Calibri" w:cs="Calibri"/>
                <w:sz w:val="20"/>
                <w:szCs w:val="20"/>
              </w:rPr>
              <w:lastRenderedPageBreak/>
              <w:t xml:space="preserve">Consensus achieved (1 strongly disagree, 0 </w:t>
            </w:r>
            <w:r w:rsidRPr="00424833">
              <w:rPr>
                <w:rFonts w:ascii="Calibri" w:eastAsia="Calibri" w:hAnsi="Calibri" w:cs="Calibri"/>
                <w:sz w:val="20"/>
                <w:szCs w:val="20"/>
              </w:rPr>
              <w:lastRenderedPageBreak/>
              <w:t>disagree, 1 neutral, 4 agree, 5 strongly agree)</w:t>
            </w:r>
          </w:p>
        </w:tc>
      </w:tr>
      <w:tr w:rsidR="3DDCC067" w:rsidRPr="00424833" w14:paraId="7E01BE05" w14:textId="77777777" w:rsidTr="3DDCC067">
        <w:tc>
          <w:tcPr>
            <w:tcW w:w="3608" w:type="dxa"/>
            <w:tcBorders>
              <w:top w:val="single" w:sz="8" w:space="0" w:color="auto"/>
              <w:left w:val="single" w:sz="8" w:space="0" w:color="auto"/>
              <w:bottom w:val="single" w:sz="8" w:space="0" w:color="auto"/>
              <w:right w:val="single" w:sz="8" w:space="0" w:color="auto"/>
            </w:tcBorders>
          </w:tcPr>
          <w:p w14:paraId="28AFEAA2" w14:textId="4A8F20D1" w:rsidR="3DDCC067" w:rsidRPr="00424833" w:rsidRDefault="3DDCC067" w:rsidP="00F75E05">
            <w:pPr>
              <w:spacing w:after="240" w:line="480" w:lineRule="auto"/>
            </w:pPr>
            <w:r w:rsidRPr="00424833">
              <w:rPr>
                <w:rFonts w:ascii="Calibri" w:eastAsia="Calibri" w:hAnsi="Calibri" w:cs="Calibri"/>
                <w:sz w:val="20"/>
                <w:szCs w:val="20"/>
              </w:rPr>
              <w:lastRenderedPageBreak/>
              <w:t>5. A second or third dose of surfactant may be necessary for ongoing RDS dependent on clinical factors (e.g., lack of improvement, FiO2, increased work of breathing, or continued need for mechanical ventilation)</w:t>
            </w:r>
          </w:p>
        </w:tc>
        <w:tc>
          <w:tcPr>
            <w:tcW w:w="3608" w:type="dxa"/>
            <w:tcBorders>
              <w:top w:val="single" w:sz="8" w:space="0" w:color="auto"/>
              <w:left w:val="single" w:sz="8" w:space="0" w:color="auto"/>
              <w:bottom w:val="single" w:sz="8" w:space="0" w:color="auto"/>
              <w:right w:val="single" w:sz="8" w:space="0" w:color="auto"/>
            </w:tcBorders>
          </w:tcPr>
          <w:p w14:paraId="205B7EDF" w14:textId="687AC94B" w:rsidR="3DDCC067" w:rsidRPr="00424833" w:rsidRDefault="3DDCC067" w:rsidP="00F75E05">
            <w:pPr>
              <w:spacing w:after="240" w:line="480" w:lineRule="auto"/>
            </w:pPr>
            <w:r w:rsidRPr="00424833">
              <w:rPr>
                <w:rFonts w:ascii="Calibri" w:eastAsia="Calibri" w:hAnsi="Calibri" w:cs="Calibri"/>
                <w:sz w:val="20"/>
                <w:szCs w:val="20"/>
              </w:rPr>
              <w:t>5. A second or third dose of surfactant may be necessary for ongoing RDS dependent on clinical factors (eg, lack of improvement, FiO2 requirement, increased work of breathing, or continued need for mechanical ventilation)</w:t>
            </w:r>
          </w:p>
        </w:tc>
        <w:tc>
          <w:tcPr>
            <w:tcW w:w="2145" w:type="dxa"/>
            <w:tcBorders>
              <w:top w:val="single" w:sz="8" w:space="0" w:color="auto"/>
              <w:left w:val="single" w:sz="8" w:space="0" w:color="auto"/>
              <w:bottom w:val="single" w:sz="8" w:space="0" w:color="auto"/>
              <w:right w:val="single" w:sz="8" w:space="0" w:color="auto"/>
            </w:tcBorders>
          </w:tcPr>
          <w:p w14:paraId="08912172" w14:textId="19846E53" w:rsidR="3DDCC067" w:rsidRPr="00424833" w:rsidRDefault="3DDCC067" w:rsidP="00F75E05">
            <w:pPr>
              <w:spacing w:after="240" w:line="480" w:lineRule="auto"/>
            </w:pPr>
            <w:r w:rsidRPr="00424833">
              <w:rPr>
                <w:rFonts w:ascii="Calibri" w:eastAsia="Calibri" w:hAnsi="Calibri" w:cs="Calibri"/>
                <w:sz w:val="20"/>
                <w:szCs w:val="20"/>
              </w:rPr>
              <w:t>Consensus achieved (0 strongly disagree, 0 disagree, 0 neutral, 5 agree, 6 strongly agree)</w:t>
            </w:r>
          </w:p>
        </w:tc>
      </w:tr>
      <w:tr w:rsidR="3DDCC067" w:rsidRPr="00424833" w14:paraId="4C2B2E8A" w14:textId="77777777" w:rsidTr="3DDCC067">
        <w:tc>
          <w:tcPr>
            <w:tcW w:w="3608" w:type="dxa"/>
            <w:tcBorders>
              <w:top w:val="single" w:sz="8" w:space="0" w:color="auto"/>
              <w:left w:val="single" w:sz="8" w:space="0" w:color="auto"/>
              <w:bottom w:val="single" w:sz="8" w:space="0" w:color="auto"/>
              <w:right w:val="single" w:sz="8" w:space="0" w:color="auto"/>
            </w:tcBorders>
          </w:tcPr>
          <w:p w14:paraId="40D9C149" w14:textId="29BC57C5" w:rsidR="3DDCC067" w:rsidRPr="00424833" w:rsidRDefault="3DDCC067" w:rsidP="00F75E05">
            <w:pPr>
              <w:spacing w:after="240" w:line="480" w:lineRule="auto"/>
            </w:pPr>
            <w:r w:rsidRPr="00424833">
              <w:rPr>
                <w:rFonts w:ascii="Calibri" w:eastAsia="Calibri" w:hAnsi="Calibri" w:cs="Calibri"/>
                <w:sz w:val="20"/>
                <w:szCs w:val="20"/>
              </w:rPr>
              <w:t>6. Gestational age alone is not the sole criterion for immediate surfactant administration.</w:t>
            </w:r>
          </w:p>
        </w:tc>
        <w:tc>
          <w:tcPr>
            <w:tcW w:w="3608" w:type="dxa"/>
            <w:tcBorders>
              <w:top w:val="single" w:sz="8" w:space="0" w:color="auto"/>
              <w:left w:val="single" w:sz="8" w:space="0" w:color="auto"/>
              <w:bottom w:val="single" w:sz="8" w:space="0" w:color="auto"/>
              <w:right w:val="single" w:sz="8" w:space="0" w:color="auto"/>
            </w:tcBorders>
          </w:tcPr>
          <w:p w14:paraId="772E74E9" w14:textId="77296847" w:rsidR="3DDCC067" w:rsidRPr="00424833" w:rsidRDefault="3DDCC067" w:rsidP="00F75E05">
            <w:pPr>
              <w:spacing w:after="240" w:line="480" w:lineRule="auto"/>
            </w:pPr>
            <w:r w:rsidRPr="00424833">
              <w:rPr>
                <w:rFonts w:ascii="Calibri" w:eastAsia="Calibri" w:hAnsi="Calibri" w:cs="Calibri"/>
                <w:sz w:val="20"/>
                <w:szCs w:val="20"/>
              </w:rPr>
              <w:t>6. Based on current data, gestational age alone should not be the sole criterion for surfactant administration.</w:t>
            </w:r>
          </w:p>
        </w:tc>
        <w:tc>
          <w:tcPr>
            <w:tcW w:w="2145" w:type="dxa"/>
            <w:tcBorders>
              <w:top w:val="single" w:sz="8" w:space="0" w:color="auto"/>
              <w:left w:val="single" w:sz="8" w:space="0" w:color="auto"/>
              <w:bottom w:val="single" w:sz="8" w:space="0" w:color="auto"/>
              <w:right w:val="single" w:sz="8" w:space="0" w:color="auto"/>
            </w:tcBorders>
          </w:tcPr>
          <w:p w14:paraId="7B782E0B" w14:textId="15B48B9E" w:rsidR="3DDCC067" w:rsidRPr="00424833" w:rsidRDefault="3DDCC067" w:rsidP="00F75E05">
            <w:pPr>
              <w:spacing w:after="240" w:line="480" w:lineRule="auto"/>
            </w:pPr>
            <w:r w:rsidRPr="00424833">
              <w:rPr>
                <w:rFonts w:ascii="Calibri" w:eastAsia="Calibri" w:hAnsi="Calibri" w:cs="Calibri"/>
                <w:sz w:val="20"/>
                <w:szCs w:val="20"/>
              </w:rPr>
              <w:t>Consensus achieved (0 strongly disagree, 0 disagree, 0 neutral, 2 agree, 9 strongly agree)</w:t>
            </w:r>
          </w:p>
        </w:tc>
      </w:tr>
      <w:tr w:rsidR="3DDCC067" w:rsidRPr="00424833" w14:paraId="31950108" w14:textId="77777777" w:rsidTr="3DDCC067">
        <w:tc>
          <w:tcPr>
            <w:tcW w:w="3608" w:type="dxa"/>
            <w:tcBorders>
              <w:top w:val="single" w:sz="8" w:space="0" w:color="auto"/>
              <w:left w:val="single" w:sz="8" w:space="0" w:color="auto"/>
              <w:bottom w:val="single" w:sz="8" w:space="0" w:color="auto"/>
              <w:right w:val="single" w:sz="8" w:space="0" w:color="auto"/>
            </w:tcBorders>
          </w:tcPr>
          <w:p w14:paraId="43BA731E" w14:textId="2DB0F54B" w:rsidR="3DDCC067" w:rsidRPr="00424833" w:rsidRDefault="3DDCC067" w:rsidP="00F75E05">
            <w:pPr>
              <w:spacing w:after="240" w:line="480" w:lineRule="auto"/>
            </w:pPr>
            <w:r w:rsidRPr="00424833">
              <w:rPr>
                <w:rFonts w:ascii="Calibri" w:eastAsia="Calibri" w:hAnsi="Calibri" w:cs="Calibri"/>
                <w:sz w:val="20"/>
                <w:szCs w:val="20"/>
              </w:rPr>
              <w:t>11. Lung ultrasound and respiratory severity score (RSS) may play a role in determining which patients are candidates for surfactant administration.</w:t>
            </w:r>
          </w:p>
        </w:tc>
        <w:tc>
          <w:tcPr>
            <w:tcW w:w="3608" w:type="dxa"/>
            <w:tcBorders>
              <w:top w:val="single" w:sz="8" w:space="0" w:color="auto"/>
              <w:left w:val="single" w:sz="8" w:space="0" w:color="auto"/>
              <w:bottom w:val="single" w:sz="8" w:space="0" w:color="auto"/>
              <w:right w:val="single" w:sz="8" w:space="0" w:color="auto"/>
            </w:tcBorders>
          </w:tcPr>
          <w:p w14:paraId="4A5D1571" w14:textId="61A630AA" w:rsidR="3DDCC067" w:rsidRPr="00424833" w:rsidRDefault="3DDCC067" w:rsidP="00F75E05">
            <w:pPr>
              <w:spacing w:after="240" w:line="480" w:lineRule="auto"/>
            </w:pPr>
            <w:r w:rsidRPr="00424833">
              <w:rPr>
                <w:rFonts w:ascii="Calibri" w:eastAsia="Calibri" w:hAnsi="Calibri" w:cs="Calibri"/>
                <w:sz w:val="20"/>
                <w:szCs w:val="20"/>
              </w:rPr>
              <w:t>11. Lung ultrasound and clinical respiratory scoring (e.g., RSS) may play a role in determining which patients are candidates for surfactant administration.</w:t>
            </w:r>
          </w:p>
        </w:tc>
        <w:tc>
          <w:tcPr>
            <w:tcW w:w="2145" w:type="dxa"/>
            <w:tcBorders>
              <w:top w:val="single" w:sz="8" w:space="0" w:color="auto"/>
              <w:left w:val="single" w:sz="8" w:space="0" w:color="auto"/>
              <w:bottom w:val="single" w:sz="8" w:space="0" w:color="auto"/>
              <w:right w:val="single" w:sz="8" w:space="0" w:color="auto"/>
            </w:tcBorders>
          </w:tcPr>
          <w:p w14:paraId="50FDD033" w14:textId="2D8A0601" w:rsidR="3DDCC067" w:rsidRPr="00424833" w:rsidRDefault="3DDCC067" w:rsidP="00F75E05">
            <w:pPr>
              <w:spacing w:after="240" w:line="480" w:lineRule="auto"/>
            </w:pPr>
            <w:r w:rsidRPr="00424833">
              <w:rPr>
                <w:rFonts w:ascii="Calibri" w:eastAsia="Calibri" w:hAnsi="Calibri" w:cs="Calibri"/>
                <w:b/>
                <w:bCs/>
                <w:sz w:val="20"/>
                <w:szCs w:val="20"/>
              </w:rPr>
              <w:t>Consensus NOT achieved</w:t>
            </w:r>
            <w:r w:rsidRPr="00424833">
              <w:rPr>
                <w:rFonts w:ascii="Calibri" w:eastAsia="Calibri" w:hAnsi="Calibri" w:cs="Calibri"/>
                <w:sz w:val="20"/>
                <w:szCs w:val="20"/>
              </w:rPr>
              <w:t xml:space="preserve"> (0 strongly disagree, 2 disagree, 2 neutral, 5 agree, 2 strongly agree)</w:t>
            </w:r>
          </w:p>
        </w:tc>
      </w:tr>
      <w:tr w:rsidR="3DDCC067" w:rsidRPr="00424833" w14:paraId="7B2F6C0D" w14:textId="77777777" w:rsidTr="3DDCC067">
        <w:tc>
          <w:tcPr>
            <w:tcW w:w="3608" w:type="dxa"/>
            <w:tcBorders>
              <w:top w:val="single" w:sz="8" w:space="0" w:color="auto"/>
              <w:left w:val="single" w:sz="8" w:space="0" w:color="auto"/>
              <w:bottom w:val="single" w:sz="8" w:space="0" w:color="auto"/>
              <w:right w:val="single" w:sz="8" w:space="0" w:color="auto"/>
            </w:tcBorders>
          </w:tcPr>
          <w:p w14:paraId="2644E7B5" w14:textId="7637C56B" w:rsidR="3DDCC067" w:rsidRPr="00424833" w:rsidRDefault="3DDCC067" w:rsidP="00F75E05">
            <w:pPr>
              <w:spacing w:after="240" w:line="480" w:lineRule="auto"/>
            </w:pPr>
            <w:r w:rsidRPr="00424833">
              <w:rPr>
                <w:rFonts w:ascii="Calibri" w:eastAsia="Calibri" w:hAnsi="Calibri" w:cs="Calibri"/>
                <w:sz w:val="20"/>
                <w:szCs w:val="20"/>
              </w:rPr>
              <w:t xml:space="preserve">12. Overcoming barriers such as limited nearby availability of appropriately skilled staff and resources, including equipment and surfactant medication </w:t>
            </w:r>
            <w:r w:rsidRPr="00424833">
              <w:rPr>
                <w:rFonts w:ascii="Calibri" w:eastAsia="Calibri" w:hAnsi="Calibri" w:cs="Calibri"/>
                <w:sz w:val="20"/>
                <w:szCs w:val="20"/>
              </w:rPr>
              <w:lastRenderedPageBreak/>
              <w:t>and/or confirmatory radiological exams may increase the timely administration of surfactant</w:t>
            </w:r>
            <w:r w:rsidR="000D576B">
              <w:rPr>
                <w:rFonts w:ascii="Calibri" w:eastAsia="Calibri" w:hAnsi="Calibri" w:cs="Calibri"/>
                <w:sz w:val="20"/>
                <w:szCs w:val="20"/>
              </w:rPr>
              <w:t>.</w:t>
            </w:r>
          </w:p>
        </w:tc>
        <w:tc>
          <w:tcPr>
            <w:tcW w:w="3608" w:type="dxa"/>
            <w:tcBorders>
              <w:top w:val="single" w:sz="8" w:space="0" w:color="auto"/>
              <w:left w:val="single" w:sz="8" w:space="0" w:color="auto"/>
              <w:bottom w:val="single" w:sz="8" w:space="0" w:color="auto"/>
              <w:right w:val="single" w:sz="8" w:space="0" w:color="auto"/>
            </w:tcBorders>
          </w:tcPr>
          <w:p w14:paraId="2BA899AE" w14:textId="711ED6EB" w:rsidR="3DDCC067" w:rsidRPr="00424833" w:rsidRDefault="3DDCC067" w:rsidP="00F75E05">
            <w:pPr>
              <w:spacing w:after="240" w:line="480" w:lineRule="auto"/>
            </w:pPr>
            <w:r w:rsidRPr="00424833">
              <w:rPr>
                <w:rFonts w:ascii="Calibri" w:eastAsia="Calibri" w:hAnsi="Calibri" w:cs="Calibri"/>
                <w:sz w:val="20"/>
                <w:szCs w:val="20"/>
              </w:rPr>
              <w:lastRenderedPageBreak/>
              <w:t xml:space="preserve">12. Barriers to the timely administration of surfactant may be due to limited availability of appropriately skilled staff and resources (eg, delay in diagnosing </w:t>
            </w:r>
            <w:r w:rsidRPr="00424833">
              <w:rPr>
                <w:rFonts w:ascii="Calibri" w:eastAsia="Calibri" w:hAnsi="Calibri" w:cs="Calibri"/>
                <w:sz w:val="20"/>
                <w:szCs w:val="20"/>
              </w:rPr>
              <w:lastRenderedPageBreak/>
              <w:t>RDS and timely transport to a regional center).</w:t>
            </w:r>
          </w:p>
        </w:tc>
        <w:tc>
          <w:tcPr>
            <w:tcW w:w="2145" w:type="dxa"/>
            <w:tcBorders>
              <w:top w:val="single" w:sz="8" w:space="0" w:color="auto"/>
              <w:left w:val="single" w:sz="8" w:space="0" w:color="auto"/>
              <w:bottom w:val="single" w:sz="8" w:space="0" w:color="auto"/>
              <w:right w:val="single" w:sz="8" w:space="0" w:color="auto"/>
            </w:tcBorders>
          </w:tcPr>
          <w:p w14:paraId="732AF5DD" w14:textId="72D05BC9" w:rsidR="3DDCC067" w:rsidRPr="00424833" w:rsidRDefault="3DDCC067" w:rsidP="00F75E05">
            <w:pPr>
              <w:spacing w:after="240" w:line="480" w:lineRule="auto"/>
            </w:pPr>
            <w:r w:rsidRPr="00424833">
              <w:rPr>
                <w:rFonts w:ascii="Calibri" w:eastAsia="Calibri" w:hAnsi="Calibri" w:cs="Calibri"/>
                <w:sz w:val="20"/>
                <w:szCs w:val="20"/>
              </w:rPr>
              <w:lastRenderedPageBreak/>
              <w:t xml:space="preserve">Consensus achieved (0 strongly disagree, 1 </w:t>
            </w:r>
            <w:r w:rsidRPr="00424833">
              <w:rPr>
                <w:rFonts w:ascii="Calibri" w:eastAsia="Calibri" w:hAnsi="Calibri" w:cs="Calibri"/>
                <w:sz w:val="20"/>
                <w:szCs w:val="20"/>
              </w:rPr>
              <w:lastRenderedPageBreak/>
              <w:t>disagree, 1 neutral, 7 agree, 2 strongly agree)</w:t>
            </w:r>
          </w:p>
        </w:tc>
      </w:tr>
      <w:tr w:rsidR="3DDCC067" w:rsidRPr="00424833" w14:paraId="76064279" w14:textId="77777777" w:rsidTr="3DDCC067">
        <w:tc>
          <w:tcPr>
            <w:tcW w:w="9361" w:type="dxa"/>
            <w:gridSpan w:val="3"/>
            <w:tcBorders>
              <w:top w:val="single" w:sz="8" w:space="0" w:color="auto"/>
              <w:left w:val="single" w:sz="8" w:space="0" w:color="auto"/>
              <w:bottom w:val="single" w:sz="8" w:space="0" w:color="auto"/>
              <w:right w:val="single" w:sz="8" w:space="0" w:color="auto"/>
            </w:tcBorders>
            <w:shd w:val="clear" w:color="auto" w:fill="D0CECE" w:themeFill="background2" w:themeFillShade="E6"/>
          </w:tcPr>
          <w:p w14:paraId="52790425" w14:textId="5E4F47EC" w:rsidR="3DDCC067" w:rsidRPr="00424833" w:rsidRDefault="3DDCC067" w:rsidP="00F75E05">
            <w:pPr>
              <w:spacing w:after="240" w:line="480" w:lineRule="auto"/>
            </w:pPr>
            <w:r w:rsidRPr="00424833">
              <w:rPr>
                <w:rFonts w:ascii="Calibri" w:eastAsia="Calibri" w:hAnsi="Calibri" w:cs="Calibri"/>
                <w:b/>
                <w:bCs/>
                <w:sz w:val="20"/>
                <w:szCs w:val="20"/>
              </w:rPr>
              <w:lastRenderedPageBreak/>
              <w:t>Section 2 (Workshop 1B)</w:t>
            </w:r>
          </w:p>
        </w:tc>
      </w:tr>
      <w:tr w:rsidR="3DDCC067" w:rsidRPr="00424833" w14:paraId="4C472883" w14:textId="77777777" w:rsidTr="3DDCC067">
        <w:tc>
          <w:tcPr>
            <w:tcW w:w="3608" w:type="dxa"/>
            <w:tcBorders>
              <w:top w:val="single" w:sz="8" w:space="0" w:color="auto"/>
              <w:left w:val="single" w:sz="8" w:space="0" w:color="auto"/>
              <w:bottom w:val="single" w:sz="8" w:space="0" w:color="auto"/>
              <w:right w:val="single" w:sz="8" w:space="0" w:color="auto"/>
            </w:tcBorders>
          </w:tcPr>
          <w:p w14:paraId="45C6B3C7" w14:textId="6D636E00" w:rsidR="3DDCC067" w:rsidRPr="00424833" w:rsidRDefault="3DDCC067" w:rsidP="00F75E05">
            <w:pPr>
              <w:spacing w:after="240" w:line="480" w:lineRule="auto"/>
            </w:pPr>
            <w:r w:rsidRPr="00424833">
              <w:rPr>
                <w:rFonts w:ascii="Calibri" w:eastAsia="Calibri" w:hAnsi="Calibri" w:cs="Calibri"/>
                <w:sz w:val="20"/>
                <w:szCs w:val="20"/>
              </w:rPr>
              <w:t>13. Surfactant can be administered using equipment based on the provider’s experience/preference and institutional practice. Type of equipment may influence duration, number of attempts, accuracy of delivering the dose and need to discontinue positive pressure.</w:t>
            </w:r>
          </w:p>
        </w:tc>
        <w:tc>
          <w:tcPr>
            <w:tcW w:w="3608" w:type="dxa"/>
            <w:tcBorders>
              <w:top w:val="nil"/>
              <w:left w:val="single" w:sz="8" w:space="0" w:color="auto"/>
              <w:bottom w:val="single" w:sz="8" w:space="0" w:color="auto"/>
              <w:right w:val="single" w:sz="8" w:space="0" w:color="auto"/>
            </w:tcBorders>
          </w:tcPr>
          <w:p w14:paraId="42DE47AF" w14:textId="1A7FE053" w:rsidR="3DDCC067" w:rsidRPr="00424833" w:rsidRDefault="3DDCC067" w:rsidP="00F75E05">
            <w:pPr>
              <w:spacing w:after="240" w:line="480" w:lineRule="auto"/>
            </w:pPr>
            <w:r w:rsidRPr="00424833">
              <w:rPr>
                <w:rFonts w:ascii="Calibri" w:eastAsia="Calibri" w:hAnsi="Calibri" w:cs="Calibri"/>
                <w:sz w:val="20"/>
                <w:szCs w:val="20"/>
              </w:rPr>
              <w:t>13. Surfactant can be administered using equipment based on the provider’s experience/skill level, preference and institutional practice.</w:t>
            </w:r>
          </w:p>
        </w:tc>
        <w:tc>
          <w:tcPr>
            <w:tcW w:w="2145" w:type="dxa"/>
            <w:tcBorders>
              <w:top w:val="nil"/>
              <w:left w:val="single" w:sz="8" w:space="0" w:color="auto"/>
              <w:bottom w:val="single" w:sz="8" w:space="0" w:color="auto"/>
              <w:right w:val="single" w:sz="8" w:space="0" w:color="auto"/>
            </w:tcBorders>
          </w:tcPr>
          <w:p w14:paraId="76446BF2" w14:textId="590644DA" w:rsidR="3DDCC067" w:rsidRPr="00424833" w:rsidRDefault="3DDCC067" w:rsidP="00F75E05">
            <w:pPr>
              <w:spacing w:after="240" w:line="480" w:lineRule="auto"/>
            </w:pPr>
            <w:r w:rsidRPr="00424833">
              <w:rPr>
                <w:rFonts w:ascii="Calibri" w:eastAsia="Calibri" w:hAnsi="Calibri" w:cs="Calibri"/>
                <w:sz w:val="20"/>
                <w:szCs w:val="20"/>
              </w:rPr>
              <w:t>Consensus achieved (0 strongly disagree, 0 disagree, 0 neutral, 9 agree, 2 strongly agree)</w:t>
            </w:r>
          </w:p>
        </w:tc>
      </w:tr>
      <w:tr w:rsidR="3DDCC067" w:rsidRPr="00424833" w14:paraId="70006A94" w14:textId="77777777" w:rsidTr="3DDCC067">
        <w:tc>
          <w:tcPr>
            <w:tcW w:w="3608" w:type="dxa"/>
            <w:tcBorders>
              <w:top w:val="single" w:sz="8" w:space="0" w:color="auto"/>
              <w:left w:val="single" w:sz="8" w:space="0" w:color="auto"/>
              <w:bottom w:val="single" w:sz="8" w:space="0" w:color="auto"/>
              <w:right w:val="single" w:sz="8" w:space="0" w:color="auto"/>
            </w:tcBorders>
          </w:tcPr>
          <w:p w14:paraId="6EC3B998" w14:textId="2C8ACFF8" w:rsidR="3DDCC067" w:rsidRPr="00424833" w:rsidRDefault="3DDCC067" w:rsidP="00F75E05">
            <w:pPr>
              <w:spacing w:after="240" w:line="480" w:lineRule="auto"/>
            </w:pPr>
            <w:r w:rsidRPr="00424833">
              <w:rPr>
                <w:rFonts w:ascii="Calibri" w:eastAsia="Calibri" w:hAnsi="Calibri" w:cs="Calibri"/>
                <w:sz w:val="20"/>
                <w:szCs w:val="20"/>
              </w:rPr>
              <w:t>14. Routine repositioning during surfactant administration may not improve the distribution of surfactant relative to maintaining the infant supine; repositioning may increase the risk of endotracheal tube or catheter mal-positioning.</w:t>
            </w:r>
          </w:p>
        </w:tc>
        <w:tc>
          <w:tcPr>
            <w:tcW w:w="3608" w:type="dxa"/>
            <w:tcBorders>
              <w:top w:val="single" w:sz="8" w:space="0" w:color="auto"/>
              <w:left w:val="single" w:sz="8" w:space="0" w:color="auto"/>
              <w:bottom w:val="single" w:sz="8" w:space="0" w:color="auto"/>
              <w:right w:val="single" w:sz="8" w:space="0" w:color="auto"/>
            </w:tcBorders>
          </w:tcPr>
          <w:p w14:paraId="22243D6B" w14:textId="1FFAD242" w:rsidR="3DDCC067" w:rsidRPr="00424833" w:rsidRDefault="3DDCC067" w:rsidP="00F75E05">
            <w:pPr>
              <w:spacing w:after="240" w:line="480" w:lineRule="auto"/>
            </w:pPr>
            <w:r w:rsidRPr="00424833">
              <w:rPr>
                <w:rFonts w:ascii="Calibri" w:eastAsia="Calibri" w:hAnsi="Calibri" w:cs="Calibri"/>
                <w:sz w:val="20"/>
                <w:szCs w:val="20"/>
              </w:rPr>
              <w:t>14. Routine repositioning during surfactant administration may not improve the distribution of surfactant relative to maintaining the infant supine; repositioning may increase the risk of device mal-positioning.</w:t>
            </w:r>
          </w:p>
        </w:tc>
        <w:tc>
          <w:tcPr>
            <w:tcW w:w="2145" w:type="dxa"/>
            <w:tcBorders>
              <w:top w:val="single" w:sz="8" w:space="0" w:color="auto"/>
              <w:left w:val="single" w:sz="8" w:space="0" w:color="auto"/>
              <w:bottom w:val="single" w:sz="8" w:space="0" w:color="auto"/>
              <w:right w:val="single" w:sz="8" w:space="0" w:color="auto"/>
            </w:tcBorders>
          </w:tcPr>
          <w:p w14:paraId="355D552C" w14:textId="04C11CD2" w:rsidR="3DDCC067" w:rsidRPr="00424833" w:rsidRDefault="3DDCC067" w:rsidP="00F75E05">
            <w:pPr>
              <w:spacing w:after="240" w:line="480" w:lineRule="auto"/>
            </w:pPr>
            <w:r w:rsidRPr="00424833">
              <w:rPr>
                <w:rFonts w:ascii="Calibri" w:eastAsia="Calibri" w:hAnsi="Calibri" w:cs="Calibri"/>
                <w:sz w:val="20"/>
                <w:szCs w:val="20"/>
              </w:rPr>
              <w:t>Consensus achieved (1 strongly disagree, 0 disagree, 1 neutral, 5 agree, 4 strongly agree)</w:t>
            </w:r>
          </w:p>
        </w:tc>
      </w:tr>
      <w:tr w:rsidR="3DDCC067" w:rsidRPr="00424833" w14:paraId="2E7E6625" w14:textId="77777777" w:rsidTr="3DDCC067">
        <w:tc>
          <w:tcPr>
            <w:tcW w:w="3608" w:type="dxa"/>
            <w:tcBorders>
              <w:top w:val="single" w:sz="8" w:space="0" w:color="auto"/>
              <w:left w:val="single" w:sz="8" w:space="0" w:color="auto"/>
              <w:bottom w:val="single" w:sz="8" w:space="0" w:color="auto"/>
              <w:right w:val="single" w:sz="8" w:space="0" w:color="auto"/>
            </w:tcBorders>
          </w:tcPr>
          <w:p w14:paraId="553B4C75" w14:textId="70316EA1" w:rsidR="3DDCC067" w:rsidRPr="00424833" w:rsidRDefault="3DDCC067" w:rsidP="00F75E05">
            <w:pPr>
              <w:spacing w:after="240" w:line="480" w:lineRule="auto"/>
            </w:pPr>
            <w:r w:rsidRPr="00424833">
              <w:rPr>
                <w:rFonts w:ascii="Calibri" w:eastAsia="Calibri" w:hAnsi="Calibri" w:cs="Calibri"/>
                <w:sz w:val="20"/>
                <w:szCs w:val="20"/>
              </w:rPr>
              <w:t>15. Surfactant can be administered as a single bolus or divided aliquots, based on provider preference and clinical considerations.</w:t>
            </w:r>
          </w:p>
        </w:tc>
        <w:tc>
          <w:tcPr>
            <w:tcW w:w="3608" w:type="dxa"/>
            <w:tcBorders>
              <w:top w:val="single" w:sz="8" w:space="0" w:color="auto"/>
              <w:left w:val="single" w:sz="8" w:space="0" w:color="auto"/>
              <w:bottom w:val="single" w:sz="8" w:space="0" w:color="auto"/>
              <w:right w:val="single" w:sz="8" w:space="0" w:color="auto"/>
            </w:tcBorders>
          </w:tcPr>
          <w:p w14:paraId="459577A0" w14:textId="63C2919D" w:rsidR="3DDCC067" w:rsidRPr="00424833" w:rsidRDefault="3DDCC067" w:rsidP="00F75E05">
            <w:pPr>
              <w:spacing w:after="240" w:line="480" w:lineRule="auto"/>
            </w:pPr>
            <w:r w:rsidRPr="00424833">
              <w:rPr>
                <w:rFonts w:ascii="Calibri" w:eastAsia="Calibri" w:hAnsi="Calibri" w:cs="Calibri"/>
                <w:sz w:val="20"/>
                <w:szCs w:val="20"/>
              </w:rPr>
              <w:t xml:space="preserve">15. Surfactant can be administered as a single bolus or divided aliquots, based on provider preference, mode of administration, manufacturer </w:t>
            </w:r>
            <w:r w:rsidRPr="00424833">
              <w:rPr>
                <w:rFonts w:ascii="Calibri" w:eastAsia="Calibri" w:hAnsi="Calibri" w:cs="Calibri"/>
                <w:sz w:val="20"/>
                <w:szCs w:val="20"/>
              </w:rPr>
              <w:lastRenderedPageBreak/>
              <w:t>recommendation, and clinical considerations.</w:t>
            </w:r>
          </w:p>
        </w:tc>
        <w:tc>
          <w:tcPr>
            <w:tcW w:w="2145" w:type="dxa"/>
            <w:tcBorders>
              <w:top w:val="single" w:sz="8" w:space="0" w:color="auto"/>
              <w:left w:val="single" w:sz="8" w:space="0" w:color="auto"/>
              <w:bottom w:val="single" w:sz="8" w:space="0" w:color="auto"/>
              <w:right w:val="single" w:sz="8" w:space="0" w:color="auto"/>
            </w:tcBorders>
          </w:tcPr>
          <w:p w14:paraId="54FC7B8F" w14:textId="28A15D3F" w:rsidR="3DDCC067" w:rsidRPr="00424833" w:rsidRDefault="3DDCC067" w:rsidP="00F75E05">
            <w:pPr>
              <w:spacing w:after="240" w:line="480" w:lineRule="auto"/>
            </w:pPr>
            <w:r w:rsidRPr="00424833">
              <w:rPr>
                <w:rFonts w:ascii="Calibri" w:eastAsia="Calibri" w:hAnsi="Calibri" w:cs="Calibri"/>
                <w:sz w:val="20"/>
                <w:szCs w:val="20"/>
              </w:rPr>
              <w:lastRenderedPageBreak/>
              <w:t>Consensus achieved (0 strongly disagree, 0 disagree, 1 neutral, 7 agree, 3 strongly agree)</w:t>
            </w:r>
          </w:p>
        </w:tc>
      </w:tr>
      <w:tr w:rsidR="3DDCC067" w:rsidRPr="00424833" w14:paraId="5943890E" w14:textId="77777777" w:rsidTr="3DDCC067">
        <w:tc>
          <w:tcPr>
            <w:tcW w:w="3608" w:type="dxa"/>
            <w:tcBorders>
              <w:top w:val="single" w:sz="8" w:space="0" w:color="auto"/>
              <w:left w:val="single" w:sz="8" w:space="0" w:color="auto"/>
              <w:bottom w:val="single" w:sz="8" w:space="0" w:color="auto"/>
              <w:right w:val="single" w:sz="8" w:space="0" w:color="auto"/>
            </w:tcBorders>
          </w:tcPr>
          <w:p w14:paraId="1A343799" w14:textId="4C9D66CE" w:rsidR="3DDCC067" w:rsidRPr="00424833" w:rsidRDefault="3DDCC067" w:rsidP="00F75E05">
            <w:pPr>
              <w:spacing w:after="240" w:line="480" w:lineRule="auto"/>
            </w:pPr>
            <w:r w:rsidRPr="00424833">
              <w:rPr>
                <w:rFonts w:ascii="Calibri" w:eastAsia="Calibri" w:hAnsi="Calibri" w:cs="Calibri"/>
                <w:sz w:val="20"/>
                <w:szCs w:val="20"/>
              </w:rPr>
              <w:t>16. After administering surfactant via INSURE technique, infants should be extubated as soon as clinically appropriate.</w:t>
            </w:r>
          </w:p>
        </w:tc>
        <w:tc>
          <w:tcPr>
            <w:tcW w:w="3608" w:type="dxa"/>
            <w:tcBorders>
              <w:top w:val="single" w:sz="8" w:space="0" w:color="auto"/>
              <w:left w:val="single" w:sz="8" w:space="0" w:color="auto"/>
              <w:bottom w:val="single" w:sz="8" w:space="0" w:color="auto"/>
              <w:right w:val="single" w:sz="8" w:space="0" w:color="auto"/>
            </w:tcBorders>
          </w:tcPr>
          <w:p w14:paraId="717F6EAE" w14:textId="2A49D11A" w:rsidR="3DDCC067" w:rsidRPr="00424833" w:rsidRDefault="3DDCC067" w:rsidP="00F75E05">
            <w:pPr>
              <w:spacing w:after="240" w:line="480" w:lineRule="auto"/>
            </w:pPr>
            <w:r w:rsidRPr="00424833">
              <w:rPr>
                <w:rFonts w:ascii="Calibri" w:eastAsia="Calibri" w:hAnsi="Calibri" w:cs="Calibri"/>
                <w:sz w:val="20"/>
                <w:szCs w:val="20"/>
              </w:rPr>
              <w:t>16. When using the INSURE technique to administer surfactant, infants should be extubated as soon as possible.</w:t>
            </w:r>
          </w:p>
        </w:tc>
        <w:tc>
          <w:tcPr>
            <w:tcW w:w="2145" w:type="dxa"/>
            <w:tcBorders>
              <w:top w:val="single" w:sz="8" w:space="0" w:color="auto"/>
              <w:left w:val="single" w:sz="8" w:space="0" w:color="auto"/>
              <w:bottom w:val="single" w:sz="8" w:space="0" w:color="auto"/>
              <w:right w:val="single" w:sz="8" w:space="0" w:color="auto"/>
            </w:tcBorders>
          </w:tcPr>
          <w:p w14:paraId="043BEAD6" w14:textId="131E00FA" w:rsidR="3DDCC067" w:rsidRPr="00424833" w:rsidRDefault="3DDCC067" w:rsidP="00F75E05">
            <w:pPr>
              <w:spacing w:after="240" w:line="480" w:lineRule="auto"/>
            </w:pPr>
            <w:r w:rsidRPr="00424833">
              <w:rPr>
                <w:rFonts w:ascii="Calibri" w:eastAsia="Calibri" w:hAnsi="Calibri" w:cs="Calibri"/>
                <w:sz w:val="20"/>
                <w:szCs w:val="20"/>
              </w:rPr>
              <w:t>Consensus achieved (0 strongly disagree, 0 disagree, 1 neutral, 7 agree, 3 strongly agree)</w:t>
            </w:r>
          </w:p>
        </w:tc>
      </w:tr>
      <w:tr w:rsidR="3DDCC067" w:rsidRPr="00424833" w14:paraId="23327DA8" w14:textId="77777777" w:rsidTr="3DDCC067">
        <w:tc>
          <w:tcPr>
            <w:tcW w:w="3608" w:type="dxa"/>
            <w:tcBorders>
              <w:top w:val="single" w:sz="8" w:space="0" w:color="auto"/>
              <w:left w:val="single" w:sz="8" w:space="0" w:color="auto"/>
              <w:bottom w:val="single" w:sz="8" w:space="0" w:color="auto"/>
              <w:right w:val="single" w:sz="8" w:space="0" w:color="auto"/>
            </w:tcBorders>
          </w:tcPr>
          <w:p w14:paraId="3EE5433C" w14:textId="38679F98" w:rsidR="3DDCC067" w:rsidRPr="00424833" w:rsidRDefault="3DDCC067" w:rsidP="00F75E05">
            <w:pPr>
              <w:spacing w:after="240" w:line="480" w:lineRule="auto"/>
            </w:pPr>
            <w:r w:rsidRPr="00424833">
              <w:rPr>
                <w:rFonts w:ascii="Calibri" w:eastAsia="Calibri" w:hAnsi="Calibri" w:cs="Calibri"/>
                <w:sz w:val="20"/>
                <w:szCs w:val="20"/>
              </w:rPr>
              <w:t>17. For spontaneously breathing infants on continuous positive airway pressure (CPAP) with RDS, less-invasive methods of surfactant administration may be appropriate alternatives to the INSURE technique.</w:t>
            </w:r>
          </w:p>
        </w:tc>
        <w:tc>
          <w:tcPr>
            <w:tcW w:w="3608" w:type="dxa"/>
            <w:tcBorders>
              <w:top w:val="single" w:sz="8" w:space="0" w:color="auto"/>
              <w:left w:val="single" w:sz="8" w:space="0" w:color="auto"/>
              <w:bottom w:val="single" w:sz="8" w:space="0" w:color="auto"/>
              <w:right w:val="single" w:sz="8" w:space="0" w:color="auto"/>
            </w:tcBorders>
          </w:tcPr>
          <w:p w14:paraId="28254B63" w14:textId="6AD4B8FC" w:rsidR="3DDCC067" w:rsidRPr="00424833" w:rsidRDefault="3DDCC067" w:rsidP="00F75E05">
            <w:pPr>
              <w:spacing w:after="240" w:line="480" w:lineRule="auto"/>
            </w:pPr>
            <w:r w:rsidRPr="00424833">
              <w:rPr>
                <w:rFonts w:ascii="Calibri" w:eastAsia="Calibri" w:hAnsi="Calibri" w:cs="Calibri"/>
                <w:sz w:val="20"/>
                <w:szCs w:val="20"/>
              </w:rPr>
              <w:t>17. For spontaneously breathing infants on continuous positive airway pressure (CPAP) with RDS for whom the decision to give surfactant has been made, less-invasive methods of surfactant administration may be appropriate alternatives to the INSURE technique.</w:t>
            </w:r>
          </w:p>
        </w:tc>
        <w:tc>
          <w:tcPr>
            <w:tcW w:w="2145" w:type="dxa"/>
            <w:tcBorders>
              <w:top w:val="single" w:sz="8" w:space="0" w:color="auto"/>
              <w:left w:val="single" w:sz="8" w:space="0" w:color="auto"/>
              <w:bottom w:val="single" w:sz="8" w:space="0" w:color="auto"/>
              <w:right w:val="single" w:sz="8" w:space="0" w:color="auto"/>
            </w:tcBorders>
          </w:tcPr>
          <w:p w14:paraId="155A7245" w14:textId="561753FF" w:rsidR="3DDCC067" w:rsidRPr="00424833" w:rsidRDefault="3DDCC067" w:rsidP="00F75E05">
            <w:pPr>
              <w:spacing w:after="240" w:line="480" w:lineRule="auto"/>
            </w:pPr>
            <w:r w:rsidRPr="00424833">
              <w:rPr>
                <w:rFonts w:ascii="Calibri" w:eastAsia="Calibri" w:hAnsi="Calibri" w:cs="Calibri"/>
                <w:sz w:val="20"/>
                <w:szCs w:val="20"/>
              </w:rPr>
              <w:t>Consensus achieved (1 strongly disagree, 0 disagree, 0 neutral, 5 agree, 5 strongly agree)</w:t>
            </w:r>
          </w:p>
        </w:tc>
      </w:tr>
      <w:tr w:rsidR="3DDCC067" w:rsidRPr="00424833" w14:paraId="6208A031" w14:textId="77777777" w:rsidTr="3DDCC067">
        <w:tc>
          <w:tcPr>
            <w:tcW w:w="3608" w:type="dxa"/>
            <w:tcBorders>
              <w:top w:val="single" w:sz="8" w:space="0" w:color="auto"/>
              <w:left w:val="single" w:sz="8" w:space="0" w:color="auto"/>
              <w:bottom w:val="single" w:sz="8" w:space="0" w:color="auto"/>
              <w:right w:val="single" w:sz="8" w:space="0" w:color="auto"/>
            </w:tcBorders>
          </w:tcPr>
          <w:p w14:paraId="7ABB96F8" w14:textId="4E5CCEF2" w:rsidR="3DDCC067" w:rsidRPr="00424833" w:rsidRDefault="3DDCC067" w:rsidP="00F75E05">
            <w:pPr>
              <w:spacing w:after="240" w:line="480" w:lineRule="auto"/>
            </w:pPr>
            <w:r w:rsidRPr="00424833">
              <w:rPr>
                <w:rFonts w:ascii="Calibri" w:eastAsia="Calibri" w:hAnsi="Calibri" w:cs="Calibri"/>
                <w:sz w:val="20"/>
                <w:szCs w:val="20"/>
              </w:rPr>
              <w:t>18. For preterm infants with RDS who are spontaneously breathing with adequate respiratory effort, LISA a</w:t>
            </w:r>
            <w:r w:rsidR="00291C92">
              <w:rPr>
                <w:rFonts w:ascii="Calibri" w:eastAsia="Calibri" w:hAnsi="Calibri" w:cs="Calibri"/>
                <w:sz w:val="20"/>
                <w:szCs w:val="20"/>
              </w:rPr>
              <w:t>nd MIST may be appropriate less-</w:t>
            </w:r>
            <w:r w:rsidRPr="00424833">
              <w:rPr>
                <w:rFonts w:ascii="Calibri" w:eastAsia="Calibri" w:hAnsi="Calibri" w:cs="Calibri"/>
                <w:sz w:val="20"/>
                <w:szCs w:val="20"/>
              </w:rPr>
              <w:t>invasive options for surfactant administration based on provider experience and institutional practice.</w:t>
            </w:r>
          </w:p>
        </w:tc>
        <w:tc>
          <w:tcPr>
            <w:tcW w:w="3608" w:type="dxa"/>
            <w:tcBorders>
              <w:top w:val="single" w:sz="8" w:space="0" w:color="auto"/>
              <w:left w:val="single" w:sz="8" w:space="0" w:color="auto"/>
              <w:bottom w:val="single" w:sz="8" w:space="0" w:color="auto"/>
              <w:right w:val="single" w:sz="8" w:space="0" w:color="auto"/>
            </w:tcBorders>
          </w:tcPr>
          <w:p w14:paraId="45E546FF" w14:textId="36CDA067" w:rsidR="3DDCC067" w:rsidRPr="00424833" w:rsidRDefault="3DDCC067" w:rsidP="00F75E05">
            <w:pPr>
              <w:spacing w:after="240" w:line="480" w:lineRule="auto"/>
            </w:pPr>
            <w:r w:rsidRPr="00424833">
              <w:rPr>
                <w:rFonts w:ascii="Calibri" w:eastAsia="Calibri" w:hAnsi="Calibri" w:cs="Calibri"/>
                <w:sz w:val="20"/>
                <w:szCs w:val="20"/>
              </w:rPr>
              <w:t xml:space="preserve">18. For preterm infants with RDS with adequate respiratory effort on CPAP (not requiring invasive mechanical ventilation), </w:t>
            </w:r>
            <w:r w:rsidR="00291C92">
              <w:rPr>
                <w:rFonts w:ascii="Calibri" w:eastAsia="Calibri" w:hAnsi="Calibri" w:cs="Calibri"/>
                <w:sz w:val="20"/>
                <w:szCs w:val="20"/>
              </w:rPr>
              <w:t>LISA/MIST are appropriate less-</w:t>
            </w:r>
            <w:r w:rsidRPr="00424833">
              <w:rPr>
                <w:rFonts w:ascii="Calibri" w:eastAsia="Calibri" w:hAnsi="Calibri" w:cs="Calibri"/>
                <w:sz w:val="20"/>
                <w:szCs w:val="20"/>
              </w:rPr>
              <w:t>invasive options for surfactant administration based on provider experience and institutional practice.</w:t>
            </w:r>
          </w:p>
        </w:tc>
        <w:tc>
          <w:tcPr>
            <w:tcW w:w="2145" w:type="dxa"/>
            <w:tcBorders>
              <w:top w:val="single" w:sz="8" w:space="0" w:color="auto"/>
              <w:left w:val="single" w:sz="8" w:space="0" w:color="auto"/>
              <w:bottom w:val="single" w:sz="8" w:space="0" w:color="auto"/>
              <w:right w:val="single" w:sz="8" w:space="0" w:color="auto"/>
            </w:tcBorders>
          </w:tcPr>
          <w:p w14:paraId="4C51499C" w14:textId="205CA0C7" w:rsidR="3DDCC067" w:rsidRPr="00424833" w:rsidRDefault="3DDCC067" w:rsidP="00F75E05">
            <w:pPr>
              <w:spacing w:after="240" w:line="480" w:lineRule="auto"/>
            </w:pPr>
            <w:r w:rsidRPr="00424833">
              <w:rPr>
                <w:rFonts w:ascii="Calibri" w:eastAsia="Calibri" w:hAnsi="Calibri" w:cs="Calibri"/>
                <w:sz w:val="20"/>
                <w:szCs w:val="20"/>
              </w:rPr>
              <w:t>Consensus achieved (0 strongly disagree, 1 disagree, 1 neutral, 4 agree, 5 strongly agree)</w:t>
            </w:r>
          </w:p>
        </w:tc>
      </w:tr>
      <w:tr w:rsidR="3DDCC067" w:rsidRPr="00424833" w14:paraId="38908EF3" w14:textId="77777777" w:rsidTr="3DDCC067">
        <w:tc>
          <w:tcPr>
            <w:tcW w:w="3608" w:type="dxa"/>
            <w:tcBorders>
              <w:top w:val="single" w:sz="8" w:space="0" w:color="auto"/>
              <w:left w:val="single" w:sz="8" w:space="0" w:color="auto"/>
              <w:bottom w:val="single" w:sz="8" w:space="0" w:color="auto"/>
              <w:right w:val="single" w:sz="8" w:space="0" w:color="auto"/>
            </w:tcBorders>
          </w:tcPr>
          <w:p w14:paraId="3E098536" w14:textId="1230F8C4" w:rsidR="3DDCC067" w:rsidRPr="00424833" w:rsidRDefault="3DDCC067" w:rsidP="00F75E05">
            <w:pPr>
              <w:spacing w:after="240" w:line="480" w:lineRule="auto"/>
            </w:pPr>
            <w:r w:rsidRPr="00424833">
              <w:rPr>
                <w:rFonts w:ascii="Calibri" w:eastAsia="Calibri" w:hAnsi="Calibri" w:cs="Calibri"/>
                <w:sz w:val="20"/>
                <w:szCs w:val="20"/>
              </w:rPr>
              <w:t xml:space="preserve">19. Surfactant administration via LMA could benefit certain populations of preterm infants, especially when provider experience with other methods </w:t>
            </w:r>
            <w:r w:rsidRPr="00424833">
              <w:rPr>
                <w:rFonts w:ascii="Calibri" w:eastAsia="Calibri" w:hAnsi="Calibri" w:cs="Calibri"/>
                <w:sz w:val="20"/>
                <w:szCs w:val="20"/>
              </w:rPr>
              <w:lastRenderedPageBreak/>
              <w:t>of administration is limited. This is an area that needs further research.</w:t>
            </w:r>
          </w:p>
        </w:tc>
        <w:tc>
          <w:tcPr>
            <w:tcW w:w="3608" w:type="dxa"/>
            <w:tcBorders>
              <w:top w:val="single" w:sz="8" w:space="0" w:color="auto"/>
              <w:left w:val="single" w:sz="8" w:space="0" w:color="auto"/>
              <w:bottom w:val="single" w:sz="8" w:space="0" w:color="auto"/>
              <w:right w:val="single" w:sz="8" w:space="0" w:color="auto"/>
            </w:tcBorders>
          </w:tcPr>
          <w:p w14:paraId="1AD1225A" w14:textId="2AAADA8B" w:rsidR="3DDCC067" w:rsidRPr="00424833" w:rsidRDefault="3DDCC067" w:rsidP="00F75E05">
            <w:pPr>
              <w:spacing w:after="240" w:line="480" w:lineRule="auto"/>
            </w:pPr>
            <w:r w:rsidRPr="00424833">
              <w:rPr>
                <w:rFonts w:ascii="Calibri" w:eastAsia="Calibri" w:hAnsi="Calibri" w:cs="Calibri"/>
                <w:sz w:val="20"/>
                <w:szCs w:val="20"/>
              </w:rPr>
              <w:lastRenderedPageBreak/>
              <w:t xml:space="preserve">19. Surfactant administration via supraglottic airway devices (eg, LMA) may benefit certain populations of </w:t>
            </w:r>
            <w:r w:rsidRPr="00424833">
              <w:rPr>
                <w:rFonts w:ascii="Calibri" w:eastAsia="Calibri" w:hAnsi="Calibri" w:cs="Calibri"/>
                <w:sz w:val="20"/>
                <w:szCs w:val="20"/>
              </w:rPr>
              <w:lastRenderedPageBreak/>
              <w:t>preterm infants and is a promising method of surfactant administration.</w:t>
            </w:r>
          </w:p>
        </w:tc>
        <w:tc>
          <w:tcPr>
            <w:tcW w:w="2145" w:type="dxa"/>
            <w:tcBorders>
              <w:top w:val="single" w:sz="8" w:space="0" w:color="auto"/>
              <w:left w:val="single" w:sz="8" w:space="0" w:color="auto"/>
              <w:bottom w:val="single" w:sz="8" w:space="0" w:color="auto"/>
              <w:right w:val="single" w:sz="8" w:space="0" w:color="auto"/>
            </w:tcBorders>
          </w:tcPr>
          <w:p w14:paraId="5D740D29" w14:textId="23BCACB2" w:rsidR="3DDCC067" w:rsidRPr="00424833" w:rsidRDefault="3DDCC067" w:rsidP="00F75E05">
            <w:pPr>
              <w:spacing w:after="240" w:line="480" w:lineRule="auto"/>
            </w:pPr>
            <w:r w:rsidRPr="00424833">
              <w:rPr>
                <w:rFonts w:ascii="Calibri" w:eastAsia="Calibri" w:hAnsi="Calibri" w:cs="Calibri"/>
                <w:sz w:val="20"/>
                <w:szCs w:val="20"/>
              </w:rPr>
              <w:lastRenderedPageBreak/>
              <w:t xml:space="preserve">Consensus achieved (1 strongly disagree, 1 </w:t>
            </w:r>
            <w:r w:rsidRPr="00424833">
              <w:rPr>
                <w:rFonts w:ascii="Calibri" w:eastAsia="Calibri" w:hAnsi="Calibri" w:cs="Calibri"/>
                <w:sz w:val="20"/>
                <w:szCs w:val="20"/>
              </w:rPr>
              <w:lastRenderedPageBreak/>
              <w:t>disagree, 0 neutral, 5 agree, 4 strongly agree)</w:t>
            </w:r>
          </w:p>
        </w:tc>
      </w:tr>
      <w:tr w:rsidR="3DDCC067" w:rsidRPr="00424833" w14:paraId="616BE878" w14:textId="77777777" w:rsidTr="3DDCC067">
        <w:tc>
          <w:tcPr>
            <w:tcW w:w="3608" w:type="dxa"/>
            <w:tcBorders>
              <w:top w:val="single" w:sz="8" w:space="0" w:color="auto"/>
              <w:left w:val="single" w:sz="8" w:space="0" w:color="auto"/>
              <w:bottom w:val="single" w:sz="8" w:space="0" w:color="auto"/>
              <w:right w:val="single" w:sz="8" w:space="0" w:color="auto"/>
            </w:tcBorders>
          </w:tcPr>
          <w:p w14:paraId="6B312F47" w14:textId="19AF868A" w:rsidR="3DDCC067" w:rsidRPr="00424833" w:rsidRDefault="3DDCC067" w:rsidP="00F75E05">
            <w:pPr>
              <w:spacing w:after="240" w:line="480" w:lineRule="auto"/>
            </w:pPr>
            <w:r w:rsidRPr="00424833">
              <w:rPr>
                <w:rFonts w:ascii="Calibri" w:eastAsia="Calibri" w:hAnsi="Calibri" w:cs="Calibri"/>
                <w:sz w:val="20"/>
                <w:szCs w:val="20"/>
              </w:rPr>
              <w:lastRenderedPageBreak/>
              <w:t>20. Not enough evidence exist</w:t>
            </w:r>
            <w:r w:rsidR="0089611B">
              <w:rPr>
                <w:rFonts w:ascii="Calibri" w:eastAsia="Calibri" w:hAnsi="Calibri" w:cs="Calibri"/>
                <w:sz w:val="20"/>
                <w:szCs w:val="20"/>
              </w:rPr>
              <w:t>s</w:t>
            </w:r>
            <w:r w:rsidRPr="00424833">
              <w:rPr>
                <w:rFonts w:ascii="Calibri" w:eastAsia="Calibri" w:hAnsi="Calibri" w:cs="Calibri"/>
                <w:sz w:val="20"/>
                <w:szCs w:val="20"/>
              </w:rPr>
              <w:t xml:space="preserve"> to support the routine use of aerosol administration of surfactant.</w:t>
            </w:r>
          </w:p>
        </w:tc>
        <w:tc>
          <w:tcPr>
            <w:tcW w:w="3608" w:type="dxa"/>
            <w:tcBorders>
              <w:top w:val="single" w:sz="8" w:space="0" w:color="auto"/>
              <w:left w:val="single" w:sz="8" w:space="0" w:color="auto"/>
              <w:bottom w:val="single" w:sz="8" w:space="0" w:color="auto"/>
              <w:right w:val="single" w:sz="8" w:space="0" w:color="auto"/>
            </w:tcBorders>
          </w:tcPr>
          <w:p w14:paraId="0AC2DEFE" w14:textId="207400BE" w:rsidR="3DDCC067" w:rsidRPr="00424833" w:rsidRDefault="3DDCC067" w:rsidP="00F75E05">
            <w:pPr>
              <w:spacing w:after="240" w:line="480" w:lineRule="auto"/>
            </w:pPr>
            <w:r w:rsidRPr="00424833">
              <w:rPr>
                <w:rFonts w:ascii="Calibri" w:eastAsia="Calibri" w:hAnsi="Calibri" w:cs="Calibri"/>
                <w:sz w:val="20"/>
                <w:szCs w:val="20"/>
              </w:rPr>
              <w:t>20. More data are required to evaluate the use of the promising technique of aerosol administration of surfactant.</w:t>
            </w:r>
          </w:p>
        </w:tc>
        <w:tc>
          <w:tcPr>
            <w:tcW w:w="2145" w:type="dxa"/>
            <w:tcBorders>
              <w:top w:val="single" w:sz="8" w:space="0" w:color="auto"/>
              <w:left w:val="single" w:sz="8" w:space="0" w:color="auto"/>
              <w:bottom w:val="single" w:sz="8" w:space="0" w:color="auto"/>
              <w:right w:val="single" w:sz="8" w:space="0" w:color="auto"/>
            </w:tcBorders>
          </w:tcPr>
          <w:p w14:paraId="3AAC3C5F" w14:textId="46B8358A" w:rsidR="3DDCC067" w:rsidRPr="00424833" w:rsidRDefault="3DDCC067" w:rsidP="00F75E05">
            <w:pPr>
              <w:spacing w:after="240" w:line="480" w:lineRule="auto"/>
            </w:pPr>
            <w:r w:rsidRPr="00424833">
              <w:rPr>
                <w:rFonts w:ascii="Calibri" w:eastAsia="Calibri" w:hAnsi="Calibri" w:cs="Calibri"/>
                <w:sz w:val="20"/>
                <w:szCs w:val="20"/>
              </w:rPr>
              <w:t>Consensus achieved (0 strongly disagree, 0 disagree, 1 neutral, 7 agree, 3 strongly agree)</w:t>
            </w:r>
          </w:p>
        </w:tc>
      </w:tr>
      <w:tr w:rsidR="3DDCC067" w:rsidRPr="00424833" w14:paraId="4BACF725" w14:textId="77777777" w:rsidTr="3DDCC067">
        <w:tc>
          <w:tcPr>
            <w:tcW w:w="3608" w:type="dxa"/>
            <w:tcBorders>
              <w:top w:val="single" w:sz="8" w:space="0" w:color="auto"/>
              <w:left w:val="single" w:sz="8" w:space="0" w:color="auto"/>
              <w:bottom w:val="single" w:sz="8" w:space="0" w:color="auto"/>
              <w:right w:val="single" w:sz="8" w:space="0" w:color="auto"/>
            </w:tcBorders>
          </w:tcPr>
          <w:p w14:paraId="1BA09492" w14:textId="29A95627" w:rsidR="3DDCC067" w:rsidRPr="00424833" w:rsidRDefault="3DDCC067" w:rsidP="00F75E05">
            <w:pPr>
              <w:spacing w:after="240" w:line="480" w:lineRule="auto"/>
            </w:pPr>
            <w:r w:rsidRPr="00424833">
              <w:rPr>
                <w:rFonts w:ascii="Calibri" w:eastAsia="Calibri" w:hAnsi="Calibri" w:cs="Calibri"/>
                <w:sz w:val="20"/>
                <w:szCs w:val="20"/>
              </w:rPr>
              <w:t>21. More research in and more experience with novel methods of surfactant administration (e.g., LMA, aerosol) should be conducted, especially in smaller infants.</w:t>
            </w:r>
          </w:p>
        </w:tc>
        <w:tc>
          <w:tcPr>
            <w:tcW w:w="3608" w:type="dxa"/>
            <w:tcBorders>
              <w:top w:val="single" w:sz="8" w:space="0" w:color="auto"/>
              <w:left w:val="single" w:sz="8" w:space="0" w:color="auto"/>
              <w:bottom w:val="single" w:sz="8" w:space="0" w:color="auto"/>
              <w:right w:val="single" w:sz="8" w:space="0" w:color="auto"/>
            </w:tcBorders>
          </w:tcPr>
          <w:p w14:paraId="6780D2EB" w14:textId="25B59407" w:rsidR="3DDCC067" w:rsidRPr="00424833" w:rsidRDefault="3DDCC067" w:rsidP="00F75E05">
            <w:pPr>
              <w:spacing w:after="240" w:line="480" w:lineRule="auto"/>
            </w:pPr>
            <w:r w:rsidRPr="00424833">
              <w:rPr>
                <w:rFonts w:ascii="Calibri" w:eastAsia="Calibri" w:hAnsi="Calibri" w:cs="Calibri"/>
                <w:sz w:val="20"/>
                <w:szCs w:val="20"/>
              </w:rPr>
              <w:t>21. More research in and more experience with novel methods of surfactant administration (eg, LMA, aerosol) is needed in smaller, less</w:t>
            </w:r>
            <w:r w:rsidR="0053391B">
              <w:rPr>
                <w:rFonts w:ascii="Calibri" w:eastAsia="Calibri" w:hAnsi="Calibri" w:cs="Calibri"/>
                <w:sz w:val="20"/>
                <w:szCs w:val="20"/>
              </w:rPr>
              <w:t>-</w:t>
            </w:r>
            <w:r w:rsidRPr="00424833">
              <w:rPr>
                <w:rFonts w:ascii="Calibri" w:eastAsia="Calibri" w:hAnsi="Calibri" w:cs="Calibri"/>
                <w:sz w:val="20"/>
                <w:szCs w:val="20"/>
              </w:rPr>
              <w:t>mature infants.</w:t>
            </w:r>
          </w:p>
        </w:tc>
        <w:tc>
          <w:tcPr>
            <w:tcW w:w="2145" w:type="dxa"/>
            <w:tcBorders>
              <w:top w:val="single" w:sz="8" w:space="0" w:color="auto"/>
              <w:left w:val="single" w:sz="8" w:space="0" w:color="auto"/>
              <w:bottom w:val="single" w:sz="8" w:space="0" w:color="auto"/>
              <w:right w:val="single" w:sz="8" w:space="0" w:color="auto"/>
            </w:tcBorders>
          </w:tcPr>
          <w:p w14:paraId="5656840C" w14:textId="775AD321" w:rsidR="3DDCC067" w:rsidRPr="00424833" w:rsidRDefault="3DDCC067" w:rsidP="00F75E05">
            <w:pPr>
              <w:spacing w:after="240" w:line="480" w:lineRule="auto"/>
            </w:pPr>
            <w:r w:rsidRPr="00424833">
              <w:rPr>
                <w:rFonts w:ascii="Calibri" w:eastAsia="Calibri" w:hAnsi="Calibri" w:cs="Calibri"/>
                <w:sz w:val="20"/>
                <w:szCs w:val="20"/>
              </w:rPr>
              <w:t>Consensus achieved (1 strongly disagree, 0 disagree, 0 neutral, 6 agree, 4 strongly agree)</w:t>
            </w:r>
          </w:p>
        </w:tc>
      </w:tr>
      <w:tr w:rsidR="3DDCC067" w:rsidRPr="00424833" w14:paraId="548D4AFC" w14:textId="77777777" w:rsidTr="3DDCC067">
        <w:tc>
          <w:tcPr>
            <w:tcW w:w="9361" w:type="dxa"/>
            <w:gridSpan w:val="3"/>
            <w:tcBorders>
              <w:top w:val="single" w:sz="8" w:space="0" w:color="auto"/>
              <w:left w:val="single" w:sz="8" w:space="0" w:color="auto"/>
              <w:bottom w:val="single" w:sz="8" w:space="0" w:color="auto"/>
              <w:right w:val="single" w:sz="8" w:space="0" w:color="auto"/>
            </w:tcBorders>
            <w:shd w:val="clear" w:color="auto" w:fill="D0CECE" w:themeFill="background2" w:themeFillShade="E6"/>
          </w:tcPr>
          <w:p w14:paraId="008AC4D7" w14:textId="1416F022" w:rsidR="3DDCC067" w:rsidRPr="00424833" w:rsidRDefault="3DDCC067" w:rsidP="00F75E05">
            <w:pPr>
              <w:spacing w:after="240" w:line="480" w:lineRule="auto"/>
            </w:pPr>
            <w:r w:rsidRPr="00424833">
              <w:rPr>
                <w:rFonts w:ascii="Calibri" w:eastAsia="Calibri" w:hAnsi="Calibri" w:cs="Calibri"/>
                <w:b/>
                <w:bCs/>
                <w:sz w:val="20"/>
                <w:szCs w:val="20"/>
              </w:rPr>
              <w:t>Section 3 (Workshop 2)</w:t>
            </w:r>
          </w:p>
        </w:tc>
      </w:tr>
      <w:tr w:rsidR="3DDCC067" w:rsidRPr="00424833" w14:paraId="6B9011E9" w14:textId="77777777" w:rsidTr="3DDCC067">
        <w:tc>
          <w:tcPr>
            <w:tcW w:w="3608" w:type="dxa"/>
            <w:tcBorders>
              <w:top w:val="single" w:sz="8" w:space="0" w:color="auto"/>
              <w:left w:val="single" w:sz="8" w:space="0" w:color="auto"/>
              <w:bottom w:val="single" w:sz="8" w:space="0" w:color="auto"/>
              <w:right w:val="single" w:sz="8" w:space="0" w:color="auto"/>
            </w:tcBorders>
          </w:tcPr>
          <w:p w14:paraId="12165176" w14:textId="15C350F8" w:rsidR="3DDCC067" w:rsidRPr="00424833" w:rsidRDefault="3DDCC067" w:rsidP="00F75E05">
            <w:pPr>
              <w:spacing w:after="240" w:line="480" w:lineRule="auto"/>
            </w:pPr>
            <w:r w:rsidRPr="00424833">
              <w:rPr>
                <w:rFonts w:ascii="Calibri" w:eastAsia="Calibri" w:hAnsi="Calibri" w:cs="Calibri"/>
                <w:sz w:val="20"/>
                <w:szCs w:val="20"/>
              </w:rPr>
              <w:t>22. Pain management, physical discomfort, and procedural success are all considerations around premedication usage in surfactant administration.</w:t>
            </w:r>
          </w:p>
        </w:tc>
        <w:tc>
          <w:tcPr>
            <w:tcW w:w="3608" w:type="dxa"/>
            <w:tcBorders>
              <w:top w:val="nil"/>
              <w:left w:val="single" w:sz="8" w:space="0" w:color="auto"/>
              <w:bottom w:val="single" w:sz="8" w:space="0" w:color="auto"/>
              <w:right w:val="single" w:sz="8" w:space="0" w:color="auto"/>
            </w:tcBorders>
          </w:tcPr>
          <w:p w14:paraId="4CB916CA" w14:textId="46D4C5C3" w:rsidR="3DDCC067" w:rsidRPr="00424833" w:rsidRDefault="3DDCC067" w:rsidP="00F75E05">
            <w:pPr>
              <w:spacing w:after="240" w:line="480" w:lineRule="auto"/>
            </w:pPr>
            <w:r w:rsidRPr="00424833">
              <w:rPr>
                <w:rFonts w:ascii="Calibri" w:eastAsia="Calibri" w:hAnsi="Calibri" w:cs="Calibri"/>
                <w:sz w:val="20"/>
                <w:szCs w:val="20"/>
              </w:rPr>
              <w:t xml:space="preserve">22. Premedication usage </w:t>
            </w:r>
            <w:r w:rsidR="0053391B">
              <w:rPr>
                <w:rFonts w:ascii="Calibri" w:eastAsia="Calibri" w:hAnsi="Calibri" w:cs="Calibri"/>
                <w:sz w:val="20"/>
                <w:szCs w:val="20"/>
              </w:rPr>
              <w:t>for</w:t>
            </w:r>
            <w:r w:rsidRPr="00424833">
              <w:rPr>
                <w:rFonts w:ascii="Calibri" w:eastAsia="Calibri" w:hAnsi="Calibri" w:cs="Calibri"/>
                <w:sz w:val="20"/>
                <w:szCs w:val="20"/>
              </w:rPr>
              <w:t xml:space="preserve"> surfactant administration depends on the method of administration. Pain management, physical discomfort, procedural success, and minimization of adverse events are all considerations around premedication usage in surfactant administration.</w:t>
            </w:r>
          </w:p>
        </w:tc>
        <w:tc>
          <w:tcPr>
            <w:tcW w:w="2145" w:type="dxa"/>
            <w:tcBorders>
              <w:top w:val="nil"/>
              <w:left w:val="single" w:sz="8" w:space="0" w:color="auto"/>
              <w:bottom w:val="single" w:sz="8" w:space="0" w:color="auto"/>
              <w:right w:val="single" w:sz="8" w:space="0" w:color="auto"/>
            </w:tcBorders>
          </w:tcPr>
          <w:p w14:paraId="25977C6B" w14:textId="1D481CDE" w:rsidR="3DDCC067" w:rsidRPr="00424833" w:rsidRDefault="3DDCC067" w:rsidP="00F75E05">
            <w:pPr>
              <w:spacing w:after="240" w:line="480" w:lineRule="auto"/>
            </w:pPr>
            <w:r w:rsidRPr="00424833">
              <w:rPr>
                <w:rFonts w:ascii="Calibri" w:eastAsia="Calibri" w:hAnsi="Calibri" w:cs="Calibri"/>
                <w:sz w:val="20"/>
                <w:szCs w:val="20"/>
              </w:rPr>
              <w:t>Consensus achieved (0 strongly disagree, 0 disagree, 0 neutral, 6 agree, 5 strongly agree)</w:t>
            </w:r>
          </w:p>
        </w:tc>
      </w:tr>
      <w:tr w:rsidR="3DDCC067" w:rsidRPr="00424833" w14:paraId="626B85BB" w14:textId="77777777" w:rsidTr="3DDCC067">
        <w:tc>
          <w:tcPr>
            <w:tcW w:w="3608" w:type="dxa"/>
            <w:tcBorders>
              <w:top w:val="single" w:sz="8" w:space="0" w:color="auto"/>
              <w:left w:val="single" w:sz="8" w:space="0" w:color="auto"/>
              <w:bottom w:val="single" w:sz="8" w:space="0" w:color="auto"/>
              <w:right w:val="single" w:sz="8" w:space="0" w:color="auto"/>
            </w:tcBorders>
          </w:tcPr>
          <w:p w14:paraId="00BEE5BD" w14:textId="1334D1C5" w:rsidR="3DDCC067" w:rsidRPr="00424833" w:rsidRDefault="3DDCC067" w:rsidP="00F75E05">
            <w:pPr>
              <w:spacing w:after="240" w:line="480" w:lineRule="auto"/>
            </w:pPr>
            <w:r w:rsidRPr="00424833">
              <w:rPr>
                <w:rFonts w:ascii="Calibri" w:eastAsia="Calibri" w:hAnsi="Calibri" w:cs="Calibri"/>
                <w:sz w:val="20"/>
                <w:szCs w:val="20"/>
              </w:rPr>
              <w:t>23. More evidence is required to recommend routine sucrose use before administration of surfactant.</w:t>
            </w:r>
          </w:p>
        </w:tc>
        <w:tc>
          <w:tcPr>
            <w:tcW w:w="3608" w:type="dxa"/>
            <w:tcBorders>
              <w:top w:val="single" w:sz="8" w:space="0" w:color="auto"/>
              <w:left w:val="single" w:sz="8" w:space="0" w:color="auto"/>
              <w:bottom w:val="single" w:sz="8" w:space="0" w:color="auto"/>
              <w:right w:val="single" w:sz="8" w:space="0" w:color="auto"/>
            </w:tcBorders>
          </w:tcPr>
          <w:p w14:paraId="077207CF" w14:textId="16879F94" w:rsidR="3DDCC067" w:rsidRPr="00424833" w:rsidRDefault="3DDCC067" w:rsidP="00F75E05">
            <w:pPr>
              <w:spacing w:after="240" w:line="480" w:lineRule="auto"/>
            </w:pPr>
            <w:r w:rsidRPr="00424833">
              <w:rPr>
                <w:rFonts w:ascii="Calibri" w:eastAsia="Calibri" w:hAnsi="Calibri" w:cs="Calibri"/>
                <w:sz w:val="20"/>
                <w:szCs w:val="20"/>
              </w:rPr>
              <w:t>23. More studies are needed to evaluate the safety and efficacy of sucrose use as a pre-medication prior to administration of surfactant.</w:t>
            </w:r>
          </w:p>
        </w:tc>
        <w:tc>
          <w:tcPr>
            <w:tcW w:w="2145" w:type="dxa"/>
            <w:tcBorders>
              <w:top w:val="single" w:sz="8" w:space="0" w:color="auto"/>
              <w:left w:val="single" w:sz="8" w:space="0" w:color="auto"/>
              <w:bottom w:val="single" w:sz="8" w:space="0" w:color="auto"/>
              <w:right w:val="single" w:sz="8" w:space="0" w:color="auto"/>
            </w:tcBorders>
          </w:tcPr>
          <w:p w14:paraId="200B564D" w14:textId="05876B71" w:rsidR="3DDCC067" w:rsidRPr="00424833" w:rsidRDefault="3DDCC067" w:rsidP="00F75E05">
            <w:pPr>
              <w:spacing w:after="240" w:line="480" w:lineRule="auto"/>
            </w:pPr>
            <w:r w:rsidRPr="00424833">
              <w:rPr>
                <w:rFonts w:ascii="Calibri" w:eastAsia="Calibri" w:hAnsi="Calibri" w:cs="Calibri"/>
                <w:sz w:val="20"/>
                <w:szCs w:val="20"/>
              </w:rPr>
              <w:t>Consensus achieved (0 strongly disagree, 2 disagree, 0 neutral, 7 agree, 2 strongly agree)</w:t>
            </w:r>
          </w:p>
        </w:tc>
      </w:tr>
      <w:tr w:rsidR="3DDCC067" w:rsidRPr="00424833" w14:paraId="154BEF3A" w14:textId="77777777" w:rsidTr="3DDCC067">
        <w:tc>
          <w:tcPr>
            <w:tcW w:w="3608" w:type="dxa"/>
            <w:tcBorders>
              <w:top w:val="single" w:sz="8" w:space="0" w:color="auto"/>
              <w:left w:val="single" w:sz="8" w:space="0" w:color="auto"/>
              <w:bottom w:val="single" w:sz="8" w:space="0" w:color="auto"/>
              <w:right w:val="single" w:sz="8" w:space="0" w:color="auto"/>
            </w:tcBorders>
          </w:tcPr>
          <w:p w14:paraId="041F326C" w14:textId="63E109CD" w:rsidR="3DDCC067" w:rsidRPr="00424833" w:rsidRDefault="3DDCC067" w:rsidP="00F75E05">
            <w:pPr>
              <w:spacing w:after="240" w:line="480" w:lineRule="auto"/>
            </w:pPr>
            <w:r w:rsidRPr="00424833">
              <w:rPr>
                <w:rFonts w:ascii="Calibri" w:eastAsia="Calibri" w:hAnsi="Calibri" w:cs="Calibri"/>
                <w:sz w:val="20"/>
                <w:szCs w:val="20"/>
              </w:rPr>
              <w:lastRenderedPageBreak/>
              <w:t>24. IV atropine is not routinely used for surfactant administration, however, in certain circumstances, it can be used to reduce incidence of bradycardia occurring secondary to vagal stimulation.</w:t>
            </w:r>
          </w:p>
        </w:tc>
        <w:tc>
          <w:tcPr>
            <w:tcW w:w="3608" w:type="dxa"/>
            <w:tcBorders>
              <w:top w:val="single" w:sz="8" w:space="0" w:color="auto"/>
              <w:left w:val="single" w:sz="8" w:space="0" w:color="auto"/>
              <w:bottom w:val="single" w:sz="8" w:space="0" w:color="auto"/>
              <w:right w:val="single" w:sz="8" w:space="0" w:color="auto"/>
            </w:tcBorders>
          </w:tcPr>
          <w:p w14:paraId="30A188AB" w14:textId="4AC765C0" w:rsidR="3DDCC067" w:rsidRPr="00424833" w:rsidRDefault="3DDCC067" w:rsidP="00F75E05">
            <w:pPr>
              <w:spacing w:after="240" w:line="480" w:lineRule="auto"/>
            </w:pPr>
            <w:r w:rsidRPr="00424833">
              <w:rPr>
                <w:rFonts w:ascii="Calibri" w:eastAsia="Calibri" w:hAnsi="Calibri" w:cs="Calibri"/>
                <w:sz w:val="20"/>
                <w:szCs w:val="20"/>
              </w:rPr>
              <w:t xml:space="preserve">24. </w:t>
            </w:r>
            <w:r w:rsidR="0053391B" w:rsidRPr="0053391B">
              <w:rPr>
                <w:rFonts w:ascii="Calibri" w:eastAsia="Calibri" w:hAnsi="Calibri" w:cs="Calibri"/>
                <w:sz w:val="20"/>
                <w:szCs w:val="20"/>
              </w:rPr>
              <w:t xml:space="preserve">Intravenous </w:t>
            </w:r>
            <w:r w:rsidR="0053391B">
              <w:rPr>
                <w:rFonts w:ascii="Calibri" w:eastAsia="Calibri" w:hAnsi="Calibri" w:cs="Calibri"/>
                <w:sz w:val="20"/>
                <w:szCs w:val="20"/>
              </w:rPr>
              <w:t>(</w:t>
            </w:r>
            <w:r w:rsidRPr="00424833">
              <w:rPr>
                <w:rFonts w:ascii="Calibri" w:eastAsia="Calibri" w:hAnsi="Calibri" w:cs="Calibri"/>
                <w:sz w:val="20"/>
                <w:szCs w:val="20"/>
              </w:rPr>
              <w:t>IV</w:t>
            </w:r>
            <w:r w:rsidR="0053391B">
              <w:rPr>
                <w:rFonts w:ascii="Calibri" w:eastAsia="Calibri" w:hAnsi="Calibri" w:cs="Calibri"/>
                <w:sz w:val="20"/>
                <w:szCs w:val="20"/>
              </w:rPr>
              <w:t>)</w:t>
            </w:r>
            <w:r w:rsidRPr="00424833">
              <w:rPr>
                <w:rFonts w:ascii="Calibri" w:eastAsia="Calibri" w:hAnsi="Calibri" w:cs="Calibri"/>
                <w:sz w:val="20"/>
                <w:szCs w:val="20"/>
              </w:rPr>
              <w:t xml:space="preserve"> atropine</w:t>
            </w:r>
            <w:r w:rsidR="00291C92">
              <w:rPr>
                <w:rFonts w:ascii="Calibri" w:eastAsia="Calibri" w:hAnsi="Calibri" w:cs="Calibri"/>
                <w:sz w:val="20"/>
                <w:szCs w:val="20"/>
              </w:rPr>
              <w:t xml:space="preserve"> is not routinely used for less-</w:t>
            </w:r>
            <w:r w:rsidRPr="00424833">
              <w:rPr>
                <w:rFonts w:ascii="Calibri" w:eastAsia="Calibri" w:hAnsi="Calibri" w:cs="Calibri"/>
                <w:sz w:val="20"/>
                <w:szCs w:val="20"/>
              </w:rPr>
              <w:t>invasive methods of surfactant administration.</w:t>
            </w:r>
          </w:p>
        </w:tc>
        <w:tc>
          <w:tcPr>
            <w:tcW w:w="2145" w:type="dxa"/>
            <w:tcBorders>
              <w:top w:val="single" w:sz="8" w:space="0" w:color="auto"/>
              <w:left w:val="single" w:sz="8" w:space="0" w:color="auto"/>
              <w:bottom w:val="single" w:sz="8" w:space="0" w:color="auto"/>
              <w:right w:val="single" w:sz="8" w:space="0" w:color="auto"/>
            </w:tcBorders>
          </w:tcPr>
          <w:p w14:paraId="4BABF2F8" w14:textId="33F4BF26" w:rsidR="3DDCC067" w:rsidRPr="00424833" w:rsidRDefault="3DDCC067" w:rsidP="00F75E05">
            <w:pPr>
              <w:spacing w:after="240" w:line="480" w:lineRule="auto"/>
            </w:pPr>
            <w:r w:rsidRPr="00424833">
              <w:rPr>
                <w:rFonts w:ascii="Calibri" w:eastAsia="Calibri" w:hAnsi="Calibri" w:cs="Calibri"/>
                <w:sz w:val="20"/>
                <w:szCs w:val="20"/>
              </w:rPr>
              <w:t>Consensus achieved (0 strongly disagree, 2 disagree, 0 neutral, 6 agree, 3 strongly agree)</w:t>
            </w:r>
          </w:p>
        </w:tc>
      </w:tr>
      <w:tr w:rsidR="3DDCC067" w:rsidRPr="00424833" w14:paraId="0B5C37F9" w14:textId="77777777" w:rsidTr="3DDCC067">
        <w:tc>
          <w:tcPr>
            <w:tcW w:w="3608" w:type="dxa"/>
            <w:tcBorders>
              <w:top w:val="single" w:sz="8" w:space="0" w:color="auto"/>
              <w:left w:val="single" w:sz="8" w:space="0" w:color="auto"/>
              <w:bottom w:val="single" w:sz="8" w:space="0" w:color="auto"/>
              <w:right w:val="single" w:sz="8" w:space="0" w:color="auto"/>
            </w:tcBorders>
          </w:tcPr>
          <w:p w14:paraId="2B7C03E9" w14:textId="5F1F6A97" w:rsidR="3DDCC067" w:rsidRPr="00424833" w:rsidRDefault="3DDCC067" w:rsidP="00F75E05">
            <w:pPr>
              <w:spacing w:after="240" w:line="480" w:lineRule="auto"/>
            </w:pPr>
            <w:r w:rsidRPr="00424833">
              <w:rPr>
                <w:rFonts w:ascii="Calibri" w:eastAsia="Calibri" w:hAnsi="Calibri" w:cs="Calibri"/>
                <w:sz w:val="20"/>
                <w:szCs w:val="20"/>
              </w:rPr>
              <w:t xml:space="preserve">178. In preterm infants with a diagnosis of RDS, when the clinical decision has been made to administer surfactant, giving surfactant early (≤2 hours of life) improves outcomes and is appropriate for any preterm infant with RDS who meets the dosing criteria including preterm infants intubated due to RDS. </w:t>
            </w:r>
          </w:p>
        </w:tc>
        <w:tc>
          <w:tcPr>
            <w:tcW w:w="3608" w:type="dxa"/>
            <w:tcBorders>
              <w:top w:val="single" w:sz="8" w:space="0" w:color="auto"/>
              <w:left w:val="single" w:sz="8" w:space="0" w:color="auto"/>
              <w:bottom w:val="single" w:sz="8" w:space="0" w:color="auto"/>
              <w:right w:val="single" w:sz="8" w:space="0" w:color="auto"/>
            </w:tcBorders>
          </w:tcPr>
          <w:p w14:paraId="6F150BA4" w14:textId="6A3D09DD" w:rsidR="3DDCC067" w:rsidRPr="00424833" w:rsidRDefault="3DDCC067" w:rsidP="00F75E05">
            <w:pPr>
              <w:spacing w:after="240" w:line="480" w:lineRule="auto"/>
            </w:pPr>
            <w:r w:rsidRPr="00424833">
              <w:rPr>
                <w:rFonts w:ascii="Calibri" w:eastAsia="Calibri" w:hAnsi="Calibri" w:cs="Calibri"/>
                <w:sz w:val="20"/>
                <w:szCs w:val="20"/>
              </w:rPr>
              <w:t>178</w:t>
            </w:r>
            <w:r w:rsidR="002B61AC">
              <w:rPr>
                <w:rFonts w:ascii="Calibri" w:eastAsia="Calibri" w:hAnsi="Calibri" w:cs="Calibri"/>
                <w:sz w:val="20"/>
                <w:szCs w:val="20"/>
              </w:rPr>
              <w:t>.</w:t>
            </w:r>
            <w:r w:rsidRPr="00424833">
              <w:rPr>
                <w:rFonts w:ascii="Calibri" w:eastAsia="Calibri" w:hAnsi="Calibri" w:cs="Calibri"/>
                <w:sz w:val="20"/>
                <w:szCs w:val="20"/>
              </w:rPr>
              <w:t xml:space="preserve"> When the clinical decision has been made to administer surfactant, preterm infants with RDS should receive surfactant early (≤2 hours of life), preferably within </w:t>
            </w:r>
            <w:r w:rsidR="0053391B">
              <w:rPr>
                <w:rFonts w:ascii="Calibri" w:eastAsia="Calibri" w:hAnsi="Calibri" w:cs="Calibri"/>
                <w:sz w:val="20"/>
                <w:szCs w:val="20"/>
              </w:rPr>
              <w:t>1</w:t>
            </w:r>
            <w:r w:rsidRPr="00424833">
              <w:rPr>
                <w:rFonts w:ascii="Calibri" w:eastAsia="Calibri" w:hAnsi="Calibri" w:cs="Calibri"/>
                <w:sz w:val="20"/>
                <w:szCs w:val="20"/>
              </w:rPr>
              <w:t xml:space="preserve"> hour of life.</w:t>
            </w:r>
          </w:p>
        </w:tc>
        <w:tc>
          <w:tcPr>
            <w:tcW w:w="2145" w:type="dxa"/>
            <w:tcBorders>
              <w:top w:val="single" w:sz="8" w:space="0" w:color="auto"/>
              <w:left w:val="single" w:sz="8" w:space="0" w:color="auto"/>
              <w:bottom w:val="single" w:sz="8" w:space="0" w:color="auto"/>
              <w:right w:val="single" w:sz="8" w:space="0" w:color="auto"/>
            </w:tcBorders>
          </w:tcPr>
          <w:p w14:paraId="4A47B326" w14:textId="7DE89DAA" w:rsidR="3DDCC067" w:rsidRPr="00424833" w:rsidRDefault="3DDCC067" w:rsidP="00F75E05">
            <w:pPr>
              <w:spacing w:after="240" w:line="480" w:lineRule="auto"/>
            </w:pPr>
            <w:r w:rsidRPr="00424833">
              <w:rPr>
                <w:rFonts w:ascii="Calibri" w:eastAsia="Calibri" w:hAnsi="Calibri" w:cs="Calibri"/>
                <w:sz w:val="20"/>
                <w:szCs w:val="20"/>
              </w:rPr>
              <w:t>Consensus achieved (0 strongly disagree, 2 disagree, 0 neutral, 9 agree, 0 strongly agree)</w:t>
            </w:r>
          </w:p>
        </w:tc>
      </w:tr>
      <w:tr w:rsidR="3DDCC067" w:rsidRPr="00424833" w14:paraId="2188FA7F" w14:textId="77777777" w:rsidTr="3DDCC067">
        <w:tc>
          <w:tcPr>
            <w:tcW w:w="3608" w:type="dxa"/>
            <w:tcBorders>
              <w:top w:val="single" w:sz="8" w:space="0" w:color="auto"/>
              <w:left w:val="single" w:sz="8" w:space="0" w:color="auto"/>
              <w:bottom w:val="single" w:sz="8" w:space="0" w:color="auto"/>
              <w:right w:val="single" w:sz="8" w:space="0" w:color="auto"/>
            </w:tcBorders>
          </w:tcPr>
          <w:p w14:paraId="6C71017B" w14:textId="19494EA4" w:rsidR="3DDCC067" w:rsidRPr="00424833" w:rsidRDefault="3DDCC067" w:rsidP="00F75E05">
            <w:pPr>
              <w:spacing w:after="240" w:line="480" w:lineRule="auto"/>
            </w:pPr>
            <w:r w:rsidRPr="00424833">
              <w:rPr>
                <w:rFonts w:ascii="Calibri" w:eastAsia="Calibri" w:hAnsi="Calibri" w:cs="Calibri"/>
                <w:sz w:val="20"/>
                <w:szCs w:val="20"/>
              </w:rPr>
              <w:t>2910. For preterm infants with RDS, an elevated FiO2 (≥ 0.3) while on respiratory support is an important indicator for the need of early surfactant treatment (within 2 hours of life) for RDS based on dosing criteria; other clinical measures of respiratory distress and/or support, alone or in combination, may precede and preempt FiO2 as indication of need for surfactant treatment.</w:t>
            </w:r>
          </w:p>
        </w:tc>
        <w:tc>
          <w:tcPr>
            <w:tcW w:w="3608" w:type="dxa"/>
            <w:tcBorders>
              <w:top w:val="single" w:sz="8" w:space="0" w:color="auto"/>
              <w:left w:val="single" w:sz="8" w:space="0" w:color="auto"/>
              <w:bottom w:val="single" w:sz="8" w:space="0" w:color="auto"/>
              <w:right w:val="single" w:sz="8" w:space="0" w:color="auto"/>
            </w:tcBorders>
          </w:tcPr>
          <w:p w14:paraId="1CA69B1F" w14:textId="75CB5EEA" w:rsidR="3DDCC067" w:rsidRPr="00424833" w:rsidRDefault="3DDCC067" w:rsidP="00F75E05">
            <w:pPr>
              <w:spacing w:after="240" w:line="480" w:lineRule="auto"/>
            </w:pPr>
            <w:r w:rsidRPr="00424833">
              <w:rPr>
                <w:rFonts w:ascii="Calibri" w:eastAsia="Calibri" w:hAnsi="Calibri" w:cs="Calibri"/>
                <w:sz w:val="20"/>
                <w:szCs w:val="20"/>
              </w:rPr>
              <w:t>2910</w:t>
            </w:r>
            <w:r w:rsidR="002B61AC">
              <w:rPr>
                <w:rFonts w:ascii="Calibri" w:eastAsia="Calibri" w:hAnsi="Calibri" w:cs="Calibri"/>
                <w:sz w:val="20"/>
                <w:szCs w:val="20"/>
              </w:rPr>
              <w:t>.</w:t>
            </w:r>
            <w:r w:rsidRPr="00424833">
              <w:rPr>
                <w:rFonts w:ascii="Calibri" w:eastAsia="Calibri" w:hAnsi="Calibri" w:cs="Calibri"/>
                <w:sz w:val="20"/>
                <w:szCs w:val="20"/>
              </w:rPr>
              <w:t xml:space="preserve"> For pre-term infants with RDS receiving positive pressure support, an elevated and increasing FiO</w:t>
            </w:r>
            <w:r w:rsidRPr="00424833">
              <w:rPr>
                <w:rFonts w:ascii="Calibri" w:eastAsia="Calibri" w:hAnsi="Calibri" w:cs="Calibri"/>
                <w:sz w:val="20"/>
                <w:szCs w:val="20"/>
                <w:vertAlign w:val="subscript"/>
              </w:rPr>
              <w:t>2</w:t>
            </w:r>
            <w:r w:rsidRPr="00424833">
              <w:rPr>
                <w:rFonts w:ascii="Calibri" w:eastAsia="Calibri" w:hAnsi="Calibri" w:cs="Calibri"/>
                <w:sz w:val="20"/>
                <w:szCs w:val="20"/>
              </w:rPr>
              <w:t xml:space="preserve"> is an important indicator </w:t>
            </w:r>
            <w:r w:rsidR="0053391B">
              <w:rPr>
                <w:rFonts w:ascii="Calibri" w:eastAsia="Calibri" w:hAnsi="Calibri" w:cs="Calibri"/>
                <w:sz w:val="20"/>
                <w:szCs w:val="20"/>
              </w:rPr>
              <w:t>of</w:t>
            </w:r>
            <w:r w:rsidRPr="00424833">
              <w:rPr>
                <w:rFonts w:ascii="Calibri" w:eastAsia="Calibri" w:hAnsi="Calibri" w:cs="Calibri"/>
                <w:sz w:val="20"/>
                <w:szCs w:val="20"/>
              </w:rPr>
              <w:t xml:space="preserve"> the need for surfactant treatment based on administration criteria; other clinical measures of respiratory distress and/or support, alone or in combination, may precede and preempt FiO</w:t>
            </w:r>
            <w:r w:rsidRPr="00424833">
              <w:rPr>
                <w:rFonts w:ascii="Calibri" w:eastAsia="Calibri" w:hAnsi="Calibri" w:cs="Calibri"/>
                <w:sz w:val="20"/>
                <w:szCs w:val="20"/>
                <w:vertAlign w:val="subscript"/>
              </w:rPr>
              <w:t>2</w:t>
            </w:r>
            <w:r w:rsidRPr="00424833">
              <w:rPr>
                <w:rFonts w:ascii="Calibri" w:eastAsia="Calibri" w:hAnsi="Calibri" w:cs="Calibri"/>
                <w:sz w:val="20"/>
                <w:szCs w:val="20"/>
              </w:rPr>
              <w:t xml:space="preserve"> as indication of need for surfactant treatment.</w:t>
            </w:r>
          </w:p>
        </w:tc>
        <w:tc>
          <w:tcPr>
            <w:tcW w:w="2145" w:type="dxa"/>
            <w:tcBorders>
              <w:top w:val="single" w:sz="8" w:space="0" w:color="auto"/>
              <w:left w:val="single" w:sz="8" w:space="0" w:color="auto"/>
              <w:bottom w:val="single" w:sz="8" w:space="0" w:color="auto"/>
              <w:right w:val="single" w:sz="8" w:space="0" w:color="auto"/>
            </w:tcBorders>
          </w:tcPr>
          <w:p w14:paraId="1572F348" w14:textId="1CE9800F" w:rsidR="3DDCC067" w:rsidRPr="00424833" w:rsidRDefault="3DDCC067" w:rsidP="00F75E05">
            <w:pPr>
              <w:spacing w:after="240" w:line="480" w:lineRule="auto"/>
            </w:pPr>
            <w:r w:rsidRPr="00424833">
              <w:rPr>
                <w:rFonts w:ascii="Calibri" w:eastAsia="Calibri" w:hAnsi="Calibri" w:cs="Calibri"/>
                <w:sz w:val="20"/>
                <w:szCs w:val="20"/>
              </w:rPr>
              <w:t>Consensus achieved (0 strongly disagree, 0 disagree, 0 neutral, 8 agree, 3 strongly agree)</w:t>
            </w:r>
          </w:p>
        </w:tc>
      </w:tr>
      <w:tr w:rsidR="3DDCC067" w:rsidRPr="00424833" w14:paraId="6A12B581" w14:textId="77777777" w:rsidTr="3DDCC067">
        <w:tc>
          <w:tcPr>
            <w:tcW w:w="3608" w:type="dxa"/>
            <w:tcBorders>
              <w:top w:val="single" w:sz="8" w:space="0" w:color="auto"/>
              <w:left w:val="single" w:sz="8" w:space="0" w:color="auto"/>
              <w:bottom w:val="single" w:sz="8" w:space="0" w:color="auto"/>
              <w:right w:val="single" w:sz="8" w:space="0" w:color="auto"/>
            </w:tcBorders>
          </w:tcPr>
          <w:p w14:paraId="1DD3D4C6" w14:textId="0098A881" w:rsidR="3DDCC067" w:rsidRPr="00424833" w:rsidRDefault="3DDCC067" w:rsidP="00F75E05">
            <w:pPr>
              <w:spacing w:after="240" w:line="480" w:lineRule="auto"/>
            </w:pPr>
            <w:r w:rsidRPr="00424833">
              <w:rPr>
                <w:rFonts w:ascii="Calibri" w:eastAsia="Calibri" w:hAnsi="Calibri" w:cs="Calibri"/>
                <w:sz w:val="20"/>
                <w:szCs w:val="20"/>
              </w:rPr>
              <w:lastRenderedPageBreak/>
              <w:t>11. Lung ultrasound and clinical respiratory scoring (e.g., RSS) may be useful as an adjunct tool to determine the need for surfactant treatment for non</w:t>
            </w:r>
            <w:r w:rsidR="00F77049">
              <w:rPr>
                <w:rFonts w:ascii="Calibri" w:eastAsia="Calibri" w:hAnsi="Calibri" w:cs="Calibri"/>
                <w:sz w:val="20"/>
                <w:szCs w:val="20"/>
              </w:rPr>
              <w:t>-</w:t>
            </w:r>
            <w:r w:rsidRPr="00424833">
              <w:rPr>
                <w:rFonts w:ascii="Calibri" w:eastAsia="Calibri" w:hAnsi="Calibri" w:cs="Calibri"/>
                <w:sz w:val="20"/>
                <w:szCs w:val="20"/>
              </w:rPr>
              <w:t>intubated infants with RDS.</w:t>
            </w:r>
          </w:p>
        </w:tc>
        <w:tc>
          <w:tcPr>
            <w:tcW w:w="3608" w:type="dxa"/>
            <w:tcBorders>
              <w:top w:val="single" w:sz="8" w:space="0" w:color="auto"/>
              <w:left w:val="single" w:sz="8" w:space="0" w:color="auto"/>
              <w:bottom w:val="single" w:sz="8" w:space="0" w:color="auto"/>
              <w:right w:val="single" w:sz="8" w:space="0" w:color="auto"/>
            </w:tcBorders>
          </w:tcPr>
          <w:p w14:paraId="731B030F" w14:textId="49892EBE" w:rsidR="3DDCC067" w:rsidRPr="00424833" w:rsidRDefault="3DDCC067" w:rsidP="00F75E05">
            <w:pPr>
              <w:spacing w:after="240" w:line="480" w:lineRule="auto"/>
            </w:pPr>
            <w:r w:rsidRPr="00424833">
              <w:rPr>
                <w:rFonts w:ascii="Calibri" w:eastAsia="Calibri" w:hAnsi="Calibri" w:cs="Calibri"/>
                <w:sz w:val="20"/>
                <w:szCs w:val="20"/>
              </w:rPr>
              <w:t>11</w:t>
            </w:r>
            <w:r w:rsidR="002B61AC">
              <w:rPr>
                <w:rFonts w:ascii="Calibri" w:eastAsia="Calibri" w:hAnsi="Calibri" w:cs="Calibri"/>
                <w:sz w:val="20"/>
                <w:szCs w:val="20"/>
              </w:rPr>
              <w:t>.</w:t>
            </w:r>
            <w:r w:rsidRPr="00424833">
              <w:rPr>
                <w:rFonts w:ascii="Calibri" w:eastAsia="Calibri" w:hAnsi="Calibri" w:cs="Calibri"/>
                <w:sz w:val="20"/>
                <w:szCs w:val="20"/>
              </w:rPr>
              <w:t xml:space="preserve"> Additional studies are needed to assess the role of lung ultrasound and clinical respiratory scoring as adjunct tools in determining the need for surfactant administration for nonintubated infants with RDS.</w:t>
            </w:r>
          </w:p>
        </w:tc>
        <w:tc>
          <w:tcPr>
            <w:tcW w:w="2145" w:type="dxa"/>
            <w:tcBorders>
              <w:top w:val="single" w:sz="8" w:space="0" w:color="auto"/>
              <w:left w:val="single" w:sz="8" w:space="0" w:color="auto"/>
              <w:bottom w:val="single" w:sz="8" w:space="0" w:color="auto"/>
              <w:right w:val="single" w:sz="8" w:space="0" w:color="auto"/>
            </w:tcBorders>
          </w:tcPr>
          <w:p w14:paraId="4C28218A" w14:textId="11120641" w:rsidR="3DDCC067" w:rsidRPr="00424833" w:rsidRDefault="3DDCC067" w:rsidP="00F75E05">
            <w:pPr>
              <w:spacing w:after="240" w:line="480" w:lineRule="auto"/>
            </w:pPr>
            <w:r w:rsidRPr="00424833">
              <w:rPr>
                <w:rFonts w:ascii="Calibri" w:eastAsia="Calibri" w:hAnsi="Calibri" w:cs="Calibri"/>
                <w:sz w:val="20"/>
                <w:szCs w:val="20"/>
              </w:rPr>
              <w:t>Consensus achieved (0 strongly disagree, 0 disagree, 0 neutral, 8 agree, 3 strongly agree)</w:t>
            </w:r>
          </w:p>
        </w:tc>
      </w:tr>
    </w:tbl>
    <w:p w14:paraId="4E86AEAF" w14:textId="716EFF98" w:rsidR="00035875" w:rsidRPr="00424833" w:rsidRDefault="00035875" w:rsidP="00F75E05">
      <w:pPr>
        <w:spacing w:after="240" w:line="480" w:lineRule="auto"/>
      </w:pPr>
    </w:p>
    <w:p w14:paraId="6C135FEA" w14:textId="3DC7B278" w:rsidR="00FA5B11" w:rsidRPr="00424833" w:rsidRDefault="006D0CCC" w:rsidP="00F75E05">
      <w:pPr>
        <w:pStyle w:val="ListParagraph"/>
        <w:numPr>
          <w:ilvl w:val="0"/>
          <w:numId w:val="22"/>
        </w:numPr>
        <w:spacing w:after="240" w:line="480" w:lineRule="auto"/>
      </w:pPr>
      <w:r w:rsidRPr="00424833">
        <w:br w:type="page"/>
      </w:r>
      <w:r w:rsidR="6C458205" w:rsidRPr="00424833">
        <w:lastRenderedPageBreak/>
        <w:t>Evaluation of R</w:t>
      </w:r>
      <w:r w:rsidR="00DF608D">
        <w:t xml:space="preserve">espiratory Distress </w:t>
      </w:r>
      <w:r w:rsidR="00F77049">
        <w:t>U</w:t>
      </w:r>
      <w:r w:rsidR="00DF608D">
        <w:t>sing Downe</w:t>
      </w:r>
      <w:r w:rsidR="6C458205" w:rsidRPr="00424833">
        <w:t>s</w:t>
      </w:r>
      <w:r w:rsidR="00DF608D">
        <w:t>’</w:t>
      </w:r>
      <w:r w:rsidR="6C458205" w:rsidRPr="00424833">
        <w:t xml:space="preserve"> Score </w:t>
      </w:r>
    </w:p>
    <w:tbl>
      <w:tblPr>
        <w:tblStyle w:val="ListTable6Colorful"/>
        <w:tblW w:w="0" w:type="auto"/>
        <w:tblLayout w:type="fixed"/>
        <w:tblLook w:val="04A0" w:firstRow="1" w:lastRow="0" w:firstColumn="1" w:lastColumn="0" w:noHBand="0" w:noVBand="1"/>
      </w:tblPr>
      <w:tblGrid>
        <w:gridCol w:w="2280"/>
        <w:gridCol w:w="2280"/>
        <w:gridCol w:w="2280"/>
        <w:gridCol w:w="2280"/>
      </w:tblGrid>
      <w:tr w:rsidR="15F25036" w:rsidRPr="00424833" w14:paraId="2081F2A3" w14:textId="77777777" w:rsidTr="15F25036">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280" w:type="dxa"/>
            <w:tcBorders>
              <w:top w:val="single" w:sz="8" w:space="0" w:color="000000" w:themeColor="text1"/>
              <w:left w:val="nil"/>
              <w:bottom w:val="single" w:sz="8" w:space="0" w:color="000000" w:themeColor="text1"/>
              <w:right w:val="nil"/>
            </w:tcBorders>
          </w:tcPr>
          <w:p w14:paraId="5A59F5E2" w14:textId="5CC54D76" w:rsidR="15F25036" w:rsidRPr="00424833" w:rsidRDefault="15F25036" w:rsidP="00F75E05">
            <w:pPr>
              <w:spacing w:after="240" w:line="480" w:lineRule="auto"/>
              <w:rPr>
                <w:rFonts w:ascii="Calibri" w:eastAsia="Calibri" w:hAnsi="Calibri" w:cs="Calibri"/>
              </w:rPr>
            </w:pPr>
          </w:p>
        </w:tc>
        <w:tc>
          <w:tcPr>
            <w:tcW w:w="2280" w:type="dxa"/>
            <w:tcBorders>
              <w:top w:val="single" w:sz="8" w:space="0" w:color="000000" w:themeColor="text1"/>
              <w:left w:val="nil"/>
              <w:bottom w:val="single" w:sz="8" w:space="0" w:color="000000" w:themeColor="text1"/>
              <w:right w:val="nil"/>
            </w:tcBorders>
          </w:tcPr>
          <w:p w14:paraId="0D657825" w14:textId="6934D889" w:rsidR="15F25036" w:rsidRPr="00424833" w:rsidRDefault="15F25036" w:rsidP="00F75E05">
            <w:pPr>
              <w:spacing w:after="240" w:line="480" w:lineRule="auto"/>
              <w:cnfStyle w:val="100000000000" w:firstRow="1" w:lastRow="0" w:firstColumn="0" w:lastColumn="0" w:oddVBand="0" w:evenVBand="0" w:oddHBand="0" w:evenHBand="0" w:firstRowFirstColumn="0" w:firstRowLastColumn="0" w:lastRowFirstColumn="0" w:lastRowLastColumn="0"/>
            </w:pPr>
            <w:r w:rsidRPr="00424833">
              <w:rPr>
                <w:rFonts w:ascii="Calibri" w:eastAsia="Calibri" w:hAnsi="Calibri" w:cs="Calibri"/>
              </w:rPr>
              <w:t>0</w:t>
            </w:r>
          </w:p>
        </w:tc>
        <w:tc>
          <w:tcPr>
            <w:tcW w:w="2280" w:type="dxa"/>
            <w:tcBorders>
              <w:top w:val="single" w:sz="8" w:space="0" w:color="000000" w:themeColor="text1"/>
              <w:left w:val="nil"/>
              <w:bottom w:val="single" w:sz="8" w:space="0" w:color="000000" w:themeColor="text1"/>
              <w:right w:val="nil"/>
            </w:tcBorders>
          </w:tcPr>
          <w:p w14:paraId="6DC9ABE1" w14:textId="4D86213C" w:rsidR="15F25036" w:rsidRPr="00424833" w:rsidRDefault="15F25036" w:rsidP="00F75E05">
            <w:pPr>
              <w:spacing w:after="240" w:line="480" w:lineRule="auto"/>
              <w:cnfStyle w:val="100000000000" w:firstRow="1" w:lastRow="0" w:firstColumn="0" w:lastColumn="0" w:oddVBand="0" w:evenVBand="0" w:oddHBand="0" w:evenHBand="0" w:firstRowFirstColumn="0" w:firstRowLastColumn="0" w:lastRowFirstColumn="0" w:lastRowLastColumn="0"/>
            </w:pPr>
            <w:r w:rsidRPr="00424833">
              <w:rPr>
                <w:rFonts w:ascii="Calibri" w:eastAsia="Calibri" w:hAnsi="Calibri" w:cs="Calibri"/>
              </w:rPr>
              <w:t>1</w:t>
            </w:r>
          </w:p>
        </w:tc>
        <w:tc>
          <w:tcPr>
            <w:tcW w:w="2280" w:type="dxa"/>
            <w:tcBorders>
              <w:top w:val="single" w:sz="8" w:space="0" w:color="000000" w:themeColor="text1"/>
              <w:left w:val="nil"/>
              <w:bottom w:val="single" w:sz="8" w:space="0" w:color="000000" w:themeColor="text1"/>
              <w:right w:val="nil"/>
            </w:tcBorders>
          </w:tcPr>
          <w:p w14:paraId="5B3DEE31" w14:textId="1EF9F9CB" w:rsidR="15F25036" w:rsidRPr="00424833" w:rsidRDefault="15F25036" w:rsidP="00F75E05">
            <w:pPr>
              <w:spacing w:after="240" w:line="480" w:lineRule="auto"/>
              <w:cnfStyle w:val="100000000000" w:firstRow="1" w:lastRow="0" w:firstColumn="0" w:lastColumn="0" w:oddVBand="0" w:evenVBand="0" w:oddHBand="0" w:evenHBand="0" w:firstRowFirstColumn="0" w:firstRowLastColumn="0" w:lastRowFirstColumn="0" w:lastRowLastColumn="0"/>
            </w:pPr>
            <w:r w:rsidRPr="00424833">
              <w:rPr>
                <w:rFonts w:ascii="Calibri" w:eastAsia="Calibri" w:hAnsi="Calibri" w:cs="Calibri"/>
              </w:rPr>
              <w:t>2</w:t>
            </w:r>
          </w:p>
        </w:tc>
      </w:tr>
      <w:tr w:rsidR="15F25036" w:rsidRPr="00424833" w14:paraId="12B7996C" w14:textId="77777777" w:rsidTr="15F25036">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280" w:type="dxa"/>
            <w:tcBorders>
              <w:top w:val="single" w:sz="8" w:space="0" w:color="000000" w:themeColor="text1"/>
              <w:left w:val="nil"/>
              <w:bottom w:val="nil"/>
              <w:right w:val="nil"/>
            </w:tcBorders>
            <w:shd w:val="clear" w:color="auto" w:fill="CCCCCC"/>
          </w:tcPr>
          <w:p w14:paraId="1C3B8F5C" w14:textId="65A0EC70" w:rsidR="15F25036" w:rsidRPr="00424833" w:rsidRDefault="15F25036" w:rsidP="00F75E05">
            <w:pPr>
              <w:spacing w:after="240" w:line="480" w:lineRule="auto"/>
            </w:pPr>
            <w:r w:rsidRPr="00424833">
              <w:rPr>
                <w:rFonts w:ascii="Calibri" w:eastAsia="Calibri" w:hAnsi="Calibri" w:cs="Calibri"/>
              </w:rPr>
              <w:t>Respiratory Rate</w:t>
            </w:r>
          </w:p>
        </w:tc>
        <w:tc>
          <w:tcPr>
            <w:tcW w:w="2280" w:type="dxa"/>
            <w:tcBorders>
              <w:top w:val="single" w:sz="8" w:space="0" w:color="000000" w:themeColor="text1"/>
              <w:left w:val="nil"/>
              <w:bottom w:val="nil"/>
              <w:right w:val="nil"/>
            </w:tcBorders>
            <w:shd w:val="clear" w:color="auto" w:fill="CCCCCC"/>
          </w:tcPr>
          <w:p w14:paraId="42EC6FD3" w14:textId="6A29CEB1" w:rsidR="15F25036" w:rsidRPr="00424833" w:rsidRDefault="15F25036" w:rsidP="00F75E05">
            <w:pPr>
              <w:spacing w:after="240" w:line="480" w:lineRule="auto"/>
              <w:cnfStyle w:val="000000100000" w:firstRow="0" w:lastRow="0" w:firstColumn="0" w:lastColumn="0" w:oddVBand="0" w:evenVBand="0" w:oddHBand="1" w:evenHBand="0" w:firstRowFirstColumn="0" w:firstRowLastColumn="0" w:lastRowFirstColumn="0" w:lastRowLastColumn="0"/>
            </w:pPr>
            <w:r w:rsidRPr="00424833">
              <w:rPr>
                <w:rFonts w:ascii="Calibri" w:eastAsia="Calibri" w:hAnsi="Calibri" w:cs="Calibri"/>
              </w:rPr>
              <w:t>&lt;60/min</w:t>
            </w:r>
          </w:p>
        </w:tc>
        <w:tc>
          <w:tcPr>
            <w:tcW w:w="2280" w:type="dxa"/>
            <w:tcBorders>
              <w:top w:val="single" w:sz="8" w:space="0" w:color="000000" w:themeColor="text1"/>
              <w:left w:val="nil"/>
              <w:bottom w:val="nil"/>
              <w:right w:val="nil"/>
            </w:tcBorders>
            <w:shd w:val="clear" w:color="auto" w:fill="CCCCCC"/>
          </w:tcPr>
          <w:p w14:paraId="33C7F998" w14:textId="79731A38" w:rsidR="15F25036" w:rsidRPr="00424833" w:rsidRDefault="15F25036" w:rsidP="00F75E05">
            <w:pPr>
              <w:spacing w:after="240" w:line="480" w:lineRule="auto"/>
              <w:cnfStyle w:val="000000100000" w:firstRow="0" w:lastRow="0" w:firstColumn="0" w:lastColumn="0" w:oddVBand="0" w:evenVBand="0" w:oddHBand="1" w:evenHBand="0" w:firstRowFirstColumn="0" w:firstRowLastColumn="0" w:lastRowFirstColumn="0" w:lastRowLastColumn="0"/>
            </w:pPr>
            <w:r w:rsidRPr="00424833">
              <w:rPr>
                <w:rFonts w:ascii="Calibri" w:eastAsia="Calibri" w:hAnsi="Calibri" w:cs="Calibri"/>
              </w:rPr>
              <w:t>60-80/min</w:t>
            </w:r>
          </w:p>
        </w:tc>
        <w:tc>
          <w:tcPr>
            <w:tcW w:w="2280" w:type="dxa"/>
            <w:tcBorders>
              <w:top w:val="single" w:sz="8" w:space="0" w:color="000000" w:themeColor="text1"/>
              <w:left w:val="nil"/>
              <w:bottom w:val="nil"/>
              <w:right w:val="nil"/>
            </w:tcBorders>
            <w:shd w:val="clear" w:color="auto" w:fill="CCCCCC"/>
          </w:tcPr>
          <w:p w14:paraId="1E2F84D6" w14:textId="0D909E56" w:rsidR="15F25036" w:rsidRPr="00424833" w:rsidRDefault="15F25036" w:rsidP="00F75E05">
            <w:pPr>
              <w:spacing w:after="240" w:line="480" w:lineRule="auto"/>
              <w:cnfStyle w:val="000000100000" w:firstRow="0" w:lastRow="0" w:firstColumn="0" w:lastColumn="0" w:oddVBand="0" w:evenVBand="0" w:oddHBand="1" w:evenHBand="0" w:firstRowFirstColumn="0" w:firstRowLastColumn="0" w:lastRowFirstColumn="0" w:lastRowLastColumn="0"/>
            </w:pPr>
            <w:r w:rsidRPr="00424833">
              <w:rPr>
                <w:rFonts w:ascii="Calibri" w:eastAsia="Calibri" w:hAnsi="Calibri" w:cs="Calibri"/>
              </w:rPr>
              <w:t>&gt;80/min</w:t>
            </w:r>
          </w:p>
        </w:tc>
      </w:tr>
      <w:tr w:rsidR="15F25036" w:rsidRPr="00424833" w14:paraId="3BF0E214" w14:textId="77777777" w:rsidTr="15F25036">
        <w:trPr>
          <w:trHeight w:val="540"/>
        </w:trPr>
        <w:tc>
          <w:tcPr>
            <w:cnfStyle w:val="001000000000" w:firstRow="0" w:lastRow="0" w:firstColumn="1" w:lastColumn="0" w:oddVBand="0" w:evenVBand="0" w:oddHBand="0" w:evenHBand="0" w:firstRowFirstColumn="0" w:firstRowLastColumn="0" w:lastRowFirstColumn="0" w:lastRowLastColumn="0"/>
            <w:tcW w:w="2280" w:type="dxa"/>
            <w:tcBorders>
              <w:top w:val="nil"/>
              <w:left w:val="nil"/>
              <w:bottom w:val="nil"/>
              <w:right w:val="nil"/>
            </w:tcBorders>
          </w:tcPr>
          <w:p w14:paraId="6937E5E7" w14:textId="28C48709" w:rsidR="15F25036" w:rsidRPr="00424833" w:rsidRDefault="15F25036" w:rsidP="00F75E05">
            <w:pPr>
              <w:spacing w:after="240" w:line="480" w:lineRule="auto"/>
            </w:pPr>
            <w:r w:rsidRPr="00424833">
              <w:rPr>
                <w:rFonts w:ascii="Calibri" w:eastAsia="Calibri" w:hAnsi="Calibri" w:cs="Calibri"/>
              </w:rPr>
              <w:t>Retractions</w:t>
            </w:r>
          </w:p>
        </w:tc>
        <w:tc>
          <w:tcPr>
            <w:tcW w:w="2280" w:type="dxa"/>
            <w:tcBorders>
              <w:top w:val="nil"/>
              <w:left w:val="nil"/>
              <w:bottom w:val="nil"/>
              <w:right w:val="nil"/>
            </w:tcBorders>
          </w:tcPr>
          <w:p w14:paraId="21719DA3" w14:textId="3ADC2B53" w:rsidR="15F25036" w:rsidRPr="00424833" w:rsidRDefault="15F25036" w:rsidP="00F75E05">
            <w:pPr>
              <w:spacing w:after="240" w:line="480" w:lineRule="auto"/>
              <w:cnfStyle w:val="000000000000" w:firstRow="0" w:lastRow="0" w:firstColumn="0" w:lastColumn="0" w:oddVBand="0" w:evenVBand="0" w:oddHBand="0" w:evenHBand="0" w:firstRowFirstColumn="0" w:firstRowLastColumn="0" w:lastRowFirstColumn="0" w:lastRowLastColumn="0"/>
            </w:pPr>
            <w:r w:rsidRPr="00424833">
              <w:rPr>
                <w:rFonts w:ascii="Calibri" w:eastAsia="Calibri" w:hAnsi="Calibri" w:cs="Calibri"/>
              </w:rPr>
              <w:t>No retraction</w:t>
            </w:r>
          </w:p>
        </w:tc>
        <w:tc>
          <w:tcPr>
            <w:tcW w:w="2280" w:type="dxa"/>
            <w:tcBorders>
              <w:top w:val="nil"/>
              <w:left w:val="nil"/>
              <w:bottom w:val="nil"/>
              <w:right w:val="nil"/>
            </w:tcBorders>
          </w:tcPr>
          <w:p w14:paraId="27007604" w14:textId="4D8A5073" w:rsidR="15F25036" w:rsidRPr="00424833" w:rsidRDefault="15F25036" w:rsidP="00F75E05">
            <w:pPr>
              <w:spacing w:after="240" w:line="480" w:lineRule="auto"/>
              <w:cnfStyle w:val="000000000000" w:firstRow="0" w:lastRow="0" w:firstColumn="0" w:lastColumn="0" w:oddVBand="0" w:evenVBand="0" w:oddHBand="0" w:evenHBand="0" w:firstRowFirstColumn="0" w:firstRowLastColumn="0" w:lastRowFirstColumn="0" w:lastRowLastColumn="0"/>
            </w:pPr>
            <w:r w:rsidRPr="00424833">
              <w:rPr>
                <w:rFonts w:ascii="Calibri" w:eastAsia="Calibri" w:hAnsi="Calibri" w:cs="Calibri"/>
              </w:rPr>
              <w:t>Mild retractions</w:t>
            </w:r>
          </w:p>
        </w:tc>
        <w:tc>
          <w:tcPr>
            <w:tcW w:w="2280" w:type="dxa"/>
            <w:tcBorders>
              <w:top w:val="nil"/>
              <w:left w:val="nil"/>
              <w:bottom w:val="nil"/>
              <w:right w:val="nil"/>
            </w:tcBorders>
          </w:tcPr>
          <w:p w14:paraId="16CD349C" w14:textId="451DF149" w:rsidR="15F25036" w:rsidRPr="00424833" w:rsidRDefault="15F25036" w:rsidP="00F75E05">
            <w:pPr>
              <w:spacing w:after="240" w:line="480" w:lineRule="auto"/>
              <w:cnfStyle w:val="000000000000" w:firstRow="0" w:lastRow="0" w:firstColumn="0" w:lastColumn="0" w:oddVBand="0" w:evenVBand="0" w:oddHBand="0" w:evenHBand="0" w:firstRowFirstColumn="0" w:firstRowLastColumn="0" w:lastRowFirstColumn="0" w:lastRowLastColumn="0"/>
            </w:pPr>
            <w:r w:rsidRPr="00424833">
              <w:rPr>
                <w:rFonts w:ascii="Calibri" w:eastAsia="Calibri" w:hAnsi="Calibri" w:cs="Calibri"/>
              </w:rPr>
              <w:t>Severe retractions</w:t>
            </w:r>
          </w:p>
        </w:tc>
      </w:tr>
      <w:tr w:rsidR="15F25036" w:rsidRPr="00424833" w14:paraId="2F7CFF0D" w14:textId="77777777" w:rsidTr="15F25036">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80" w:type="dxa"/>
            <w:tcBorders>
              <w:top w:val="nil"/>
              <w:left w:val="nil"/>
              <w:bottom w:val="nil"/>
              <w:right w:val="nil"/>
            </w:tcBorders>
            <w:shd w:val="clear" w:color="auto" w:fill="CCCCCC"/>
          </w:tcPr>
          <w:p w14:paraId="2B9D9921" w14:textId="44B437B3" w:rsidR="15F25036" w:rsidRPr="00424833" w:rsidRDefault="15F25036" w:rsidP="00F75E05">
            <w:pPr>
              <w:spacing w:after="240" w:line="480" w:lineRule="auto"/>
            </w:pPr>
            <w:r w:rsidRPr="00424833">
              <w:rPr>
                <w:rFonts w:ascii="Calibri" w:eastAsia="Calibri" w:hAnsi="Calibri" w:cs="Calibri"/>
              </w:rPr>
              <w:t>Cyanosis</w:t>
            </w:r>
          </w:p>
        </w:tc>
        <w:tc>
          <w:tcPr>
            <w:tcW w:w="2280" w:type="dxa"/>
            <w:tcBorders>
              <w:top w:val="nil"/>
              <w:left w:val="nil"/>
              <w:bottom w:val="nil"/>
              <w:right w:val="nil"/>
            </w:tcBorders>
            <w:shd w:val="clear" w:color="auto" w:fill="CCCCCC"/>
          </w:tcPr>
          <w:p w14:paraId="3E0C3541" w14:textId="39D9526D" w:rsidR="15F25036" w:rsidRPr="00424833" w:rsidRDefault="15F25036" w:rsidP="00F75E05">
            <w:pPr>
              <w:spacing w:after="240" w:line="480" w:lineRule="auto"/>
              <w:cnfStyle w:val="000000100000" w:firstRow="0" w:lastRow="0" w:firstColumn="0" w:lastColumn="0" w:oddVBand="0" w:evenVBand="0" w:oddHBand="1" w:evenHBand="0" w:firstRowFirstColumn="0" w:firstRowLastColumn="0" w:lastRowFirstColumn="0" w:lastRowLastColumn="0"/>
            </w:pPr>
            <w:r w:rsidRPr="00424833">
              <w:rPr>
                <w:rFonts w:ascii="Calibri" w:eastAsia="Calibri" w:hAnsi="Calibri" w:cs="Calibri"/>
              </w:rPr>
              <w:t>No cyanosis</w:t>
            </w:r>
          </w:p>
        </w:tc>
        <w:tc>
          <w:tcPr>
            <w:tcW w:w="2280" w:type="dxa"/>
            <w:tcBorders>
              <w:top w:val="nil"/>
              <w:left w:val="nil"/>
              <w:bottom w:val="nil"/>
              <w:right w:val="nil"/>
            </w:tcBorders>
            <w:shd w:val="clear" w:color="auto" w:fill="CCCCCC"/>
          </w:tcPr>
          <w:p w14:paraId="40C075BF" w14:textId="505ADDF4" w:rsidR="15F25036" w:rsidRPr="00424833" w:rsidRDefault="15F25036" w:rsidP="00F75E05">
            <w:pPr>
              <w:spacing w:after="240" w:line="480" w:lineRule="auto"/>
              <w:cnfStyle w:val="000000100000" w:firstRow="0" w:lastRow="0" w:firstColumn="0" w:lastColumn="0" w:oddVBand="0" w:evenVBand="0" w:oddHBand="1" w:evenHBand="0" w:firstRowFirstColumn="0" w:firstRowLastColumn="0" w:lastRowFirstColumn="0" w:lastRowLastColumn="0"/>
            </w:pPr>
            <w:r w:rsidRPr="00424833">
              <w:rPr>
                <w:rFonts w:ascii="Calibri" w:eastAsia="Calibri" w:hAnsi="Calibri" w:cs="Calibri"/>
              </w:rPr>
              <w:t>Cyanosis relieved by O</w:t>
            </w:r>
            <w:r w:rsidRPr="00424833">
              <w:rPr>
                <w:rFonts w:ascii="Calibri" w:eastAsia="Calibri" w:hAnsi="Calibri" w:cs="Calibri"/>
                <w:vertAlign w:val="subscript"/>
              </w:rPr>
              <w:t>2</w:t>
            </w:r>
          </w:p>
        </w:tc>
        <w:tc>
          <w:tcPr>
            <w:tcW w:w="2280" w:type="dxa"/>
            <w:tcBorders>
              <w:top w:val="nil"/>
              <w:left w:val="nil"/>
              <w:bottom w:val="nil"/>
              <w:right w:val="nil"/>
            </w:tcBorders>
            <w:shd w:val="clear" w:color="auto" w:fill="CCCCCC"/>
          </w:tcPr>
          <w:p w14:paraId="4B7A3A57" w14:textId="54A5B7F4" w:rsidR="15F25036" w:rsidRPr="00424833" w:rsidRDefault="15F25036" w:rsidP="00F75E05">
            <w:pPr>
              <w:spacing w:after="240" w:line="480" w:lineRule="auto"/>
              <w:cnfStyle w:val="000000100000" w:firstRow="0" w:lastRow="0" w:firstColumn="0" w:lastColumn="0" w:oddVBand="0" w:evenVBand="0" w:oddHBand="1" w:evenHBand="0" w:firstRowFirstColumn="0" w:firstRowLastColumn="0" w:lastRowFirstColumn="0" w:lastRowLastColumn="0"/>
            </w:pPr>
            <w:r w:rsidRPr="00424833">
              <w:rPr>
                <w:rFonts w:ascii="Calibri" w:eastAsia="Calibri" w:hAnsi="Calibri" w:cs="Calibri"/>
              </w:rPr>
              <w:t>Cyanosis on O</w:t>
            </w:r>
            <w:r w:rsidRPr="00424833">
              <w:rPr>
                <w:rFonts w:ascii="Calibri" w:eastAsia="Calibri" w:hAnsi="Calibri" w:cs="Calibri"/>
                <w:vertAlign w:val="subscript"/>
              </w:rPr>
              <w:t>2</w:t>
            </w:r>
          </w:p>
        </w:tc>
      </w:tr>
      <w:tr w:rsidR="15F25036" w:rsidRPr="00424833" w14:paraId="06FEDC25" w14:textId="77777777" w:rsidTr="15F25036">
        <w:trPr>
          <w:trHeight w:val="540"/>
        </w:trPr>
        <w:tc>
          <w:tcPr>
            <w:cnfStyle w:val="001000000000" w:firstRow="0" w:lastRow="0" w:firstColumn="1" w:lastColumn="0" w:oddVBand="0" w:evenVBand="0" w:oddHBand="0" w:evenHBand="0" w:firstRowFirstColumn="0" w:firstRowLastColumn="0" w:lastRowFirstColumn="0" w:lastRowLastColumn="0"/>
            <w:tcW w:w="2280" w:type="dxa"/>
            <w:tcBorders>
              <w:top w:val="nil"/>
              <w:left w:val="nil"/>
              <w:bottom w:val="nil"/>
              <w:right w:val="nil"/>
            </w:tcBorders>
          </w:tcPr>
          <w:p w14:paraId="083D1DC3" w14:textId="03920FB7" w:rsidR="15F25036" w:rsidRPr="00424833" w:rsidRDefault="15F25036" w:rsidP="00F75E05">
            <w:pPr>
              <w:spacing w:after="240" w:line="480" w:lineRule="auto"/>
            </w:pPr>
            <w:r w:rsidRPr="00424833">
              <w:rPr>
                <w:rFonts w:ascii="Calibri" w:eastAsia="Calibri" w:hAnsi="Calibri" w:cs="Calibri"/>
              </w:rPr>
              <w:t>Air Entry</w:t>
            </w:r>
          </w:p>
        </w:tc>
        <w:tc>
          <w:tcPr>
            <w:tcW w:w="2280" w:type="dxa"/>
            <w:tcBorders>
              <w:top w:val="nil"/>
              <w:left w:val="nil"/>
              <w:bottom w:val="nil"/>
              <w:right w:val="nil"/>
            </w:tcBorders>
          </w:tcPr>
          <w:p w14:paraId="744B2EBA" w14:textId="23D16053" w:rsidR="15F25036" w:rsidRPr="00424833" w:rsidRDefault="15F25036" w:rsidP="00F75E05">
            <w:pPr>
              <w:spacing w:after="240" w:line="480" w:lineRule="auto"/>
              <w:cnfStyle w:val="000000000000" w:firstRow="0" w:lastRow="0" w:firstColumn="0" w:lastColumn="0" w:oddVBand="0" w:evenVBand="0" w:oddHBand="0" w:evenHBand="0" w:firstRowFirstColumn="0" w:firstRowLastColumn="0" w:lastRowFirstColumn="0" w:lastRowLastColumn="0"/>
            </w:pPr>
            <w:r w:rsidRPr="00424833">
              <w:rPr>
                <w:rFonts w:ascii="Calibri" w:eastAsia="Calibri" w:hAnsi="Calibri" w:cs="Calibri"/>
              </w:rPr>
              <w:t>Good bilateral air entry</w:t>
            </w:r>
          </w:p>
        </w:tc>
        <w:tc>
          <w:tcPr>
            <w:tcW w:w="2280" w:type="dxa"/>
            <w:tcBorders>
              <w:top w:val="nil"/>
              <w:left w:val="nil"/>
              <w:bottom w:val="nil"/>
              <w:right w:val="nil"/>
            </w:tcBorders>
          </w:tcPr>
          <w:p w14:paraId="41A20B72" w14:textId="3CAE2A79" w:rsidR="15F25036" w:rsidRPr="00424833" w:rsidRDefault="15F25036" w:rsidP="00F75E05">
            <w:pPr>
              <w:spacing w:after="240" w:line="480" w:lineRule="auto"/>
              <w:cnfStyle w:val="000000000000" w:firstRow="0" w:lastRow="0" w:firstColumn="0" w:lastColumn="0" w:oddVBand="0" w:evenVBand="0" w:oddHBand="0" w:evenHBand="0" w:firstRowFirstColumn="0" w:firstRowLastColumn="0" w:lastRowFirstColumn="0" w:lastRowLastColumn="0"/>
            </w:pPr>
            <w:r w:rsidRPr="00424833">
              <w:rPr>
                <w:rFonts w:ascii="Calibri" w:eastAsia="Calibri" w:hAnsi="Calibri" w:cs="Calibri"/>
              </w:rPr>
              <w:t>Mild decrease in air entry</w:t>
            </w:r>
          </w:p>
        </w:tc>
        <w:tc>
          <w:tcPr>
            <w:tcW w:w="2280" w:type="dxa"/>
            <w:tcBorders>
              <w:top w:val="nil"/>
              <w:left w:val="nil"/>
              <w:bottom w:val="nil"/>
              <w:right w:val="nil"/>
            </w:tcBorders>
          </w:tcPr>
          <w:p w14:paraId="36C371DE" w14:textId="66D8AB35" w:rsidR="15F25036" w:rsidRPr="00424833" w:rsidRDefault="15F25036" w:rsidP="00F75E05">
            <w:pPr>
              <w:spacing w:after="240" w:line="480" w:lineRule="auto"/>
              <w:cnfStyle w:val="000000000000" w:firstRow="0" w:lastRow="0" w:firstColumn="0" w:lastColumn="0" w:oddVBand="0" w:evenVBand="0" w:oddHBand="0" w:evenHBand="0" w:firstRowFirstColumn="0" w:firstRowLastColumn="0" w:lastRowFirstColumn="0" w:lastRowLastColumn="0"/>
            </w:pPr>
            <w:r w:rsidRPr="00424833">
              <w:rPr>
                <w:rFonts w:ascii="Calibri" w:eastAsia="Calibri" w:hAnsi="Calibri" w:cs="Calibri"/>
              </w:rPr>
              <w:t>No air entry</w:t>
            </w:r>
          </w:p>
        </w:tc>
      </w:tr>
      <w:tr w:rsidR="15F25036" w:rsidRPr="00424833" w14:paraId="4E9C8DCE" w14:textId="77777777" w:rsidTr="15F25036">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280" w:type="dxa"/>
            <w:tcBorders>
              <w:top w:val="nil"/>
              <w:left w:val="nil"/>
              <w:bottom w:val="single" w:sz="8" w:space="0" w:color="000000" w:themeColor="text1"/>
              <w:right w:val="nil"/>
            </w:tcBorders>
            <w:shd w:val="clear" w:color="auto" w:fill="CCCCCC"/>
          </w:tcPr>
          <w:p w14:paraId="1F76B690" w14:textId="1449A778" w:rsidR="15F25036" w:rsidRPr="00424833" w:rsidRDefault="15F25036" w:rsidP="00F75E05">
            <w:pPr>
              <w:spacing w:after="240" w:line="480" w:lineRule="auto"/>
            </w:pPr>
            <w:r w:rsidRPr="00424833">
              <w:rPr>
                <w:rFonts w:ascii="Calibri" w:eastAsia="Calibri" w:hAnsi="Calibri" w:cs="Calibri"/>
              </w:rPr>
              <w:t>Grunting</w:t>
            </w:r>
          </w:p>
        </w:tc>
        <w:tc>
          <w:tcPr>
            <w:tcW w:w="2280" w:type="dxa"/>
            <w:tcBorders>
              <w:top w:val="nil"/>
              <w:left w:val="nil"/>
              <w:bottom w:val="single" w:sz="8" w:space="0" w:color="000000" w:themeColor="text1"/>
              <w:right w:val="nil"/>
            </w:tcBorders>
            <w:shd w:val="clear" w:color="auto" w:fill="CCCCCC"/>
          </w:tcPr>
          <w:p w14:paraId="453F8458" w14:textId="279B445D" w:rsidR="15F25036" w:rsidRPr="00424833" w:rsidRDefault="15F25036" w:rsidP="00F75E05">
            <w:pPr>
              <w:spacing w:after="240" w:line="480" w:lineRule="auto"/>
              <w:cnfStyle w:val="000000100000" w:firstRow="0" w:lastRow="0" w:firstColumn="0" w:lastColumn="0" w:oddVBand="0" w:evenVBand="0" w:oddHBand="1" w:evenHBand="0" w:firstRowFirstColumn="0" w:firstRowLastColumn="0" w:lastRowFirstColumn="0" w:lastRowLastColumn="0"/>
            </w:pPr>
            <w:r w:rsidRPr="00424833">
              <w:rPr>
                <w:rFonts w:ascii="Calibri" w:eastAsia="Calibri" w:hAnsi="Calibri" w:cs="Calibri"/>
              </w:rPr>
              <w:t>No grunting</w:t>
            </w:r>
          </w:p>
        </w:tc>
        <w:tc>
          <w:tcPr>
            <w:tcW w:w="2280" w:type="dxa"/>
            <w:tcBorders>
              <w:top w:val="nil"/>
              <w:left w:val="nil"/>
              <w:bottom w:val="single" w:sz="8" w:space="0" w:color="000000" w:themeColor="text1"/>
              <w:right w:val="nil"/>
            </w:tcBorders>
            <w:shd w:val="clear" w:color="auto" w:fill="CCCCCC"/>
          </w:tcPr>
          <w:p w14:paraId="1711BFE4" w14:textId="19DBC5F0" w:rsidR="15F25036" w:rsidRPr="00424833" w:rsidRDefault="15F25036" w:rsidP="00F75E05">
            <w:pPr>
              <w:spacing w:after="240" w:line="480" w:lineRule="auto"/>
              <w:cnfStyle w:val="000000100000" w:firstRow="0" w:lastRow="0" w:firstColumn="0" w:lastColumn="0" w:oddVBand="0" w:evenVBand="0" w:oddHBand="1" w:evenHBand="0" w:firstRowFirstColumn="0" w:firstRowLastColumn="0" w:lastRowFirstColumn="0" w:lastRowLastColumn="0"/>
            </w:pPr>
            <w:r w:rsidRPr="00424833">
              <w:rPr>
                <w:rFonts w:ascii="Calibri" w:eastAsia="Calibri" w:hAnsi="Calibri" w:cs="Calibri"/>
              </w:rPr>
              <w:t>Audible by stethoscope</w:t>
            </w:r>
          </w:p>
        </w:tc>
        <w:tc>
          <w:tcPr>
            <w:tcW w:w="2280" w:type="dxa"/>
            <w:tcBorders>
              <w:top w:val="nil"/>
              <w:left w:val="nil"/>
              <w:bottom w:val="single" w:sz="8" w:space="0" w:color="000000" w:themeColor="text1"/>
              <w:right w:val="nil"/>
            </w:tcBorders>
            <w:shd w:val="clear" w:color="auto" w:fill="CCCCCC"/>
          </w:tcPr>
          <w:p w14:paraId="0A8DEA3A" w14:textId="720A574C" w:rsidR="15F25036" w:rsidRPr="00424833" w:rsidRDefault="15F25036" w:rsidP="00F75E05">
            <w:pPr>
              <w:spacing w:after="240" w:line="480" w:lineRule="auto"/>
              <w:cnfStyle w:val="000000100000" w:firstRow="0" w:lastRow="0" w:firstColumn="0" w:lastColumn="0" w:oddVBand="0" w:evenVBand="0" w:oddHBand="1" w:evenHBand="0" w:firstRowFirstColumn="0" w:firstRowLastColumn="0" w:lastRowFirstColumn="0" w:lastRowLastColumn="0"/>
            </w:pPr>
            <w:r w:rsidRPr="00424833">
              <w:rPr>
                <w:rFonts w:ascii="Calibri" w:eastAsia="Calibri" w:hAnsi="Calibri" w:cs="Calibri"/>
              </w:rPr>
              <w:t>Audible with ear</w:t>
            </w:r>
          </w:p>
        </w:tc>
      </w:tr>
    </w:tbl>
    <w:p w14:paraId="38542AB7" w14:textId="7CBC7280" w:rsidR="006C79BD" w:rsidRPr="00F75E05" w:rsidRDefault="45707FA9" w:rsidP="00F75E05">
      <w:pPr>
        <w:spacing w:after="240" w:line="480" w:lineRule="auto"/>
        <w:rPr>
          <w:rFonts w:ascii="Calibri" w:eastAsia="Calibri" w:hAnsi="Calibri" w:cs="Calibri"/>
          <w:i/>
          <w:iCs/>
          <w:sz w:val="21"/>
          <w:szCs w:val="21"/>
        </w:rPr>
      </w:pPr>
      <w:r w:rsidRPr="00424833">
        <w:rPr>
          <w:rFonts w:ascii="Calibri" w:eastAsia="Calibri" w:hAnsi="Calibri" w:cs="Calibri"/>
          <w:sz w:val="21"/>
          <w:szCs w:val="21"/>
        </w:rPr>
        <w:t>Scoring - Score &lt;4: no/mild respiratory distress. Score 4</w:t>
      </w:r>
      <w:r w:rsidR="00AE1D6B">
        <w:rPr>
          <w:rFonts w:ascii="Calibri" w:eastAsia="Calibri" w:hAnsi="Calibri" w:cs="Calibri"/>
          <w:sz w:val="21"/>
          <w:szCs w:val="21"/>
        </w:rPr>
        <w:t xml:space="preserve"> to </w:t>
      </w:r>
      <w:r w:rsidRPr="00424833">
        <w:rPr>
          <w:rFonts w:ascii="Calibri" w:eastAsia="Calibri" w:hAnsi="Calibri" w:cs="Calibri"/>
          <w:sz w:val="21"/>
          <w:szCs w:val="21"/>
        </w:rPr>
        <w:t xml:space="preserve">7: respiratory distress. Score &gt;7: impending respiratory failure. Adapted from </w:t>
      </w:r>
      <w:r w:rsidR="005337E8" w:rsidRPr="00424833">
        <w:rPr>
          <w:rFonts w:ascii="Calibri" w:eastAsia="Calibri" w:hAnsi="Calibri" w:cs="Calibri"/>
          <w:sz w:val="21"/>
          <w:szCs w:val="21"/>
        </w:rPr>
        <w:t xml:space="preserve">Vohra R, Singh V, Bansal M, Pathak D. Respiratory and Gastrointestinal Involvement in Birth Asphyxia. </w:t>
      </w:r>
      <w:r w:rsidR="005337E8" w:rsidRPr="00424833">
        <w:rPr>
          <w:rFonts w:ascii="Calibri" w:eastAsia="Calibri" w:hAnsi="Calibri" w:cs="Calibri"/>
          <w:i/>
          <w:iCs/>
          <w:sz w:val="21"/>
          <w:szCs w:val="21"/>
        </w:rPr>
        <w:t>Academic Journal of Pediatrics &amp; Neonatology</w:t>
      </w:r>
      <w:r w:rsidR="005337E8" w:rsidRPr="00424833">
        <w:rPr>
          <w:rFonts w:ascii="Calibri" w:eastAsia="Calibri" w:hAnsi="Calibri" w:cs="Calibri"/>
          <w:sz w:val="21"/>
          <w:szCs w:val="21"/>
        </w:rPr>
        <w:t>. 2018;6(4).</w:t>
      </w:r>
      <w:r w:rsidR="00F75E05">
        <w:fldChar w:fldCharType="begin"/>
      </w:r>
      <w:r w:rsidR="00F75E05">
        <w:instrText xml:space="preserve"> ADDIN EN.REFLIST </w:instrText>
      </w:r>
      <w:r w:rsidR="00F75E05">
        <w:fldChar w:fldCharType="end"/>
      </w:r>
    </w:p>
    <w:sectPr w:rsidR="006C79BD" w:rsidRPr="00F75E05" w:rsidSect="00F75E05">
      <w:footerReference w:type="default" r:id="rId11"/>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02E4C" w14:textId="77777777" w:rsidR="00920771" w:rsidRDefault="00920771" w:rsidP="005122C2">
      <w:r>
        <w:separator/>
      </w:r>
    </w:p>
  </w:endnote>
  <w:endnote w:type="continuationSeparator" w:id="0">
    <w:p w14:paraId="635409BB" w14:textId="77777777" w:rsidR="00920771" w:rsidRDefault="00920771" w:rsidP="005122C2">
      <w:r>
        <w:continuationSeparator/>
      </w:r>
    </w:p>
  </w:endnote>
  <w:endnote w:type="continuationNotice" w:id="1">
    <w:p w14:paraId="7E2A3FDF" w14:textId="77777777" w:rsidR="00054A2C" w:rsidRDefault="00054A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charset w:val="00"/>
    <w:family w:val="roman"/>
    <w:pitch w:val="default"/>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Helvetic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4770855"/>
      <w:docPartObj>
        <w:docPartGallery w:val="Page Numbers (Bottom of Page)"/>
        <w:docPartUnique/>
      </w:docPartObj>
    </w:sdtPr>
    <w:sdtEndPr>
      <w:rPr>
        <w:noProof/>
      </w:rPr>
    </w:sdtEndPr>
    <w:sdtContent>
      <w:p w14:paraId="75973640" w14:textId="7924C09A" w:rsidR="00CE36A9" w:rsidRDefault="00CE36A9">
        <w:pPr>
          <w:pStyle w:val="Footer"/>
          <w:jc w:val="right"/>
        </w:pPr>
        <w:r>
          <w:fldChar w:fldCharType="begin"/>
        </w:r>
        <w:r>
          <w:instrText xml:space="preserve"> PAGE   \* MERGEFORMAT </w:instrText>
        </w:r>
        <w:r>
          <w:fldChar w:fldCharType="separate"/>
        </w:r>
        <w:r w:rsidR="000E4BB0">
          <w:rPr>
            <w:noProof/>
          </w:rPr>
          <w:t>18</w:t>
        </w:r>
        <w:r>
          <w:rPr>
            <w:noProof/>
          </w:rPr>
          <w:fldChar w:fldCharType="end"/>
        </w:r>
      </w:p>
    </w:sdtContent>
  </w:sdt>
  <w:p w14:paraId="418EE68F" w14:textId="77777777" w:rsidR="00CE36A9" w:rsidRDefault="00CE36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5D3CC9" w14:textId="77777777" w:rsidR="00920771" w:rsidRDefault="00920771" w:rsidP="005122C2">
      <w:r>
        <w:separator/>
      </w:r>
    </w:p>
  </w:footnote>
  <w:footnote w:type="continuationSeparator" w:id="0">
    <w:p w14:paraId="4655D859" w14:textId="77777777" w:rsidR="00920771" w:rsidRDefault="00920771" w:rsidP="005122C2">
      <w:r>
        <w:continuationSeparator/>
      </w:r>
    </w:p>
  </w:footnote>
  <w:footnote w:type="continuationNotice" w:id="1">
    <w:p w14:paraId="69E943D5" w14:textId="77777777" w:rsidR="00054A2C" w:rsidRDefault="00054A2C"/>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5187F"/>
    <w:multiLevelType w:val="hybridMultilevel"/>
    <w:tmpl w:val="EE2E1B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06214"/>
    <w:multiLevelType w:val="hybridMultilevel"/>
    <w:tmpl w:val="FB3CDB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7758B"/>
    <w:multiLevelType w:val="hybridMultilevel"/>
    <w:tmpl w:val="6B60A2B2"/>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 w15:restartNumberingAfterBreak="0">
    <w:nsid w:val="08F147E8"/>
    <w:multiLevelType w:val="hybridMultilevel"/>
    <w:tmpl w:val="AF2EF98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15:restartNumberingAfterBreak="0">
    <w:nsid w:val="0A8E14C1"/>
    <w:multiLevelType w:val="multilevel"/>
    <w:tmpl w:val="FC54EE7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A981764"/>
    <w:multiLevelType w:val="hybridMultilevel"/>
    <w:tmpl w:val="08AAA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C441DE"/>
    <w:multiLevelType w:val="hybridMultilevel"/>
    <w:tmpl w:val="55DEA29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 w15:restartNumberingAfterBreak="0">
    <w:nsid w:val="0B5A3423"/>
    <w:multiLevelType w:val="hybridMultilevel"/>
    <w:tmpl w:val="D772DF6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8" w15:restartNumberingAfterBreak="0">
    <w:nsid w:val="0FAB3726"/>
    <w:multiLevelType w:val="multilevel"/>
    <w:tmpl w:val="C292D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F600AF"/>
    <w:multiLevelType w:val="hybridMultilevel"/>
    <w:tmpl w:val="4FCA7F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5925B1"/>
    <w:multiLevelType w:val="hybridMultilevel"/>
    <w:tmpl w:val="58E6C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9C46B1"/>
    <w:multiLevelType w:val="hybridMultilevel"/>
    <w:tmpl w:val="6DC6D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6D1C9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BAD701F"/>
    <w:multiLevelType w:val="hybridMultilevel"/>
    <w:tmpl w:val="47362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961AEE"/>
    <w:multiLevelType w:val="hybridMultilevel"/>
    <w:tmpl w:val="A0DEE70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5" w15:restartNumberingAfterBreak="0">
    <w:nsid w:val="223B7CDC"/>
    <w:multiLevelType w:val="hybridMultilevel"/>
    <w:tmpl w:val="A5C64A0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6" w15:restartNumberingAfterBreak="0">
    <w:nsid w:val="29490EAF"/>
    <w:multiLevelType w:val="hybridMultilevel"/>
    <w:tmpl w:val="8B2EC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7200" w:hanging="360"/>
      </w:pPr>
      <w:rPr>
        <w:rFonts w:ascii="Courier New" w:hAnsi="Courier New" w:cs="Courier New" w:hint="default"/>
      </w:rPr>
    </w:lvl>
    <w:lvl w:ilvl="2" w:tplc="04090005" w:tentative="1">
      <w:start w:val="1"/>
      <w:numFmt w:val="bullet"/>
      <w:lvlText w:val=""/>
      <w:lvlJc w:val="left"/>
      <w:pPr>
        <w:ind w:left="7920" w:hanging="360"/>
      </w:pPr>
      <w:rPr>
        <w:rFonts w:ascii="Wingdings" w:hAnsi="Wingdings" w:hint="default"/>
      </w:rPr>
    </w:lvl>
    <w:lvl w:ilvl="3" w:tplc="04090001" w:tentative="1">
      <w:start w:val="1"/>
      <w:numFmt w:val="bullet"/>
      <w:lvlText w:val=""/>
      <w:lvlJc w:val="left"/>
      <w:pPr>
        <w:ind w:left="8640" w:hanging="360"/>
      </w:pPr>
      <w:rPr>
        <w:rFonts w:ascii="Symbol" w:hAnsi="Symbol" w:hint="default"/>
      </w:rPr>
    </w:lvl>
    <w:lvl w:ilvl="4" w:tplc="04090003" w:tentative="1">
      <w:start w:val="1"/>
      <w:numFmt w:val="bullet"/>
      <w:lvlText w:val="o"/>
      <w:lvlJc w:val="left"/>
      <w:pPr>
        <w:ind w:left="9360" w:hanging="360"/>
      </w:pPr>
      <w:rPr>
        <w:rFonts w:ascii="Courier New" w:hAnsi="Courier New" w:cs="Courier New" w:hint="default"/>
      </w:rPr>
    </w:lvl>
    <w:lvl w:ilvl="5" w:tplc="04090005" w:tentative="1">
      <w:start w:val="1"/>
      <w:numFmt w:val="bullet"/>
      <w:lvlText w:val=""/>
      <w:lvlJc w:val="left"/>
      <w:pPr>
        <w:ind w:left="10080" w:hanging="360"/>
      </w:pPr>
      <w:rPr>
        <w:rFonts w:ascii="Wingdings" w:hAnsi="Wingdings" w:hint="default"/>
      </w:rPr>
    </w:lvl>
    <w:lvl w:ilvl="6" w:tplc="04090001" w:tentative="1">
      <w:start w:val="1"/>
      <w:numFmt w:val="bullet"/>
      <w:lvlText w:val=""/>
      <w:lvlJc w:val="left"/>
      <w:pPr>
        <w:ind w:left="10800" w:hanging="360"/>
      </w:pPr>
      <w:rPr>
        <w:rFonts w:ascii="Symbol" w:hAnsi="Symbol" w:hint="default"/>
      </w:rPr>
    </w:lvl>
    <w:lvl w:ilvl="7" w:tplc="04090003" w:tentative="1">
      <w:start w:val="1"/>
      <w:numFmt w:val="bullet"/>
      <w:lvlText w:val="o"/>
      <w:lvlJc w:val="left"/>
      <w:pPr>
        <w:ind w:left="11520" w:hanging="360"/>
      </w:pPr>
      <w:rPr>
        <w:rFonts w:ascii="Courier New" w:hAnsi="Courier New" w:cs="Courier New" w:hint="default"/>
      </w:rPr>
    </w:lvl>
    <w:lvl w:ilvl="8" w:tplc="04090005" w:tentative="1">
      <w:start w:val="1"/>
      <w:numFmt w:val="bullet"/>
      <w:lvlText w:val=""/>
      <w:lvlJc w:val="left"/>
      <w:pPr>
        <w:ind w:left="12240" w:hanging="360"/>
      </w:pPr>
      <w:rPr>
        <w:rFonts w:ascii="Wingdings" w:hAnsi="Wingdings" w:hint="default"/>
      </w:rPr>
    </w:lvl>
  </w:abstractNum>
  <w:abstractNum w:abstractNumId="17" w15:restartNumberingAfterBreak="0">
    <w:nsid w:val="2B7F5F14"/>
    <w:multiLevelType w:val="hybridMultilevel"/>
    <w:tmpl w:val="9B7A16A8"/>
    <w:lvl w:ilvl="0" w:tplc="9808F90C">
      <w:start w:val="1"/>
      <w:numFmt w:val="decimal"/>
      <w:lvlText w:val="%1."/>
      <w:lvlJc w:val="left"/>
      <w:pPr>
        <w:ind w:left="720" w:hanging="360"/>
      </w:pPr>
      <w:rPr>
        <w:rFonts w:hint="default"/>
        <w:i w:val="0"/>
        <w:iCs w:val="0"/>
        <w:color w:val="auto"/>
      </w:rPr>
    </w:lvl>
    <w:lvl w:ilvl="1" w:tplc="F112E420">
      <w:start w:val="1"/>
      <w:numFmt w:val="lowerLetter"/>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E18177"/>
    <w:multiLevelType w:val="hybridMultilevel"/>
    <w:tmpl w:val="CD864926"/>
    <w:lvl w:ilvl="0" w:tplc="9E827002">
      <w:start w:val="1"/>
      <w:numFmt w:val="bullet"/>
      <w:lvlText w:val="·"/>
      <w:lvlJc w:val="left"/>
      <w:pPr>
        <w:ind w:left="720" w:hanging="360"/>
      </w:pPr>
      <w:rPr>
        <w:rFonts w:ascii="Symbol" w:hAnsi="Symbol" w:hint="default"/>
      </w:rPr>
    </w:lvl>
    <w:lvl w:ilvl="1" w:tplc="5B008356">
      <w:start w:val="1"/>
      <w:numFmt w:val="bullet"/>
      <w:lvlText w:val="o"/>
      <w:lvlJc w:val="left"/>
      <w:pPr>
        <w:ind w:left="1440" w:hanging="360"/>
      </w:pPr>
      <w:rPr>
        <w:rFonts w:ascii="&quot;Courier New&quot;" w:hAnsi="&quot;Courier New&quot;" w:hint="default"/>
      </w:rPr>
    </w:lvl>
    <w:lvl w:ilvl="2" w:tplc="082C0188">
      <w:start w:val="1"/>
      <w:numFmt w:val="bullet"/>
      <w:lvlText w:val=""/>
      <w:lvlJc w:val="left"/>
      <w:pPr>
        <w:ind w:left="2160" w:hanging="360"/>
      </w:pPr>
      <w:rPr>
        <w:rFonts w:ascii="Wingdings" w:hAnsi="Wingdings" w:hint="default"/>
      </w:rPr>
    </w:lvl>
    <w:lvl w:ilvl="3" w:tplc="F686F5EE">
      <w:start w:val="1"/>
      <w:numFmt w:val="bullet"/>
      <w:lvlText w:val=""/>
      <w:lvlJc w:val="left"/>
      <w:pPr>
        <w:ind w:left="2880" w:hanging="360"/>
      </w:pPr>
      <w:rPr>
        <w:rFonts w:ascii="Symbol" w:hAnsi="Symbol" w:hint="default"/>
      </w:rPr>
    </w:lvl>
    <w:lvl w:ilvl="4" w:tplc="33B0552C">
      <w:start w:val="1"/>
      <w:numFmt w:val="bullet"/>
      <w:lvlText w:val="o"/>
      <w:lvlJc w:val="left"/>
      <w:pPr>
        <w:ind w:left="3600" w:hanging="360"/>
      </w:pPr>
      <w:rPr>
        <w:rFonts w:ascii="Courier New" w:hAnsi="Courier New" w:hint="default"/>
      </w:rPr>
    </w:lvl>
    <w:lvl w:ilvl="5" w:tplc="E3D4F0B0">
      <w:start w:val="1"/>
      <w:numFmt w:val="bullet"/>
      <w:lvlText w:val=""/>
      <w:lvlJc w:val="left"/>
      <w:pPr>
        <w:ind w:left="4320" w:hanging="360"/>
      </w:pPr>
      <w:rPr>
        <w:rFonts w:ascii="Wingdings" w:hAnsi="Wingdings" w:hint="default"/>
      </w:rPr>
    </w:lvl>
    <w:lvl w:ilvl="6" w:tplc="4828AFF0">
      <w:start w:val="1"/>
      <w:numFmt w:val="bullet"/>
      <w:lvlText w:val=""/>
      <w:lvlJc w:val="left"/>
      <w:pPr>
        <w:ind w:left="5040" w:hanging="360"/>
      </w:pPr>
      <w:rPr>
        <w:rFonts w:ascii="Symbol" w:hAnsi="Symbol" w:hint="default"/>
      </w:rPr>
    </w:lvl>
    <w:lvl w:ilvl="7" w:tplc="0FDA9084">
      <w:start w:val="1"/>
      <w:numFmt w:val="bullet"/>
      <w:lvlText w:val="o"/>
      <w:lvlJc w:val="left"/>
      <w:pPr>
        <w:ind w:left="5760" w:hanging="360"/>
      </w:pPr>
      <w:rPr>
        <w:rFonts w:ascii="Courier New" w:hAnsi="Courier New" w:hint="default"/>
      </w:rPr>
    </w:lvl>
    <w:lvl w:ilvl="8" w:tplc="7BD8726E">
      <w:start w:val="1"/>
      <w:numFmt w:val="bullet"/>
      <w:lvlText w:val=""/>
      <w:lvlJc w:val="left"/>
      <w:pPr>
        <w:ind w:left="6480" w:hanging="360"/>
      </w:pPr>
      <w:rPr>
        <w:rFonts w:ascii="Wingdings" w:hAnsi="Wingdings" w:hint="default"/>
      </w:rPr>
    </w:lvl>
  </w:abstractNum>
  <w:abstractNum w:abstractNumId="19" w15:restartNumberingAfterBreak="0">
    <w:nsid w:val="2E18779C"/>
    <w:multiLevelType w:val="hybridMultilevel"/>
    <w:tmpl w:val="F784139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0" w15:restartNumberingAfterBreak="0">
    <w:nsid w:val="307C49E3"/>
    <w:multiLevelType w:val="hybridMultilevel"/>
    <w:tmpl w:val="94FAC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4676" w:hanging="360"/>
      </w:pPr>
      <w:rPr>
        <w:rFonts w:ascii="Courier New" w:hAnsi="Courier New" w:cs="Courier New" w:hint="default"/>
      </w:rPr>
    </w:lvl>
    <w:lvl w:ilvl="2" w:tplc="04090005" w:tentative="1">
      <w:start w:val="1"/>
      <w:numFmt w:val="bullet"/>
      <w:lvlText w:val=""/>
      <w:lvlJc w:val="left"/>
      <w:pPr>
        <w:ind w:left="5396" w:hanging="360"/>
      </w:pPr>
      <w:rPr>
        <w:rFonts w:ascii="Wingdings" w:hAnsi="Wingdings" w:hint="default"/>
      </w:rPr>
    </w:lvl>
    <w:lvl w:ilvl="3" w:tplc="04090001" w:tentative="1">
      <w:start w:val="1"/>
      <w:numFmt w:val="bullet"/>
      <w:lvlText w:val=""/>
      <w:lvlJc w:val="left"/>
      <w:pPr>
        <w:ind w:left="6116" w:hanging="360"/>
      </w:pPr>
      <w:rPr>
        <w:rFonts w:ascii="Symbol" w:hAnsi="Symbol" w:hint="default"/>
      </w:rPr>
    </w:lvl>
    <w:lvl w:ilvl="4" w:tplc="04090003" w:tentative="1">
      <w:start w:val="1"/>
      <w:numFmt w:val="bullet"/>
      <w:lvlText w:val="o"/>
      <w:lvlJc w:val="left"/>
      <w:pPr>
        <w:ind w:left="6836" w:hanging="360"/>
      </w:pPr>
      <w:rPr>
        <w:rFonts w:ascii="Courier New" w:hAnsi="Courier New" w:cs="Courier New" w:hint="default"/>
      </w:rPr>
    </w:lvl>
    <w:lvl w:ilvl="5" w:tplc="04090005" w:tentative="1">
      <w:start w:val="1"/>
      <w:numFmt w:val="bullet"/>
      <w:lvlText w:val=""/>
      <w:lvlJc w:val="left"/>
      <w:pPr>
        <w:ind w:left="7556" w:hanging="360"/>
      </w:pPr>
      <w:rPr>
        <w:rFonts w:ascii="Wingdings" w:hAnsi="Wingdings" w:hint="default"/>
      </w:rPr>
    </w:lvl>
    <w:lvl w:ilvl="6" w:tplc="04090001" w:tentative="1">
      <w:start w:val="1"/>
      <w:numFmt w:val="bullet"/>
      <w:lvlText w:val=""/>
      <w:lvlJc w:val="left"/>
      <w:pPr>
        <w:ind w:left="8276" w:hanging="360"/>
      </w:pPr>
      <w:rPr>
        <w:rFonts w:ascii="Symbol" w:hAnsi="Symbol" w:hint="default"/>
      </w:rPr>
    </w:lvl>
    <w:lvl w:ilvl="7" w:tplc="04090003" w:tentative="1">
      <w:start w:val="1"/>
      <w:numFmt w:val="bullet"/>
      <w:lvlText w:val="o"/>
      <w:lvlJc w:val="left"/>
      <w:pPr>
        <w:ind w:left="8996" w:hanging="360"/>
      </w:pPr>
      <w:rPr>
        <w:rFonts w:ascii="Courier New" w:hAnsi="Courier New" w:cs="Courier New" w:hint="default"/>
      </w:rPr>
    </w:lvl>
    <w:lvl w:ilvl="8" w:tplc="04090005" w:tentative="1">
      <w:start w:val="1"/>
      <w:numFmt w:val="bullet"/>
      <w:lvlText w:val=""/>
      <w:lvlJc w:val="left"/>
      <w:pPr>
        <w:ind w:left="9716" w:hanging="360"/>
      </w:pPr>
      <w:rPr>
        <w:rFonts w:ascii="Wingdings" w:hAnsi="Wingdings" w:hint="default"/>
      </w:rPr>
    </w:lvl>
  </w:abstractNum>
  <w:abstractNum w:abstractNumId="21" w15:restartNumberingAfterBreak="0">
    <w:nsid w:val="38264885"/>
    <w:multiLevelType w:val="hybridMultilevel"/>
    <w:tmpl w:val="8FF883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1F33DE2"/>
    <w:multiLevelType w:val="hybridMultilevel"/>
    <w:tmpl w:val="6BF2BA06"/>
    <w:lvl w:ilvl="0" w:tplc="F4564B80">
      <w:start w:val="1"/>
      <w:numFmt w:val="upp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3FC5A6E"/>
    <w:multiLevelType w:val="hybridMultilevel"/>
    <w:tmpl w:val="D3ECB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974038"/>
    <w:multiLevelType w:val="hybridMultilevel"/>
    <w:tmpl w:val="FFC86774"/>
    <w:lvl w:ilvl="0" w:tplc="59BCD6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5A6B1C"/>
    <w:multiLevelType w:val="hybridMultilevel"/>
    <w:tmpl w:val="14BEF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AE6373"/>
    <w:multiLevelType w:val="hybridMultilevel"/>
    <w:tmpl w:val="E11CB14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7" w15:restartNumberingAfterBreak="0">
    <w:nsid w:val="58C53807"/>
    <w:multiLevelType w:val="hybridMultilevel"/>
    <w:tmpl w:val="639E00E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8" w15:restartNumberingAfterBreak="0">
    <w:nsid w:val="5FDC4D2E"/>
    <w:multiLevelType w:val="hybridMultilevel"/>
    <w:tmpl w:val="87AAFD30"/>
    <w:lvl w:ilvl="0" w:tplc="614AAD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6207A9"/>
    <w:multiLevelType w:val="hybridMultilevel"/>
    <w:tmpl w:val="203E6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656ECF"/>
    <w:multiLevelType w:val="multilevel"/>
    <w:tmpl w:val="7FE4B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B7B6FE6"/>
    <w:multiLevelType w:val="hybridMultilevel"/>
    <w:tmpl w:val="33548E4E"/>
    <w:lvl w:ilvl="0" w:tplc="04090001">
      <w:start w:val="1"/>
      <w:numFmt w:val="bullet"/>
      <w:lvlText w:val=""/>
      <w:lvlJc w:val="left"/>
      <w:pPr>
        <w:ind w:left="6480" w:hanging="360"/>
      </w:pPr>
      <w:rPr>
        <w:rFonts w:ascii="Symbol" w:hAnsi="Symbol" w:hint="default"/>
      </w:rPr>
    </w:lvl>
    <w:lvl w:ilvl="1" w:tplc="04090003" w:tentative="1">
      <w:start w:val="1"/>
      <w:numFmt w:val="bullet"/>
      <w:lvlText w:val="o"/>
      <w:lvlJc w:val="left"/>
      <w:pPr>
        <w:ind w:left="7200" w:hanging="360"/>
      </w:pPr>
      <w:rPr>
        <w:rFonts w:ascii="Courier New" w:hAnsi="Courier New" w:cs="Courier New" w:hint="default"/>
      </w:rPr>
    </w:lvl>
    <w:lvl w:ilvl="2" w:tplc="04090005" w:tentative="1">
      <w:start w:val="1"/>
      <w:numFmt w:val="bullet"/>
      <w:lvlText w:val=""/>
      <w:lvlJc w:val="left"/>
      <w:pPr>
        <w:ind w:left="7920" w:hanging="360"/>
      </w:pPr>
      <w:rPr>
        <w:rFonts w:ascii="Wingdings" w:hAnsi="Wingdings" w:hint="default"/>
      </w:rPr>
    </w:lvl>
    <w:lvl w:ilvl="3" w:tplc="04090001" w:tentative="1">
      <w:start w:val="1"/>
      <w:numFmt w:val="bullet"/>
      <w:lvlText w:val=""/>
      <w:lvlJc w:val="left"/>
      <w:pPr>
        <w:ind w:left="8640" w:hanging="360"/>
      </w:pPr>
      <w:rPr>
        <w:rFonts w:ascii="Symbol" w:hAnsi="Symbol" w:hint="default"/>
      </w:rPr>
    </w:lvl>
    <w:lvl w:ilvl="4" w:tplc="04090003" w:tentative="1">
      <w:start w:val="1"/>
      <w:numFmt w:val="bullet"/>
      <w:lvlText w:val="o"/>
      <w:lvlJc w:val="left"/>
      <w:pPr>
        <w:ind w:left="9360" w:hanging="360"/>
      </w:pPr>
      <w:rPr>
        <w:rFonts w:ascii="Courier New" w:hAnsi="Courier New" w:cs="Courier New" w:hint="default"/>
      </w:rPr>
    </w:lvl>
    <w:lvl w:ilvl="5" w:tplc="04090005" w:tentative="1">
      <w:start w:val="1"/>
      <w:numFmt w:val="bullet"/>
      <w:lvlText w:val=""/>
      <w:lvlJc w:val="left"/>
      <w:pPr>
        <w:ind w:left="10080" w:hanging="360"/>
      </w:pPr>
      <w:rPr>
        <w:rFonts w:ascii="Wingdings" w:hAnsi="Wingdings" w:hint="default"/>
      </w:rPr>
    </w:lvl>
    <w:lvl w:ilvl="6" w:tplc="04090001" w:tentative="1">
      <w:start w:val="1"/>
      <w:numFmt w:val="bullet"/>
      <w:lvlText w:val=""/>
      <w:lvlJc w:val="left"/>
      <w:pPr>
        <w:ind w:left="10800" w:hanging="360"/>
      </w:pPr>
      <w:rPr>
        <w:rFonts w:ascii="Symbol" w:hAnsi="Symbol" w:hint="default"/>
      </w:rPr>
    </w:lvl>
    <w:lvl w:ilvl="7" w:tplc="04090003" w:tentative="1">
      <w:start w:val="1"/>
      <w:numFmt w:val="bullet"/>
      <w:lvlText w:val="o"/>
      <w:lvlJc w:val="left"/>
      <w:pPr>
        <w:ind w:left="11520" w:hanging="360"/>
      </w:pPr>
      <w:rPr>
        <w:rFonts w:ascii="Courier New" w:hAnsi="Courier New" w:cs="Courier New" w:hint="default"/>
      </w:rPr>
    </w:lvl>
    <w:lvl w:ilvl="8" w:tplc="04090005" w:tentative="1">
      <w:start w:val="1"/>
      <w:numFmt w:val="bullet"/>
      <w:lvlText w:val=""/>
      <w:lvlJc w:val="left"/>
      <w:pPr>
        <w:ind w:left="12240" w:hanging="360"/>
      </w:pPr>
      <w:rPr>
        <w:rFonts w:ascii="Wingdings" w:hAnsi="Wingdings" w:hint="default"/>
      </w:rPr>
    </w:lvl>
  </w:abstractNum>
  <w:num w:numId="1">
    <w:abstractNumId w:val="18"/>
  </w:num>
  <w:num w:numId="2">
    <w:abstractNumId w:val="13"/>
  </w:num>
  <w:num w:numId="3">
    <w:abstractNumId w:val="24"/>
  </w:num>
  <w:num w:numId="4">
    <w:abstractNumId w:val="9"/>
  </w:num>
  <w:num w:numId="5">
    <w:abstractNumId w:val="7"/>
  </w:num>
  <w:num w:numId="6">
    <w:abstractNumId w:val="19"/>
  </w:num>
  <w:num w:numId="7">
    <w:abstractNumId w:val="6"/>
  </w:num>
  <w:num w:numId="8">
    <w:abstractNumId w:val="5"/>
  </w:num>
  <w:num w:numId="9">
    <w:abstractNumId w:val="1"/>
  </w:num>
  <w:num w:numId="10">
    <w:abstractNumId w:val="3"/>
  </w:num>
  <w:num w:numId="11">
    <w:abstractNumId w:val="27"/>
  </w:num>
  <w:num w:numId="12">
    <w:abstractNumId w:val="15"/>
  </w:num>
  <w:num w:numId="13">
    <w:abstractNumId w:val="14"/>
  </w:num>
  <w:num w:numId="14">
    <w:abstractNumId w:val="16"/>
  </w:num>
  <w:num w:numId="15">
    <w:abstractNumId w:val="26"/>
  </w:num>
  <w:num w:numId="16">
    <w:abstractNumId w:val="31"/>
  </w:num>
  <w:num w:numId="17">
    <w:abstractNumId w:val="25"/>
  </w:num>
  <w:num w:numId="18">
    <w:abstractNumId w:val="20"/>
  </w:num>
  <w:num w:numId="19">
    <w:abstractNumId w:val="2"/>
  </w:num>
  <w:num w:numId="20">
    <w:abstractNumId w:val="4"/>
  </w:num>
  <w:num w:numId="21">
    <w:abstractNumId w:val="12"/>
  </w:num>
  <w:num w:numId="22">
    <w:abstractNumId w:val="22"/>
  </w:num>
  <w:num w:numId="23">
    <w:abstractNumId w:val="10"/>
  </w:num>
  <w:num w:numId="24">
    <w:abstractNumId w:val="23"/>
  </w:num>
  <w:num w:numId="25">
    <w:abstractNumId w:val="28"/>
  </w:num>
  <w:num w:numId="26">
    <w:abstractNumId w:val="0"/>
  </w:num>
  <w:num w:numId="27">
    <w:abstractNumId w:val="17"/>
  </w:num>
  <w:num w:numId="28">
    <w:abstractNumId w:val="29"/>
  </w:num>
  <w:num w:numId="29">
    <w:abstractNumId w:val="30"/>
  </w:num>
  <w:num w:numId="30">
    <w:abstractNumId w:val="8"/>
  </w:num>
  <w:num w:numId="31">
    <w:abstractNumId w:val="21"/>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it-IT" w:vendorID="64" w:dllVersion="0" w:nlCheck="1" w:checkStyle="0"/>
  <w:activeWritingStyle w:appName="MSWord" w:lang="en-US" w:vendorID="64" w:dllVersion="0" w:nlCheck="1" w:checkStyle="0"/>
  <w:activeWritingStyle w:appName="MSWord" w:lang="fr-FR" w:vendorID="64" w:dllVersion="0" w:nlCheck="1" w:checkStyle="0"/>
  <w:activeWritingStyle w:appName="MSWord" w:lang="en-US" w:vendorID="64" w:dllVersion="131078" w:nlCheck="1" w:checkStyle="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txwdedroep0xrexvpnprdwv90fwzrzxwv55&quot;&gt;RDS-NExT Library&lt;record-ids&gt;&lt;item&gt;5&lt;/item&gt;&lt;item&gt;277&lt;/item&gt;&lt;item&gt;279&lt;/item&gt;&lt;item&gt;280&lt;/item&gt;&lt;item&gt;281&lt;/item&gt;&lt;item&gt;285&lt;/item&gt;&lt;item&gt;286&lt;/item&gt;&lt;item&gt;287&lt;/item&gt;&lt;item&gt;289&lt;/item&gt;&lt;item&gt;290&lt;/item&gt;&lt;item&gt;291&lt;/item&gt;&lt;item&gt;292&lt;/item&gt;&lt;item&gt;296&lt;/item&gt;&lt;item&gt;297&lt;/item&gt;&lt;item&gt;308&lt;/item&gt;&lt;item&gt;309&lt;/item&gt;&lt;item&gt;311&lt;/item&gt;&lt;item&gt;312&lt;/item&gt;&lt;item&gt;317&lt;/item&gt;&lt;item&gt;318&lt;/item&gt;&lt;item&gt;319&lt;/item&gt;&lt;item&gt;320&lt;/item&gt;&lt;item&gt;321&lt;/item&gt;&lt;item&gt;322&lt;/item&gt;&lt;item&gt;323&lt;/item&gt;&lt;item&gt;324&lt;/item&gt;&lt;item&gt;325&lt;/item&gt;&lt;item&gt;327&lt;/item&gt;&lt;item&gt;328&lt;/item&gt;&lt;item&gt;329&lt;/item&gt;&lt;item&gt;330&lt;/item&gt;&lt;item&gt;332&lt;/item&gt;&lt;item&gt;334&lt;/item&gt;&lt;item&gt;335&lt;/item&gt;&lt;item&gt;336&lt;/item&gt;&lt;item&gt;337&lt;/item&gt;&lt;item&gt;338&lt;/item&gt;&lt;item&gt;339&lt;/item&gt;&lt;item&gt;340&lt;/item&gt;&lt;item&gt;341&lt;/item&gt;&lt;item&gt;342&lt;/item&gt;&lt;item&gt;344&lt;/item&gt;&lt;item&gt;345&lt;/item&gt;&lt;item&gt;346&lt;/item&gt;&lt;item&gt;347&lt;/item&gt;&lt;item&gt;348&lt;/item&gt;&lt;item&gt;349&lt;/item&gt;&lt;item&gt;350&lt;/item&gt;&lt;item&gt;351&lt;/item&gt;&lt;item&gt;353&lt;/item&gt;&lt;item&gt;356&lt;/item&gt;&lt;item&gt;357&lt;/item&gt;&lt;item&gt;358&lt;/item&gt;&lt;item&gt;359&lt;/item&gt;&lt;item&gt;360&lt;/item&gt;&lt;item&gt;361&lt;/item&gt;&lt;item&gt;362&lt;/item&gt;&lt;item&gt;363&lt;/item&gt;&lt;item&gt;364&lt;/item&gt;&lt;item&gt;365&lt;/item&gt;&lt;item&gt;366&lt;/item&gt;&lt;item&gt;367&lt;/item&gt;&lt;item&gt;368&lt;/item&gt;&lt;item&gt;369&lt;/item&gt;&lt;item&gt;370&lt;/item&gt;&lt;item&gt;371&lt;/item&gt;&lt;item&gt;372&lt;/item&gt;&lt;item&gt;373&lt;/item&gt;&lt;item&gt;374&lt;/item&gt;&lt;item&gt;375&lt;/item&gt;&lt;item&gt;376&lt;/item&gt;&lt;item&gt;377&lt;/item&gt;&lt;item&gt;378&lt;/item&gt;&lt;item&gt;379&lt;/item&gt;&lt;item&gt;394&lt;/item&gt;&lt;item&gt;400&lt;/item&gt;&lt;item&gt;402&lt;/item&gt;&lt;item&gt;403&lt;/item&gt;&lt;item&gt;404&lt;/item&gt;&lt;item&gt;405&lt;/item&gt;&lt;item&gt;406&lt;/item&gt;&lt;item&gt;407&lt;/item&gt;&lt;item&gt;408&lt;/item&gt;&lt;item&gt;409&lt;/item&gt;&lt;item&gt;410&lt;/item&gt;&lt;item&gt;413&lt;/item&gt;&lt;item&gt;414&lt;/item&gt;&lt;item&gt;416&lt;/item&gt;&lt;item&gt;417&lt;/item&gt;&lt;item&gt;418&lt;/item&gt;&lt;item&gt;419&lt;/item&gt;&lt;item&gt;420&lt;/item&gt;&lt;/record-ids&gt;&lt;/item&gt;&lt;/Libraries&gt;"/>
  </w:docVars>
  <w:rsids>
    <w:rsidRoot w:val="004B7A53"/>
    <w:rsid w:val="00004D02"/>
    <w:rsid w:val="000050FA"/>
    <w:rsid w:val="00005E6C"/>
    <w:rsid w:val="0000708E"/>
    <w:rsid w:val="00012EF7"/>
    <w:rsid w:val="000174E6"/>
    <w:rsid w:val="000200CF"/>
    <w:rsid w:val="0002071C"/>
    <w:rsid w:val="000235FF"/>
    <w:rsid w:val="00026E4E"/>
    <w:rsid w:val="00030E7C"/>
    <w:rsid w:val="00033971"/>
    <w:rsid w:val="00033B1F"/>
    <w:rsid w:val="00034A07"/>
    <w:rsid w:val="00035875"/>
    <w:rsid w:val="00035F6D"/>
    <w:rsid w:val="00036DDE"/>
    <w:rsid w:val="00041A15"/>
    <w:rsid w:val="00042D0A"/>
    <w:rsid w:val="000535DA"/>
    <w:rsid w:val="0005391D"/>
    <w:rsid w:val="00054A2C"/>
    <w:rsid w:val="00061644"/>
    <w:rsid w:val="0006486A"/>
    <w:rsid w:val="00064B9B"/>
    <w:rsid w:val="00066944"/>
    <w:rsid w:val="00067AE8"/>
    <w:rsid w:val="000712D3"/>
    <w:rsid w:val="000720A1"/>
    <w:rsid w:val="00074A10"/>
    <w:rsid w:val="000750B0"/>
    <w:rsid w:val="000758EC"/>
    <w:rsid w:val="000805C4"/>
    <w:rsid w:val="000813AA"/>
    <w:rsid w:val="00081634"/>
    <w:rsid w:val="0008600C"/>
    <w:rsid w:val="000912CA"/>
    <w:rsid w:val="0009193C"/>
    <w:rsid w:val="0009303F"/>
    <w:rsid w:val="00093788"/>
    <w:rsid w:val="00094F1A"/>
    <w:rsid w:val="00096702"/>
    <w:rsid w:val="000A11CD"/>
    <w:rsid w:val="000A1683"/>
    <w:rsid w:val="000A3060"/>
    <w:rsid w:val="000A314F"/>
    <w:rsid w:val="000A37C1"/>
    <w:rsid w:val="000A3ABA"/>
    <w:rsid w:val="000A5152"/>
    <w:rsid w:val="000A7699"/>
    <w:rsid w:val="000B0164"/>
    <w:rsid w:val="000B034B"/>
    <w:rsid w:val="000B7BA1"/>
    <w:rsid w:val="000B7C31"/>
    <w:rsid w:val="000B7C32"/>
    <w:rsid w:val="000C3D90"/>
    <w:rsid w:val="000C627C"/>
    <w:rsid w:val="000D19DC"/>
    <w:rsid w:val="000D23BB"/>
    <w:rsid w:val="000D3A4E"/>
    <w:rsid w:val="000D4047"/>
    <w:rsid w:val="000D576B"/>
    <w:rsid w:val="000D5A67"/>
    <w:rsid w:val="000D7F2A"/>
    <w:rsid w:val="000E0141"/>
    <w:rsid w:val="000E23F4"/>
    <w:rsid w:val="000E4BB0"/>
    <w:rsid w:val="000E55FA"/>
    <w:rsid w:val="000E5653"/>
    <w:rsid w:val="000E6537"/>
    <w:rsid w:val="000F1629"/>
    <w:rsid w:val="000F1798"/>
    <w:rsid w:val="000F2400"/>
    <w:rsid w:val="000F3037"/>
    <w:rsid w:val="000F45FB"/>
    <w:rsid w:val="001032B2"/>
    <w:rsid w:val="00105E60"/>
    <w:rsid w:val="00107491"/>
    <w:rsid w:val="00107B39"/>
    <w:rsid w:val="00111E9F"/>
    <w:rsid w:val="001137FF"/>
    <w:rsid w:val="00113B12"/>
    <w:rsid w:val="00115672"/>
    <w:rsid w:val="001163D6"/>
    <w:rsid w:val="0011698F"/>
    <w:rsid w:val="001173C5"/>
    <w:rsid w:val="00117C92"/>
    <w:rsid w:val="00121D02"/>
    <w:rsid w:val="00123764"/>
    <w:rsid w:val="001312A5"/>
    <w:rsid w:val="00131DD3"/>
    <w:rsid w:val="00132151"/>
    <w:rsid w:val="00133531"/>
    <w:rsid w:val="001342AF"/>
    <w:rsid w:val="00134C63"/>
    <w:rsid w:val="001420A9"/>
    <w:rsid w:val="001449B3"/>
    <w:rsid w:val="00145FB7"/>
    <w:rsid w:val="001475E0"/>
    <w:rsid w:val="0014764E"/>
    <w:rsid w:val="00152828"/>
    <w:rsid w:val="00153A98"/>
    <w:rsid w:val="00154AF3"/>
    <w:rsid w:val="00155DE3"/>
    <w:rsid w:val="001560EB"/>
    <w:rsid w:val="001561E0"/>
    <w:rsid w:val="00160AC0"/>
    <w:rsid w:val="00160F3B"/>
    <w:rsid w:val="00162E76"/>
    <w:rsid w:val="00164237"/>
    <w:rsid w:val="00170124"/>
    <w:rsid w:val="00180EA3"/>
    <w:rsid w:val="001820F1"/>
    <w:rsid w:val="0018590C"/>
    <w:rsid w:val="001872E6"/>
    <w:rsid w:val="00196B35"/>
    <w:rsid w:val="00197410"/>
    <w:rsid w:val="001A11F1"/>
    <w:rsid w:val="001A127E"/>
    <w:rsid w:val="001A37BE"/>
    <w:rsid w:val="001A38DE"/>
    <w:rsid w:val="001A5070"/>
    <w:rsid w:val="001B14C5"/>
    <w:rsid w:val="001B4C7D"/>
    <w:rsid w:val="001B78E2"/>
    <w:rsid w:val="001C0414"/>
    <w:rsid w:val="001C285C"/>
    <w:rsid w:val="001C384C"/>
    <w:rsid w:val="001C4851"/>
    <w:rsid w:val="001D14D4"/>
    <w:rsid w:val="001D20FF"/>
    <w:rsid w:val="001D35CC"/>
    <w:rsid w:val="001D69A2"/>
    <w:rsid w:val="001D74C5"/>
    <w:rsid w:val="001E0402"/>
    <w:rsid w:val="001E09B1"/>
    <w:rsid w:val="001E0D21"/>
    <w:rsid w:val="001E1539"/>
    <w:rsid w:val="001E1C83"/>
    <w:rsid w:val="001E5173"/>
    <w:rsid w:val="001E5F1A"/>
    <w:rsid w:val="001E5FAB"/>
    <w:rsid w:val="001E6008"/>
    <w:rsid w:val="001F07A1"/>
    <w:rsid w:val="001F2C55"/>
    <w:rsid w:val="001F3E40"/>
    <w:rsid w:val="001F57AF"/>
    <w:rsid w:val="0020201C"/>
    <w:rsid w:val="002025C4"/>
    <w:rsid w:val="002026D9"/>
    <w:rsid w:val="002027A9"/>
    <w:rsid w:val="002037B4"/>
    <w:rsid w:val="00203B1E"/>
    <w:rsid w:val="00207280"/>
    <w:rsid w:val="002125A9"/>
    <w:rsid w:val="00213F85"/>
    <w:rsid w:val="002219E0"/>
    <w:rsid w:val="00222B2E"/>
    <w:rsid w:val="00225893"/>
    <w:rsid w:val="00225C6D"/>
    <w:rsid w:val="002279EE"/>
    <w:rsid w:val="00231405"/>
    <w:rsid w:val="0023624B"/>
    <w:rsid w:val="00236F93"/>
    <w:rsid w:val="0023768A"/>
    <w:rsid w:val="00237ADE"/>
    <w:rsid w:val="0024244E"/>
    <w:rsid w:val="00243D48"/>
    <w:rsid w:val="00254196"/>
    <w:rsid w:val="002549CA"/>
    <w:rsid w:val="00255336"/>
    <w:rsid w:val="00255383"/>
    <w:rsid w:val="00255E19"/>
    <w:rsid w:val="00257EA0"/>
    <w:rsid w:val="002618D1"/>
    <w:rsid w:val="00263877"/>
    <w:rsid w:val="00265254"/>
    <w:rsid w:val="00273D84"/>
    <w:rsid w:val="00275BE5"/>
    <w:rsid w:val="00281945"/>
    <w:rsid w:val="002842E2"/>
    <w:rsid w:val="002867C8"/>
    <w:rsid w:val="00287FD5"/>
    <w:rsid w:val="00291C92"/>
    <w:rsid w:val="00292F9B"/>
    <w:rsid w:val="002961FC"/>
    <w:rsid w:val="002A0A19"/>
    <w:rsid w:val="002A12C5"/>
    <w:rsid w:val="002A4EC3"/>
    <w:rsid w:val="002B4A63"/>
    <w:rsid w:val="002B5EF3"/>
    <w:rsid w:val="002B61AC"/>
    <w:rsid w:val="002C081F"/>
    <w:rsid w:val="002C0FA1"/>
    <w:rsid w:val="002C152B"/>
    <w:rsid w:val="002C1AEC"/>
    <w:rsid w:val="002C40C3"/>
    <w:rsid w:val="002C51E8"/>
    <w:rsid w:val="002C594E"/>
    <w:rsid w:val="002D3393"/>
    <w:rsid w:val="002D41BD"/>
    <w:rsid w:val="002D6FB6"/>
    <w:rsid w:val="002E1631"/>
    <w:rsid w:val="002E62E0"/>
    <w:rsid w:val="002E6447"/>
    <w:rsid w:val="002E7518"/>
    <w:rsid w:val="002E7C09"/>
    <w:rsid w:val="002F19CF"/>
    <w:rsid w:val="002F2377"/>
    <w:rsid w:val="00305506"/>
    <w:rsid w:val="00305D8F"/>
    <w:rsid w:val="0030608C"/>
    <w:rsid w:val="003066A3"/>
    <w:rsid w:val="003068E3"/>
    <w:rsid w:val="003074E4"/>
    <w:rsid w:val="0030756A"/>
    <w:rsid w:val="0030785B"/>
    <w:rsid w:val="0031174E"/>
    <w:rsid w:val="00311ACC"/>
    <w:rsid w:val="00312437"/>
    <w:rsid w:val="00312C12"/>
    <w:rsid w:val="00313342"/>
    <w:rsid w:val="00313ADB"/>
    <w:rsid w:val="00314FD6"/>
    <w:rsid w:val="0032087A"/>
    <w:rsid w:val="0032124B"/>
    <w:rsid w:val="003230C6"/>
    <w:rsid w:val="003237D3"/>
    <w:rsid w:val="00332C4E"/>
    <w:rsid w:val="00336F59"/>
    <w:rsid w:val="003375F5"/>
    <w:rsid w:val="0034124F"/>
    <w:rsid w:val="00346079"/>
    <w:rsid w:val="0035008C"/>
    <w:rsid w:val="00350AD2"/>
    <w:rsid w:val="003524FB"/>
    <w:rsid w:val="00353737"/>
    <w:rsid w:val="00360230"/>
    <w:rsid w:val="00360C50"/>
    <w:rsid w:val="00364D95"/>
    <w:rsid w:val="00365E79"/>
    <w:rsid w:val="00373459"/>
    <w:rsid w:val="003755A5"/>
    <w:rsid w:val="00376790"/>
    <w:rsid w:val="00376A58"/>
    <w:rsid w:val="00382944"/>
    <w:rsid w:val="00383165"/>
    <w:rsid w:val="003863F2"/>
    <w:rsid w:val="00390648"/>
    <w:rsid w:val="003909EA"/>
    <w:rsid w:val="003914B7"/>
    <w:rsid w:val="00391B20"/>
    <w:rsid w:val="003920A8"/>
    <w:rsid w:val="00393844"/>
    <w:rsid w:val="003947B5"/>
    <w:rsid w:val="00394AE8"/>
    <w:rsid w:val="00395841"/>
    <w:rsid w:val="00396878"/>
    <w:rsid w:val="003A0E33"/>
    <w:rsid w:val="003A3845"/>
    <w:rsid w:val="003B0490"/>
    <w:rsid w:val="003B21F9"/>
    <w:rsid w:val="003C317B"/>
    <w:rsid w:val="003C3597"/>
    <w:rsid w:val="003C4C09"/>
    <w:rsid w:val="003D192A"/>
    <w:rsid w:val="003D268C"/>
    <w:rsid w:val="003D6C04"/>
    <w:rsid w:val="003D6DA2"/>
    <w:rsid w:val="003E321A"/>
    <w:rsid w:val="003E3482"/>
    <w:rsid w:val="003E474B"/>
    <w:rsid w:val="003E58EF"/>
    <w:rsid w:val="003E5B52"/>
    <w:rsid w:val="003E5BE7"/>
    <w:rsid w:val="003F0AED"/>
    <w:rsid w:val="00400802"/>
    <w:rsid w:val="0040131C"/>
    <w:rsid w:val="0040165A"/>
    <w:rsid w:val="00413D5E"/>
    <w:rsid w:val="00415594"/>
    <w:rsid w:val="0042049D"/>
    <w:rsid w:val="00422387"/>
    <w:rsid w:val="00424833"/>
    <w:rsid w:val="004267F6"/>
    <w:rsid w:val="00430EA8"/>
    <w:rsid w:val="0043152C"/>
    <w:rsid w:val="004324BD"/>
    <w:rsid w:val="004349CF"/>
    <w:rsid w:val="00434F68"/>
    <w:rsid w:val="00435574"/>
    <w:rsid w:val="00436C72"/>
    <w:rsid w:val="0043736A"/>
    <w:rsid w:val="004373DF"/>
    <w:rsid w:val="00442470"/>
    <w:rsid w:val="00442A4C"/>
    <w:rsid w:val="00442A6B"/>
    <w:rsid w:val="004437B1"/>
    <w:rsid w:val="00444C85"/>
    <w:rsid w:val="00444EBD"/>
    <w:rsid w:val="00445FF8"/>
    <w:rsid w:val="004506E9"/>
    <w:rsid w:val="00454C5E"/>
    <w:rsid w:val="00454CD2"/>
    <w:rsid w:val="0045516A"/>
    <w:rsid w:val="00456E18"/>
    <w:rsid w:val="004608C4"/>
    <w:rsid w:val="00460C12"/>
    <w:rsid w:val="00461973"/>
    <w:rsid w:val="004629D8"/>
    <w:rsid w:val="00463130"/>
    <w:rsid w:val="004655E3"/>
    <w:rsid w:val="004664BA"/>
    <w:rsid w:val="004664DC"/>
    <w:rsid w:val="00472856"/>
    <w:rsid w:val="004733FE"/>
    <w:rsid w:val="004753D0"/>
    <w:rsid w:val="00475F6C"/>
    <w:rsid w:val="004806D5"/>
    <w:rsid w:val="00483B46"/>
    <w:rsid w:val="00485415"/>
    <w:rsid w:val="004903A5"/>
    <w:rsid w:val="0049214E"/>
    <w:rsid w:val="00492E95"/>
    <w:rsid w:val="00493F41"/>
    <w:rsid w:val="00494ADA"/>
    <w:rsid w:val="00496878"/>
    <w:rsid w:val="004A0B1C"/>
    <w:rsid w:val="004A43DD"/>
    <w:rsid w:val="004A52E8"/>
    <w:rsid w:val="004A6FE1"/>
    <w:rsid w:val="004B0C20"/>
    <w:rsid w:val="004B4F1F"/>
    <w:rsid w:val="004B517E"/>
    <w:rsid w:val="004B53E4"/>
    <w:rsid w:val="004B7A53"/>
    <w:rsid w:val="004C0A2D"/>
    <w:rsid w:val="004C1AF3"/>
    <w:rsid w:val="004C21DD"/>
    <w:rsid w:val="004C29AC"/>
    <w:rsid w:val="004C4CFF"/>
    <w:rsid w:val="004C4E4F"/>
    <w:rsid w:val="004C73EE"/>
    <w:rsid w:val="004D216A"/>
    <w:rsid w:val="004D2C5F"/>
    <w:rsid w:val="004D5B8C"/>
    <w:rsid w:val="004D5BE7"/>
    <w:rsid w:val="004D7F69"/>
    <w:rsid w:val="004E2054"/>
    <w:rsid w:val="004E414B"/>
    <w:rsid w:val="004E5711"/>
    <w:rsid w:val="004F27BC"/>
    <w:rsid w:val="004F6014"/>
    <w:rsid w:val="004F7120"/>
    <w:rsid w:val="00500AA2"/>
    <w:rsid w:val="00500B7B"/>
    <w:rsid w:val="00500E7F"/>
    <w:rsid w:val="00501CC4"/>
    <w:rsid w:val="00502251"/>
    <w:rsid w:val="005122C2"/>
    <w:rsid w:val="005124A7"/>
    <w:rsid w:val="00512814"/>
    <w:rsid w:val="00513554"/>
    <w:rsid w:val="00513F45"/>
    <w:rsid w:val="00514723"/>
    <w:rsid w:val="0051682F"/>
    <w:rsid w:val="00517AEB"/>
    <w:rsid w:val="00520B54"/>
    <w:rsid w:val="00521A0E"/>
    <w:rsid w:val="00521E63"/>
    <w:rsid w:val="005223FA"/>
    <w:rsid w:val="00522771"/>
    <w:rsid w:val="005271E5"/>
    <w:rsid w:val="005313E0"/>
    <w:rsid w:val="00531682"/>
    <w:rsid w:val="005326BC"/>
    <w:rsid w:val="005337E8"/>
    <w:rsid w:val="0053391B"/>
    <w:rsid w:val="00536D6E"/>
    <w:rsid w:val="00536D72"/>
    <w:rsid w:val="00537072"/>
    <w:rsid w:val="00537706"/>
    <w:rsid w:val="00537D64"/>
    <w:rsid w:val="00541D7B"/>
    <w:rsid w:val="005450A3"/>
    <w:rsid w:val="00546F85"/>
    <w:rsid w:val="0055323B"/>
    <w:rsid w:val="005549A5"/>
    <w:rsid w:val="00555AE2"/>
    <w:rsid w:val="0056097B"/>
    <w:rsid w:val="00564917"/>
    <w:rsid w:val="005660EA"/>
    <w:rsid w:val="0056668C"/>
    <w:rsid w:val="00567B5C"/>
    <w:rsid w:val="0057150B"/>
    <w:rsid w:val="00574B10"/>
    <w:rsid w:val="0057640A"/>
    <w:rsid w:val="005801F7"/>
    <w:rsid w:val="0058269D"/>
    <w:rsid w:val="00584D12"/>
    <w:rsid w:val="0059004E"/>
    <w:rsid w:val="00590640"/>
    <w:rsid w:val="005937EC"/>
    <w:rsid w:val="0059382C"/>
    <w:rsid w:val="005950A5"/>
    <w:rsid w:val="00597097"/>
    <w:rsid w:val="00597302"/>
    <w:rsid w:val="005A05E0"/>
    <w:rsid w:val="005A51AF"/>
    <w:rsid w:val="005A58A5"/>
    <w:rsid w:val="005B0858"/>
    <w:rsid w:val="005B091C"/>
    <w:rsid w:val="005B2BC5"/>
    <w:rsid w:val="005B3538"/>
    <w:rsid w:val="005B4F8F"/>
    <w:rsid w:val="005B50A8"/>
    <w:rsid w:val="005B654A"/>
    <w:rsid w:val="005C143E"/>
    <w:rsid w:val="005C55D6"/>
    <w:rsid w:val="005C65A8"/>
    <w:rsid w:val="005C7E1C"/>
    <w:rsid w:val="005D2CAB"/>
    <w:rsid w:val="005D45FF"/>
    <w:rsid w:val="005D4C0D"/>
    <w:rsid w:val="005D7307"/>
    <w:rsid w:val="005E0259"/>
    <w:rsid w:val="005E1764"/>
    <w:rsid w:val="005E25FE"/>
    <w:rsid w:val="005E4B35"/>
    <w:rsid w:val="005E7C48"/>
    <w:rsid w:val="005F45FD"/>
    <w:rsid w:val="005F4D7F"/>
    <w:rsid w:val="005F5141"/>
    <w:rsid w:val="005F5273"/>
    <w:rsid w:val="0060335E"/>
    <w:rsid w:val="00605D95"/>
    <w:rsid w:val="00605E91"/>
    <w:rsid w:val="00606681"/>
    <w:rsid w:val="00606828"/>
    <w:rsid w:val="00613353"/>
    <w:rsid w:val="0061398A"/>
    <w:rsid w:val="00613BCE"/>
    <w:rsid w:val="00620251"/>
    <w:rsid w:val="006207E9"/>
    <w:rsid w:val="00621B2B"/>
    <w:rsid w:val="006232AA"/>
    <w:rsid w:val="00626649"/>
    <w:rsid w:val="00631B02"/>
    <w:rsid w:val="00631E2D"/>
    <w:rsid w:val="00635290"/>
    <w:rsid w:val="006357EF"/>
    <w:rsid w:val="00635E86"/>
    <w:rsid w:val="00637EC5"/>
    <w:rsid w:val="0064196F"/>
    <w:rsid w:val="00644281"/>
    <w:rsid w:val="00646AF9"/>
    <w:rsid w:val="00654575"/>
    <w:rsid w:val="00654608"/>
    <w:rsid w:val="00654F65"/>
    <w:rsid w:val="00670E36"/>
    <w:rsid w:val="00671CDB"/>
    <w:rsid w:val="00674E08"/>
    <w:rsid w:val="00675DC4"/>
    <w:rsid w:val="006771A8"/>
    <w:rsid w:val="00684D9E"/>
    <w:rsid w:val="00687A0B"/>
    <w:rsid w:val="00687E4F"/>
    <w:rsid w:val="00693514"/>
    <w:rsid w:val="00693B7A"/>
    <w:rsid w:val="006962ED"/>
    <w:rsid w:val="006968B9"/>
    <w:rsid w:val="006A1964"/>
    <w:rsid w:val="006A1D42"/>
    <w:rsid w:val="006A1FAD"/>
    <w:rsid w:val="006A440E"/>
    <w:rsid w:val="006A5503"/>
    <w:rsid w:val="006B0944"/>
    <w:rsid w:val="006B0B49"/>
    <w:rsid w:val="006B16D0"/>
    <w:rsid w:val="006B475C"/>
    <w:rsid w:val="006B4EC9"/>
    <w:rsid w:val="006B670C"/>
    <w:rsid w:val="006C01E9"/>
    <w:rsid w:val="006C068A"/>
    <w:rsid w:val="006C3FA7"/>
    <w:rsid w:val="006C6E5C"/>
    <w:rsid w:val="006C79BD"/>
    <w:rsid w:val="006D0268"/>
    <w:rsid w:val="006D0963"/>
    <w:rsid w:val="006D0CCC"/>
    <w:rsid w:val="006D2664"/>
    <w:rsid w:val="006D3188"/>
    <w:rsid w:val="006D47A1"/>
    <w:rsid w:val="006D490E"/>
    <w:rsid w:val="006D7376"/>
    <w:rsid w:val="006E3C26"/>
    <w:rsid w:val="006E61A1"/>
    <w:rsid w:val="006E64DB"/>
    <w:rsid w:val="006E69F1"/>
    <w:rsid w:val="006F1C48"/>
    <w:rsid w:val="006F2B00"/>
    <w:rsid w:val="006F372D"/>
    <w:rsid w:val="006F40D6"/>
    <w:rsid w:val="006F5783"/>
    <w:rsid w:val="006F63A4"/>
    <w:rsid w:val="00700804"/>
    <w:rsid w:val="0070319C"/>
    <w:rsid w:val="00704458"/>
    <w:rsid w:val="0070542E"/>
    <w:rsid w:val="0070788F"/>
    <w:rsid w:val="00710D3F"/>
    <w:rsid w:val="0071128C"/>
    <w:rsid w:val="007124AB"/>
    <w:rsid w:val="00712AE2"/>
    <w:rsid w:val="007148AB"/>
    <w:rsid w:val="00715DEE"/>
    <w:rsid w:val="007163BD"/>
    <w:rsid w:val="00721954"/>
    <w:rsid w:val="00730300"/>
    <w:rsid w:val="00731628"/>
    <w:rsid w:val="00736435"/>
    <w:rsid w:val="00737921"/>
    <w:rsid w:val="00740AB3"/>
    <w:rsid w:val="00742192"/>
    <w:rsid w:val="00752861"/>
    <w:rsid w:val="00752957"/>
    <w:rsid w:val="007535DE"/>
    <w:rsid w:val="00753F7D"/>
    <w:rsid w:val="00757375"/>
    <w:rsid w:val="0076017F"/>
    <w:rsid w:val="00767401"/>
    <w:rsid w:val="007836F5"/>
    <w:rsid w:val="00783D85"/>
    <w:rsid w:val="00785CE7"/>
    <w:rsid w:val="0079104B"/>
    <w:rsid w:val="00793534"/>
    <w:rsid w:val="0079418B"/>
    <w:rsid w:val="00795B1A"/>
    <w:rsid w:val="007A1775"/>
    <w:rsid w:val="007A215C"/>
    <w:rsid w:val="007A312D"/>
    <w:rsid w:val="007A4ED1"/>
    <w:rsid w:val="007A52D2"/>
    <w:rsid w:val="007A6549"/>
    <w:rsid w:val="007A74F0"/>
    <w:rsid w:val="007A76C6"/>
    <w:rsid w:val="007B1331"/>
    <w:rsid w:val="007B46EA"/>
    <w:rsid w:val="007B4B59"/>
    <w:rsid w:val="007C3BFC"/>
    <w:rsid w:val="007C5B2D"/>
    <w:rsid w:val="007D1DB4"/>
    <w:rsid w:val="007D503A"/>
    <w:rsid w:val="007D64A4"/>
    <w:rsid w:val="007D6FA6"/>
    <w:rsid w:val="007E04E6"/>
    <w:rsid w:val="007E3F57"/>
    <w:rsid w:val="007E5C13"/>
    <w:rsid w:val="007F0ABF"/>
    <w:rsid w:val="007F25F4"/>
    <w:rsid w:val="007F2750"/>
    <w:rsid w:val="007F2786"/>
    <w:rsid w:val="007F50CF"/>
    <w:rsid w:val="007F59C9"/>
    <w:rsid w:val="007F6782"/>
    <w:rsid w:val="00803084"/>
    <w:rsid w:val="00803255"/>
    <w:rsid w:val="008067F6"/>
    <w:rsid w:val="008070F3"/>
    <w:rsid w:val="00807D34"/>
    <w:rsid w:val="00816076"/>
    <w:rsid w:val="00817A4A"/>
    <w:rsid w:val="00822089"/>
    <w:rsid w:val="00822C3A"/>
    <w:rsid w:val="00823EC3"/>
    <w:rsid w:val="00826FF3"/>
    <w:rsid w:val="0083154B"/>
    <w:rsid w:val="00831F65"/>
    <w:rsid w:val="00832AF9"/>
    <w:rsid w:val="00834CE7"/>
    <w:rsid w:val="00835EC4"/>
    <w:rsid w:val="0083728E"/>
    <w:rsid w:val="00841874"/>
    <w:rsid w:val="008425F8"/>
    <w:rsid w:val="008427AF"/>
    <w:rsid w:val="008452F7"/>
    <w:rsid w:val="008461FA"/>
    <w:rsid w:val="008462B6"/>
    <w:rsid w:val="00846D76"/>
    <w:rsid w:val="008510CD"/>
    <w:rsid w:val="00855676"/>
    <w:rsid w:val="008620FC"/>
    <w:rsid w:val="00865EA7"/>
    <w:rsid w:val="008662D6"/>
    <w:rsid w:val="00866E79"/>
    <w:rsid w:val="008675D2"/>
    <w:rsid w:val="00867969"/>
    <w:rsid w:val="008713A2"/>
    <w:rsid w:val="008723A2"/>
    <w:rsid w:val="008735B5"/>
    <w:rsid w:val="00873D24"/>
    <w:rsid w:val="00874601"/>
    <w:rsid w:val="00875BB0"/>
    <w:rsid w:val="0087671C"/>
    <w:rsid w:val="00881D99"/>
    <w:rsid w:val="00882A89"/>
    <w:rsid w:val="008835B7"/>
    <w:rsid w:val="008846C7"/>
    <w:rsid w:val="008851C0"/>
    <w:rsid w:val="00887237"/>
    <w:rsid w:val="00887EE5"/>
    <w:rsid w:val="00891E15"/>
    <w:rsid w:val="00892166"/>
    <w:rsid w:val="00893E7C"/>
    <w:rsid w:val="0089611B"/>
    <w:rsid w:val="008A1261"/>
    <w:rsid w:val="008A1A04"/>
    <w:rsid w:val="008A1ABF"/>
    <w:rsid w:val="008A2142"/>
    <w:rsid w:val="008A2FDC"/>
    <w:rsid w:val="008A669B"/>
    <w:rsid w:val="008A75DD"/>
    <w:rsid w:val="008A7706"/>
    <w:rsid w:val="008B06D9"/>
    <w:rsid w:val="008B294E"/>
    <w:rsid w:val="008B6B2D"/>
    <w:rsid w:val="008B707A"/>
    <w:rsid w:val="008B7253"/>
    <w:rsid w:val="008B7384"/>
    <w:rsid w:val="008C0B5C"/>
    <w:rsid w:val="008C2A77"/>
    <w:rsid w:val="008C2DBE"/>
    <w:rsid w:val="008C32EF"/>
    <w:rsid w:val="008D0DD4"/>
    <w:rsid w:val="008D5D52"/>
    <w:rsid w:val="008E0971"/>
    <w:rsid w:val="008E628A"/>
    <w:rsid w:val="008E71CF"/>
    <w:rsid w:val="008E7616"/>
    <w:rsid w:val="008E7D55"/>
    <w:rsid w:val="008F171E"/>
    <w:rsid w:val="00900567"/>
    <w:rsid w:val="00906411"/>
    <w:rsid w:val="009066AF"/>
    <w:rsid w:val="00906789"/>
    <w:rsid w:val="0091155D"/>
    <w:rsid w:val="00915B04"/>
    <w:rsid w:val="0091675F"/>
    <w:rsid w:val="00920771"/>
    <w:rsid w:val="00923632"/>
    <w:rsid w:val="00923A11"/>
    <w:rsid w:val="00923FEF"/>
    <w:rsid w:val="009242A7"/>
    <w:rsid w:val="0093241F"/>
    <w:rsid w:val="00942ECB"/>
    <w:rsid w:val="00944170"/>
    <w:rsid w:val="009441A9"/>
    <w:rsid w:val="009457E2"/>
    <w:rsid w:val="00950EDD"/>
    <w:rsid w:val="0095188B"/>
    <w:rsid w:val="00952611"/>
    <w:rsid w:val="00954419"/>
    <w:rsid w:val="00957DA3"/>
    <w:rsid w:val="009610E5"/>
    <w:rsid w:val="00961DFA"/>
    <w:rsid w:val="0096438A"/>
    <w:rsid w:val="0096509D"/>
    <w:rsid w:val="0096617D"/>
    <w:rsid w:val="00966EA5"/>
    <w:rsid w:val="00967D89"/>
    <w:rsid w:val="009716FA"/>
    <w:rsid w:val="009743DE"/>
    <w:rsid w:val="00976D3E"/>
    <w:rsid w:val="00980229"/>
    <w:rsid w:val="00980591"/>
    <w:rsid w:val="00980B7E"/>
    <w:rsid w:val="00980CA9"/>
    <w:rsid w:val="00982CB2"/>
    <w:rsid w:val="00983FE4"/>
    <w:rsid w:val="00984D31"/>
    <w:rsid w:val="00986B31"/>
    <w:rsid w:val="00987E91"/>
    <w:rsid w:val="0099107E"/>
    <w:rsid w:val="009912B1"/>
    <w:rsid w:val="00991C61"/>
    <w:rsid w:val="00993188"/>
    <w:rsid w:val="0099325C"/>
    <w:rsid w:val="0099672C"/>
    <w:rsid w:val="009A0B68"/>
    <w:rsid w:val="009A1A07"/>
    <w:rsid w:val="009A1AD7"/>
    <w:rsid w:val="009A22CB"/>
    <w:rsid w:val="009A2AAB"/>
    <w:rsid w:val="009A325A"/>
    <w:rsid w:val="009A6E6E"/>
    <w:rsid w:val="009B02E2"/>
    <w:rsid w:val="009B07A7"/>
    <w:rsid w:val="009B773B"/>
    <w:rsid w:val="009B7CE0"/>
    <w:rsid w:val="009C0E40"/>
    <w:rsid w:val="009C1488"/>
    <w:rsid w:val="009C3695"/>
    <w:rsid w:val="009D1483"/>
    <w:rsid w:val="009E0C2B"/>
    <w:rsid w:val="009E20D2"/>
    <w:rsid w:val="009E25CA"/>
    <w:rsid w:val="009E4296"/>
    <w:rsid w:val="009E49CF"/>
    <w:rsid w:val="009E7721"/>
    <w:rsid w:val="009F2CB4"/>
    <w:rsid w:val="009F5936"/>
    <w:rsid w:val="00A002D7"/>
    <w:rsid w:val="00A04CEF"/>
    <w:rsid w:val="00A05199"/>
    <w:rsid w:val="00A14D06"/>
    <w:rsid w:val="00A14D94"/>
    <w:rsid w:val="00A16059"/>
    <w:rsid w:val="00A21915"/>
    <w:rsid w:val="00A22978"/>
    <w:rsid w:val="00A2318A"/>
    <w:rsid w:val="00A237BF"/>
    <w:rsid w:val="00A23A50"/>
    <w:rsid w:val="00A30602"/>
    <w:rsid w:val="00A30E15"/>
    <w:rsid w:val="00A347A3"/>
    <w:rsid w:val="00A35EBF"/>
    <w:rsid w:val="00A36512"/>
    <w:rsid w:val="00A36905"/>
    <w:rsid w:val="00A36B95"/>
    <w:rsid w:val="00A36C94"/>
    <w:rsid w:val="00A4065F"/>
    <w:rsid w:val="00A40978"/>
    <w:rsid w:val="00A4157A"/>
    <w:rsid w:val="00A4337A"/>
    <w:rsid w:val="00A44F5F"/>
    <w:rsid w:val="00A45D6C"/>
    <w:rsid w:val="00A505A3"/>
    <w:rsid w:val="00A53E8F"/>
    <w:rsid w:val="00A54BF9"/>
    <w:rsid w:val="00A56150"/>
    <w:rsid w:val="00A569DD"/>
    <w:rsid w:val="00A606D8"/>
    <w:rsid w:val="00A63856"/>
    <w:rsid w:val="00A64327"/>
    <w:rsid w:val="00A6559B"/>
    <w:rsid w:val="00A66A1A"/>
    <w:rsid w:val="00A72068"/>
    <w:rsid w:val="00A72279"/>
    <w:rsid w:val="00A735DF"/>
    <w:rsid w:val="00A736BA"/>
    <w:rsid w:val="00A7379C"/>
    <w:rsid w:val="00A73CEA"/>
    <w:rsid w:val="00A74D88"/>
    <w:rsid w:val="00A769BD"/>
    <w:rsid w:val="00A76E35"/>
    <w:rsid w:val="00A80984"/>
    <w:rsid w:val="00A8421C"/>
    <w:rsid w:val="00A844EF"/>
    <w:rsid w:val="00A9009C"/>
    <w:rsid w:val="00A9301A"/>
    <w:rsid w:val="00A94B4C"/>
    <w:rsid w:val="00A94DAA"/>
    <w:rsid w:val="00A9561B"/>
    <w:rsid w:val="00A95C36"/>
    <w:rsid w:val="00A95D84"/>
    <w:rsid w:val="00A964FB"/>
    <w:rsid w:val="00AA003B"/>
    <w:rsid w:val="00AA3727"/>
    <w:rsid w:val="00AA51A3"/>
    <w:rsid w:val="00AA53B6"/>
    <w:rsid w:val="00AB0269"/>
    <w:rsid w:val="00AB2FD9"/>
    <w:rsid w:val="00AB4E15"/>
    <w:rsid w:val="00AB6D5A"/>
    <w:rsid w:val="00AC2B9C"/>
    <w:rsid w:val="00AD0C87"/>
    <w:rsid w:val="00AD40E5"/>
    <w:rsid w:val="00AD58EF"/>
    <w:rsid w:val="00AE1D6B"/>
    <w:rsid w:val="00AE61A6"/>
    <w:rsid w:val="00AF3106"/>
    <w:rsid w:val="00AF497D"/>
    <w:rsid w:val="00AF77BB"/>
    <w:rsid w:val="00AF78EE"/>
    <w:rsid w:val="00B03396"/>
    <w:rsid w:val="00B0345D"/>
    <w:rsid w:val="00B047D9"/>
    <w:rsid w:val="00B07344"/>
    <w:rsid w:val="00B1103A"/>
    <w:rsid w:val="00B143A7"/>
    <w:rsid w:val="00B17229"/>
    <w:rsid w:val="00B22181"/>
    <w:rsid w:val="00B22B72"/>
    <w:rsid w:val="00B22D2E"/>
    <w:rsid w:val="00B31F4E"/>
    <w:rsid w:val="00B32634"/>
    <w:rsid w:val="00B336CF"/>
    <w:rsid w:val="00B337A0"/>
    <w:rsid w:val="00B33AB2"/>
    <w:rsid w:val="00B35C59"/>
    <w:rsid w:val="00B36A75"/>
    <w:rsid w:val="00B4019F"/>
    <w:rsid w:val="00B4610A"/>
    <w:rsid w:val="00B46158"/>
    <w:rsid w:val="00B505EB"/>
    <w:rsid w:val="00B512E9"/>
    <w:rsid w:val="00B5205F"/>
    <w:rsid w:val="00B52B33"/>
    <w:rsid w:val="00B5564A"/>
    <w:rsid w:val="00B5601A"/>
    <w:rsid w:val="00B6108C"/>
    <w:rsid w:val="00B6167F"/>
    <w:rsid w:val="00B61939"/>
    <w:rsid w:val="00B636A1"/>
    <w:rsid w:val="00B63C9A"/>
    <w:rsid w:val="00B658A1"/>
    <w:rsid w:val="00B70BCC"/>
    <w:rsid w:val="00B7149A"/>
    <w:rsid w:val="00B7177F"/>
    <w:rsid w:val="00B71BF8"/>
    <w:rsid w:val="00B7220C"/>
    <w:rsid w:val="00B72535"/>
    <w:rsid w:val="00B72B0F"/>
    <w:rsid w:val="00B7472B"/>
    <w:rsid w:val="00B75816"/>
    <w:rsid w:val="00B81313"/>
    <w:rsid w:val="00B81D42"/>
    <w:rsid w:val="00B83A1F"/>
    <w:rsid w:val="00B85714"/>
    <w:rsid w:val="00B86E70"/>
    <w:rsid w:val="00B90649"/>
    <w:rsid w:val="00B91309"/>
    <w:rsid w:val="00B91898"/>
    <w:rsid w:val="00B92F75"/>
    <w:rsid w:val="00B9304F"/>
    <w:rsid w:val="00B93D8E"/>
    <w:rsid w:val="00B95300"/>
    <w:rsid w:val="00B95A04"/>
    <w:rsid w:val="00B96AE4"/>
    <w:rsid w:val="00BA6687"/>
    <w:rsid w:val="00BB12D8"/>
    <w:rsid w:val="00BB149C"/>
    <w:rsid w:val="00BB2B02"/>
    <w:rsid w:val="00BB37CA"/>
    <w:rsid w:val="00BB3CE2"/>
    <w:rsid w:val="00BB44F3"/>
    <w:rsid w:val="00BB466C"/>
    <w:rsid w:val="00BB5E85"/>
    <w:rsid w:val="00BB78AB"/>
    <w:rsid w:val="00BC046C"/>
    <w:rsid w:val="00BC216A"/>
    <w:rsid w:val="00BC4616"/>
    <w:rsid w:val="00BC4CDC"/>
    <w:rsid w:val="00BD06F8"/>
    <w:rsid w:val="00BD0DFD"/>
    <w:rsid w:val="00BD5088"/>
    <w:rsid w:val="00BD6F89"/>
    <w:rsid w:val="00BD7282"/>
    <w:rsid w:val="00BE4A5A"/>
    <w:rsid w:val="00BE4F82"/>
    <w:rsid w:val="00BE5420"/>
    <w:rsid w:val="00BE6D76"/>
    <w:rsid w:val="00BF0229"/>
    <w:rsid w:val="00BF1A5E"/>
    <w:rsid w:val="00BF1CF5"/>
    <w:rsid w:val="00BF3C92"/>
    <w:rsid w:val="00BF3D59"/>
    <w:rsid w:val="00BF3E09"/>
    <w:rsid w:val="00BF68DE"/>
    <w:rsid w:val="00C00969"/>
    <w:rsid w:val="00C02C2A"/>
    <w:rsid w:val="00C04655"/>
    <w:rsid w:val="00C050AC"/>
    <w:rsid w:val="00C069B8"/>
    <w:rsid w:val="00C070A2"/>
    <w:rsid w:val="00C07131"/>
    <w:rsid w:val="00C11FC8"/>
    <w:rsid w:val="00C12CDD"/>
    <w:rsid w:val="00C15903"/>
    <w:rsid w:val="00C21B57"/>
    <w:rsid w:val="00C2278E"/>
    <w:rsid w:val="00C230DB"/>
    <w:rsid w:val="00C240C0"/>
    <w:rsid w:val="00C24C0B"/>
    <w:rsid w:val="00C25019"/>
    <w:rsid w:val="00C25168"/>
    <w:rsid w:val="00C262DA"/>
    <w:rsid w:val="00C26E4E"/>
    <w:rsid w:val="00C26F9B"/>
    <w:rsid w:val="00C27375"/>
    <w:rsid w:val="00C275C0"/>
    <w:rsid w:val="00C32318"/>
    <w:rsid w:val="00C33048"/>
    <w:rsid w:val="00C33404"/>
    <w:rsid w:val="00C34923"/>
    <w:rsid w:val="00C41E29"/>
    <w:rsid w:val="00C427EF"/>
    <w:rsid w:val="00C431E9"/>
    <w:rsid w:val="00C43282"/>
    <w:rsid w:val="00C43776"/>
    <w:rsid w:val="00C44127"/>
    <w:rsid w:val="00C4750A"/>
    <w:rsid w:val="00C5293F"/>
    <w:rsid w:val="00C5448D"/>
    <w:rsid w:val="00C5448F"/>
    <w:rsid w:val="00C55DDC"/>
    <w:rsid w:val="00C56090"/>
    <w:rsid w:val="00C56B6B"/>
    <w:rsid w:val="00C62B70"/>
    <w:rsid w:val="00C65DBF"/>
    <w:rsid w:val="00C66892"/>
    <w:rsid w:val="00C678F5"/>
    <w:rsid w:val="00C70B3F"/>
    <w:rsid w:val="00C70EB0"/>
    <w:rsid w:val="00C72EDA"/>
    <w:rsid w:val="00C75AD3"/>
    <w:rsid w:val="00C76F9E"/>
    <w:rsid w:val="00C81717"/>
    <w:rsid w:val="00C8446F"/>
    <w:rsid w:val="00C85C4F"/>
    <w:rsid w:val="00C90176"/>
    <w:rsid w:val="00C929C9"/>
    <w:rsid w:val="00C97427"/>
    <w:rsid w:val="00CA0A2D"/>
    <w:rsid w:val="00CA2BD0"/>
    <w:rsid w:val="00CA3C31"/>
    <w:rsid w:val="00CA4A9C"/>
    <w:rsid w:val="00CA78F6"/>
    <w:rsid w:val="00CA7B98"/>
    <w:rsid w:val="00CA7C1A"/>
    <w:rsid w:val="00CB0C13"/>
    <w:rsid w:val="00CB0F58"/>
    <w:rsid w:val="00CB3244"/>
    <w:rsid w:val="00CB3466"/>
    <w:rsid w:val="00CB6FAF"/>
    <w:rsid w:val="00CC0855"/>
    <w:rsid w:val="00CC30DB"/>
    <w:rsid w:val="00CD1463"/>
    <w:rsid w:val="00CD1883"/>
    <w:rsid w:val="00CD4F36"/>
    <w:rsid w:val="00CD6B97"/>
    <w:rsid w:val="00CE1CAA"/>
    <w:rsid w:val="00CE1E63"/>
    <w:rsid w:val="00CE3089"/>
    <w:rsid w:val="00CE36A9"/>
    <w:rsid w:val="00CE4FA0"/>
    <w:rsid w:val="00CE5578"/>
    <w:rsid w:val="00CE58F1"/>
    <w:rsid w:val="00CE6395"/>
    <w:rsid w:val="00CE68F4"/>
    <w:rsid w:val="00CF0DC5"/>
    <w:rsid w:val="00CF160F"/>
    <w:rsid w:val="00CF43F6"/>
    <w:rsid w:val="00CF506B"/>
    <w:rsid w:val="00CF6FAB"/>
    <w:rsid w:val="00CF7F3A"/>
    <w:rsid w:val="00D03648"/>
    <w:rsid w:val="00D06589"/>
    <w:rsid w:val="00D07D5B"/>
    <w:rsid w:val="00D10C1B"/>
    <w:rsid w:val="00D118EB"/>
    <w:rsid w:val="00D13585"/>
    <w:rsid w:val="00D142BA"/>
    <w:rsid w:val="00D16876"/>
    <w:rsid w:val="00D17115"/>
    <w:rsid w:val="00D21B7B"/>
    <w:rsid w:val="00D221F4"/>
    <w:rsid w:val="00D2400D"/>
    <w:rsid w:val="00D26053"/>
    <w:rsid w:val="00D3017C"/>
    <w:rsid w:val="00D32241"/>
    <w:rsid w:val="00D34AF0"/>
    <w:rsid w:val="00D427F6"/>
    <w:rsid w:val="00D4326A"/>
    <w:rsid w:val="00D44BE0"/>
    <w:rsid w:val="00D44FB6"/>
    <w:rsid w:val="00D457D8"/>
    <w:rsid w:val="00D47ED4"/>
    <w:rsid w:val="00D5285A"/>
    <w:rsid w:val="00D5438B"/>
    <w:rsid w:val="00D60597"/>
    <w:rsid w:val="00D62EF1"/>
    <w:rsid w:val="00D63AD2"/>
    <w:rsid w:val="00D64762"/>
    <w:rsid w:val="00D65B1D"/>
    <w:rsid w:val="00D66C3B"/>
    <w:rsid w:val="00D71CFF"/>
    <w:rsid w:val="00D745AE"/>
    <w:rsid w:val="00D750A3"/>
    <w:rsid w:val="00D75E80"/>
    <w:rsid w:val="00D80FB0"/>
    <w:rsid w:val="00D81535"/>
    <w:rsid w:val="00D84F8E"/>
    <w:rsid w:val="00D850DE"/>
    <w:rsid w:val="00D856FF"/>
    <w:rsid w:val="00D863D2"/>
    <w:rsid w:val="00D86541"/>
    <w:rsid w:val="00D905C8"/>
    <w:rsid w:val="00D961E4"/>
    <w:rsid w:val="00D97446"/>
    <w:rsid w:val="00DA749B"/>
    <w:rsid w:val="00DB21B5"/>
    <w:rsid w:val="00DB30C1"/>
    <w:rsid w:val="00DB3D4B"/>
    <w:rsid w:val="00DB53D7"/>
    <w:rsid w:val="00DB580E"/>
    <w:rsid w:val="00DB7229"/>
    <w:rsid w:val="00DC0791"/>
    <w:rsid w:val="00DC254F"/>
    <w:rsid w:val="00DC337C"/>
    <w:rsid w:val="00DC3482"/>
    <w:rsid w:val="00DC35AF"/>
    <w:rsid w:val="00DC6517"/>
    <w:rsid w:val="00DC6760"/>
    <w:rsid w:val="00DD65F4"/>
    <w:rsid w:val="00DD6730"/>
    <w:rsid w:val="00DD744D"/>
    <w:rsid w:val="00DE217B"/>
    <w:rsid w:val="00DE36B7"/>
    <w:rsid w:val="00DE3720"/>
    <w:rsid w:val="00DE58E4"/>
    <w:rsid w:val="00DE5926"/>
    <w:rsid w:val="00DE7619"/>
    <w:rsid w:val="00DF5713"/>
    <w:rsid w:val="00DF608D"/>
    <w:rsid w:val="00E019EC"/>
    <w:rsid w:val="00E0438C"/>
    <w:rsid w:val="00E0472E"/>
    <w:rsid w:val="00E07620"/>
    <w:rsid w:val="00E10277"/>
    <w:rsid w:val="00E103EF"/>
    <w:rsid w:val="00E13B96"/>
    <w:rsid w:val="00E1773C"/>
    <w:rsid w:val="00E2241D"/>
    <w:rsid w:val="00E2399B"/>
    <w:rsid w:val="00E271BA"/>
    <w:rsid w:val="00E32B06"/>
    <w:rsid w:val="00E4296D"/>
    <w:rsid w:val="00E44DCC"/>
    <w:rsid w:val="00E45431"/>
    <w:rsid w:val="00E4592B"/>
    <w:rsid w:val="00E5157F"/>
    <w:rsid w:val="00E52371"/>
    <w:rsid w:val="00E52B8F"/>
    <w:rsid w:val="00E5386C"/>
    <w:rsid w:val="00E54120"/>
    <w:rsid w:val="00E553A5"/>
    <w:rsid w:val="00E55F74"/>
    <w:rsid w:val="00E61A3B"/>
    <w:rsid w:val="00E61D80"/>
    <w:rsid w:val="00E62E85"/>
    <w:rsid w:val="00E64FBF"/>
    <w:rsid w:val="00E6524A"/>
    <w:rsid w:val="00E70AC0"/>
    <w:rsid w:val="00E7346F"/>
    <w:rsid w:val="00E73A28"/>
    <w:rsid w:val="00E73A40"/>
    <w:rsid w:val="00E74722"/>
    <w:rsid w:val="00E753AF"/>
    <w:rsid w:val="00E757E6"/>
    <w:rsid w:val="00E767D6"/>
    <w:rsid w:val="00E80246"/>
    <w:rsid w:val="00E80FA1"/>
    <w:rsid w:val="00E81F68"/>
    <w:rsid w:val="00E836D3"/>
    <w:rsid w:val="00E838D8"/>
    <w:rsid w:val="00E84DB1"/>
    <w:rsid w:val="00E87796"/>
    <w:rsid w:val="00E956A7"/>
    <w:rsid w:val="00E9669D"/>
    <w:rsid w:val="00EA0481"/>
    <w:rsid w:val="00EA3853"/>
    <w:rsid w:val="00EA4646"/>
    <w:rsid w:val="00EA6993"/>
    <w:rsid w:val="00EB74BB"/>
    <w:rsid w:val="00EB76EA"/>
    <w:rsid w:val="00EC22BD"/>
    <w:rsid w:val="00EC5530"/>
    <w:rsid w:val="00ED03BB"/>
    <w:rsid w:val="00ED1386"/>
    <w:rsid w:val="00ED5427"/>
    <w:rsid w:val="00ED6C11"/>
    <w:rsid w:val="00EE0948"/>
    <w:rsid w:val="00EE1B64"/>
    <w:rsid w:val="00EE1D3F"/>
    <w:rsid w:val="00EE1E34"/>
    <w:rsid w:val="00EE4D6C"/>
    <w:rsid w:val="00EE7B2D"/>
    <w:rsid w:val="00EF321D"/>
    <w:rsid w:val="00EF4587"/>
    <w:rsid w:val="00EF778E"/>
    <w:rsid w:val="00F01449"/>
    <w:rsid w:val="00F02FC3"/>
    <w:rsid w:val="00F03DAB"/>
    <w:rsid w:val="00F04BD1"/>
    <w:rsid w:val="00F163EC"/>
    <w:rsid w:val="00F16625"/>
    <w:rsid w:val="00F20504"/>
    <w:rsid w:val="00F21E60"/>
    <w:rsid w:val="00F2457B"/>
    <w:rsid w:val="00F366C2"/>
    <w:rsid w:val="00F409D9"/>
    <w:rsid w:val="00F423FC"/>
    <w:rsid w:val="00F44F66"/>
    <w:rsid w:val="00F450C3"/>
    <w:rsid w:val="00F45427"/>
    <w:rsid w:val="00F45F65"/>
    <w:rsid w:val="00F46420"/>
    <w:rsid w:val="00F5384D"/>
    <w:rsid w:val="00F53FF6"/>
    <w:rsid w:val="00F54C76"/>
    <w:rsid w:val="00F5676C"/>
    <w:rsid w:val="00F60355"/>
    <w:rsid w:val="00F60CB8"/>
    <w:rsid w:val="00F60E23"/>
    <w:rsid w:val="00F626FB"/>
    <w:rsid w:val="00F63045"/>
    <w:rsid w:val="00F63427"/>
    <w:rsid w:val="00F6668C"/>
    <w:rsid w:val="00F67FAB"/>
    <w:rsid w:val="00F72540"/>
    <w:rsid w:val="00F75221"/>
    <w:rsid w:val="00F75E05"/>
    <w:rsid w:val="00F77049"/>
    <w:rsid w:val="00F77714"/>
    <w:rsid w:val="00F779B7"/>
    <w:rsid w:val="00F806B7"/>
    <w:rsid w:val="00F80DF6"/>
    <w:rsid w:val="00F8106F"/>
    <w:rsid w:val="00F942F0"/>
    <w:rsid w:val="00F962C8"/>
    <w:rsid w:val="00F97C3C"/>
    <w:rsid w:val="00FA0CAF"/>
    <w:rsid w:val="00FA119B"/>
    <w:rsid w:val="00FA1610"/>
    <w:rsid w:val="00FA23F2"/>
    <w:rsid w:val="00FA2974"/>
    <w:rsid w:val="00FA5B11"/>
    <w:rsid w:val="00FA60FE"/>
    <w:rsid w:val="00FA64A9"/>
    <w:rsid w:val="00FA7C94"/>
    <w:rsid w:val="00FA7FD3"/>
    <w:rsid w:val="00FB0D00"/>
    <w:rsid w:val="00FB1BD7"/>
    <w:rsid w:val="00FB1F55"/>
    <w:rsid w:val="00FB4703"/>
    <w:rsid w:val="00FB656D"/>
    <w:rsid w:val="00FB6B35"/>
    <w:rsid w:val="00FC0B63"/>
    <w:rsid w:val="00FC23E2"/>
    <w:rsid w:val="00FC290C"/>
    <w:rsid w:val="00FC3B0A"/>
    <w:rsid w:val="00FC5C58"/>
    <w:rsid w:val="00FC66D8"/>
    <w:rsid w:val="00FD0434"/>
    <w:rsid w:val="00FD1AB4"/>
    <w:rsid w:val="00FD3A8A"/>
    <w:rsid w:val="00FD3DE5"/>
    <w:rsid w:val="00FD4E74"/>
    <w:rsid w:val="00FD4F49"/>
    <w:rsid w:val="00FE33AA"/>
    <w:rsid w:val="00FE5CF4"/>
    <w:rsid w:val="00FE7848"/>
    <w:rsid w:val="00FF1512"/>
    <w:rsid w:val="00FF1E77"/>
    <w:rsid w:val="02D9614D"/>
    <w:rsid w:val="047531AE"/>
    <w:rsid w:val="05963E1A"/>
    <w:rsid w:val="0737BAD4"/>
    <w:rsid w:val="07BE9754"/>
    <w:rsid w:val="0972F89A"/>
    <w:rsid w:val="09F3E205"/>
    <w:rsid w:val="0A69AF3D"/>
    <w:rsid w:val="0B8FB266"/>
    <w:rsid w:val="0CC57A76"/>
    <w:rsid w:val="0E1BE68F"/>
    <w:rsid w:val="11B38B57"/>
    <w:rsid w:val="130BDF3A"/>
    <w:rsid w:val="13E27DC1"/>
    <w:rsid w:val="14AE8519"/>
    <w:rsid w:val="14EB2C19"/>
    <w:rsid w:val="1565F00E"/>
    <w:rsid w:val="157E4E22"/>
    <w:rsid w:val="15F25036"/>
    <w:rsid w:val="1701C06F"/>
    <w:rsid w:val="17AD73D3"/>
    <w:rsid w:val="1809A47E"/>
    <w:rsid w:val="181FB3C5"/>
    <w:rsid w:val="1AFDC8C2"/>
    <w:rsid w:val="1B29184C"/>
    <w:rsid w:val="1B9859FF"/>
    <w:rsid w:val="1C999923"/>
    <w:rsid w:val="1D2D0C8F"/>
    <w:rsid w:val="1D8D5C16"/>
    <w:rsid w:val="1DFA8A2F"/>
    <w:rsid w:val="205F3260"/>
    <w:rsid w:val="20D7ADDA"/>
    <w:rsid w:val="217198A1"/>
    <w:rsid w:val="240A9940"/>
    <w:rsid w:val="24E50E70"/>
    <w:rsid w:val="2680DED1"/>
    <w:rsid w:val="268BE56D"/>
    <w:rsid w:val="2850121A"/>
    <w:rsid w:val="29000EBA"/>
    <w:rsid w:val="2AD1C6D3"/>
    <w:rsid w:val="2AEF812B"/>
    <w:rsid w:val="2BCFE57D"/>
    <w:rsid w:val="2CAE10A1"/>
    <w:rsid w:val="2D2BB048"/>
    <w:rsid w:val="2E7DCEF5"/>
    <w:rsid w:val="2E96F752"/>
    <w:rsid w:val="2EC780A9"/>
    <w:rsid w:val="2FB46BE0"/>
    <w:rsid w:val="3032C7B3"/>
    <w:rsid w:val="3043D0E0"/>
    <w:rsid w:val="3171F339"/>
    <w:rsid w:val="31B1BF29"/>
    <w:rsid w:val="31C44E56"/>
    <w:rsid w:val="31F937B6"/>
    <w:rsid w:val="339AF1CC"/>
    <w:rsid w:val="33E0E4DA"/>
    <w:rsid w:val="3645645C"/>
    <w:rsid w:val="36A20937"/>
    <w:rsid w:val="37081052"/>
    <w:rsid w:val="37C65581"/>
    <w:rsid w:val="38B455FD"/>
    <w:rsid w:val="39D9A9F9"/>
    <w:rsid w:val="3A7F5B2F"/>
    <w:rsid w:val="3DDCC067"/>
    <w:rsid w:val="3DEBE551"/>
    <w:rsid w:val="3E8A587C"/>
    <w:rsid w:val="40340018"/>
    <w:rsid w:val="4048EB7D"/>
    <w:rsid w:val="4164F5BE"/>
    <w:rsid w:val="41B77265"/>
    <w:rsid w:val="41E4BBDE"/>
    <w:rsid w:val="41F2FCC8"/>
    <w:rsid w:val="427BD9F6"/>
    <w:rsid w:val="4507713B"/>
    <w:rsid w:val="45707FA9"/>
    <w:rsid w:val="4906A0BC"/>
    <w:rsid w:val="4A4C0C86"/>
    <w:rsid w:val="4AFAF1B0"/>
    <w:rsid w:val="4C4D105D"/>
    <w:rsid w:val="4C6638BA"/>
    <w:rsid w:val="4DE8E0BE"/>
    <w:rsid w:val="4EC04B36"/>
    <w:rsid w:val="4EC05DBA"/>
    <w:rsid w:val="4F84B11F"/>
    <w:rsid w:val="5139A9DD"/>
    <w:rsid w:val="515A6DA2"/>
    <w:rsid w:val="537DEC53"/>
    <w:rsid w:val="558B3857"/>
    <w:rsid w:val="55DFD187"/>
    <w:rsid w:val="566682C9"/>
    <w:rsid w:val="56A0D9ED"/>
    <w:rsid w:val="597D329F"/>
    <w:rsid w:val="5ACF514C"/>
    <w:rsid w:val="5B11DFC3"/>
    <w:rsid w:val="5D11BE49"/>
    <w:rsid w:val="5E50A3C2"/>
    <w:rsid w:val="5F5C4D88"/>
    <w:rsid w:val="5F86B3CD"/>
    <w:rsid w:val="60103C09"/>
    <w:rsid w:val="60E5AC9B"/>
    <w:rsid w:val="62A52C32"/>
    <w:rsid w:val="636A07F3"/>
    <w:rsid w:val="6440FC93"/>
    <w:rsid w:val="6498B294"/>
    <w:rsid w:val="6505D854"/>
    <w:rsid w:val="65350D25"/>
    <w:rsid w:val="6608DD57"/>
    <w:rsid w:val="698C4D03"/>
    <w:rsid w:val="6A0B3F27"/>
    <w:rsid w:val="6A98CA28"/>
    <w:rsid w:val="6AC91AF3"/>
    <w:rsid w:val="6B5BF17B"/>
    <w:rsid w:val="6B62C457"/>
    <w:rsid w:val="6C458205"/>
    <w:rsid w:val="6C4C0E78"/>
    <w:rsid w:val="6D6D1AE4"/>
    <w:rsid w:val="6F08EB45"/>
    <w:rsid w:val="707BAC96"/>
    <w:rsid w:val="7085AA0A"/>
    <w:rsid w:val="72A2289A"/>
    <w:rsid w:val="734FAD79"/>
    <w:rsid w:val="735F7FC4"/>
    <w:rsid w:val="786DC738"/>
    <w:rsid w:val="79795583"/>
    <w:rsid w:val="79F6E697"/>
    <w:rsid w:val="7BD61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CF2BF4"/>
  <w15:chartTrackingRefBased/>
  <w15:docId w15:val="{F56EE4E4-F7FA-431E-9532-0E6BC6EEE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B78E2"/>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93188"/>
    <w:pPr>
      <w:ind w:left="720"/>
      <w:contextualSpacing/>
    </w:pPr>
  </w:style>
  <w:style w:type="table" w:styleId="TableGrid">
    <w:name w:val="Table Grid"/>
    <w:basedOn w:val="TableNormal"/>
    <w:uiPriority w:val="39"/>
    <w:rsid w:val="002C081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E1631"/>
    <w:rPr>
      <w:sz w:val="16"/>
      <w:szCs w:val="16"/>
    </w:rPr>
  </w:style>
  <w:style w:type="paragraph" w:styleId="CommentText">
    <w:name w:val="annotation text"/>
    <w:basedOn w:val="Normal"/>
    <w:link w:val="CommentTextChar"/>
    <w:uiPriority w:val="99"/>
    <w:unhideWhenUsed/>
    <w:rsid w:val="002E1631"/>
    <w:rPr>
      <w:sz w:val="20"/>
      <w:szCs w:val="20"/>
    </w:rPr>
  </w:style>
  <w:style w:type="character" w:customStyle="1" w:styleId="CommentTextChar">
    <w:name w:val="Comment Text Char"/>
    <w:basedOn w:val="DefaultParagraphFont"/>
    <w:link w:val="CommentText"/>
    <w:uiPriority w:val="99"/>
    <w:rsid w:val="002E1631"/>
    <w:rPr>
      <w:sz w:val="20"/>
      <w:szCs w:val="20"/>
    </w:rPr>
  </w:style>
  <w:style w:type="paragraph" w:styleId="CommentSubject">
    <w:name w:val="annotation subject"/>
    <w:basedOn w:val="CommentText"/>
    <w:next w:val="CommentText"/>
    <w:link w:val="CommentSubjectChar"/>
    <w:uiPriority w:val="99"/>
    <w:semiHidden/>
    <w:unhideWhenUsed/>
    <w:rsid w:val="002E1631"/>
    <w:rPr>
      <w:b/>
      <w:bCs/>
    </w:rPr>
  </w:style>
  <w:style w:type="character" w:customStyle="1" w:styleId="CommentSubjectChar">
    <w:name w:val="Comment Subject Char"/>
    <w:basedOn w:val="CommentTextChar"/>
    <w:link w:val="CommentSubject"/>
    <w:uiPriority w:val="99"/>
    <w:semiHidden/>
    <w:rsid w:val="002E1631"/>
    <w:rPr>
      <w:b/>
      <w:bCs/>
      <w:sz w:val="20"/>
      <w:szCs w:val="20"/>
    </w:rPr>
  </w:style>
  <w:style w:type="paragraph" w:customStyle="1" w:styleId="EndNoteBibliographyTitle">
    <w:name w:val="EndNote Bibliography Title"/>
    <w:basedOn w:val="Normal"/>
    <w:link w:val="EndNoteBibliographyTitleChar"/>
    <w:rsid w:val="003D6DA2"/>
    <w:pPr>
      <w:jc w:val="center"/>
    </w:pPr>
    <w:rPr>
      <w:rFonts w:ascii="Calibri" w:hAnsi="Calibri" w:cs="Calibri"/>
    </w:rPr>
  </w:style>
  <w:style w:type="character" w:customStyle="1" w:styleId="ListParagraphChar">
    <w:name w:val="List Paragraph Char"/>
    <w:basedOn w:val="DefaultParagraphFont"/>
    <w:link w:val="ListParagraph"/>
    <w:uiPriority w:val="34"/>
    <w:rsid w:val="003D6DA2"/>
  </w:style>
  <w:style w:type="character" w:customStyle="1" w:styleId="EndNoteBibliographyTitleChar">
    <w:name w:val="EndNote Bibliography Title Char"/>
    <w:basedOn w:val="ListParagraphChar"/>
    <w:link w:val="EndNoteBibliographyTitle"/>
    <w:rsid w:val="003D6DA2"/>
    <w:rPr>
      <w:rFonts w:ascii="Calibri" w:hAnsi="Calibri" w:cs="Calibri"/>
    </w:rPr>
  </w:style>
  <w:style w:type="paragraph" w:customStyle="1" w:styleId="EndNoteBibliography">
    <w:name w:val="EndNote Bibliography"/>
    <w:basedOn w:val="Normal"/>
    <w:link w:val="EndNoteBibliographyChar"/>
    <w:rsid w:val="003D6DA2"/>
    <w:rPr>
      <w:rFonts w:ascii="Calibri" w:hAnsi="Calibri" w:cs="Calibri"/>
    </w:rPr>
  </w:style>
  <w:style w:type="character" w:customStyle="1" w:styleId="EndNoteBibliographyChar">
    <w:name w:val="EndNote Bibliography Char"/>
    <w:basedOn w:val="ListParagraphChar"/>
    <w:link w:val="EndNoteBibliography"/>
    <w:rsid w:val="003D6DA2"/>
    <w:rPr>
      <w:rFonts w:ascii="Calibri" w:hAnsi="Calibri" w:cs="Calibri"/>
    </w:rPr>
  </w:style>
  <w:style w:type="character" w:styleId="Hyperlink">
    <w:name w:val="Hyperlink"/>
    <w:basedOn w:val="DefaultParagraphFont"/>
    <w:uiPriority w:val="99"/>
    <w:unhideWhenUsed/>
    <w:rsid w:val="006D0CCC"/>
    <w:rPr>
      <w:color w:val="0563C1" w:themeColor="hyperlink"/>
      <w:u w:val="single"/>
    </w:rPr>
  </w:style>
  <w:style w:type="character" w:customStyle="1" w:styleId="UnresolvedMention1">
    <w:name w:val="Unresolved Mention1"/>
    <w:basedOn w:val="DefaultParagraphFont"/>
    <w:uiPriority w:val="99"/>
    <w:semiHidden/>
    <w:unhideWhenUsed/>
    <w:rsid w:val="006D0CCC"/>
    <w:rPr>
      <w:color w:val="605E5C"/>
      <w:shd w:val="clear" w:color="auto" w:fill="E1DFDD"/>
    </w:rPr>
  </w:style>
  <w:style w:type="paragraph" w:styleId="NormalWeb">
    <w:name w:val="Normal (Web)"/>
    <w:basedOn w:val="Normal"/>
    <w:uiPriority w:val="99"/>
    <w:semiHidden/>
    <w:unhideWhenUsed/>
    <w:rsid w:val="00035875"/>
    <w:pPr>
      <w:spacing w:before="100" w:beforeAutospacing="1" w:after="100" w:afterAutospacing="1"/>
    </w:pPr>
    <w:rPr>
      <w:rFonts w:ascii="Times New Roman" w:eastAsia="Times New Roman" w:hAnsi="Times New Roman" w:cs="Times New Roman"/>
    </w:rPr>
  </w:style>
  <w:style w:type="table" w:styleId="ListTable3">
    <w:name w:val="List Table 3"/>
    <w:basedOn w:val="TableNormal"/>
    <w:uiPriority w:val="4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6Colorful">
    <w:name w:val="List Table 6 Colorful"/>
    <w:basedOn w:val="TableNormal"/>
    <w:uiPriority w:val="5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4C4E4F"/>
    <w:rPr>
      <w:color w:val="954F72" w:themeColor="followedHyperlink"/>
      <w:u w:val="single"/>
    </w:rPr>
  </w:style>
  <w:style w:type="paragraph" w:styleId="BalloonText">
    <w:name w:val="Balloon Text"/>
    <w:basedOn w:val="Normal"/>
    <w:link w:val="BalloonTextChar"/>
    <w:uiPriority w:val="99"/>
    <w:semiHidden/>
    <w:unhideWhenUsed/>
    <w:rsid w:val="00E802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0246"/>
    <w:rPr>
      <w:rFonts w:ascii="Segoe UI" w:hAnsi="Segoe UI" w:cs="Segoe UI"/>
      <w:sz w:val="18"/>
      <w:szCs w:val="18"/>
    </w:rPr>
  </w:style>
  <w:style w:type="paragraph" w:styleId="Header">
    <w:name w:val="header"/>
    <w:basedOn w:val="Normal"/>
    <w:link w:val="HeaderChar"/>
    <w:uiPriority w:val="99"/>
    <w:unhideWhenUsed/>
    <w:rsid w:val="005122C2"/>
    <w:pPr>
      <w:tabs>
        <w:tab w:val="center" w:pos="4680"/>
        <w:tab w:val="right" w:pos="9360"/>
      </w:tabs>
    </w:pPr>
  </w:style>
  <w:style w:type="character" w:customStyle="1" w:styleId="HeaderChar">
    <w:name w:val="Header Char"/>
    <w:basedOn w:val="DefaultParagraphFont"/>
    <w:link w:val="Header"/>
    <w:uiPriority w:val="99"/>
    <w:rsid w:val="005122C2"/>
  </w:style>
  <w:style w:type="paragraph" w:styleId="Footer">
    <w:name w:val="footer"/>
    <w:basedOn w:val="Normal"/>
    <w:link w:val="FooterChar"/>
    <w:uiPriority w:val="99"/>
    <w:unhideWhenUsed/>
    <w:rsid w:val="005122C2"/>
    <w:pPr>
      <w:tabs>
        <w:tab w:val="center" w:pos="4680"/>
        <w:tab w:val="right" w:pos="9360"/>
      </w:tabs>
    </w:pPr>
  </w:style>
  <w:style w:type="character" w:customStyle="1" w:styleId="FooterChar">
    <w:name w:val="Footer Char"/>
    <w:basedOn w:val="DefaultParagraphFont"/>
    <w:link w:val="Footer"/>
    <w:uiPriority w:val="99"/>
    <w:rsid w:val="005122C2"/>
  </w:style>
  <w:style w:type="character" w:customStyle="1" w:styleId="UnresolvedMention2">
    <w:name w:val="Unresolved Mention2"/>
    <w:basedOn w:val="DefaultParagraphFont"/>
    <w:uiPriority w:val="99"/>
    <w:semiHidden/>
    <w:unhideWhenUsed/>
    <w:rsid w:val="00093788"/>
    <w:rPr>
      <w:color w:val="605E5C"/>
      <w:shd w:val="clear" w:color="auto" w:fill="E1DFDD"/>
    </w:rPr>
  </w:style>
  <w:style w:type="character" w:customStyle="1" w:styleId="cit-auth">
    <w:name w:val="cit-auth"/>
    <w:basedOn w:val="DefaultParagraphFont"/>
    <w:rsid w:val="005E1764"/>
  </w:style>
  <w:style w:type="character" w:customStyle="1" w:styleId="cit-name-surname">
    <w:name w:val="cit-name-surname"/>
    <w:basedOn w:val="DefaultParagraphFont"/>
    <w:rsid w:val="005E1764"/>
  </w:style>
  <w:style w:type="character" w:customStyle="1" w:styleId="cit-name-given-names">
    <w:name w:val="cit-name-given-names"/>
    <w:basedOn w:val="DefaultParagraphFont"/>
    <w:rsid w:val="005E1764"/>
  </w:style>
  <w:style w:type="character" w:customStyle="1" w:styleId="cit-etal">
    <w:name w:val="cit-etal"/>
    <w:basedOn w:val="DefaultParagraphFont"/>
    <w:rsid w:val="005E1764"/>
  </w:style>
  <w:style w:type="character" w:styleId="HTMLCite">
    <w:name w:val="HTML Cite"/>
    <w:basedOn w:val="DefaultParagraphFont"/>
    <w:uiPriority w:val="99"/>
    <w:semiHidden/>
    <w:unhideWhenUsed/>
    <w:rsid w:val="005E1764"/>
    <w:rPr>
      <w:i/>
      <w:iCs/>
    </w:rPr>
  </w:style>
  <w:style w:type="character" w:customStyle="1" w:styleId="cit-article-title">
    <w:name w:val="cit-article-title"/>
    <w:basedOn w:val="DefaultParagraphFont"/>
    <w:rsid w:val="005E1764"/>
  </w:style>
  <w:style w:type="character" w:customStyle="1" w:styleId="cit-pub-date">
    <w:name w:val="cit-pub-date"/>
    <w:basedOn w:val="DefaultParagraphFont"/>
    <w:rsid w:val="005E1764"/>
  </w:style>
  <w:style w:type="character" w:customStyle="1" w:styleId="cit-vol">
    <w:name w:val="cit-vol"/>
    <w:basedOn w:val="DefaultParagraphFont"/>
    <w:rsid w:val="005E1764"/>
  </w:style>
  <w:style w:type="character" w:customStyle="1" w:styleId="cit-fpage">
    <w:name w:val="cit-fpage"/>
    <w:basedOn w:val="DefaultParagraphFont"/>
    <w:rsid w:val="005E1764"/>
  </w:style>
  <w:style w:type="character" w:customStyle="1" w:styleId="cit-lpage">
    <w:name w:val="cit-lpage"/>
    <w:basedOn w:val="DefaultParagraphFont"/>
    <w:rsid w:val="005E1764"/>
  </w:style>
  <w:style w:type="character" w:customStyle="1" w:styleId="cit-pub-id-sep">
    <w:name w:val="cit-pub-id-sep"/>
    <w:basedOn w:val="DefaultParagraphFont"/>
    <w:rsid w:val="005E1764"/>
  </w:style>
  <w:style w:type="character" w:customStyle="1" w:styleId="cit-pub-id">
    <w:name w:val="cit-pub-id"/>
    <w:basedOn w:val="DefaultParagraphFont"/>
    <w:rsid w:val="005E1764"/>
  </w:style>
  <w:style w:type="character" w:customStyle="1" w:styleId="cit-pub-id-scheme-pmid">
    <w:name w:val="cit-pub-id-scheme-pmid"/>
    <w:basedOn w:val="DefaultParagraphFont"/>
    <w:rsid w:val="005E1764"/>
  </w:style>
  <w:style w:type="character" w:customStyle="1" w:styleId="fm-vol-iss-date">
    <w:name w:val="fm-vol-iss-date"/>
    <w:basedOn w:val="DefaultParagraphFont"/>
    <w:rsid w:val="001B78E2"/>
  </w:style>
  <w:style w:type="character" w:customStyle="1" w:styleId="doi">
    <w:name w:val="doi"/>
    <w:basedOn w:val="DefaultParagraphFont"/>
    <w:rsid w:val="001B78E2"/>
  </w:style>
  <w:style w:type="character" w:customStyle="1" w:styleId="fm-citation-ids-label">
    <w:name w:val="fm-citation-ids-label"/>
    <w:basedOn w:val="DefaultParagraphFont"/>
    <w:rsid w:val="001B78E2"/>
  </w:style>
  <w:style w:type="character" w:customStyle="1" w:styleId="Heading1Char">
    <w:name w:val="Heading 1 Char"/>
    <w:basedOn w:val="DefaultParagraphFont"/>
    <w:link w:val="Heading1"/>
    <w:uiPriority w:val="9"/>
    <w:rsid w:val="001B78E2"/>
    <w:rPr>
      <w:rFonts w:ascii="Times New Roman" w:eastAsia="Times New Roman" w:hAnsi="Times New Roman" w:cs="Times New Roman"/>
      <w:b/>
      <w:bCs/>
      <w:kern w:val="36"/>
      <w:sz w:val="48"/>
      <w:szCs w:val="48"/>
    </w:rPr>
  </w:style>
  <w:style w:type="character" w:customStyle="1" w:styleId="field--highwire-content-title">
    <w:name w:val="field--highwire-content-title"/>
    <w:basedOn w:val="DefaultParagraphFont"/>
    <w:rsid w:val="001B78E2"/>
  </w:style>
  <w:style w:type="paragraph" w:customStyle="1" w:styleId="contrib">
    <w:name w:val="contrib"/>
    <w:basedOn w:val="Normal"/>
    <w:rsid w:val="001B78E2"/>
    <w:pPr>
      <w:spacing w:before="100" w:beforeAutospacing="1" w:after="100" w:afterAutospacing="1"/>
    </w:pPr>
    <w:rPr>
      <w:rFonts w:ascii="Times New Roman" w:eastAsia="Times New Roman" w:hAnsi="Times New Roman" w:cs="Times New Roman"/>
    </w:rPr>
  </w:style>
  <w:style w:type="paragraph" w:styleId="Revision">
    <w:name w:val="Revision"/>
    <w:hidden/>
    <w:uiPriority w:val="99"/>
    <w:semiHidden/>
    <w:rsid w:val="008452F7"/>
  </w:style>
  <w:style w:type="paragraph" w:customStyle="1" w:styleId="Corpo">
    <w:name w:val="Corpo"/>
    <w:link w:val="CorpoCar"/>
    <w:rsid w:val="000813AA"/>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fr-BE"/>
    </w:rPr>
  </w:style>
  <w:style w:type="character" w:customStyle="1" w:styleId="CorpoCar">
    <w:name w:val="Corpo Car"/>
    <w:basedOn w:val="DefaultParagraphFont"/>
    <w:link w:val="Corpo"/>
    <w:rsid w:val="000813AA"/>
    <w:rPr>
      <w:rFonts w:ascii="Helvetica Neue" w:eastAsia="Arial Unicode MS" w:hAnsi="Helvetica Neue" w:cs="Arial Unicode MS"/>
      <w:color w:val="000000"/>
      <w:sz w:val="22"/>
      <w:szCs w:val="22"/>
      <w:bdr w:val="nil"/>
      <w:lang w:eastAsia="fr-BE"/>
    </w:rPr>
  </w:style>
  <w:style w:type="character" w:customStyle="1" w:styleId="UnresolvedMention3">
    <w:name w:val="Unresolved Mention3"/>
    <w:basedOn w:val="DefaultParagraphFont"/>
    <w:uiPriority w:val="99"/>
    <w:semiHidden/>
    <w:unhideWhenUsed/>
    <w:rsid w:val="00CB6FAF"/>
    <w:rPr>
      <w:color w:val="605E5C"/>
      <w:shd w:val="clear" w:color="auto" w:fill="E1DFDD"/>
    </w:rPr>
  </w:style>
  <w:style w:type="character" w:customStyle="1" w:styleId="docsum-authors">
    <w:name w:val="docsum-authors"/>
    <w:basedOn w:val="DefaultParagraphFont"/>
    <w:rsid w:val="00CF6FAB"/>
  </w:style>
  <w:style w:type="character" w:customStyle="1" w:styleId="docsum-journal-citation">
    <w:name w:val="docsum-journal-citation"/>
    <w:basedOn w:val="DefaultParagraphFont"/>
    <w:rsid w:val="00CF6FAB"/>
  </w:style>
  <w:style w:type="character" w:customStyle="1" w:styleId="citation-part">
    <w:name w:val="citation-part"/>
    <w:basedOn w:val="DefaultParagraphFont"/>
    <w:rsid w:val="00CF6FAB"/>
  </w:style>
  <w:style w:type="character" w:customStyle="1" w:styleId="docsum-pmid">
    <w:name w:val="docsum-pmid"/>
    <w:basedOn w:val="DefaultParagraphFont"/>
    <w:rsid w:val="00CF6FAB"/>
  </w:style>
  <w:style w:type="character" w:customStyle="1" w:styleId="UnresolvedMention4">
    <w:name w:val="Unresolved Mention4"/>
    <w:basedOn w:val="DefaultParagraphFont"/>
    <w:uiPriority w:val="99"/>
    <w:semiHidden/>
    <w:unhideWhenUsed/>
    <w:rsid w:val="00B5601A"/>
    <w:rPr>
      <w:color w:val="605E5C"/>
      <w:shd w:val="clear" w:color="auto" w:fill="E1DFDD"/>
    </w:rPr>
  </w:style>
  <w:style w:type="character" w:customStyle="1" w:styleId="UnresolvedMention5">
    <w:name w:val="Unresolved Mention5"/>
    <w:basedOn w:val="DefaultParagraphFont"/>
    <w:uiPriority w:val="99"/>
    <w:semiHidden/>
    <w:unhideWhenUsed/>
    <w:rsid w:val="005937EC"/>
    <w:rPr>
      <w:color w:val="605E5C"/>
      <w:shd w:val="clear" w:color="auto" w:fill="E1DFDD"/>
    </w:rPr>
  </w:style>
  <w:style w:type="character" w:customStyle="1" w:styleId="UnresolvedMention6">
    <w:name w:val="Unresolved Mention6"/>
    <w:basedOn w:val="DefaultParagraphFont"/>
    <w:uiPriority w:val="99"/>
    <w:semiHidden/>
    <w:unhideWhenUsed/>
    <w:rsid w:val="008E71CF"/>
    <w:rPr>
      <w:color w:val="605E5C"/>
      <w:shd w:val="clear" w:color="auto" w:fill="E1DFDD"/>
    </w:rPr>
  </w:style>
  <w:style w:type="character" w:customStyle="1" w:styleId="UnresolvedMention7">
    <w:name w:val="Unresolved Mention7"/>
    <w:basedOn w:val="DefaultParagraphFont"/>
    <w:uiPriority w:val="99"/>
    <w:semiHidden/>
    <w:unhideWhenUsed/>
    <w:rsid w:val="009E25CA"/>
    <w:rPr>
      <w:color w:val="605E5C"/>
      <w:shd w:val="clear" w:color="auto" w:fill="E1DFDD"/>
    </w:rPr>
  </w:style>
  <w:style w:type="character" w:customStyle="1" w:styleId="UnresolvedMention">
    <w:name w:val="Unresolved Mention"/>
    <w:basedOn w:val="DefaultParagraphFont"/>
    <w:uiPriority w:val="99"/>
    <w:semiHidden/>
    <w:unhideWhenUsed/>
    <w:rsid w:val="00C70B3F"/>
    <w:rPr>
      <w:color w:val="605E5C"/>
      <w:shd w:val="clear" w:color="auto" w:fill="E1DFDD"/>
    </w:rPr>
  </w:style>
  <w:style w:type="character" w:customStyle="1" w:styleId="apple-converted-space">
    <w:name w:val="apple-converted-space"/>
    <w:basedOn w:val="DefaultParagraphFont"/>
    <w:rsid w:val="00365E79"/>
  </w:style>
  <w:style w:type="character" w:styleId="LineNumber">
    <w:name w:val="line number"/>
    <w:basedOn w:val="DefaultParagraphFont"/>
    <w:uiPriority w:val="99"/>
    <w:semiHidden/>
    <w:unhideWhenUsed/>
    <w:rsid w:val="00F75E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64841">
      <w:bodyDiv w:val="1"/>
      <w:marLeft w:val="0"/>
      <w:marRight w:val="0"/>
      <w:marTop w:val="0"/>
      <w:marBottom w:val="0"/>
      <w:divBdr>
        <w:top w:val="none" w:sz="0" w:space="0" w:color="auto"/>
        <w:left w:val="none" w:sz="0" w:space="0" w:color="auto"/>
        <w:bottom w:val="none" w:sz="0" w:space="0" w:color="auto"/>
        <w:right w:val="none" w:sz="0" w:space="0" w:color="auto"/>
      </w:divBdr>
    </w:div>
    <w:div w:id="80376522">
      <w:bodyDiv w:val="1"/>
      <w:marLeft w:val="0"/>
      <w:marRight w:val="0"/>
      <w:marTop w:val="0"/>
      <w:marBottom w:val="0"/>
      <w:divBdr>
        <w:top w:val="none" w:sz="0" w:space="0" w:color="auto"/>
        <w:left w:val="none" w:sz="0" w:space="0" w:color="auto"/>
        <w:bottom w:val="none" w:sz="0" w:space="0" w:color="auto"/>
        <w:right w:val="none" w:sz="0" w:space="0" w:color="auto"/>
      </w:divBdr>
    </w:div>
    <w:div w:id="106120544">
      <w:bodyDiv w:val="1"/>
      <w:marLeft w:val="0"/>
      <w:marRight w:val="0"/>
      <w:marTop w:val="0"/>
      <w:marBottom w:val="0"/>
      <w:divBdr>
        <w:top w:val="none" w:sz="0" w:space="0" w:color="auto"/>
        <w:left w:val="none" w:sz="0" w:space="0" w:color="auto"/>
        <w:bottom w:val="none" w:sz="0" w:space="0" w:color="auto"/>
        <w:right w:val="none" w:sz="0" w:space="0" w:color="auto"/>
      </w:divBdr>
    </w:div>
    <w:div w:id="108597384">
      <w:bodyDiv w:val="1"/>
      <w:marLeft w:val="0"/>
      <w:marRight w:val="0"/>
      <w:marTop w:val="0"/>
      <w:marBottom w:val="0"/>
      <w:divBdr>
        <w:top w:val="none" w:sz="0" w:space="0" w:color="auto"/>
        <w:left w:val="none" w:sz="0" w:space="0" w:color="auto"/>
        <w:bottom w:val="none" w:sz="0" w:space="0" w:color="auto"/>
        <w:right w:val="none" w:sz="0" w:space="0" w:color="auto"/>
      </w:divBdr>
    </w:div>
    <w:div w:id="199706331">
      <w:bodyDiv w:val="1"/>
      <w:marLeft w:val="0"/>
      <w:marRight w:val="0"/>
      <w:marTop w:val="0"/>
      <w:marBottom w:val="0"/>
      <w:divBdr>
        <w:top w:val="none" w:sz="0" w:space="0" w:color="auto"/>
        <w:left w:val="none" w:sz="0" w:space="0" w:color="auto"/>
        <w:bottom w:val="none" w:sz="0" w:space="0" w:color="auto"/>
        <w:right w:val="none" w:sz="0" w:space="0" w:color="auto"/>
      </w:divBdr>
    </w:div>
    <w:div w:id="435322447">
      <w:bodyDiv w:val="1"/>
      <w:marLeft w:val="0"/>
      <w:marRight w:val="0"/>
      <w:marTop w:val="0"/>
      <w:marBottom w:val="0"/>
      <w:divBdr>
        <w:top w:val="none" w:sz="0" w:space="0" w:color="auto"/>
        <w:left w:val="none" w:sz="0" w:space="0" w:color="auto"/>
        <w:bottom w:val="none" w:sz="0" w:space="0" w:color="auto"/>
        <w:right w:val="none" w:sz="0" w:space="0" w:color="auto"/>
      </w:divBdr>
    </w:div>
    <w:div w:id="659431770">
      <w:bodyDiv w:val="1"/>
      <w:marLeft w:val="0"/>
      <w:marRight w:val="0"/>
      <w:marTop w:val="0"/>
      <w:marBottom w:val="0"/>
      <w:divBdr>
        <w:top w:val="none" w:sz="0" w:space="0" w:color="auto"/>
        <w:left w:val="none" w:sz="0" w:space="0" w:color="auto"/>
        <w:bottom w:val="none" w:sz="0" w:space="0" w:color="auto"/>
        <w:right w:val="none" w:sz="0" w:space="0" w:color="auto"/>
      </w:divBdr>
    </w:div>
    <w:div w:id="788010679">
      <w:bodyDiv w:val="1"/>
      <w:marLeft w:val="0"/>
      <w:marRight w:val="0"/>
      <w:marTop w:val="0"/>
      <w:marBottom w:val="0"/>
      <w:divBdr>
        <w:top w:val="none" w:sz="0" w:space="0" w:color="auto"/>
        <w:left w:val="none" w:sz="0" w:space="0" w:color="auto"/>
        <w:bottom w:val="none" w:sz="0" w:space="0" w:color="auto"/>
        <w:right w:val="none" w:sz="0" w:space="0" w:color="auto"/>
      </w:divBdr>
    </w:div>
    <w:div w:id="861749755">
      <w:bodyDiv w:val="1"/>
      <w:marLeft w:val="0"/>
      <w:marRight w:val="0"/>
      <w:marTop w:val="0"/>
      <w:marBottom w:val="0"/>
      <w:divBdr>
        <w:top w:val="none" w:sz="0" w:space="0" w:color="auto"/>
        <w:left w:val="none" w:sz="0" w:space="0" w:color="auto"/>
        <w:bottom w:val="none" w:sz="0" w:space="0" w:color="auto"/>
        <w:right w:val="none" w:sz="0" w:space="0" w:color="auto"/>
      </w:divBdr>
    </w:div>
    <w:div w:id="882867392">
      <w:bodyDiv w:val="1"/>
      <w:marLeft w:val="0"/>
      <w:marRight w:val="0"/>
      <w:marTop w:val="0"/>
      <w:marBottom w:val="0"/>
      <w:divBdr>
        <w:top w:val="none" w:sz="0" w:space="0" w:color="auto"/>
        <w:left w:val="none" w:sz="0" w:space="0" w:color="auto"/>
        <w:bottom w:val="none" w:sz="0" w:space="0" w:color="auto"/>
        <w:right w:val="none" w:sz="0" w:space="0" w:color="auto"/>
      </w:divBdr>
      <w:divsChild>
        <w:div w:id="922224462">
          <w:marLeft w:val="0"/>
          <w:marRight w:val="0"/>
          <w:marTop w:val="0"/>
          <w:marBottom w:val="0"/>
          <w:divBdr>
            <w:top w:val="none" w:sz="0" w:space="0" w:color="auto"/>
            <w:left w:val="none" w:sz="0" w:space="0" w:color="auto"/>
            <w:bottom w:val="none" w:sz="0" w:space="0" w:color="auto"/>
            <w:right w:val="none" w:sz="0" w:space="0" w:color="auto"/>
          </w:divBdr>
          <w:divsChild>
            <w:div w:id="1922330430">
              <w:marLeft w:val="0"/>
              <w:marRight w:val="0"/>
              <w:marTop w:val="0"/>
              <w:marBottom w:val="0"/>
              <w:divBdr>
                <w:top w:val="none" w:sz="0" w:space="0" w:color="auto"/>
                <w:left w:val="none" w:sz="0" w:space="0" w:color="auto"/>
                <w:bottom w:val="none" w:sz="0" w:space="0" w:color="auto"/>
                <w:right w:val="none" w:sz="0" w:space="0" w:color="auto"/>
              </w:divBdr>
              <w:divsChild>
                <w:div w:id="975721911">
                  <w:marLeft w:val="0"/>
                  <w:marRight w:val="0"/>
                  <w:marTop w:val="0"/>
                  <w:marBottom w:val="0"/>
                  <w:divBdr>
                    <w:top w:val="none" w:sz="0" w:space="0" w:color="auto"/>
                    <w:left w:val="none" w:sz="0" w:space="0" w:color="auto"/>
                    <w:bottom w:val="none" w:sz="0" w:space="0" w:color="auto"/>
                    <w:right w:val="none" w:sz="0" w:space="0" w:color="auto"/>
                  </w:divBdr>
                  <w:divsChild>
                    <w:div w:id="143852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756430">
              <w:marLeft w:val="0"/>
              <w:marRight w:val="0"/>
              <w:marTop w:val="0"/>
              <w:marBottom w:val="0"/>
              <w:divBdr>
                <w:top w:val="none" w:sz="0" w:space="0" w:color="auto"/>
                <w:left w:val="none" w:sz="0" w:space="0" w:color="auto"/>
                <w:bottom w:val="none" w:sz="0" w:space="0" w:color="auto"/>
                <w:right w:val="none" w:sz="0" w:space="0" w:color="auto"/>
              </w:divBdr>
              <w:divsChild>
                <w:div w:id="1115952723">
                  <w:marLeft w:val="0"/>
                  <w:marRight w:val="0"/>
                  <w:marTop w:val="0"/>
                  <w:marBottom w:val="0"/>
                  <w:divBdr>
                    <w:top w:val="none" w:sz="0" w:space="0" w:color="auto"/>
                    <w:left w:val="none" w:sz="0" w:space="0" w:color="auto"/>
                    <w:bottom w:val="none" w:sz="0" w:space="0" w:color="auto"/>
                    <w:right w:val="none" w:sz="0" w:space="0" w:color="auto"/>
                  </w:divBdr>
                </w:div>
                <w:div w:id="2061248566">
                  <w:marLeft w:val="0"/>
                  <w:marRight w:val="0"/>
                  <w:marTop w:val="0"/>
                  <w:marBottom w:val="0"/>
                  <w:divBdr>
                    <w:top w:val="none" w:sz="0" w:space="0" w:color="auto"/>
                    <w:left w:val="none" w:sz="0" w:space="0" w:color="auto"/>
                    <w:bottom w:val="none" w:sz="0" w:space="0" w:color="auto"/>
                    <w:right w:val="none" w:sz="0" w:space="0" w:color="auto"/>
                  </w:divBdr>
                </w:div>
                <w:div w:id="866870162">
                  <w:marLeft w:val="0"/>
                  <w:marRight w:val="0"/>
                  <w:marTop w:val="0"/>
                  <w:marBottom w:val="0"/>
                  <w:divBdr>
                    <w:top w:val="none" w:sz="0" w:space="0" w:color="auto"/>
                    <w:left w:val="none" w:sz="0" w:space="0" w:color="auto"/>
                    <w:bottom w:val="none" w:sz="0" w:space="0" w:color="auto"/>
                    <w:right w:val="none" w:sz="0" w:space="0" w:color="auto"/>
                  </w:divBdr>
                </w:div>
                <w:div w:id="199121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720475">
      <w:bodyDiv w:val="1"/>
      <w:marLeft w:val="0"/>
      <w:marRight w:val="0"/>
      <w:marTop w:val="0"/>
      <w:marBottom w:val="0"/>
      <w:divBdr>
        <w:top w:val="none" w:sz="0" w:space="0" w:color="auto"/>
        <w:left w:val="none" w:sz="0" w:space="0" w:color="auto"/>
        <w:bottom w:val="none" w:sz="0" w:space="0" w:color="auto"/>
        <w:right w:val="none" w:sz="0" w:space="0" w:color="auto"/>
      </w:divBdr>
    </w:div>
    <w:div w:id="1074427283">
      <w:bodyDiv w:val="1"/>
      <w:marLeft w:val="0"/>
      <w:marRight w:val="0"/>
      <w:marTop w:val="0"/>
      <w:marBottom w:val="0"/>
      <w:divBdr>
        <w:top w:val="none" w:sz="0" w:space="0" w:color="auto"/>
        <w:left w:val="none" w:sz="0" w:space="0" w:color="auto"/>
        <w:bottom w:val="none" w:sz="0" w:space="0" w:color="auto"/>
        <w:right w:val="none" w:sz="0" w:space="0" w:color="auto"/>
      </w:divBdr>
    </w:div>
    <w:div w:id="1114058074">
      <w:bodyDiv w:val="1"/>
      <w:marLeft w:val="0"/>
      <w:marRight w:val="0"/>
      <w:marTop w:val="0"/>
      <w:marBottom w:val="0"/>
      <w:divBdr>
        <w:top w:val="none" w:sz="0" w:space="0" w:color="auto"/>
        <w:left w:val="none" w:sz="0" w:space="0" w:color="auto"/>
        <w:bottom w:val="none" w:sz="0" w:space="0" w:color="auto"/>
        <w:right w:val="none" w:sz="0" w:space="0" w:color="auto"/>
      </w:divBdr>
    </w:div>
    <w:div w:id="1139806455">
      <w:bodyDiv w:val="1"/>
      <w:marLeft w:val="0"/>
      <w:marRight w:val="0"/>
      <w:marTop w:val="0"/>
      <w:marBottom w:val="0"/>
      <w:divBdr>
        <w:top w:val="none" w:sz="0" w:space="0" w:color="auto"/>
        <w:left w:val="none" w:sz="0" w:space="0" w:color="auto"/>
        <w:bottom w:val="none" w:sz="0" w:space="0" w:color="auto"/>
        <w:right w:val="none" w:sz="0" w:space="0" w:color="auto"/>
      </w:divBdr>
    </w:div>
    <w:div w:id="1149908805">
      <w:bodyDiv w:val="1"/>
      <w:marLeft w:val="0"/>
      <w:marRight w:val="0"/>
      <w:marTop w:val="0"/>
      <w:marBottom w:val="0"/>
      <w:divBdr>
        <w:top w:val="none" w:sz="0" w:space="0" w:color="auto"/>
        <w:left w:val="none" w:sz="0" w:space="0" w:color="auto"/>
        <w:bottom w:val="none" w:sz="0" w:space="0" w:color="auto"/>
        <w:right w:val="none" w:sz="0" w:space="0" w:color="auto"/>
      </w:divBdr>
    </w:div>
    <w:div w:id="1158569451">
      <w:bodyDiv w:val="1"/>
      <w:marLeft w:val="0"/>
      <w:marRight w:val="0"/>
      <w:marTop w:val="0"/>
      <w:marBottom w:val="0"/>
      <w:divBdr>
        <w:top w:val="none" w:sz="0" w:space="0" w:color="auto"/>
        <w:left w:val="none" w:sz="0" w:space="0" w:color="auto"/>
        <w:bottom w:val="none" w:sz="0" w:space="0" w:color="auto"/>
        <w:right w:val="none" w:sz="0" w:space="0" w:color="auto"/>
      </w:divBdr>
      <w:divsChild>
        <w:div w:id="379790709">
          <w:marLeft w:val="0"/>
          <w:marRight w:val="0"/>
          <w:marTop w:val="0"/>
          <w:marBottom w:val="0"/>
          <w:divBdr>
            <w:top w:val="none" w:sz="0" w:space="0" w:color="auto"/>
            <w:left w:val="none" w:sz="0" w:space="0" w:color="auto"/>
            <w:bottom w:val="none" w:sz="0" w:space="0" w:color="auto"/>
            <w:right w:val="none" w:sz="0" w:space="0" w:color="auto"/>
          </w:divBdr>
          <w:divsChild>
            <w:div w:id="2078821230">
              <w:marLeft w:val="0"/>
              <w:marRight w:val="0"/>
              <w:marTop w:val="256"/>
              <w:marBottom w:val="256"/>
              <w:divBdr>
                <w:top w:val="none" w:sz="0" w:space="0" w:color="auto"/>
                <w:left w:val="none" w:sz="0" w:space="0" w:color="auto"/>
                <w:bottom w:val="none" w:sz="0" w:space="0" w:color="auto"/>
                <w:right w:val="none" w:sz="0" w:space="0" w:color="auto"/>
              </w:divBdr>
              <w:divsChild>
                <w:div w:id="1120301677">
                  <w:marLeft w:val="0"/>
                  <w:marRight w:val="0"/>
                  <w:marTop w:val="0"/>
                  <w:marBottom w:val="0"/>
                  <w:divBdr>
                    <w:top w:val="none" w:sz="0" w:space="0" w:color="auto"/>
                    <w:left w:val="none" w:sz="0" w:space="0" w:color="auto"/>
                    <w:bottom w:val="none" w:sz="0" w:space="0" w:color="auto"/>
                    <w:right w:val="none" w:sz="0" w:space="0" w:color="auto"/>
                  </w:divBdr>
                  <w:divsChild>
                    <w:div w:id="653141472">
                      <w:marLeft w:val="0"/>
                      <w:marRight w:val="0"/>
                      <w:marTop w:val="0"/>
                      <w:marBottom w:val="0"/>
                      <w:divBdr>
                        <w:top w:val="none" w:sz="0" w:space="0" w:color="auto"/>
                        <w:left w:val="none" w:sz="0" w:space="0" w:color="auto"/>
                        <w:bottom w:val="none" w:sz="0" w:space="0" w:color="auto"/>
                        <w:right w:val="none" w:sz="0" w:space="0" w:color="auto"/>
                      </w:divBdr>
                    </w:div>
                    <w:div w:id="11980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776306">
              <w:marLeft w:val="0"/>
              <w:marRight w:val="0"/>
              <w:marTop w:val="0"/>
              <w:marBottom w:val="0"/>
              <w:divBdr>
                <w:top w:val="none" w:sz="0" w:space="0" w:color="auto"/>
                <w:left w:val="none" w:sz="0" w:space="0" w:color="auto"/>
                <w:bottom w:val="none" w:sz="0" w:space="0" w:color="auto"/>
                <w:right w:val="none" w:sz="0" w:space="0" w:color="auto"/>
              </w:divBdr>
              <w:divsChild>
                <w:div w:id="1436707997">
                  <w:marLeft w:val="0"/>
                  <w:marRight w:val="0"/>
                  <w:marTop w:val="0"/>
                  <w:marBottom w:val="0"/>
                  <w:divBdr>
                    <w:top w:val="none" w:sz="0" w:space="0" w:color="auto"/>
                    <w:left w:val="none" w:sz="0" w:space="0" w:color="auto"/>
                    <w:bottom w:val="none" w:sz="0" w:space="0" w:color="auto"/>
                    <w:right w:val="none" w:sz="0" w:space="0" w:color="auto"/>
                  </w:divBdr>
                </w:div>
                <w:div w:id="184085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955349">
          <w:marLeft w:val="0"/>
          <w:marRight w:val="0"/>
          <w:marTop w:val="0"/>
          <w:marBottom w:val="0"/>
          <w:divBdr>
            <w:top w:val="none" w:sz="0" w:space="0" w:color="auto"/>
            <w:left w:val="none" w:sz="0" w:space="0" w:color="auto"/>
            <w:bottom w:val="none" w:sz="0" w:space="0" w:color="auto"/>
            <w:right w:val="none" w:sz="0" w:space="0" w:color="auto"/>
          </w:divBdr>
          <w:divsChild>
            <w:div w:id="128938646">
              <w:marLeft w:val="0"/>
              <w:marRight w:val="0"/>
              <w:marTop w:val="256"/>
              <w:marBottom w:val="256"/>
              <w:divBdr>
                <w:top w:val="none" w:sz="0" w:space="0" w:color="auto"/>
                <w:left w:val="none" w:sz="0" w:space="0" w:color="auto"/>
                <w:bottom w:val="none" w:sz="0" w:space="0" w:color="auto"/>
                <w:right w:val="none" w:sz="0" w:space="0" w:color="auto"/>
              </w:divBdr>
            </w:div>
          </w:divsChild>
        </w:div>
      </w:divsChild>
    </w:div>
    <w:div w:id="1214463642">
      <w:bodyDiv w:val="1"/>
      <w:marLeft w:val="0"/>
      <w:marRight w:val="0"/>
      <w:marTop w:val="0"/>
      <w:marBottom w:val="0"/>
      <w:divBdr>
        <w:top w:val="none" w:sz="0" w:space="0" w:color="auto"/>
        <w:left w:val="none" w:sz="0" w:space="0" w:color="auto"/>
        <w:bottom w:val="none" w:sz="0" w:space="0" w:color="auto"/>
        <w:right w:val="none" w:sz="0" w:space="0" w:color="auto"/>
      </w:divBdr>
    </w:div>
    <w:div w:id="1274747890">
      <w:bodyDiv w:val="1"/>
      <w:marLeft w:val="0"/>
      <w:marRight w:val="0"/>
      <w:marTop w:val="0"/>
      <w:marBottom w:val="0"/>
      <w:divBdr>
        <w:top w:val="none" w:sz="0" w:space="0" w:color="auto"/>
        <w:left w:val="none" w:sz="0" w:space="0" w:color="auto"/>
        <w:bottom w:val="none" w:sz="0" w:space="0" w:color="auto"/>
        <w:right w:val="none" w:sz="0" w:space="0" w:color="auto"/>
      </w:divBdr>
    </w:div>
    <w:div w:id="1359621661">
      <w:bodyDiv w:val="1"/>
      <w:marLeft w:val="0"/>
      <w:marRight w:val="0"/>
      <w:marTop w:val="0"/>
      <w:marBottom w:val="0"/>
      <w:divBdr>
        <w:top w:val="none" w:sz="0" w:space="0" w:color="auto"/>
        <w:left w:val="none" w:sz="0" w:space="0" w:color="auto"/>
        <w:bottom w:val="none" w:sz="0" w:space="0" w:color="auto"/>
        <w:right w:val="none" w:sz="0" w:space="0" w:color="auto"/>
      </w:divBdr>
    </w:div>
    <w:div w:id="1455058478">
      <w:bodyDiv w:val="1"/>
      <w:marLeft w:val="0"/>
      <w:marRight w:val="0"/>
      <w:marTop w:val="0"/>
      <w:marBottom w:val="0"/>
      <w:divBdr>
        <w:top w:val="none" w:sz="0" w:space="0" w:color="auto"/>
        <w:left w:val="none" w:sz="0" w:space="0" w:color="auto"/>
        <w:bottom w:val="none" w:sz="0" w:space="0" w:color="auto"/>
        <w:right w:val="none" w:sz="0" w:space="0" w:color="auto"/>
      </w:divBdr>
    </w:div>
    <w:div w:id="1510682793">
      <w:bodyDiv w:val="1"/>
      <w:marLeft w:val="0"/>
      <w:marRight w:val="0"/>
      <w:marTop w:val="0"/>
      <w:marBottom w:val="0"/>
      <w:divBdr>
        <w:top w:val="none" w:sz="0" w:space="0" w:color="auto"/>
        <w:left w:val="none" w:sz="0" w:space="0" w:color="auto"/>
        <w:bottom w:val="none" w:sz="0" w:space="0" w:color="auto"/>
        <w:right w:val="none" w:sz="0" w:space="0" w:color="auto"/>
      </w:divBdr>
    </w:div>
    <w:div w:id="1552377543">
      <w:bodyDiv w:val="1"/>
      <w:marLeft w:val="0"/>
      <w:marRight w:val="0"/>
      <w:marTop w:val="0"/>
      <w:marBottom w:val="0"/>
      <w:divBdr>
        <w:top w:val="none" w:sz="0" w:space="0" w:color="auto"/>
        <w:left w:val="none" w:sz="0" w:space="0" w:color="auto"/>
        <w:bottom w:val="none" w:sz="0" w:space="0" w:color="auto"/>
        <w:right w:val="none" w:sz="0" w:space="0" w:color="auto"/>
      </w:divBdr>
    </w:div>
    <w:div w:id="1691754983">
      <w:bodyDiv w:val="1"/>
      <w:marLeft w:val="0"/>
      <w:marRight w:val="0"/>
      <w:marTop w:val="0"/>
      <w:marBottom w:val="0"/>
      <w:divBdr>
        <w:top w:val="none" w:sz="0" w:space="0" w:color="auto"/>
        <w:left w:val="none" w:sz="0" w:space="0" w:color="auto"/>
        <w:bottom w:val="none" w:sz="0" w:space="0" w:color="auto"/>
        <w:right w:val="none" w:sz="0" w:space="0" w:color="auto"/>
      </w:divBdr>
      <w:divsChild>
        <w:div w:id="452598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987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570330">
      <w:bodyDiv w:val="1"/>
      <w:marLeft w:val="0"/>
      <w:marRight w:val="0"/>
      <w:marTop w:val="0"/>
      <w:marBottom w:val="0"/>
      <w:divBdr>
        <w:top w:val="none" w:sz="0" w:space="0" w:color="auto"/>
        <w:left w:val="none" w:sz="0" w:space="0" w:color="auto"/>
        <w:bottom w:val="none" w:sz="0" w:space="0" w:color="auto"/>
        <w:right w:val="none" w:sz="0" w:space="0" w:color="auto"/>
      </w:divBdr>
    </w:div>
    <w:div w:id="1933781911">
      <w:bodyDiv w:val="1"/>
      <w:marLeft w:val="0"/>
      <w:marRight w:val="0"/>
      <w:marTop w:val="0"/>
      <w:marBottom w:val="0"/>
      <w:divBdr>
        <w:top w:val="none" w:sz="0" w:space="0" w:color="auto"/>
        <w:left w:val="none" w:sz="0" w:space="0" w:color="auto"/>
        <w:bottom w:val="none" w:sz="0" w:space="0" w:color="auto"/>
        <w:right w:val="none" w:sz="0" w:space="0" w:color="auto"/>
      </w:divBdr>
    </w:div>
    <w:div w:id="2009281620">
      <w:bodyDiv w:val="1"/>
      <w:marLeft w:val="0"/>
      <w:marRight w:val="0"/>
      <w:marTop w:val="0"/>
      <w:marBottom w:val="0"/>
      <w:divBdr>
        <w:top w:val="none" w:sz="0" w:space="0" w:color="auto"/>
        <w:left w:val="none" w:sz="0" w:space="0" w:color="auto"/>
        <w:bottom w:val="none" w:sz="0" w:space="0" w:color="auto"/>
        <w:right w:val="none" w:sz="0" w:space="0" w:color="auto"/>
      </w:divBdr>
    </w:div>
    <w:div w:id="2143960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158F32446CC14AB628DEF250E5B85C" ma:contentTypeVersion="9" ma:contentTypeDescription="Create a new document." ma:contentTypeScope="" ma:versionID="18c7d9420ae169799ad27ca24340e0ef">
  <xsd:schema xmlns:xsd="http://www.w3.org/2001/XMLSchema" xmlns:xs="http://www.w3.org/2001/XMLSchema" xmlns:p="http://schemas.microsoft.com/office/2006/metadata/properties" xmlns:ns3="451edc00-6c46-4fa5-887a-f47e9442fb0f" targetNamespace="http://schemas.microsoft.com/office/2006/metadata/properties" ma:root="true" ma:fieldsID="260b6023bd9e5e021a389c888cc782dd" ns3:_="">
    <xsd:import namespace="451edc00-6c46-4fa5-887a-f47e9442fb0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1edc00-6c46-4fa5-887a-f47e9442fb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D4EC8-0149-4FBE-9E72-D4EA35060130}">
  <ds:schemaRefs>
    <ds:schemaRef ds:uri="http://purl.org/dc/elements/1.1/"/>
    <ds:schemaRef ds:uri="http://www.w3.org/XML/1998/namespace"/>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451edc00-6c46-4fa5-887a-f47e9442fb0f"/>
    <ds:schemaRef ds:uri="http://purl.org/dc/dcmitype/"/>
  </ds:schemaRefs>
</ds:datastoreItem>
</file>

<file path=customXml/itemProps2.xml><?xml version="1.0" encoding="utf-8"?>
<ds:datastoreItem xmlns:ds="http://schemas.openxmlformats.org/officeDocument/2006/customXml" ds:itemID="{C779B541-5E6F-451F-8DC5-59DA063CE23A}">
  <ds:schemaRefs>
    <ds:schemaRef ds:uri="http://schemas.microsoft.com/sharepoint/v3/contenttype/forms"/>
  </ds:schemaRefs>
</ds:datastoreItem>
</file>

<file path=customXml/itemProps3.xml><?xml version="1.0" encoding="utf-8"?>
<ds:datastoreItem xmlns:ds="http://schemas.openxmlformats.org/officeDocument/2006/customXml" ds:itemID="{6FF1F1AE-88C4-427D-AF9A-B5AD8E0C84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1edc00-6c46-4fa5-887a-f47e9442f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D45F5F-02B0-45FF-BA41-A146B354C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3060</Words>
  <Characters>17447</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Black</dc:creator>
  <cp:keywords/>
  <dc:description/>
  <cp:lastModifiedBy>Bhandari, Vineet</cp:lastModifiedBy>
  <cp:revision>2</cp:revision>
  <dcterms:created xsi:type="dcterms:W3CDTF">2023-04-20T14:20:00Z</dcterms:created>
  <dcterms:modified xsi:type="dcterms:W3CDTF">2023-04-20T14:20:00Z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0x0101003A158F32446CC14AB628DEF250E5B85C</vt:lpwstr>
  </property>
  <property fmtid="{D5CDD505-2E9C-101B-9397-08002B2CF9AE}" pid="3" name="BibliographyTitle">
    <vt:lpwstr>References</vt:lpwstr>
  </property>
  <property fmtid="{D5CDD505-2E9C-101B-9397-08002B2CF9AE}" pid="4" name="SelectedBibliographyStyleName">
    <vt:lpwstr>American Medical Association</vt:lpwstr>
  </property>
  <property fmtid="{D5CDD505-2E9C-101B-9397-08002B2CF9AE}" pid="5" name="MediaServiceImageTags">
    <vt:lpwstr/>
  </property>
</Properties>
</file>