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Supplementary Table 1. Characteristics of included studies evaluating supplementation and physiotherapy interventions for metabolic bone disease of prematurity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6.9831127339114"/>
        <w:gridCol w:w="1078.52122318576"/>
        <w:gridCol w:w="1090.3514376996807"/>
        <w:gridCol w:w="1670.031948881789"/>
        <w:gridCol w:w="1528.069374714742"/>
        <w:gridCol w:w="1877.0607028753993"/>
        <w:gridCol w:w="1717.3528069374715"/>
        <w:gridCol w:w="2119.580100410771"/>
        <w:gridCol w:w="972.0492925604747"/>
        <w:tblGridChange w:id="0">
          <w:tblGrid>
            <w:gridCol w:w="906.9831127339114"/>
            <w:gridCol w:w="1078.52122318576"/>
            <w:gridCol w:w="1090.3514376996807"/>
            <w:gridCol w:w="1670.031948881789"/>
            <w:gridCol w:w="1528.069374714742"/>
            <w:gridCol w:w="1877.0607028753993"/>
            <w:gridCol w:w="1717.3528069374715"/>
            <w:gridCol w:w="2119.580100410771"/>
            <w:gridCol w:w="972.0492925604747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Author, Year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Study design (Oxford level of evidence)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Study Population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Intervention Group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Control Group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Inclusion and Exclusion Criteria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Outcomes (primary and secondary)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Key Results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Intervention Type</w:t>
            </w:r>
          </w:p>
        </w:tc>
      </w:tr>
      <w:tr>
        <w:trPr>
          <w:cantSplit w:val="0"/>
          <w:trHeight w:val="3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Rustico et al., 2014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3b (Case Control)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32 preterm infants (&lt;37 weeks’ gestation) with metabolic bone disease (MBD) and secondary hyperparathyroidism (PTH &gt;100 pg/mL)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Calcitriol treatment (enteral or intravenous); median dose 0.08 µg/kg/day for median 207 days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• GA &lt; 37 weeks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•  Radiographic evidence of bone demineralisation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•  PTH &gt; 100 pg/mL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•  Calcitriol treatment between 1–12 months after birth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•  Significant renal insufficiency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•  Suspected vitamin D metabolism or parathyroid hormone defect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•  No post-treatment PTH monitoring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Association of calcitriol therapy with biochemical markers of bone disease (PTH, calcium, phosphate, alkaline phosphatase, TRP, urine Ca/Cr)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Significant decrease in PTH (220 → 25 pg/mL, p &lt; 0.001)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Increase in serum calcium (9.9 → 10.3 mg/dL, p &lt; 0.001)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Increase in phosphate (4.3 → 5.4 mg/dL, p = 0.001)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Increase in TRP (81 → 91.5%, p = 0.03)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change in alkaline phosphatase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• Transient hypercalcemia with hypercalciuria in 3/32, resolved after dose reduction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29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Shiva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78 preterm infants (&lt;32 weeks or &lt;1500g)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Continuous infusion of calcium gluconate (4-5ml/kg/day) (n=40)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Intermittent bolus administration (1-2ml/kg/dose 3-4 times/day) (n=38)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• gestational age at birth &lt;32 weeks or birth weight &lt; 1500g.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• infants with severe asphyxia, chromosomal abnormalities, congenital metabolic abnormalities, malignancy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• maternal history of hyperparathyroidism and/or vitamin D disorders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Primary: Incidence of MBDP based on serum ALP &gt; 900 IU/L and serum phosphorus &lt; 5.6 mg/dL.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Secondary: Serum Ca, phosphate, ALP, vitamin D, and PTH levels.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Day 45 mean serum ALP significantly higher in intermittent bolus group (988.2 vs 753.2 IU/L, p=0.031).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Significantly more infants in intermittent bolus group met criteria for MBDP diagnosis (20/38 vs 10/40, p&lt;0.05).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4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Körnmann, 2017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109 preterm infants with BW &lt;1500g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Group C (n = 37): Mother’s own milk (MOM) + preterm formula + early fortification (&gt;50 mL/day from day 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Group A (n = 40): MOM + donor milk (unfortified)                                          Group B (n = 32): MOM + preterm formula (unfortified)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• preterm infants with a weight &lt;1500g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• parental written consent before first enteral feed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• congenital malformations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• congenital infection proven within 72hr after birth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• perinatal asphyxia with a pH &lt;7.0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• maternal drugs and/or alcohol use during pregnancy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• any intake of cow's milk based products prior to randomisation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Growth (weight, length) and bone mineralization at term corrected age (TCA) measured by dual-energy X-ray absorptiometry (DXA)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differences in weight, length, BMC, or BMD between groups.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• Phosphorus intake positively associated with length (p=0.048).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• Calcium intake negatively associated with BMC (p&lt;0.001).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• Human milk volume positively associated with BMC (p=0.017).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• Interaction between Ca and P only for BMD (p=0.036).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• Higher early Ca and P intake did not improve bone mineralization at TCA.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33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Lee, 2022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2b (Retrospective Cohort)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87 premature infants with BW &lt;1200g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High calcium group (n=40): Parenteral nutrition containing ~2 mmol/kg/day calcium (1.8–2.2 mmol/kg/day) and 1.7 mmol/kg/day phosphorus using sodium glycerophosphate (organic phosphate)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Low calcium group (n=47): Parenteral nutrition containing 1.3 mmol/kg/day calcium and 1.3 mmol/kg/day phosphorus using inorganic phosphate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• premature infants with birth weight less than 1200g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• any baby that died before end of study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• infants transferred to another hospital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radiological metabolic bone disease (MBD)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hyperphosphatasia (ALP &gt;800 IU/L)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and duration of hypophosphataemia (serum phosphate &lt;1.33 mmol/L)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• Longitudinal ALP, calcium, phosphate levels (0–12 weeks)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• Growth (length z-score from birth to 37 weeks)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• Radiological MBD: 0/40 (High Ca) vs 6/47 (Low Ca), p=0.02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• Fractures: 0 vs 1 (ns)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• ALP &gt;800 IU/L: 2/40 vs 9/47, p=0.048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• Hypophosphataemia &gt;2 weeks: 3/40 vs 20/47, p=0.0002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• ALP significantly lower and serum calcium/phosphate higher across 12 weeks (ALP significantly lower (p &lt; 0.0001))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• No difference in drop in length z-score (p=0.288)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• No adverse events or nephrocalcinosis reported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4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Motokura, 2021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2b (Retrospective Cohort)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• 48 extremely low-birth-weight (ELBW) infants (&lt;1000 g)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• 22 infants in low-phosphorus (P) group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• 26 infants in high-phosphorus (P) group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High-P group (n = 26):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• Received parenteral calcium (Ca) and phosphorus (P) simultaneously from day 1 via double-lumen catheter.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• Mean daily PN intake (first week): Ca = 32.7 mg/kg/day; P = 17.3 mg/kg/day.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• Amino acids = 2.1 g/kg/day.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Low-P group (n = 22):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• Received Ca initially (40–64 mg/kg/day) with delayed P (days 2–4), not given concurrently.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• Mean daily PN intake (first week): Ca = 21.7 mg/kg/day; P = 9.0 mg/kg/day.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• Amino acids = 1.8 g/kg/day.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• ELBW infants (&lt;1000 g) born and admitted to Kyoto University Hospital between 2011–2017.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• In-hospital death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• Transfer to another facility</w:t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• Cholestasis (direct bilirubin &gt; 2 mg/dL)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• Major congenital or chromosomal abnormalities</w:t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• Congenital bone or neuromuscular disease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Primary outcomes: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• Biochemical markers of MBD – serum alkaline phosphatase (ALP), serum Ca, serum P, urinary Ca:Cr ratio (uCa/Cr), and tubular reabsorption of phosphate (%TRP).</w:t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Incidence of secondary hyperparathyroidism (ALP &gt; 1300 IU/L, P &lt; 5 mg/dL, %TRP ≤ 93%).</w:t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Secondary outcomes: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Radiological changes (Koo grade ≥ 2).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• Requirement for alfacalcidol therapy.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bone fractures.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• Mean daily Ca and P intake significantly higher in high-P group (Ca p = 0.001; P p &lt; 0.001).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• Serum ALP significantly higher in low-P group (1685 vs 1270 IU/L; p = 0.014).</w:t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• Alfacalcidol use: 64% in low-P vs 3.8% in high-P (p &lt; 0.001).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• No difference in serum Ca, P, or %TRP.</w:t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Trend toward fewer x-ray changes (23% → 7.7%; p = 0.141).</w:t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• No bone fractures reported.</w:t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• Conclusion: High-P intake enabled higher Ca intake, reduced ALP, and decreased need for alfacalcidol without adverse skeletal effects.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39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Sureshchandra,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2b (Retrospective Cohort)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188 preterm infants &lt;29w GA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PN2 group (n=85) – received parenteral nutrition with higher calcium and phosphate concentrations (Ca 2.3 mmol/kg/day, P 1.8 mmol/kg/day; Ca:P ratio 1.3:1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PN1 group (n=103) – received standard PN formulation with lower calcium and phosphate (Ca 1.6 mmol/kg/day, P 1.4 mmol/kg/day; Ca:P ratio 1.1; inorganic phosphate)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Inclusion:</w:t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• Infants born &lt;29 weeks’ gestation and admitted to NICU within 24 h of birth.                                          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Exclusion:</w:t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• Infants admitted &gt;24 h after birth.</w:t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• Discharged/transferred/died before 6-week MBDP screening.</w:t>
            </w:r>
          </w:p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• Born during washout period (Jan–May 2018).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•Primary Outcome: Incidence and severity of MBDP (radiologically graded 0–3).</w:t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•Secondary Outcomes: Serum Ca, phosphate, ALP, PTH, vitamin D, TRP at 6 weeks; diagnostic sensitivity/specificity of biomarkers; adverse events (hypercalcemia, hypophosphatemia, nephrocalcinosis).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• MBDP incidence decreased from 82.8% (77/93) in PN1 to 47.3% (27/57) in PN2.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Grade 2–3 MBDP eliminated in PN2 group (14% → 0%, p&lt;0.01).</w:t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• Serum phosphate &lt;1.5 mmol/L: sensitivity 79%, specificity 77%.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• ALP &gt;500 U/L: sensitivity 72%, specificity 71%.</w:t>
            </w:r>
          </w:p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• Higher Ca and P levels during PN in PN2 group (p&lt;0.01).</w:t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• No increase in nephrocalcinosis (23% vs 28%, p=0.99).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• No hypocalcemia in PN2; mild hypercalcemia increase without adverse outcomes.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4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Torabi, 2014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40 premature neonates (&lt;37 weeks, &lt;2500g)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Calcium + Phosphorus + Vitamin D supplements (n=20)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Vitamin D 400 units daily only (n=20)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• GA &lt;37 wks, BW &lt;2500g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• medically stable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• only breastfed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• neonates w/ TPN and NPO for &gt;1wk, receiving medications interfering w/ Vitamin D metabolism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•  infants sepsis syndrome, signifciant respiratory, neurologic, renal, genetic, cardiovascular, hepatic or GI diseases</w:t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•  maternal osteomalacia, diabetes, parathyroid gland disease and renal disorders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Radiological evidence of osteopenia and biochemical markers.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No significant radiological changes of osteopenia in treatment group (40% vs 65%, p&lt;0.113).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No significant effects on calcium, phosphorus, and alkaline phosphatase levels.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43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Angelika, 2021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2b (Prospective cohort study)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30 preterm infants (&lt;32 weeks, &lt;1500g)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All infants received PN containing calcium but no phosphate supplementation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No comparison group (observational only)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• GA &lt;32 weeks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• BW &lt;1500g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• Multiple congenital anomalies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• Congenital heart defects with fluid restriction</w:t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• Asphyxia</w:t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• Maternal diabetes</w:t>
            </w:r>
          </w:p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• Long-term corticosteroid (&gt;2 weeks), furosemide (&gt;2 weeks), or aminophylline (&gt;1 month) use</w:t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• Death before bone mineralization measurement</w:t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• Withdrawal or no parental consent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Primary Outcome:</w:t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osteopenia of prematurity (OFP) based on wrist radiographs (Koo’s grading).</w:t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• Serum ALP levels at start, end of PN, and discharge.</w:t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Secondary Outcome: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• Relationship between PN duration and OFP incidence.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OFP: 43% (13/30 infants).</w:t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• Duration of PN: Longer in OFP group (16 vs 12 days, p=0.018).</w:t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PN &gt;15 days ↑ risk of OFP (OR 5.40; 95% CI 1.12–26.04; p=0.035).</w:t>
            </w:r>
          </w:p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• ALP levels: Increased over time and were higher in OFP group (429±260 vs 252±72 U/L; p=0.01).</w:t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• Positive correlation between PN duration and ALP levels (ρ=0.488; p=0.006).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48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Chang,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2b (Retrospective Cohort)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402 preterm neonates (&lt;37 weeks) receiving PN for ≥7 days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 Sodium glycerophosphate (SGP) used in parenteral nutrition (n = 205)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Inorganic phosphate (IP) used in parenteral nutrition (n = 197)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• gestational age of less than 37 weeks</w:t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• admitted to the neonatal intensive care unit of Changhua Christian Children’s Hospital</w:t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• received parenteral nutrition for at least 7 days</w:t>
            </w:r>
          </w:p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•  time period: between January 2019 and September 2021</w:t>
            </w:r>
          </w:p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52 patients were excluded</w:t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• 26 for whom data were incomplete or who were lost to follow-up after discharge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• 14 had gastrointestinal tract malformations requiring surgery, complex congenital heart disease, or chromosomal abnormalities</w:t>
            </w:r>
          </w:p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• 12 died before discharge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Primary outcomes:</w:t>
            </w:r>
          </w:p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•  Metabolic bone disease (MBD) of prematurity.</w:t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• Serum calcium, phosphate, ALP, creatinine.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•  Growth parameters (weight, length, head circumference) up to 1 year.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Secondary outcomes:</w:t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seizures, AKI, BPD, electrolyte imbalance (hypocalcemia, hypophosphatemia, etc.), ROP, NEC, IVH.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• Calcium &amp; phosphate content in PN significantly higher with SGP across all 4 weeks.</w:t>
            </w:r>
          </w:p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Serum phosphate ↑ (4.0 ± 1.2 vs. 3.5 ± 1.3 mg/dL, p = 0.001).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Serum ALP ↓ (402.8 ± 202.8 vs. 466.4 ± 228.6 U/L, p = 0.004).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% ALP &gt;500 ↓ (24.6% vs. 37.6%, p = 0.007).</w:t>
            </w:r>
          </w:p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Hypocalcemia ↑ (41.5% vs. 31.5%, p = 0.038).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Seizure incidence ↓ (4.9% vs. 13.2%, p = 0.003).</w:t>
            </w:r>
          </w:p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• No difference in MBD, growth, or other morbidities (ROP, NEC, IVH, BPD, AKI).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3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Alizade, 2006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68 preterm infants (&lt;38 weeks, &lt;2000g)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Group A: 400 IU/day vitamin D (n=32)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Group B: 1000 IU/day vitamin D (n=36)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• Gestational age &lt;38 weeks</w:t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• Birth weight &lt;2000 g</w:t>
            </w:r>
          </w:p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• Maternal use of anticonvulsants, diuretics, corticosteroids</w:t>
            </w:r>
          </w:p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• Maternal diabetes mellitus</w:t>
            </w:r>
          </w:p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• Previous IUGR/SGA baby</w:t>
            </w:r>
          </w:p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• Infant on furosemide chronically or NPO &gt;2 weeks</w:t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• Failure to comply with supplementation/radiography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• Primary outcomes: Serum calcium, phosphate, and alkaline phosphatase at 9 weeks; clinical and radiological evidence of rickets</w:t>
            </w:r>
          </w:p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• Secondary outcomes: Anthropometric measurements, duration of supplementation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differences in mean serum calcium (9.83 vs 9.71 mg/dL, p=0.326), phosphate (5.55 vs 5.44 mg/dL, p=0.466), or alkaline phosphatase (602.5 vs 633.3 IU/L, p=0.147).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• No radiological or clinical evidence of rickets in either group.</w:t>
            </w:r>
          </w:p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• Four infants (two in each group) had wide fontanelle without other rickets signs; one had hypothyroidism.</w:t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• Concluded that 400 IU/day vitamin D was sufficient for prevention of osteopenia of prematurity.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43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Kołodziejczyk-Nowotarska, 2021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109 preterm infants (24-32 weeks)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Monitored vitamin D therapy with dose adjustment (n=54)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Standard vitamin D therapy (500 IU/day + nutrition, ~800-1000 IU/day) (n=55)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• preterm infants born between 24 0/7–32 6/7 weeks gestational age</w:t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• admitted within 48 hours postnatally</w:t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•  caregivers provided written informed consent</w:t>
            </w:r>
          </w:p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• gestational age &gt;32 6/7 weeks</w:t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• infants with major congenital abnormalities, cholestasis, or severe illness incompatible with survival at birth</w:t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•  lack of consent or communication difficulties with caregivers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Primary:</w:t>
            </w:r>
          </w:p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• Number of neonates with deficient or excess 25(OH)D at 40 ± 2 weeks PCA.</w:t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Secondary:</w:t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• 25(OH)D at 35 and 52 weeks PCA</w:t>
            </w:r>
          </w:p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• Incidence of MBD (osteopenia)</w:t>
            </w:r>
          </w:p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• Vitamin D toxicity, hypercalcemia / hypercalciuria</w:t>
            </w:r>
          </w:p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• Nephrolithiasis and SOS (Z-score)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• At 52 weeks PCA, a higher percentage of monitored infants had safe vitamin D levels (93% vs 70%; p = 0.017).</w:t>
            </w:r>
          </w:p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• Mean 25(OH)D lower in monitored vs control (50.6 ± 18.3 vs 62.2 ± 25.3 ng/mL; p = 0.03).</w:t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23% of control group had to stop supplementation due to toxic levels (≥90 ng/mL).</w:t>
            </w:r>
          </w:p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• Vitamin D toxicity biochemical markers in 2 control infants and nephrolithiasis in 5 infants with very high levels.</w:t>
            </w:r>
          </w:p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difference in MBD incidence (4–12%), bone mass (SOS Z-score), or TRP indices between groups.</w:t>
            </w:r>
          </w:p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• Monitored group avoided excess vitamin D without increasing deficiency risk.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Supplementation</w:t>
            </w:r>
          </w:p>
        </w:tc>
      </w:tr>
      <w:tr>
        <w:trPr>
          <w:cantSplit w:val="0"/>
          <w:trHeight w:val="3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Aly et al, 2004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1b (Double-blind randomized controlled trial)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30 preterm infants (28-35 weeks)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• Combined massage + passive physical activity</w:t>
            </w:r>
          </w:p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• Daily sessions until infants reached 1.8 kg</w:t>
            </w:r>
          </w:p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• 5 repetitions of flexion–extension and compression at wrists, elbows, shoulders, knees, hips, and ankles</w:t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• Gentle stroking massage (around 1 min per body region, prone position)</w:t>
            </w:r>
          </w:p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• Vital signs monitored before, during, and after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Standard care (n=15)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Inclusion:</w:t>
            </w:r>
          </w:p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GA ≤ 35 weeks</w:t>
            </w:r>
          </w:p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• Postnatal age &lt; 2 weeks</w:t>
            </w:r>
          </w:p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• Tolerating full enteral feeds</w:t>
            </w:r>
          </w:p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• Not receiving medications except vitamin supplementation</w:t>
            </w:r>
          </w:p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Exclusion:</w:t>
            </w:r>
          </w:p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• Congenital malformations</w:t>
            </w:r>
          </w:p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• Asphyxia</w:t>
            </w:r>
          </w:p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• Musculoskeletal, hepatic, or renal disease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Biochemical markers of bone metabolism: serum PICP (bone formation), urinary Pyd (bone resorption), serum calcium, alkaline phosphatase, and PTH.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• increase PICP in intervention (62.5 to 73.8 ng/mL, p &lt; 0.01) vs decrease PICP in control (82.3 to 68.8 ng/mL, p &lt; 0.01); between-group p &lt; 0.001 to increase bone formation</w:t>
            </w:r>
          </w:p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• increase Serum Ca greater in intervention ( +19.5 % vs +4.3 %, p = 0.002 )</w:t>
            </w:r>
          </w:p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increase PTH in intervention ( 8.3 → 15.1 pg/mL ) vs ↓ in control ( 33 → 25.7 pg/mL ), p &lt; 0.001</w:t>
            </w:r>
          </w:p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• Pyd increased in both groups, no between-group difference , no increase in resorption</w:t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• ALP unchanged in both groups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Physiotherapy </w:t>
            </w:r>
          </w:p>
        </w:tc>
      </w:tr>
      <w:tr>
        <w:trPr>
          <w:cantSplit w:val="0"/>
          <w:trHeight w:val="45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El-Farrash et al., 2019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36 VLBW preterm infants (≤32 weeks, ≤1500g)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• Passive range-of-motion exercises with gentle compression, flexion, and extension of all limb joints (shoulder, elbow, wrist, hip, knee, ankle) (n=18)</w:t>
            </w:r>
          </w:p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• Duration: 10 min/day, 5 days/week for 4 weeks</w:t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• Based on Moyer-Mileur protocol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• Tactile stimulation only (holding and stroking without joint movement) (n=18)</w:t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• Same duration and schedule as intervention</w:t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• Standard neonatal care and nutrition provided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Preterm infants ≤ 32 weeks’ gestation</w:t>
            </w:r>
          </w:p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Birth weight ≤ 1500 g and appropriate for GA</w:t>
            </w:r>
          </w:p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Postnatal age ≤ 1 week</w:t>
            </w:r>
          </w:p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• Medically stable and not receiving physiotherapy for other indications</w:t>
            </w:r>
          </w:p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• Major congenital or acquired anomalies (respiratory, cardiac, neural-tube, abdominal-wall, chromosomal)</w:t>
            </w:r>
          </w:p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• Grade III–IV IVH or septic shock</w:t>
            </w:r>
          </w:p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• Major surgery within first 2 weeks of life</w:t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• Use of diuretics, methylxanthines, or corticosteroids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• Anthropometric measurements (weight, length, OFC, rate of gain)</w:t>
            </w:r>
          </w:p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• Biochemical markers of bone mineralisation (Ca, PO₄, Mg, ALP, urinary Ca/PO₄ ratio, serum CTX)</w:t>
            </w:r>
          </w:p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• Radiological assessments via DEXA (BMC, BMD, bone area, lean mass, fat mass)</w:t>
            </w:r>
          </w:p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Secondary outcomes:</w:t>
            </w:r>
          </w:p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• Feeding tolerance and time to full enteral feeds</w:t>
            </w:r>
          </w:p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• Length of hospital stay</w:t>
            </w:r>
          </w:p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• Complications of prematurity</w:t>
            </w:r>
          </w:p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• Adverse effects of exercise protocol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• Increase in median daily weight gain in the exercise group (34.7 vs 17.6 g/day, p &lt; 0.001)</w:t>
            </w:r>
          </w:p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• Increase in whole-body BMD (0.5 vs 0.4 g/cm², p &lt; 0.001)</w:t>
            </w:r>
          </w:p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• Increase in serum phosphate (p = 0.001)</w:t>
            </w:r>
          </w:p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• Decrease in ALP (p = 0.005)</w:t>
            </w:r>
          </w:p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• Decrease in urinary Ca/PO₄ ratio (p = 0.04)</w:t>
            </w:r>
          </w:p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• Decrease in neonatal morbidity (p &lt; 0.006)</w:t>
            </w:r>
          </w:p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change in serum Ca, Mg, or CTX</w:t>
            </w:r>
          </w:p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• No adverse events reported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Physiotherapy </w:t>
            </w:r>
          </w:p>
        </w:tc>
      </w:tr>
      <w:tr>
        <w:trPr>
          <w:cantSplit w:val="0"/>
          <w:trHeight w:val="3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Torró-Ferrero et al., 2022a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46 preterm infants (29-34 weeks)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RLT (reflex locomotion therapy) group (n=17) - 16 min/day (2 × 8 min sessions), 5 days/week for 4 weeks.</w:t>
            </w:r>
          </w:p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PMC (passive mobilization with joint compression) group (n=14)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Control group received massage (n=15)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• Preterm infants in NICU</w:t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• Clinically stable and on full enteral feeds</w:t>
            </w:r>
          </w:p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• Born between 29 and 34 weeks GA</w:t>
            </w:r>
          </w:p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• Grade III–IV IVH or NEC requiring surgery</w:t>
            </w:r>
          </w:p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• Congenital malformations or metabolic/genetic disease</w:t>
            </w:r>
          </w:p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• Mechanical ventilation during full enteral feeding</w:t>
            </w:r>
          </w:p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• Use of diuretics/corticosteroids or presence of bone fractures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Primary Outcome: Tibial Speed of Sound (Tibial-SOS; marker of bone mineralisation) measured by quantitative ultrasound.</w:t>
            </w:r>
          </w:p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Secondary Outcomes: Weight, length, and head circumference (Z-scores).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• Tibial-SOS significantly higher in RLT group vs control (mean difference 26.66, p = 0.001) and vs PMC group (mean difference 19.6, p = 0.015).</w:t>
            </w:r>
          </w:p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differences between PMC and massage groups.</w:t>
            </w:r>
          </w:p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• All groups showed some loss of bone mineralisation, least pronounced in RLT group.</w:t>
            </w:r>
          </w:p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• No adverse effects or fractures reported.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Physiotherapy </w:t>
            </w:r>
          </w:p>
        </w:tc>
      </w:tr>
      <w:tr>
        <w:trPr>
          <w:cantSplit w:val="0"/>
          <w:trHeight w:val="36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Torró-Ferrero et al., 2022b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106 preterm infants (26–34 weeks’ GA), medically stable and on full enteral feeds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• RLT group (n = 38) – Reflex locomotion therapy 16 min/day (2 × 8 min sessions), 5 days/week for 4 weeks</w:t>
            </w:r>
          </w:p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• PMC group (n = 32) – Passive mobilisation with gentle joint compression 15 min/day × 5 days/week × 4 weeks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Massage control group (n = 36) – 15 min/day gentle massage, 5 days/week for 4 weeks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Inclusion criteria:</w:t>
            </w:r>
          </w:p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• Gestational age 26–34 weeks</w:t>
            </w:r>
          </w:p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• Haemodynamically stable</w:t>
            </w:r>
          </w:p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• Receiving full enteral nutrition</w:t>
            </w:r>
          </w:p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Exclusion criteria:</w:t>
            </w:r>
          </w:p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•  Neurological, metabolic or genetic disorders</w:t>
            </w:r>
          </w:p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• Severe IVH (Grades III–IV)</w:t>
            </w:r>
          </w:p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•  BPD, mechanical ventilation, or NEC requiring surgery</w:t>
            </w:r>
          </w:p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• Fractures or use of diuretics/corticosteroids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• Primary: Bone biomarkers – osteocalcin (OC), NTx (serum &amp; urine), and β-CTx</w:t>
            </w:r>
          </w:p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• Secondary: Anthropometric measures (weight, length, head circumference)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• Significant increase in osteocalcin (OC) in the RLT group vs PMC and control (p = 0.013).</w:t>
            </w:r>
          </w:p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– increased OC (61.6 to 99.7 ng/mL, p &lt; 0.001); EGpmc increased (p = 0.016); CG no change.</w:t>
            </w:r>
          </w:p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• No significant differences in NTx (urine/serum) or β-CTx between groups.</w:t>
            </w:r>
          </w:p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• Height significantly increased in RLT group (p = 0.018); weight and head circumference increased similarly in all groups.</w:t>
            </w:r>
          </w:p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• No adverse events or pain observed (NIPS ≤ 2).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Physiotherapy</w:t>
            </w:r>
          </w:p>
        </w:tc>
      </w:tr>
      <w:tr>
        <w:trPr>
          <w:cantSplit w:val="0"/>
          <w:trHeight w:val="43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Vignochi et al., 2008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1b (RCT)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29 preterm infants (GA 26–34 weeks, BW &lt;1600 g) admitted to NICU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Motor physical therapy for 15 min daily, 5×/week until discharge (n = 15). Passive range-of-motion and gentle joint compressions on upper/lower limbs and thorax, based on the Moyer-Mileur protocol.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  <w:t xml:space="preserve">Standard care (n = 14): routine nursing and maternal care without structured passive movement or compressions.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Inclusion:</w:t>
            </w:r>
          </w:p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• Preterm infants (GA 26–34 wks, BW &lt;1600 g)</w:t>
            </w:r>
          </w:p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• Clinically stable and appropriate for GA</w:t>
            </w:r>
          </w:p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• No associated disease other than prematurity</w:t>
            </w:r>
          </w:p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• Tolerating full enteral feeds (around 110 kcal/kg/day)</w:t>
            </w:r>
          </w:p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Exclusion:</w:t>
            </w:r>
          </w:p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  <w:t xml:space="preserve">• Severe periventricular haemorrhage (Grade III–IV)</w:t>
            </w:r>
          </w:p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  <w:t xml:space="preserve">• Severe sepsis</w:t>
            </w:r>
          </w:p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  <w:t xml:space="preserve">• Use of diuretics or corticosteroids</w:t>
            </w:r>
          </w:p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• Need for mechanical ventilation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  <w:t xml:space="preserve">Bone mineralization (BMC, BMD, bone area) and growth parameters (weight, length, lean/fat mass).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The PT group had significantly greater:</w:t>
            </w:r>
          </w:p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• Daily weight gain: 27.4 ± 2.4 g vs 21.0 ± 4.4 g (p &lt; 0.001)</w:t>
            </w:r>
          </w:p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• Length gain: 1.3 ± 0.3 cm/week vs 0.8 ± 0.2 cm/week (p &lt; 0.001)</w:t>
            </w:r>
          </w:p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• BMC gain: 434 ± 247.5 mg vs –8.9 ± 11.4 mg (p &lt; 0.001)</w:t>
            </w:r>
          </w:p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• BMD gain: 8.4 ± 5.6 mg/cm² vs –3.1 ± 5.5 mg/cm² (p &lt; 0.001)</w:t>
            </w:r>
          </w:p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• Bone area gain: 10.3 ± 5.0 cm² vs 1.5 ± 2.0 cm² (p &lt; 0.001)</w:t>
            </w:r>
          </w:p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  <w:t xml:space="preserve">• Lean mass gain: 271 ± 21 g vs 109 ± 12 g (p &lt; 0.009).</w:t>
            </w:r>
          </w:p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No significant difference in fat mass (p = 0.43). Serum Ca, P, and PTH unchanged.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Physiotherapy </w:t>
            </w:r>
          </w:p>
        </w:tc>
      </w:tr>
    </w:tbl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Abbreviations:</w:t>
      </w:r>
    </w:p>
    <w:p w:rsidR="00000000" w:rsidDel="00000000" w:rsidP="00000000" w:rsidRDefault="00000000" w:rsidRPr="00000000" w14:paraId="000001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MBD = metabolic bone disease</w:t>
        <w:br w:type="textWrapping"/>
        <w:t xml:space="preserve"> MBDP = metabolic bone disease of prematurity</w:t>
        <w:br w:type="textWrapping"/>
        <w:t xml:space="preserve"> PN = parenteral nutrition</w:t>
        <w:br w:type="textWrapping"/>
        <w:t xml:space="preserve"> ALP = alkaline phosphatase</w:t>
        <w:br w:type="textWrapping"/>
        <w:t xml:space="preserve"> PTH = parathyroid hormone</w:t>
        <w:br w:type="textWrapping"/>
        <w:t xml:space="preserve"> TRP = tubular reabsorption of phosphate</w:t>
        <w:br w:type="textWrapping"/>
        <w:t xml:space="preserve"> BMD = bone mineral density</w:t>
        <w:br w:type="textWrapping"/>
        <w:t xml:space="preserve"> BMC = bone mineral content</w:t>
        <w:br w:type="textWrapping"/>
        <w:t xml:space="preserve"> RCT = randomized controlled trial</w:t>
        <w:br w:type="textWrapping"/>
        <w:t xml:space="preserve"> ELBW = extremely low birth weight</w:t>
        <w:br w:type="textWrapping"/>
        <w:t xml:space="preserve"> VLBW = very low birth weight</w:t>
        <w:br w:type="textWrapping"/>
        <w:t xml:space="preserve"> DXA = dual-energy X-ray absorptiometry</w:t>
        <w:br w:type="textWrapping"/>
        <w:t xml:space="preserve"> GA = gestational age</w:t>
        <w:br w:type="textWrapping"/>
        <w:t xml:space="preserve"> BW = birth weight</w:t>
      </w:r>
    </w:p>
    <w:p w:rsidR="00000000" w:rsidDel="00000000" w:rsidP="00000000" w:rsidRDefault="00000000" w:rsidRPr="00000000" w14:paraId="000001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Levels of evidence classified according to the Oxford Centre for Evidence-Based Medicine criteria.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