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13FEF" w14:textId="0AAD8BC1" w:rsidR="000B5288" w:rsidRPr="000B426B" w:rsidRDefault="000B5288">
      <w:pPr>
        <w:rPr>
          <w:rFonts w:ascii="Arial" w:hAnsi="Arial" w:cs="Arial"/>
          <w:b/>
          <w:sz w:val="22"/>
          <w:szCs w:val="22"/>
        </w:rPr>
      </w:pPr>
      <w:r w:rsidRPr="000B426B">
        <w:rPr>
          <w:rFonts w:ascii="Arial" w:hAnsi="Arial" w:cs="Arial"/>
          <w:b/>
          <w:sz w:val="22"/>
          <w:szCs w:val="22"/>
        </w:rPr>
        <w:t xml:space="preserve">ZBTB46 is a </w:t>
      </w:r>
      <w:r w:rsidR="00CF28FF">
        <w:rPr>
          <w:rFonts w:ascii="Arial" w:hAnsi="Arial" w:cs="Arial"/>
          <w:b/>
          <w:sz w:val="22"/>
          <w:szCs w:val="22"/>
        </w:rPr>
        <w:t>shear</w:t>
      </w:r>
      <w:r w:rsidRPr="000B426B">
        <w:rPr>
          <w:rFonts w:ascii="Arial" w:hAnsi="Arial" w:cs="Arial"/>
          <w:b/>
          <w:sz w:val="22"/>
          <w:szCs w:val="22"/>
        </w:rPr>
        <w:t xml:space="preserve"> sensitive transcription factor inhibit</w:t>
      </w:r>
      <w:r w:rsidR="00CF28FF">
        <w:rPr>
          <w:rFonts w:ascii="Arial" w:hAnsi="Arial" w:cs="Arial"/>
          <w:b/>
          <w:sz w:val="22"/>
          <w:szCs w:val="22"/>
        </w:rPr>
        <w:t>ing</w:t>
      </w:r>
      <w:r w:rsidRPr="000B426B">
        <w:rPr>
          <w:rFonts w:ascii="Arial" w:hAnsi="Arial" w:cs="Arial"/>
          <w:b/>
          <w:sz w:val="22"/>
          <w:szCs w:val="22"/>
        </w:rPr>
        <w:t xml:space="preserve"> endothelial cell proliferation via gene expression r</w:t>
      </w:r>
      <w:r w:rsidR="000B426B" w:rsidRPr="000B426B">
        <w:rPr>
          <w:rFonts w:ascii="Arial" w:hAnsi="Arial" w:cs="Arial"/>
          <w:b/>
          <w:sz w:val="22"/>
          <w:szCs w:val="22"/>
        </w:rPr>
        <w:t>egulation of cell cycle protein</w:t>
      </w:r>
      <w:r w:rsidR="00CF28FF">
        <w:rPr>
          <w:rFonts w:ascii="Arial" w:hAnsi="Arial" w:cs="Arial"/>
          <w:b/>
          <w:sz w:val="22"/>
          <w:szCs w:val="22"/>
        </w:rPr>
        <w:t>s</w:t>
      </w:r>
    </w:p>
    <w:p w14:paraId="5C9FC59E" w14:textId="77777777" w:rsidR="000B426B" w:rsidRPr="000B426B" w:rsidRDefault="000B426B">
      <w:pPr>
        <w:rPr>
          <w:rFonts w:ascii="Arial" w:hAnsi="Arial" w:cs="Arial"/>
          <w:sz w:val="22"/>
          <w:szCs w:val="22"/>
        </w:rPr>
      </w:pPr>
    </w:p>
    <w:p w14:paraId="786D311C" w14:textId="77777777" w:rsidR="000B426B" w:rsidRPr="000B426B" w:rsidRDefault="000B426B">
      <w:pPr>
        <w:rPr>
          <w:rFonts w:ascii="Arial" w:hAnsi="Arial" w:cs="Arial"/>
          <w:sz w:val="22"/>
          <w:szCs w:val="22"/>
        </w:rPr>
      </w:pPr>
    </w:p>
    <w:p w14:paraId="582ABF84" w14:textId="77777777" w:rsidR="000B5288" w:rsidRPr="000B426B" w:rsidRDefault="000B5288">
      <w:pPr>
        <w:rPr>
          <w:rFonts w:ascii="Arial" w:hAnsi="Arial" w:cs="Arial"/>
          <w:sz w:val="22"/>
          <w:szCs w:val="22"/>
        </w:rPr>
      </w:pPr>
    </w:p>
    <w:p w14:paraId="7B020131" w14:textId="3ED71560" w:rsidR="000B5288" w:rsidRPr="000B426B" w:rsidRDefault="000B426B">
      <w:pPr>
        <w:rPr>
          <w:rFonts w:ascii="Arial" w:hAnsi="Arial" w:cs="Arial"/>
          <w:sz w:val="22"/>
          <w:szCs w:val="22"/>
        </w:rPr>
      </w:pPr>
      <w:r w:rsidRPr="000B426B">
        <w:rPr>
          <w:rFonts w:ascii="Arial" w:hAnsi="Arial" w:cs="Arial"/>
          <w:sz w:val="22"/>
          <w:szCs w:val="22"/>
        </w:rPr>
        <w:t xml:space="preserve">Yu </w:t>
      </w:r>
      <w:r w:rsidR="000B5288" w:rsidRPr="000B426B">
        <w:rPr>
          <w:rFonts w:ascii="Arial" w:hAnsi="Arial" w:cs="Arial"/>
          <w:sz w:val="22"/>
          <w:szCs w:val="22"/>
        </w:rPr>
        <w:t xml:space="preserve">Wang, </w:t>
      </w:r>
      <w:r w:rsidRPr="000B426B">
        <w:rPr>
          <w:rFonts w:ascii="Arial" w:hAnsi="Arial" w:cs="Arial"/>
          <w:sz w:val="22"/>
          <w:szCs w:val="22"/>
        </w:rPr>
        <w:t>He-Ying Sun</w:t>
      </w:r>
      <w:r w:rsidR="000B5288" w:rsidRPr="000B426B">
        <w:rPr>
          <w:rFonts w:ascii="Arial" w:hAnsi="Arial" w:cs="Arial"/>
          <w:sz w:val="22"/>
          <w:szCs w:val="22"/>
        </w:rPr>
        <w:t xml:space="preserve">, </w:t>
      </w:r>
      <w:r w:rsidRPr="000B426B">
        <w:rPr>
          <w:rFonts w:ascii="Arial" w:hAnsi="Arial" w:cs="Arial"/>
          <w:sz w:val="22"/>
          <w:szCs w:val="22"/>
        </w:rPr>
        <w:t>Sandeep Kumar</w:t>
      </w:r>
      <w:r w:rsidR="000B5288" w:rsidRPr="000B426B">
        <w:rPr>
          <w:rFonts w:ascii="Arial" w:hAnsi="Arial" w:cs="Arial"/>
          <w:sz w:val="22"/>
          <w:szCs w:val="22"/>
        </w:rPr>
        <w:t xml:space="preserve">, </w:t>
      </w:r>
      <w:r w:rsidRPr="000B426B">
        <w:rPr>
          <w:rFonts w:ascii="Arial" w:hAnsi="Arial" w:cs="Arial"/>
          <w:sz w:val="22"/>
          <w:szCs w:val="22"/>
        </w:rPr>
        <w:t>Maria Puerta</w:t>
      </w:r>
      <w:r w:rsidR="000B5288" w:rsidRPr="000B426B">
        <w:rPr>
          <w:rFonts w:ascii="Arial" w:hAnsi="Arial" w:cs="Arial"/>
          <w:sz w:val="22"/>
          <w:szCs w:val="22"/>
        </w:rPr>
        <w:t xml:space="preserve">, </w:t>
      </w:r>
      <w:r w:rsidRPr="000B426B">
        <w:rPr>
          <w:rFonts w:ascii="Arial" w:hAnsi="Arial" w:cs="Arial"/>
          <w:sz w:val="22"/>
          <w:szCs w:val="22"/>
        </w:rPr>
        <w:t>Hanjoong Jo</w:t>
      </w:r>
      <w:r w:rsidR="00071EE1">
        <w:rPr>
          <w:rFonts w:ascii="Arial" w:hAnsi="Arial" w:cs="Arial"/>
          <w:sz w:val="22"/>
          <w:szCs w:val="22"/>
        </w:rPr>
        <w:t>,</w:t>
      </w:r>
      <w:r w:rsidRPr="000B426B">
        <w:rPr>
          <w:rFonts w:ascii="Arial" w:hAnsi="Arial" w:cs="Arial"/>
          <w:sz w:val="22"/>
          <w:szCs w:val="22"/>
        </w:rPr>
        <w:t xml:space="preserve"> and</w:t>
      </w:r>
      <w:r w:rsidR="000B5288" w:rsidRPr="000B426B">
        <w:rPr>
          <w:rFonts w:ascii="Arial" w:hAnsi="Arial" w:cs="Arial"/>
          <w:sz w:val="22"/>
          <w:szCs w:val="22"/>
        </w:rPr>
        <w:t xml:space="preserve"> </w:t>
      </w:r>
      <w:r w:rsidRPr="000B426B">
        <w:rPr>
          <w:rFonts w:ascii="Arial" w:hAnsi="Arial" w:cs="Arial"/>
          <w:sz w:val="22"/>
          <w:szCs w:val="22"/>
        </w:rPr>
        <w:t>Amir Rezvan</w:t>
      </w:r>
    </w:p>
    <w:p w14:paraId="16F4B7A1" w14:textId="77777777" w:rsidR="000B5288" w:rsidRDefault="000B5288">
      <w:pPr>
        <w:rPr>
          <w:rFonts w:ascii="Arial" w:hAnsi="Arial" w:cs="Arial"/>
          <w:color w:val="000000" w:themeColor="text1"/>
        </w:rPr>
      </w:pPr>
    </w:p>
    <w:p w14:paraId="100202E6" w14:textId="77777777" w:rsidR="000B426B" w:rsidRDefault="000B426B">
      <w:pPr>
        <w:rPr>
          <w:rFonts w:ascii="Arial" w:hAnsi="Arial" w:cs="Arial"/>
          <w:color w:val="000000" w:themeColor="text1"/>
        </w:rPr>
      </w:pPr>
    </w:p>
    <w:p w14:paraId="253390E6" w14:textId="77777777" w:rsidR="000B426B" w:rsidRDefault="000B426B">
      <w:pPr>
        <w:rPr>
          <w:rFonts w:ascii="Arial" w:hAnsi="Arial" w:cs="Arial"/>
          <w:color w:val="000000" w:themeColor="text1"/>
        </w:rPr>
      </w:pPr>
    </w:p>
    <w:p w14:paraId="464A8080" w14:textId="77777777" w:rsidR="000B426B" w:rsidRDefault="000B426B">
      <w:pPr>
        <w:rPr>
          <w:rFonts w:ascii="Arial" w:hAnsi="Arial" w:cs="Arial"/>
          <w:color w:val="000000" w:themeColor="text1"/>
        </w:rPr>
      </w:pPr>
      <w:bookmarkStart w:id="0" w:name="_GoBack"/>
      <w:bookmarkEnd w:id="0"/>
    </w:p>
    <w:p w14:paraId="688E8748" w14:textId="77777777" w:rsidR="003E28BF" w:rsidRDefault="003E28BF">
      <w:pPr>
        <w:rPr>
          <w:rFonts w:ascii="Arial" w:hAnsi="Arial" w:cs="Arial"/>
          <w:color w:val="000000" w:themeColor="text1"/>
        </w:rPr>
      </w:pPr>
    </w:p>
    <w:p w14:paraId="3EE8D044" w14:textId="77777777" w:rsidR="003E28BF" w:rsidRDefault="003E28BF">
      <w:pPr>
        <w:rPr>
          <w:rFonts w:ascii="Arial" w:hAnsi="Arial" w:cs="Arial"/>
          <w:color w:val="000000" w:themeColor="text1"/>
        </w:rPr>
      </w:pPr>
    </w:p>
    <w:p w14:paraId="33308A23" w14:textId="77777777" w:rsidR="000B426B" w:rsidRDefault="000B426B">
      <w:pPr>
        <w:rPr>
          <w:rFonts w:ascii="Arial" w:hAnsi="Arial" w:cs="Arial"/>
          <w:color w:val="000000" w:themeColor="text1"/>
        </w:rPr>
      </w:pPr>
    </w:p>
    <w:p w14:paraId="6830402C" w14:textId="77777777" w:rsidR="000B426B" w:rsidRDefault="000B426B">
      <w:pPr>
        <w:rPr>
          <w:rFonts w:ascii="Arial" w:hAnsi="Arial" w:cs="Arial"/>
          <w:color w:val="000000" w:themeColor="text1"/>
        </w:rPr>
      </w:pPr>
    </w:p>
    <w:p w14:paraId="1E1AC190" w14:textId="77777777" w:rsidR="000B426B" w:rsidRDefault="000B426B">
      <w:pPr>
        <w:rPr>
          <w:rFonts w:ascii="Arial" w:hAnsi="Arial" w:cs="Arial"/>
          <w:color w:val="000000" w:themeColor="text1"/>
        </w:rPr>
      </w:pPr>
    </w:p>
    <w:p w14:paraId="3835F178" w14:textId="77777777" w:rsidR="000B426B" w:rsidRPr="000B5288" w:rsidRDefault="000B426B">
      <w:pPr>
        <w:rPr>
          <w:rFonts w:ascii="Arial" w:hAnsi="Arial" w:cs="Arial"/>
          <w:color w:val="000000" w:themeColor="text1"/>
        </w:rPr>
      </w:pPr>
    </w:p>
    <w:p w14:paraId="2A3493EF" w14:textId="21EE9083" w:rsidR="000B5288" w:rsidRPr="000B426B" w:rsidRDefault="00BB5B93" w:rsidP="000B426B">
      <w:pPr>
        <w:jc w:val="center"/>
        <w:rPr>
          <w:rFonts w:ascii="Arial" w:hAnsi="Arial" w:cs="Arial"/>
          <w:b/>
          <w:caps/>
          <w:color w:val="000000" w:themeColor="text1"/>
        </w:rPr>
      </w:pPr>
      <w:r w:rsidRPr="000B426B">
        <w:rPr>
          <w:rFonts w:ascii="Arial" w:hAnsi="Arial" w:cs="Arial"/>
          <w:b/>
          <w:caps/>
          <w:color w:val="000000" w:themeColor="text1"/>
        </w:rPr>
        <w:t xml:space="preserve">Supplemental </w:t>
      </w:r>
      <w:r w:rsidR="000B5288" w:rsidRPr="000B426B">
        <w:rPr>
          <w:rFonts w:ascii="Arial" w:hAnsi="Arial" w:cs="Arial"/>
          <w:b/>
          <w:caps/>
          <w:color w:val="000000" w:themeColor="text1"/>
        </w:rPr>
        <w:t>Materials</w:t>
      </w:r>
    </w:p>
    <w:p w14:paraId="087D601D" w14:textId="77777777" w:rsidR="000B426B" w:rsidRDefault="000B426B">
      <w:pPr>
        <w:rPr>
          <w:rFonts w:ascii="Arial" w:hAnsi="Arial" w:cs="Arial"/>
          <w:color w:val="000000" w:themeColor="text1"/>
        </w:rPr>
      </w:pPr>
    </w:p>
    <w:p w14:paraId="4CDCF201" w14:textId="77777777" w:rsidR="000B426B" w:rsidRDefault="000B426B">
      <w:pPr>
        <w:rPr>
          <w:rFonts w:ascii="Arial" w:hAnsi="Arial" w:cs="Arial"/>
          <w:color w:val="000000" w:themeColor="text1"/>
        </w:rPr>
      </w:pPr>
    </w:p>
    <w:p w14:paraId="533CF66A" w14:textId="77777777" w:rsidR="000B426B" w:rsidRDefault="000B426B">
      <w:pPr>
        <w:rPr>
          <w:rFonts w:ascii="Arial" w:hAnsi="Arial" w:cs="Arial"/>
          <w:color w:val="000000" w:themeColor="text1"/>
        </w:rPr>
      </w:pPr>
    </w:p>
    <w:p w14:paraId="64C6297B" w14:textId="77777777" w:rsidR="000B426B" w:rsidRDefault="000B426B">
      <w:pPr>
        <w:rPr>
          <w:rFonts w:ascii="Arial" w:hAnsi="Arial" w:cs="Arial"/>
          <w:color w:val="000000" w:themeColor="text1"/>
        </w:rPr>
      </w:pPr>
    </w:p>
    <w:p w14:paraId="58613C55" w14:textId="560544DB" w:rsidR="00BB5B93" w:rsidRPr="000B426B" w:rsidRDefault="000B426B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</w:rPr>
        <w:br w:type="page"/>
      </w:r>
      <w:r w:rsidR="003D5B8D" w:rsidRPr="000B426B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Supplemental </w:t>
      </w:r>
      <w:r w:rsidR="00BB5B93" w:rsidRPr="000B426B">
        <w:rPr>
          <w:rFonts w:ascii="Arial" w:hAnsi="Arial" w:cs="Arial"/>
          <w:b/>
          <w:color w:val="000000" w:themeColor="text1"/>
          <w:sz w:val="22"/>
          <w:szCs w:val="22"/>
        </w:rPr>
        <w:t>Figure 1</w:t>
      </w:r>
      <w:r w:rsidR="00527958" w:rsidRPr="000B426B">
        <w:rPr>
          <w:rFonts w:ascii="Arial" w:hAnsi="Arial" w:cs="Arial"/>
          <w:b/>
          <w:color w:val="000000" w:themeColor="text1"/>
          <w:sz w:val="22"/>
          <w:szCs w:val="22"/>
        </w:rPr>
        <w:t xml:space="preserve">: </w:t>
      </w:r>
      <w:r w:rsidR="00AC2E6F" w:rsidRPr="000B426B">
        <w:rPr>
          <w:rFonts w:ascii="Arial" w:hAnsi="Arial" w:cs="Arial"/>
          <w:b/>
          <w:color w:val="000000" w:themeColor="text1"/>
          <w:sz w:val="22"/>
          <w:szCs w:val="22"/>
        </w:rPr>
        <w:t>Endothelial cell mRNA is enriched in intimal</w:t>
      </w:r>
    </w:p>
    <w:p w14:paraId="700581F7" w14:textId="232F6A6A" w:rsidR="003D5B8D" w:rsidRPr="000B426B" w:rsidRDefault="000B426B" w:rsidP="003D5B8D">
      <w:pPr>
        <w:pStyle w:val="BodyText"/>
        <w:spacing w:line="480" w:lineRule="auto"/>
      </w:pPr>
      <w:r w:rsidRPr="000B426B">
        <w:rPr>
          <w:b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1D605CBC" wp14:editId="6D122AB7">
            <wp:simplePos x="0" y="0"/>
            <wp:positionH relativeFrom="column">
              <wp:posOffset>3041650</wp:posOffset>
            </wp:positionH>
            <wp:positionV relativeFrom="paragraph">
              <wp:posOffset>286385</wp:posOffset>
            </wp:positionV>
            <wp:extent cx="3094990" cy="1858010"/>
            <wp:effectExtent l="0" t="0" r="0" b="88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-EC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99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00B7C" w14:textId="29563A0B" w:rsidR="003D5B8D" w:rsidRPr="000B426B" w:rsidRDefault="003D5B8D" w:rsidP="0048143B">
      <w:pPr>
        <w:pStyle w:val="BodyText"/>
        <w:spacing w:line="480" w:lineRule="auto"/>
        <w:rPr>
          <w:bCs/>
        </w:rPr>
      </w:pPr>
      <w:r w:rsidRPr="000B426B">
        <w:t>Total RNA from intima w</w:t>
      </w:r>
      <w:r w:rsidR="000B679E" w:rsidRPr="000B426B">
        <w:t>ere</w:t>
      </w:r>
      <w:r w:rsidRPr="000B426B">
        <w:t xml:space="preserve"> separately obtained from LCA and RCA </w:t>
      </w:r>
      <w:r w:rsidR="00AC2E6F" w:rsidRPr="000B426B">
        <w:t>2 days</w:t>
      </w:r>
      <w:r w:rsidRPr="000B426B">
        <w:t xml:space="preserve"> after ligation, using the flushing technique as previously described. </w:t>
      </w:r>
      <w:r w:rsidRPr="000B426B">
        <w:rPr>
          <w:color w:val="000000" w:themeColor="text1"/>
        </w:rPr>
        <w:t xml:space="preserve">Enrichment of collected mRNA from intimal layers of arteries was </w:t>
      </w:r>
      <w:r w:rsidR="000B679E" w:rsidRPr="000B426B">
        <w:rPr>
          <w:color w:val="000000" w:themeColor="text1"/>
        </w:rPr>
        <w:t>assessed</w:t>
      </w:r>
      <w:r w:rsidRPr="000B426B">
        <w:rPr>
          <w:color w:val="000000" w:themeColor="text1"/>
        </w:rPr>
        <w:t xml:space="preserve"> using CD31 (PECAM1) as a marker for ECs and </w:t>
      </w:r>
      <w:r w:rsidRPr="000B426B">
        <w:rPr>
          <w:color w:val="000000" w:themeColor="text1"/>
        </w:rPr>
        <w:sym w:font="Symbol" w:char="F061"/>
      </w:r>
      <w:r w:rsidRPr="000B426B">
        <w:rPr>
          <w:color w:val="000000" w:themeColor="text1"/>
        </w:rPr>
        <w:t>-smooth muscle actin (</w:t>
      </w:r>
      <w:r w:rsidRPr="000B426B">
        <w:rPr>
          <w:color w:val="000000" w:themeColor="text1"/>
        </w:rPr>
        <w:sym w:font="Symbol" w:char="F061"/>
      </w:r>
      <w:r w:rsidRPr="000B426B">
        <w:rPr>
          <w:color w:val="000000" w:themeColor="text1"/>
        </w:rPr>
        <w:t xml:space="preserve">SMA) as a marker for smooth muscle cells. </w:t>
      </w:r>
      <w:proofErr w:type="gramStart"/>
      <w:r w:rsidR="00527958" w:rsidRPr="000B426B">
        <w:rPr>
          <w:color w:val="000000" w:themeColor="text1"/>
        </w:rPr>
        <w:t>mRNA</w:t>
      </w:r>
      <w:proofErr w:type="gramEnd"/>
      <w:r w:rsidR="000B679E" w:rsidRPr="000B426B">
        <w:rPr>
          <w:color w:val="000000" w:themeColor="text1"/>
        </w:rPr>
        <w:t xml:space="preserve"> expression was normalized to the respective intimal preparation for </w:t>
      </w:r>
      <w:r w:rsidR="00E251EE" w:rsidRPr="000B426B">
        <w:rPr>
          <w:color w:val="000000" w:themeColor="text1"/>
        </w:rPr>
        <w:t>CD31</w:t>
      </w:r>
      <w:r w:rsidR="000B679E" w:rsidRPr="000B426B">
        <w:rPr>
          <w:color w:val="000000" w:themeColor="text1"/>
        </w:rPr>
        <w:t xml:space="preserve"> and the respective LO prep for </w:t>
      </w:r>
      <w:r w:rsidR="000B679E" w:rsidRPr="000B426B">
        <w:rPr>
          <w:color w:val="000000" w:themeColor="text1"/>
        </w:rPr>
        <w:sym w:font="Symbol" w:char="F061"/>
      </w:r>
      <w:r w:rsidR="000B679E" w:rsidRPr="000B426B">
        <w:rPr>
          <w:color w:val="000000" w:themeColor="text1"/>
        </w:rPr>
        <w:t xml:space="preserve">SMA. </w:t>
      </w:r>
      <w:r w:rsidRPr="000B426B">
        <w:rPr>
          <w:color w:val="000000" w:themeColor="text1"/>
        </w:rPr>
        <w:t xml:space="preserve">Results show that similar to previously published data, the mRNA levels of CD31 detected in the </w:t>
      </w:r>
      <w:r w:rsidR="00512845" w:rsidRPr="000B426B">
        <w:rPr>
          <w:color w:val="000000" w:themeColor="text1"/>
        </w:rPr>
        <w:t>intimal</w:t>
      </w:r>
      <w:r w:rsidRPr="000B426B">
        <w:rPr>
          <w:color w:val="000000" w:themeColor="text1"/>
        </w:rPr>
        <w:t xml:space="preserve"> RNA preparation (EC) w</w:t>
      </w:r>
      <w:r w:rsidR="00E251EE" w:rsidRPr="000B426B">
        <w:rPr>
          <w:color w:val="000000" w:themeColor="text1"/>
        </w:rPr>
        <w:t>ere</w:t>
      </w:r>
      <w:r w:rsidRPr="000B426B">
        <w:rPr>
          <w:color w:val="000000" w:themeColor="text1"/>
        </w:rPr>
        <w:t xml:space="preserve"> significantly higher compared to the </w:t>
      </w:r>
      <w:proofErr w:type="spellStart"/>
      <w:r w:rsidRPr="000B426B">
        <w:rPr>
          <w:color w:val="000000" w:themeColor="text1"/>
        </w:rPr>
        <w:t>the</w:t>
      </w:r>
      <w:proofErr w:type="spellEnd"/>
      <w:r w:rsidRPr="000B426B">
        <w:rPr>
          <w:color w:val="000000" w:themeColor="text1"/>
        </w:rPr>
        <w:t xml:space="preserve"> left-over media and adventitia of the common carotid arteries</w:t>
      </w:r>
      <w:r w:rsidR="000B679E" w:rsidRPr="000B426B">
        <w:rPr>
          <w:color w:val="000000" w:themeColor="text1"/>
        </w:rPr>
        <w:t xml:space="preserve"> (</w:t>
      </w:r>
      <w:r w:rsidR="0048143B" w:rsidRPr="000B426B">
        <w:rPr>
          <w:color w:val="000000" w:themeColor="text1"/>
        </w:rPr>
        <w:t>LO</w:t>
      </w:r>
      <w:r w:rsidR="000B679E" w:rsidRPr="000B426B">
        <w:rPr>
          <w:color w:val="000000" w:themeColor="text1"/>
        </w:rPr>
        <w:t>)</w:t>
      </w:r>
      <w:r w:rsidR="00512845" w:rsidRPr="000B426B">
        <w:rPr>
          <w:color w:val="000000" w:themeColor="text1"/>
        </w:rPr>
        <w:t xml:space="preserve">, while </w:t>
      </w:r>
      <w:r w:rsidR="0048143B" w:rsidRPr="000B426B">
        <w:rPr>
          <w:color w:val="000000" w:themeColor="text1"/>
        </w:rPr>
        <w:t>EC</w:t>
      </w:r>
      <w:r w:rsidR="00512845" w:rsidRPr="000B426B">
        <w:rPr>
          <w:color w:val="000000" w:themeColor="text1"/>
        </w:rPr>
        <w:t xml:space="preserve"> mRNA levels of </w:t>
      </w:r>
      <w:r w:rsidR="00512845" w:rsidRPr="000B426B">
        <w:rPr>
          <w:color w:val="000000" w:themeColor="text1"/>
        </w:rPr>
        <w:sym w:font="Symbol" w:char="F061"/>
      </w:r>
      <w:r w:rsidR="00512845" w:rsidRPr="000B426B">
        <w:rPr>
          <w:color w:val="000000" w:themeColor="text1"/>
        </w:rPr>
        <w:t>SMA w</w:t>
      </w:r>
      <w:r w:rsidR="00E251EE" w:rsidRPr="000B426B">
        <w:rPr>
          <w:color w:val="000000" w:themeColor="text1"/>
        </w:rPr>
        <w:t>ere</w:t>
      </w:r>
      <w:r w:rsidR="00512845" w:rsidRPr="000B426B">
        <w:rPr>
          <w:color w:val="000000" w:themeColor="text1"/>
        </w:rPr>
        <w:t xml:space="preserve"> significantly </w:t>
      </w:r>
      <w:r w:rsidR="0048143B" w:rsidRPr="000B426B">
        <w:rPr>
          <w:color w:val="000000" w:themeColor="text1"/>
        </w:rPr>
        <w:t>lower</w:t>
      </w:r>
      <w:r w:rsidR="00512845" w:rsidRPr="000B426B">
        <w:rPr>
          <w:color w:val="000000" w:themeColor="text1"/>
        </w:rPr>
        <w:t xml:space="preserve"> compared to </w:t>
      </w:r>
      <w:r w:rsidR="0048143B" w:rsidRPr="000B426B">
        <w:rPr>
          <w:color w:val="000000" w:themeColor="text1"/>
        </w:rPr>
        <w:t>LO</w:t>
      </w:r>
      <w:r w:rsidR="000B679E" w:rsidRPr="000B426B">
        <w:rPr>
          <w:color w:val="000000" w:themeColor="text1"/>
        </w:rPr>
        <w:t>.  (n=9, ***P&lt;0.001,</w:t>
      </w:r>
      <w:r w:rsidR="0048143B" w:rsidRPr="000B426B">
        <w:rPr>
          <w:color w:val="000000" w:themeColor="text1"/>
        </w:rPr>
        <w:t xml:space="preserve"> </w:t>
      </w:r>
      <w:r w:rsidR="00E251EE" w:rsidRPr="000B426B">
        <w:rPr>
          <w:color w:val="000000" w:themeColor="text1"/>
        </w:rPr>
        <w:t xml:space="preserve">one-way ANOVA, </w:t>
      </w:r>
      <w:r w:rsidR="0048143B" w:rsidRPr="000B426B">
        <w:rPr>
          <w:color w:val="000000" w:themeColor="text1"/>
        </w:rPr>
        <w:t>LO compared to EC</w:t>
      </w:r>
      <w:r w:rsidR="00512845" w:rsidRPr="000B426B">
        <w:rPr>
          <w:color w:val="000000" w:themeColor="text1"/>
        </w:rPr>
        <w:t xml:space="preserve">). </w:t>
      </w:r>
    </w:p>
    <w:p w14:paraId="78B0DEF5" w14:textId="07807CE1" w:rsidR="00BB5B93" w:rsidRPr="000B426B" w:rsidRDefault="00BB5B9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4665650" w14:textId="677EE649" w:rsidR="00BB5B93" w:rsidRPr="000B426B" w:rsidRDefault="00BB5B93" w:rsidP="00527958">
      <w:pPr>
        <w:pStyle w:val="BodyText"/>
      </w:pPr>
    </w:p>
    <w:p w14:paraId="6609DCF3" w14:textId="3C6129D7" w:rsidR="00DD0F7F" w:rsidRPr="000B426B" w:rsidRDefault="00BB5B93" w:rsidP="00527958">
      <w:pPr>
        <w:pStyle w:val="BodyText"/>
        <w:spacing w:line="480" w:lineRule="auto"/>
        <w:rPr>
          <w:b/>
        </w:rPr>
      </w:pPr>
      <w:r w:rsidRPr="000B426B">
        <w:rPr>
          <w:b/>
        </w:rPr>
        <w:t>Supplemental Figure 2</w:t>
      </w:r>
      <w:r w:rsidR="00AC2E6F" w:rsidRPr="000B426B">
        <w:rPr>
          <w:b/>
        </w:rPr>
        <w:t>: EC exposure to disturbed flow increases EC proliferation in the LCA using the partial carotid ligation model</w:t>
      </w:r>
    </w:p>
    <w:p w14:paraId="1BDA1F53" w14:textId="3A607D5C" w:rsidR="00AC2E6F" w:rsidRPr="000B426B" w:rsidRDefault="00AC2E6F" w:rsidP="00527958">
      <w:pPr>
        <w:pStyle w:val="BodyText"/>
        <w:spacing w:line="480" w:lineRule="auto"/>
        <w:rPr>
          <w:b/>
        </w:rPr>
      </w:pPr>
    </w:p>
    <w:p w14:paraId="62AE64C7" w14:textId="22B610AF" w:rsidR="009A619B" w:rsidRPr="000B426B" w:rsidRDefault="000B426B" w:rsidP="00527958">
      <w:pPr>
        <w:pStyle w:val="BodyText"/>
        <w:spacing w:line="480" w:lineRule="auto"/>
      </w:pPr>
      <w:r w:rsidRPr="000B426B">
        <w:rPr>
          <w:noProof/>
        </w:rPr>
        <w:drawing>
          <wp:anchor distT="0" distB="0" distL="114300" distR="114300" simplePos="0" relativeHeight="251659264" behindDoc="0" locked="0" layoutInCell="1" allowOverlap="1" wp14:anchorId="402EC31D" wp14:editId="3F1F4CDF">
            <wp:simplePos x="0" y="0"/>
            <wp:positionH relativeFrom="column">
              <wp:posOffset>4489450</wp:posOffset>
            </wp:positionH>
            <wp:positionV relativeFrom="paragraph">
              <wp:posOffset>14605</wp:posOffset>
            </wp:positionV>
            <wp:extent cx="1562735" cy="16243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CA vs LCA Ki67 RCA1 narrow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E6F" w:rsidRPr="000B426B">
        <w:t xml:space="preserve">The known effect of disturbed flow on EC proliferation in the partial carotid ligation model was verified using </w:t>
      </w:r>
      <w:proofErr w:type="spellStart"/>
      <w:r w:rsidR="00AC2E6F" w:rsidRPr="000B426B">
        <w:t>en</w:t>
      </w:r>
      <w:proofErr w:type="spellEnd"/>
      <w:r w:rsidR="00AC2E6F" w:rsidRPr="000B426B">
        <w:t xml:space="preserve">-face staining of Ki67 as a marker of cell proliferation ex vivo. The number of Ki67 positive ECs in the partially ligated LCA was significantly more compared to the non-ligated RCA control, confirming prior findings that EC exposure to disturbed flow increases EC proliferation. </w:t>
      </w:r>
      <w:r w:rsidR="00454F78" w:rsidRPr="000B426B">
        <w:t>(n=4, two-tailed t-test, **P&lt;0.01)</w:t>
      </w:r>
    </w:p>
    <w:p w14:paraId="21B5C116" w14:textId="77777777" w:rsidR="000B426B" w:rsidRDefault="000B426B" w:rsidP="000B426B">
      <w:pPr>
        <w:pStyle w:val="BodyText"/>
        <w:spacing w:line="480" w:lineRule="auto"/>
        <w:rPr>
          <w:b/>
        </w:rPr>
      </w:pPr>
      <w:r w:rsidRPr="001F6A22">
        <w:rPr>
          <w:b/>
        </w:rPr>
        <w:lastRenderedPageBreak/>
        <w:t>Supplemental methods:</w:t>
      </w:r>
      <w:r>
        <w:t xml:space="preserve"> </w:t>
      </w:r>
      <w:r w:rsidRPr="000B426B">
        <w:rPr>
          <w:b/>
        </w:rPr>
        <w:t xml:space="preserve">Immunofluorescence staining for Ki67 in </w:t>
      </w:r>
      <w:proofErr w:type="spellStart"/>
      <w:r w:rsidRPr="000B426B">
        <w:rPr>
          <w:b/>
        </w:rPr>
        <w:t>en</w:t>
      </w:r>
      <w:proofErr w:type="spellEnd"/>
      <w:r w:rsidRPr="000B426B">
        <w:rPr>
          <w:b/>
        </w:rPr>
        <w:t>-face preparations of carotid arteries and confocal microscopy</w:t>
      </w:r>
    </w:p>
    <w:p w14:paraId="3F3DFC86" w14:textId="54BD37E4" w:rsidR="00BB5B93" w:rsidRPr="000B426B" w:rsidRDefault="00AC2E6F" w:rsidP="00454F78">
      <w:pPr>
        <w:pStyle w:val="BodyText"/>
        <w:spacing w:line="480" w:lineRule="auto"/>
      </w:pPr>
      <w:proofErr w:type="spellStart"/>
      <w:r w:rsidRPr="000B426B">
        <w:t>ApoE</w:t>
      </w:r>
      <w:proofErr w:type="spellEnd"/>
      <w:r w:rsidRPr="000B426B">
        <w:t xml:space="preserve"> KO mice (18 weeks old, male and female, Jackson Laboratory, stock# 02052)</w:t>
      </w:r>
      <w:r w:rsidR="00454F78" w:rsidRPr="000B426B">
        <w:t xml:space="preserve"> underwent partial carotid ligation under anesthesia and started on high fat diet </w:t>
      </w:r>
      <w:r w:rsidRPr="000B426B">
        <w:t>as previously described.</w:t>
      </w:r>
      <w:r w:rsidR="00454F78" w:rsidRPr="000B426B">
        <w:t xml:space="preserve"> Mice were euthanized and pressure perfused with saline 2 days post-ligation. </w:t>
      </w:r>
      <w:r w:rsidR="009A619B" w:rsidRPr="000B426B">
        <w:t>Dissected common carotids were cut open along the length</w:t>
      </w:r>
      <w:r w:rsidR="00454F78" w:rsidRPr="000B426B">
        <w:t xml:space="preserve"> of each artery and fixed in 4% </w:t>
      </w:r>
      <w:r w:rsidR="009A619B" w:rsidRPr="000B426B">
        <w:t>paraformaldehyde (PFA) for 1 hour and washed with 0.5% PBSTX (0.5% Triton X-100 in PBS) for 30 min at room temperature (RT). After washing, samples were blocked with 20% goat serum in PBS at 4°C overnight and then incubated with rabbit anti-Ki67 Ab (</w:t>
      </w:r>
      <w:proofErr w:type="spellStart"/>
      <w:r w:rsidR="009A619B" w:rsidRPr="000B426B">
        <w:t>Abcam</w:t>
      </w:r>
      <w:proofErr w:type="spellEnd"/>
      <w:r w:rsidR="009A619B" w:rsidRPr="000B426B">
        <w:t>, Cambridge, MA, ab15580, 2μg/ml) in 5% goat serum at 4°C overnight. After washing with PBS, the samples were incubated for 2 hours at RT protected from light with Alexa-</w:t>
      </w:r>
      <w:proofErr w:type="spellStart"/>
      <w:r w:rsidR="009A619B" w:rsidRPr="000B426B">
        <w:t>fluor</w:t>
      </w:r>
      <w:proofErr w:type="spellEnd"/>
      <w:r w:rsidR="009A619B" w:rsidRPr="000B426B">
        <w:t xml:space="preserve"> 568 labeled goat anti rabbit IgG (1:1000 dilution) for 2 hours at RT and then counter stained with DAPI (2μg/ml) for 15 min at RT. The samples were washed with PBS and mounted on coverslips with luminal side down. Z-stack images where taken using a Zeiss LSM 510 laser confocal microscope with a 20x objective. ECs in each field were counted using DAPI staining of the nuclei at the first luminal cell layer and confirme</w:t>
      </w:r>
      <w:r w:rsidR="00454F78" w:rsidRPr="000B426B">
        <w:t xml:space="preserve">d by the typical EC morphology. </w:t>
      </w:r>
      <w:r w:rsidRPr="000B426B">
        <w:t xml:space="preserve">Ki67 positive cells </w:t>
      </w:r>
      <w:r w:rsidR="00454F78" w:rsidRPr="000B426B">
        <w:t xml:space="preserve">from three locations along each carotid </w:t>
      </w:r>
      <w:r w:rsidRPr="000B426B">
        <w:t>were summed for each carotid and results were expressed as a ratio to total endothelial cells within examined area.</w:t>
      </w:r>
      <w:r w:rsidR="00454F78" w:rsidRPr="000B426B">
        <w:t xml:space="preserve"> </w:t>
      </w:r>
    </w:p>
    <w:sectPr w:rsidR="00BB5B93" w:rsidRPr="000B426B" w:rsidSect="007E6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710"/>
    <w:rsid w:val="00001DC3"/>
    <w:rsid w:val="000032CD"/>
    <w:rsid w:val="0000337E"/>
    <w:rsid w:val="00003DD9"/>
    <w:rsid w:val="000173FF"/>
    <w:rsid w:val="00017E2C"/>
    <w:rsid w:val="00021B74"/>
    <w:rsid w:val="00036865"/>
    <w:rsid w:val="00055C6F"/>
    <w:rsid w:val="00071EE1"/>
    <w:rsid w:val="000810A4"/>
    <w:rsid w:val="0008261B"/>
    <w:rsid w:val="00086A03"/>
    <w:rsid w:val="00095ED3"/>
    <w:rsid w:val="000964E3"/>
    <w:rsid w:val="000A0805"/>
    <w:rsid w:val="000B426B"/>
    <w:rsid w:val="000B5288"/>
    <w:rsid w:val="000B679E"/>
    <w:rsid w:val="00100853"/>
    <w:rsid w:val="00100A99"/>
    <w:rsid w:val="00103ECB"/>
    <w:rsid w:val="00112AF3"/>
    <w:rsid w:val="00122CD3"/>
    <w:rsid w:val="00130F91"/>
    <w:rsid w:val="00131403"/>
    <w:rsid w:val="00132F2B"/>
    <w:rsid w:val="00142E7F"/>
    <w:rsid w:val="00182DDE"/>
    <w:rsid w:val="00192515"/>
    <w:rsid w:val="00193FBC"/>
    <w:rsid w:val="001A3259"/>
    <w:rsid w:val="001C1677"/>
    <w:rsid w:val="001E178B"/>
    <w:rsid w:val="001F1853"/>
    <w:rsid w:val="001F656C"/>
    <w:rsid w:val="001F6A22"/>
    <w:rsid w:val="001F7FFC"/>
    <w:rsid w:val="00211981"/>
    <w:rsid w:val="002260DB"/>
    <w:rsid w:val="00245A72"/>
    <w:rsid w:val="002556AD"/>
    <w:rsid w:val="0029585A"/>
    <w:rsid w:val="002B09B9"/>
    <w:rsid w:val="002B58F2"/>
    <w:rsid w:val="002C0108"/>
    <w:rsid w:val="002C6DCC"/>
    <w:rsid w:val="002D0D9D"/>
    <w:rsid w:val="002E3E7D"/>
    <w:rsid w:val="002F366E"/>
    <w:rsid w:val="00302F74"/>
    <w:rsid w:val="00356F4E"/>
    <w:rsid w:val="00357E70"/>
    <w:rsid w:val="00365894"/>
    <w:rsid w:val="00366A91"/>
    <w:rsid w:val="0037748A"/>
    <w:rsid w:val="00381219"/>
    <w:rsid w:val="003851D8"/>
    <w:rsid w:val="003A0B0E"/>
    <w:rsid w:val="003A196B"/>
    <w:rsid w:val="003B2CA5"/>
    <w:rsid w:val="003D5B8D"/>
    <w:rsid w:val="003E28BF"/>
    <w:rsid w:val="003F4860"/>
    <w:rsid w:val="0040025C"/>
    <w:rsid w:val="00420537"/>
    <w:rsid w:val="00434B9D"/>
    <w:rsid w:val="00442948"/>
    <w:rsid w:val="00454F78"/>
    <w:rsid w:val="00466614"/>
    <w:rsid w:val="0047329A"/>
    <w:rsid w:val="00474E0D"/>
    <w:rsid w:val="00480500"/>
    <w:rsid w:val="0048143B"/>
    <w:rsid w:val="0049482B"/>
    <w:rsid w:val="004A09D4"/>
    <w:rsid w:val="004A445D"/>
    <w:rsid w:val="004C63FC"/>
    <w:rsid w:val="004E3204"/>
    <w:rsid w:val="004E57F5"/>
    <w:rsid w:val="004E6E4A"/>
    <w:rsid w:val="004F3BA3"/>
    <w:rsid w:val="00504AE7"/>
    <w:rsid w:val="00512845"/>
    <w:rsid w:val="00520FB2"/>
    <w:rsid w:val="00526686"/>
    <w:rsid w:val="00527958"/>
    <w:rsid w:val="00545DD7"/>
    <w:rsid w:val="00555B1D"/>
    <w:rsid w:val="00561A6E"/>
    <w:rsid w:val="00562FA6"/>
    <w:rsid w:val="00581C79"/>
    <w:rsid w:val="005A20EF"/>
    <w:rsid w:val="005C2424"/>
    <w:rsid w:val="005D11F2"/>
    <w:rsid w:val="005D7F1F"/>
    <w:rsid w:val="005E7003"/>
    <w:rsid w:val="00612E22"/>
    <w:rsid w:val="00613030"/>
    <w:rsid w:val="00614833"/>
    <w:rsid w:val="00646139"/>
    <w:rsid w:val="006515C5"/>
    <w:rsid w:val="00651D12"/>
    <w:rsid w:val="00657AE4"/>
    <w:rsid w:val="006866CF"/>
    <w:rsid w:val="00690709"/>
    <w:rsid w:val="006B4528"/>
    <w:rsid w:val="006B7E4E"/>
    <w:rsid w:val="006C530D"/>
    <w:rsid w:val="006C78CE"/>
    <w:rsid w:val="006C7A40"/>
    <w:rsid w:val="006D18B3"/>
    <w:rsid w:val="00702F79"/>
    <w:rsid w:val="00714D4E"/>
    <w:rsid w:val="00721CA0"/>
    <w:rsid w:val="00725E4D"/>
    <w:rsid w:val="0073339F"/>
    <w:rsid w:val="00743A38"/>
    <w:rsid w:val="00744C42"/>
    <w:rsid w:val="00757AE1"/>
    <w:rsid w:val="00783502"/>
    <w:rsid w:val="00794312"/>
    <w:rsid w:val="007A548A"/>
    <w:rsid w:val="007B13A4"/>
    <w:rsid w:val="007D0BEA"/>
    <w:rsid w:val="007E35AA"/>
    <w:rsid w:val="007E67A2"/>
    <w:rsid w:val="007F07DC"/>
    <w:rsid w:val="007F0E93"/>
    <w:rsid w:val="00800710"/>
    <w:rsid w:val="00810995"/>
    <w:rsid w:val="00831258"/>
    <w:rsid w:val="00840134"/>
    <w:rsid w:val="00841006"/>
    <w:rsid w:val="00846132"/>
    <w:rsid w:val="00852DD9"/>
    <w:rsid w:val="00860790"/>
    <w:rsid w:val="008655F3"/>
    <w:rsid w:val="00883A21"/>
    <w:rsid w:val="008A6032"/>
    <w:rsid w:val="008A7704"/>
    <w:rsid w:val="008C1D62"/>
    <w:rsid w:val="008C581D"/>
    <w:rsid w:val="008D3364"/>
    <w:rsid w:val="008D7E14"/>
    <w:rsid w:val="008E255A"/>
    <w:rsid w:val="00916267"/>
    <w:rsid w:val="00934603"/>
    <w:rsid w:val="0094601E"/>
    <w:rsid w:val="009627B0"/>
    <w:rsid w:val="009659AB"/>
    <w:rsid w:val="009716FA"/>
    <w:rsid w:val="009831C8"/>
    <w:rsid w:val="00994D39"/>
    <w:rsid w:val="009A102A"/>
    <w:rsid w:val="009A134F"/>
    <w:rsid w:val="009A307C"/>
    <w:rsid w:val="009A619B"/>
    <w:rsid w:val="009B0C79"/>
    <w:rsid w:val="009B2E4D"/>
    <w:rsid w:val="009C126B"/>
    <w:rsid w:val="009C3752"/>
    <w:rsid w:val="009C7DB6"/>
    <w:rsid w:val="009D4AC7"/>
    <w:rsid w:val="009F5766"/>
    <w:rsid w:val="009F7D36"/>
    <w:rsid w:val="00A01D6C"/>
    <w:rsid w:val="00A041A6"/>
    <w:rsid w:val="00A066A3"/>
    <w:rsid w:val="00A362B8"/>
    <w:rsid w:val="00A611E9"/>
    <w:rsid w:val="00A62715"/>
    <w:rsid w:val="00A824A0"/>
    <w:rsid w:val="00AA27EC"/>
    <w:rsid w:val="00AB430F"/>
    <w:rsid w:val="00AB6F6C"/>
    <w:rsid w:val="00AB7E46"/>
    <w:rsid w:val="00AC2E6F"/>
    <w:rsid w:val="00AC7343"/>
    <w:rsid w:val="00AF213C"/>
    <w:rsid w:val="00B10DCE"/>
    <w:rsid w:val="00B309F9"/>
    <w:rsid w:val="00B3116D"/>
    <w:rsid w:val="00B358E3"/>
    <w:rsid w:val="00B70B56"/>
    <w:rsid w:val="00B758B5"/>
    <w:rsid w:val="00B76741"/>
    <w:rsid w:val="00B81ED3"/>
    <w:rsid w:val="00B84984"/>
    <w:rsid w:val="00B92010"/>
    <w:rsid w:val="00BB1B29"/>
    <w:rsid w:val="00BB5B93"/>
    <w:rsid w:val="00BE2294"/>
    <w:rsid w:val="00BE6375"/>
    <w:rsid w:val="00C32370"/>
    <w:rsid w:val="00C61AF4"/>
    <w:rsid w:val="00C84794"/>
    <w:rsid w:val="00CA3E8C"/>
    <w:rsid w:val="00CA45F0"/>
    <w:rsid w:val="00CC1BF0"/>
    <w:rsid w:val="00CC7419"/>
    <w:rsid w:val="00CC7B90"/>
    <w:rsid w:val="00CD2046"/>
    <w:rsid w:val="00CD5CFF"/>
    <w:rsid w:val="00CF28FF"/>
    <w:rsid w:val="00CF4F03"/>
    <w:rsid w:val="00D07E03"/>
    <w:rsid w:val="00D12B02"/>
    <w:rsid w:val="00D211CD"/>
    <w:rsid w:val="00D27906"/>
    <w:rsid w:val="00D46B26"/>
    <w:rsid w:val="00D565C3"/>
    <w:rsid w:val="00D700F1"/>
    <w:rsid w:val="00D73456"/>
    <w:rsid w:val="00D81849"/>
    <w:rsid w:val="00D9143B"/>
    <w:rsid w:val="00D968AF"/>
    <w:rsid w:val="00DA16B1"/>
    <w:rsid w:val="00DD0F7F"/>
    <w:rsid w:val="00E0372A"/>
    <w:rsid w:val="00E053BD"/>
    <w:rsid w:val="00E12E23"/>
    <w:rsid w:val="00E142C1"/>
    <w:rsid w:val="00E208EC"/>
    <w:rsid w:val="00E251EE"/>
    <w:rsid w:val="00E253A1"/>
    <w:rsid w:val="00E6032E"/>
    <w:rsid w:val="00E65C10"/>
    <w:rsid w:val="00E67FBF"/>
    <w:rsid w:val="00E95B26"/>
    <w:rsid w:val="00EC2913"/>
    <w:rsid w:val="00EE07E9"/>
    <w:rsid w:val="00EF5AFC"/>
    <w:rsid w:val="00F054C2"/>
    <w:rsid w:val="00F13EE9"/>
    <w:rsid w:val="00F3701B"/>
    <w:rsid w:val="00F47D3F"/>
    <w:rsid w:val="00F54923"/>
    <w:rsid w:val="00F71FC0"/>
    <w:rsid w:val="00F94712"/>
    <w:rsid w:val="00F95A84"/>
    <w:rsid w:val="00FA4F93"/>
    <w:rsid w:val="00FA503A"/>
    <w:rsid w:val="00FB05F9"/>
    <w:rsid w:val="00FB77BB"/>
    <w:rsid w:val="00FD3570"/>
    <w:rsid w:val="00FE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78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A619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A619B"/>
    <w:rPr>
      <w:rFonts w:ascii="Arial" w:eastAsia="Arial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30F9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F9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F9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F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F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F9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F91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E251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A619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A619B"/>
    <w:rPr>
      <w:rFonts w:ascii="Arial" w:eastAsia="Arial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30F9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F9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F9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F9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F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F9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F91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E25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Rezvan, Amir</dc:creator>
  <cp:lastModifiedBy>Rezvan, Amir</cp:lastModifiedBy>
  <cp:revision>5</cp:revision>
  <dcterms:created xsi:type="dcterms:W3CDTF">2018-02-07T16:08:00Z</dcterms:created>
  <dcterms:modified xsi:type="dcterms:W3CDTF">2018-02-08T14:50:00Z</dcterms:modified>
</cp:coreProperties>
</file>