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79BD5A" w14:textId="4461E08C" w:rsidR="006A7B0E" w:rsidRPr="006A7B0E" w:rsidRDefault="00B34AF0" w:rsidP="003A212F">
      <w:pPr>
        <w:outlineLvl w:val="0"/>
        <w:rPr>
          <w:rFonts w:ascii="Times" w:hAnsi="Times" w:cs="Times New Roman"/>
        </w:rPr>
      </w:pPr>
      <w:r>
        <w:rPr>
          <w:rFonts w:ascii="Times" w:hAnsi="Times" w:cs="Times"/>
          <w:b/>
          <w:bCs/>
          <w:iCs/>
          <w:color w:val="000000"/>
        </w:rPr>
        <w:t>ADDITIONAL METHODS AND MATERIALS</w:t>
      </w:r>
      <w:r w:rsidR="006A7B0E" w:rsidRPr="006A7B0E">
        <w:rPr>
          <w:rFonts w:ascii="Times" w:hAnsi="Times" w:cs="Times New Roman"/>
        </w:rPr>
        <w:t xml:space="preserve"> </w:t>
      </w:r>
    </w:p>
    <w:p w14:paraId="07479802" w14:textId="77777777" w:rsidR="006A7B0E" w:rsidRPr="006A7B0E" w:rsidRDefault="006A7B0E" w:rsidP="003A212F">
      <w:pPr>
        <w:rPr>
          <w:rFonts w:ascii="Times" w:hAnsi="Times" w:cs="Times New Roman"/>
        </w:rPr>
      </w:pPr>
    </w:p>
    <w:p w14:paraId="4D99DDBA" w14:textId="361FFE24" w:rsidR="006A7B0E" w:rsidRPr="00B34AF0" w:rsidRDefault="006A7B0E" w:rsidP="003A212F">
      <w:pPr>
        <w:outlineLvl w:val="0"/>
        <w:rPr>
          <w:rFonts w:ascii="Times" w:hAnsi="Times" w:cs="Times New Roman"/>
          <w:b/>
        </w:rPr>
      </w:pPr>
      <w:r w:rsidRPr="00B34AF0">
        <w:rPr>
          <w:rFonts w:ascii="Times" w:hAnsi="Times" w:cs="Times New Roman"/>
          <w:b/>
        </w:rPr>
        <w:t>Primary tumor</w:t>
      </w:r>
      <w:r w:rsidRPr="0035586D">
        <w:rPr>
          <w:rFonts w:ascii="Times" w:hAnsi="Times" w:cs="Times New Roman"/>
          <w:b/>
        </w:rPr>
        <w:t xml:space="preserve"> cells and cell lines </w:t>
      </w:r>
    </w:p>
    <w:p w14:paraId="2C6A19D5" w14:textId="522A21B3" w:rsidR="006A7B0E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 New Roman"/>
        </w:rPr>
        <w:t xml:space="preserve">Human primary </w:t>
      </w:r>
      <w:r>
        <w:rPr>
          <w:rFonts w:ascii="Times" w:hAnsi="Times" w:cs="Times New Roman"/>
        </w:rPr>
        <w:t>leukemia</w:t>
      </w:r>
      <w:r w:rsidRPr="006A7B0E">
        <w:rPr>
          <w:rFonts w:ascii="Times" w:hAnsi="Times" w:cs="Times New Roman"/>
        </w:rPr>
        <w:t xml:space="preserve"> samples were obtained from residual samples following a protocol approved by the Institutional Review Board of Stony Brook </w:t>
      </w:r>
      <w:r w:rsidRPr="006A7B0E">
        <w:rPr>
          <w:rFonts w:ascii="Times" w:hAnsi="Times" w:cs="Times"/>
          <w:color w:val="000000"/>
        </w:rPr>
        <w:t>University.</w:t>
      </w:r>
      <w:r w:rsidR="00C303C2">
        <w:rPr>
          <w:rFonts w:ascii="Times" w:hAnsi="Times" w:cs="Times"/>
          <w:color w:val="000000"/>
        </w:rPr>
        <w:t xml:space="preserve"> </w:t>
      </w:r>
      <w:r w:rsidR="00C303C2" w:rsidRPr="00FF33BD">
        <w:rPr>
          <w:rFonts w:ascii="Times" w:hAnsi="Times" w:cs="Times"/>
        </w:rPr>
        <w:t>MOLM-13 cell line was obtained from AddexBio (San Diego, CA, USA).</w:t>
      </w:r>
      <w:r w:rsidR="008C3212" w:rsidRPr="00FF33BD">
        <w:rPr>
          <w:rFonts w:ascii="Times" w:hAnsi="Times" w:cs="Times"/>
        </w:rPr>
        <w:t xml:space="preserve"> </w:t>
      </w:r>
      <w:r w:rsidR="008C3212" w:rsidRPr="00DD0653">
        <w:rPr>
          <w:rFonts w:ascii="Times" w:hAnsi="Times" w:cs="Times"/>
          <w:color w:val="000000"/>
        </w:rPr>
        <w:t xml:space="preserve">U937 </w:t>
      </w:r>
      <w:r w:rsidR="00FE22FF">
        <w:rPr>
          <w:rFonts w:ascii="Times" w:hAnsi="Times" w:cs="Times"/>
          <w:color w:val="000000"/>
        </w:rPr>
        <w:t xml:space="preserve">and Jurkat </w:t>
      </w:r>
      <w:r w:rsidR="008C3212" w:rsidRPr="00DD0653">
        <w:rPr>
          <w:rFonts w:ascii="Times" w:hAnsi="Times" w:cs="Times"/>
          <w:color w:val="000000"/>
        </w:rPr>
        <w:t>cell line</w:t>
      </w:r>
      <w:r w:rsidR="00FE22FF">
        <w:rPr>
          <w:rFonts w:ascii="Times" w:hAnsi="Times" w:cs="Times"/>
          <w:color w:val="000000"/>
        </w:rPr>
        <w:t>s were</w:t>
      </w:r>
      <w:r w:rsidR="008C3212" w:rsidRPr="00DD0653">
        <w:rPr>
          <w:rFonts w:ascii="Times" w:hAnsi="Times" w:cs="Times"/>
          <w:color w:val="000000"/>
        </w:rPr>
        <w:t xml:space="preserve"> obtained from ATCC (Manassas, VA, USA). </w:t>
      </w:r>
      <w:r w:rsidR="00FC5A7B">
        <w:rPr>
          <w:rFonts w:ascii="Times" w:hAnsi="Times" w:cs="Times"/>
          <w:color w:val="000000"/>
        </w:rPr>
        <w:t>CD123 and CD33 expressing Jurkat cells (Jurkat xp123, Jurkat xp33</w:t>
      </w:r>
      <w:r w:rsidRPr="006A7B0E">
        <w:rPr>
          <w:rFonts w:ascii="Times" w:hAnsi="Times" w:cs="Times"/>
          <w:color w:val="000000"/>
        </w:rPr>
        <w:t xml:space="preserve">) were generated by </w:t>
      </w:r>
      <w:r w:rsidR="00FC5A7B">
        <w:rPr>
          <w:rFonts w:ascii="Times" w:hAnsi="Times" w:cs="Times"/>
          <w:color w:val="000000"/>
        </w:rPr>
        <w:t>CD123</w:t>
      </w:r>
      <w:r w:rsidR="00CB1957">
        <w:rPr>
          <w:rFonts w:ascii="Times" w:hAnsi="Times" w:cs="Times"/>
          <w:color w:val="000000"/>
        </w:rPr>
        <w:t>b</w:t>
      </w:r>
      <w:r w:rsidR="00FC5A7B">
        <w:rPr>
          <w:rFonts w:ascii="Times" w:hAnsi="Times" w:cs="Times"/>
          <w:color w:val="000000"/>
        </w:rPr>
        <w:t xml:space="preserve"> and CD33</w:t>
      </w:r>
      <w:r w:rsidR="00CB1957">
        <w:rPr>
          <w:rFonts w:ascii="Times" w:hAnsi="Times" w:cs="Times"/>
          <w:color w:val="000000"/>
        </w:rPr>
        <w:t>b</w:t>
      </w:r>
      <w:r w:rsidRPr="006A7B0E">
        <w:rPr>
          <w:rFonts w:ascii="Times" w:hAnsi="Times" w:cs="Times"/>
          <w:color w:val="000000"/>
        </w:rPr>
        <w:t xml:space="preserve"> cDNA transduction</w:t>
      </w:r>
      <w:r w:rsidR="00CB1957">
        <w:rPr>
          <w:rFonts w:ascii="Times" w:hAnsi="Times" w:cs="Times"/>
          <w:color w:val="000000"/>
        </w:rPr>
        <w:t>, respectively,</w:t>
      </w:r>
      <w:r w:rsidRPr="006A7B0E">
        <w:rPr>
          <w:rFonts w:ascii="Times" w:hAnsi="Times" w:cs="Times"/>
          <w:color w:val="000000"/>
        </w:rPr>
        <w:t xml:space="preserve"> and stably maintained by puromycin selection (1.0 ug/ul). </w:t>
      </w:r>
      <w:r w:rsidR="000E15FB">
        <w:rPr>
          <w:rFonts w:ascii="Times" w:hAnsi="Times" w:cs="Times"/>
          <w:color w:val="000000"/>
        </w:rPr>
        <w:t>MOLM</w:t>
      </w:r>
      <w:r w:rsidR="00D44E08" w:rsidRPr="00DD0653">
        <w:rPr>
          <w:rFonts w:ascii="Times" w:hAnsi="Times" w:cs="Times"/>
          <w:color w:val="000000"/>
        </w:rPr>
        <w:t>13</w:t>
      </w:r>
      <w:r w:rsidR="00486DF4">
        <w:rPr>
          <w:rFonts w:ascii="Times" w:hAnsi="Times" w:cs="Times"/>
          <w:color w:val="000000"/>
        </w:rPr>
        <w:t xml:space="preserve">, </w:t>
      </w:r>
      <w:r w:rsidR="000E15FB">
        <w:rPr>
          <w:rFonts w:ascii="Times" w:hAnsi="Times" w:cs="Times"/>
          <w:color w:val="000000"/>
        </w:rPr>
        <w:t>U937</w:t>
      </w:r>
      <w:r w:rsidR="00486DF4">
        <w:rPr>
          <w:rFonts w:ascii="Times" w:hAnsi="Times" w:cs="Times"/>
          <w:color w:val="000000"/>
        </w:rPr>
        <w:t>, and Jurkat xp</w:t>
      </w:r>
      <w:r w:rsidR="00D44E08" w:rsidRPr="00DD0653">
        <w:rPr>
          <w:rFonts w:ascii="Times" w:hAnsi="Times" w:cs="Times"/>
          <w:color w:val="000000"/>
        </w:rPr>
        <w:t xml:space="preserve"> cell lines were cultured in RPMI, 10% FBS, 1% Pen/Strep (Gibco).</w:t>
      </w:r>
      <w:r w:rsidR="000E15FB">
        <w:rPr>
          <w:rFonts w:ascii="Times" w:hAnsi="Times" w:cs="Times"/>
          <w:color w:val="000000"/>
        </w:rPr>
        <w:t xml:space="preserve"> </w:t>
      </w:r>
      <w:r w:rsidR="0021342A">
        <w:rPr>
          <w:rFonts w:ascii="Times" w:hAnsi="Times" w:cs="Times"/>
          <w:color w:val="000000"/>
        </w:rPr>
        <w:t>T-</w:t>
      </w:r>
      <w:r w:rsidR="000E15FB" w:rsidRPr="00DD0653">
        <w:rPr>
          <w:rFonts w:ascii="Times" w:hAnsi="Times" w:cs="Times"/>
          <w:color w:val="000000"/>
        </w:rPr>
        <w:t xml:space="preserve">cells </w:t>
      </w:r>
      <w:r w:rsidR="00486DF4">
        <w:rPr>
          <w:rFonts w:ascii="Times" w:hAnsi="Times" w:cs="Times"/>
          <w:color w:val="000000"/>
        </w:rPr>
        <w:t xml:space="preserve">and patient samples </w:t>
      </w:r>
      <w:r w:rsidR="000E15FB" w:rsidRPr="00DD0653">
        <w:rPr>
          <w:rFonts w:ascii="Times" w:hAnsi="Times" w:cs="Times"/>
          <w:color w:val="000000"/>
        </w:rPr>
        <w:t>were cultured in filtered T c</w:t>
      </w:r>
      <w:r w:rsidR="00486DF4">
        <w:rPr>
          <w:rFonts w:ascii="Times" w:hAnsi="Times" w:cs="Times"/>
          <w:color w:val="000000"/>
        </w:rPr>
        <w:t>ell media, defined as 50% AIM V, 4</w:t>
      </w:r>
      <w:r w:rsidR="000E15FB" w:rsidRPr="00DD0653">
        <w:rPr>
          <w:rFonts w:ascii="Times" w:hAnsi="Times" w:cs="Times"/>
          <w:color w:val="000000"/>
        </w:rPr>
        <w:t xml:space="preserve">0% RPMI 1640 and 10%FBS, with 1% Pen/Strep (all Gibco, Waltham, MA, USA) and supplemented with IL-2 (300 IU/mL; Peprotech, Rocky Hill, NJ, </w:t>
      </w:r>
      <w:r w:rsidR="00486DF4">
        <w:rPr>
          <w:rFonts w:ascii="Times" w:hAnsi="Times" w:cs="Times"/>
          <w:color w:val="000000"/>
        </w:rPr>
        <w:t>USA)</w:t>
      </w:r>
      <w:r w:rsidR="000E15FB" w:rsidRPr="00DD0653">
        <w:rPr>
          <w:rFonts w:ascii="Times" w:hAnsi="Times" w:cs="Times"/>
          <w:color w:val="000000"/>
        </w:rPr>
        <w:t xml:space="preserve">. </w:t>
      </w:r>
    </w:p>
    <w:p w14:paraId="34D3F711" w14:textId="77777777" w:rsidR="00890840" w:rsidRPr="00D44E08" w:rsidRDefault="00890840" w:rsidP="003A212F">
      <w:pPr>
        <w:rPr>
          <w:rFonts w:ascii="Times" w:hAnsi="Times" w:cs="Times New Roman"/>
        </w:rPr>
      </w:pPr>
    </w:p>
    <w:p w14:paraId="453B152E" w14:textId="04657616" w:rsidR="00590BD2" w:rsidRDefault="006A7B0E" w:rsidP="003A212F">
      <w:pPr>
        <w:outlineLvl w:val="0"/>
        <w:rPr>
          <w:rFonts w:ascii="Times" w:hAnsi="Times" w:cs="Times"/>
          <w:color w:val="000000"/>
        </w:rPr>
      </w:pPr>
      <w:r w:rsidRPr="00B34AF0">
        <w:rPr>
          <w:rFonts w:ascii="Times" w:hAnsi="Times" w:cs="Times"/>
          <w:b/>
          <w:color w:val="000000"/>
        </w:rPr>
        <w:t>CAR construct</w:t>
      </w:r>
      <w:r w:rsidRPr="0035586D">
        <w:rPr>
          <w:rFonts w:ascii="Times" w:hAnsi="Times" w:cs="Times"/>
          <w:b/>
          <w:color w:val="000000"/>
        </w:rPr>
        <w:t xml:space="preserve"> design, lentiviral transduction, and detection </w:t>
      </w:r>
    </w:p>
    <w:p w14:paraId="47399522" w14:textId="52BF7F41" w:rsidR="006D79C8" w:rsidRPr="00AB6C2B" w:rsidRDefault="00E03221" w:rsidP="006D79C8">
      <w:pPr>
        <w:rPr>
          <w:rFonts w:ascii="Times" w:hAnsi="Times" w:cs="Times New Roman"/>
        </w:rPr>
      </w:pPr>
      <w:r>
        <w:rPr>
          <w:rFonts w:ascii="Times" w:hAnsi="Times" w:cs="Times"/>
          <w:color w:val="000000"/>
        </w:rPr>
        <w:t>The CD123</w:t>
      </w:r>
      <w:r w:rsidR="00486DF4">
        <w:rPr>
          <w:rFonts w:ascii="Times" w:hAnsi="Times" w:cs="Times"/>
          <w:color w:val="000000"/>
        </w:rPr>
        <w:t>b</w:t>
      </w:r>
      <w:r>
        <w:rPr>
          <w:rFonts w:ascii="Times" w:hAnsi="Times" w:cs="Times"/>
          <w:color w:val="000000"/>
        </w:rPr>
        <w:t>-</w:t>
      </w:r>
      <w:r w:rsidR="0035586D">
        <w:rPr>
          <w:rFonts w:ascii="Times" w:hAnsi="Times" w:cs="Times"/>
          <w:color w:val="000000"/>
        </w:rPr>
        <w:t>CD33</w:t>
      </w:r>
      <w:r w:rsidR="00486DF4">
        <w:rPr>
          <w:rFonts w:ascii="Times" w:hAnsi="Times" w:cs="Times"/>
          <w:color w:val="000000"/>
        </w:rPr>
        <w:t>b</w:t>
      </w:r>
      <w:r>
        <w:rPr>
          <w:rFonts w:ascii="Times" w:hAnsi="Times" w:cs="Times"/>
          <w:color w:val="000000"/>
        </w:rPr>
        <w:t>-</w:t>
      </w:r>
      <w:r w:rsidR="0035586D">
        <w:rPr>
          <w:rFonts w:ascii="Times" w:hAnsi="Times" w:cs="Times"/>
          <w:color w:val="000000"/>
        </w:rPr>
        <w:t>41BB</w:t>
      </w:r>
      <w:r>
        <w:rPr>
          <w:rFonts w:ascii="Times" w:hAnsi="Times" w:cs="Times"/>
          <w:color w:val="000000"/>
        </w:rPr>
        <w:t>/CD28</w:t>
      </w:r>
      <w:r w:rsidR="0035586D">
        <w:rPr>
          <w:rFonts w:ascii="Times" w:hAnsi="Times" w:cs="Times"/>
          <w:color w:val="000000"/>
        </w:rPr>
        <w:t>-2G (abbv. 123b-33b</w:t>
      </w:r>
      <w:r w:rsidR="006A7B0E" w:rsidRPr="006A7B0E">
        <w:rPr>
          <w:rFonts w:ascii="Times" w:hAnsi="Times" w:cs="Times"/>
          <w:color w:val="000000"/>
        </w:rPr>
        <w:t>cCAR) in a pRSC vector consists of two independent, discrete CAR units driven by a SFFV promoter fused together</w:t>
      </w:r>
      <w:r w:rsidR="00486DF4">
        <w:rPr>
          <w:rFonts w:ascii="Times" w:hAnsi="Times" w:cs="Times"/>
          <w:color w:val="000000"/>
        </w:rPr>
        <w:t xml:space="preserve"> by a self-cleaving P2A peptide. </w:t>
      </w:r>
      <w:r w:rsidR="006A7B0E" w:rsidRPr="006A7B0E">
        <w:rPr>
          <w:rFonts w:ascii="Times" w:hAnsi="Times" w:cs="Times"/>
          <w:color w:val="000000"/>
        </w:rPr>
        <w:t>Each CAR unit is comprised of an intracellular tandem signaling domain made up of</w:t>
      </w:r>
      <w:r w:rsidR="0060435A">
        <w:rPr>
          <w:rFonts w:ascii="Times" w:hAnsi="Times" w:cs="Times"/>
          <w:color w:val="000000"/>
        </w:rPr>
        <w:t xml:space="preserve"> either</w:t>
      </w:r>
      <w:r w:rsidR="006A7B0E" w:rsidRPr="006A7B0E">
        <w:rPr>
          <w:rFonts w:ascii="Times" w:hAnsi="Times" w:cs="Times"/>
          <w:color w:val="000000"/>
        </w:rPr>
        <w:t xml:space="preserve"> 4-1BB </w:t>
      </w:r>
      <w:r w:rsidR="0060435A">
        <w:rPr>
          <w:rFonts w:ascii="Times" w:hAnsi="Times" w:cs="Times"/>
          <w:color w:val="000000"/>
        </w:rPr>
        <w:t xml:space="preserve">(CD123) or CD28 (CD33) </w:t>
      </w:r>
      <w:r w:rsidR="009A07D8">
        <w:rPr>
          <w:rFonts w:ascii="Times" w:hAnsi="Times" w:cs="Times"/>
          <w:color w:val="000000"/>
        </w:rPr>
        <w:t>and CD3</w:t>
      </w:r>
      <w:r w:rsidR="006A7B0E" w:rsidRPr="006A7B0E">
        <w:rPr>
          <w:rFonts w:ascii="Times" w:hAnsi="Times" w:cs="Times"/>
          <w:color w:val="000000"/>
        </w:rPr>
        <w:t xml:space="preserve">ζ domains and upon export to cell surface, are expressed in roughly equal ratios based the P2A cleavage </w:t>
      </w:r>
      <w:r w:rsidR="0035586D">
        <w:rPr>
          <w:rFonts w:ascii="Times" w:hAnsi="Times" w:cs="Times"/>
          <w:color w:val="000000"/>
        </w:rPr>
        <w:t>efficiency</w:t>
      </w:r>
      <w:r w:rsidR="0035586D" w:rsidRPr="0035586D">
        <w:rPr>
          <w:rFonts w:ascii="Times" w:hAnsi="Times" w:cs="Times"/>
          <w:color w:val="000000"/>
          <w:vertAlign w:val="superscript"/>
        </w:rPr>
        <w:t>1</w:t>
      </w:r>
      <w:r w:rsidR="00507816">
        <w:rPr>
          <w:rFonts w:ascii="Times" w:hAnsi="Times" w:cs="Times"/>
          <w:color w:val="000000"/>
          <w:vertAlign w:val="superscript"/>
        </w:rPr>
        <w:t>, 5</w:t>
      </w:r>
      <w:r w:rsidR="0035586D">
        <w:rPr>
          <w:rFonts w:ascii="Times" w:hAnsi="Times" w:cs="Times"/>
          <w:color w:val="000000"/>
        </w:rPr>
        <w:t>.</w:t>
      </w:r>
      <w:r w:rsidR="0060435A">
        <w:rPr>
          <w:rFonts w:ascii="Times" w:hAnsi="Times" w:cs="Times"/>
          <w:color w:val="000000"/>
        </w:rPr>
        <w:t xml:space="preserve"> A 123b-33b</w:t>
      </w:r>
      <w:r w:rsidR="006A7B0E" w:rsidRPr="006A7B0E">
        <w:rPr>
          <w:rFonts w:ascii="Times" w:hAnsi="Times" w:cs="Times"/>
          <w:color w:val="000000"/>
        </w:rPr>
        <w:t xml:space="preserve">cCAR T-cell is defined as having a complete </w:t>
      </w:r>
      <w:r w:rsidR="0060435A">
        <w:rPr>
          <w:rFonts w:ascii="Times" w:hAnsi="Times" w:cs="Times"/>
          <w:color w:val="000000"/>
        </w:rPr>
        <w:t>CD123</w:t>
      </w:r>
      <w:r w:rsidR="006A7B0E" w:rsidRPr="006A7B0E">
        <w:rPr>
          <w:rFonts w:ascii="Times" w:hAnsi="Times" w:cs="Times"/>
          <w:color w:val="000000"/>
        </w:rPr>
        <w:t xml:space="preserve"> CAR and a </w:t>
      </w:r>
      <w:r w:rsidR="0060435A">
        <w:rPr>
          <w:rFonts w:ascii="Times" w:hAnsi="Times" w:cs="Times"/>
          <w:color w:val="000000"/>
        </w:rPr>
        <w:t>complete CD33</w:t>
      </w:r>
      <w:r w:rsidR="006A7B0E" w:rsidRPr="006A7B0E">
        <w:rPr>
          <w:rFonts w:ascii="Times" w:hAnsi="Times" w:cs="Times"/>
          <w:color w:val="000000"/>
        </w:rPr>
        <w:t xml:space="preserve"> CAR expressed on the same cell, with </w:t>
      </w:r>
      <w:r w:rsidR="006A7B0E" w:rsidRPr="00486DF4">
        <w:rPr>
          <w:rFonts w:ascii="Times" w:hAnsi="Times" w:cs="Times"/>
          <w:color w:val="000000"/>
        </w:rPr>
        <w:t xml:space="preserve">independent targeting and </w:t>
      </w:r>
      <w:r w:rsidR="006A7B0E" w:rsidRPr="00AB6C2B">
        <w:rPr>
          <w:rFonts w:ascii="Times" w:hAnsi="Times" w:cs="Times"/>
          <w:color w:val="000000"/>
        </w:rPr>
        <w:t xml:space="preserve">signaling. Viral supernatant containing the </w:t>
      </w:r>
      <w:r w:rsidR="0060435A" w:rsidRPr="00AB6C2B">
        <w:rPr>
          <w:rFonts w:ascii="Times" w:hAnsi="Times" w:cs="Times"/>
          <w:color w:val="000000"/>
        </w:rPr>
        <w:t>123b-33b</w:t>
      </w:r>
      <w:r w:rsidR="006A7B0E" w:rsidRPr="00AB6C2B">
        <w:rPr>
          <w:rFonts w:ascii="Times" w:hAnsi="Times" w:cs="Times"/>
          <w:color w:val="000000"/>
        </w:rPr>
        <w:t>cCAR</w:t>
      </w:r>
      <w:r w:rsidR="004F4828" w:rsidRPr="00AB6C2B">
        <w:rPr>
          <w:rFonts w:ascii="Times" w:hAnsi="Times" w:cs="Times"/>
          <w:color w:val="000000"/>
        </w:rPr>
        <w:t xml:space="preserve"> was produced by 293</w:t>
      </w:r>
      <w:r w:rsidR="00703B55" w:rsidRPr="00AB6C2B">
        <w:rPr>
          <w:rFonts w:ascii="Times" w:hAnsi="Times" w:cs="Times"/>
          <w:color w:val="000000"/>
        </w:rPr>
        <w:t>T-cells</w:t>
      </w:r>
      <w:r w:rsidR="004F4828" w:rsidRPr="00AB6C2B">
        <w:rPr>
          <w:rFonts w:ascii="Times" w:hAnsi="Times" w:cs="Times"/>
          <w:color w:val="000000"/>
        </w:rPr>
        <w:t xml:space="preserve"> co-</w:t>
      </w:r>
      <w:r w:rsidR="006A7B0E" w:rsidRPr="00AB6C2B">
        <w:rPr>
          <w:rFonts w:ascii="Times" w:hAnsi="Times" w:cs="Times"/>
          <w:color w:val="000000"/>
        </w:rPr>
        <w:t>transfected with pMD2G and pSPAX viral packa</w:t>
      </w:r>
      <w:r w:rsidR="0035586D" w:rsidRPr="00AB6C2B">
        <w:rPr>
          <w:rFonts w:ascii="Times" w:hAnsi="Times" w:cs="Times"/>
          <w:color w:val="000000"/>
        </w:rPr>
        <w:t xml:space="preserve">ging plasmids containing either </w:t>
      </w:r>
      <w:proofErr w:type="gramStart"/>
      <w:r w:rsidR="006A7B0E" w:rsidRPr="00AB6C2B">
        <w:rPr>
          <w:rFonts w:ascii="Times" w:hAnsi="Times" w:cs="Times"/>
          <w:color w:val="000000"/>
        </w:rPr>
        <w:t>pRSC.SFFV.cCAR</w:t>
      </w:r>
      <w:proofErr w:type="gramEnd"/>
      <w:r w:rsidR="006A7B0E" w:rsidRPr="00AB6C2B">
        <w:rPr>
          <w:rFonts w:ascii="Times" w:hAnsi="Times" w:cs="Times"/>
          <w:color w:val="000000"/>
        </w:rPr>
        <w:t xml:space="preserve">.2G or control vector control using Lipofectamine 2000 (Life Technologies, Carlsbad, CA) as per manufacturer’s protocol. </w:t>
      </w:r>
      <w:r w:rsidR="0055236E" w:rsidRPr="00AB6C2B">
        <w:rPr>
          <w:rFonts w:ascii="Times" w:hAnsi="Times" w:cs="Times"/>
          <w:color w:val="000000"/>
        </w:rPr>
        <w:t xml:space="preserve">T-cells were obtained from four healthy donors, as T-cell origin does not significantly impact CAR killing ability. </w:t>
      </w:r>
      <w:r w:rsidR="0055236E" w:rsidRPr="00AB6C2B">
        <w:rPr>
          <w:rFonts w:ascii="Times" w:hAnsi="Times" w:cs="Times New Roman"/>
        </w:rPr>
        <w:t xml:space="preserve">CAR killing ability depends on transduction efficacy, with higher transduction rates resulting in </w:t>
      </w:r>
      <w:r w:rsidR="00AD0E1C" w:rsidRPr="00AB6C2B">
        <w:rPr>
          <w:rFonts w:ascii="Times" w:hAnsi="Times" w:cs="Times New Roman"/>
        </w:rPr>
        <w:t xml:space="preserve">higher lysis ability. </w:t>
      </w:r>
      <w:r w:rsidR="006A7B0E" w:rsidRPr="00AB6C2B">
        <w:rPr>
          <w:rFonts w:ascii="Times" w:hAnsi="Times" w:cs="Times"/>
          <w:color w:val="000000"/>
        </w:rPr>
        <w:t>T-cells were activated and transduced as previously described, in which T-cells are incubated in BSA-blocked 12 well plates with lentivira</w:t>
      </w:r>
      <w:r w:rsidR="0060435A" w:rsidRPr="00AB6C2B">
        <w:rPr>
          <w:rFonts w:ascii="Times" w:hAnsi="Times" w:cs="Times"/>
          <w:color w:val="000000"/>
        </w:rPr>
        <w:t>l supernatant containing the 123b-33b</w:t>
      </w:r>
      <w:r w:rsidR="006A7B0E" w:rsidRPr="00AB6C2B">
        <w:rPr>
          <w:rFonts w:ascii="Times" w:hAnsi="Times" w:cs="Times"/>
          <w:color w:val="000000"/>
        </w:rPr>
        <w:t xml:space="preserve">cCAR or vector control </w:t>
      </w:r>
      <w:r w:rsidR="0035586D" w:rsidRPr="00AB6C2B">
        <w:rPr>
          <w:rFonts w:ascii="Times" w:hAnsi="Times" w:cs="Times"/>
          <w:color w:val="000000"/>
        </w:rPr>
        <w:t>construct overnight</w:t>
      </w:r>
      <w:r w:rsidR="0060435A" w:rsidRPr="00AB6C2B">
        <w:rPr>
          <w:rFonts w:ascii="Times" w:hAnsi="Times" w:cs="Times"/>
          <w:color w:val="000000"/>
        </w:rPr>
        <w:t xml:space="preserve"> </w:t>
      </w:r>
      <w:r w:rsidR="0035586D" w:rsidRPr="00AB6C2B">
        <w:rPr>
          <w:rFonts w:ascii="Times" w:hAnsi="Times" w:cs="Times"/>
          <w:color w:val="000000"/>
          <w:vertAlign w:val="superscript"/>
        </w:rPr>
        <w:t>2,3</w:t>
      </w:r>
      <w:r w:rsidR="00507816" w:rsidRPr="00AB6C2B">
        <w:rPr>
          <w:rFonts w:ascii="Times" w:hAnsi="Times" w:cs="Times"/>
          <w:color w:val="000000"/>
          <w:vertAlign w:val="superscript"/>
        </w:rPr>
        <w:t>,5</w:t>
      </w:r>
      <w:r w:rsidR="006A7B0E" w:rsidRPr="00AB6C2B">
        <w:rPr>
          <w:rFonts w:ascii="Times" w:hAnsi="Times" w:cs="Times"/>
          <w:color w:val="000000"/>
        </w:rPr>
        <w:t xml:space="preserve">. </w:t>
      </w:r>
    </w:p>
    <w:p w14:paraId="33C56F17" w14:textId="08EB5571" w:rsidR="006A7B0E" w:rsidRPr="00C44874" w:rsidRDefault="006A7B0E" w:rsidP="006D79C8">
      <w:pPr>
        <w:rPr>
          <w:rFonts w:ascii="Times" w:hAnsi="Times" w:cs="Times"/>
          <w:b/>
          <w:color w:val="000000"/>
        </w:rPr>
      </w:pPr>
      <w:r w:rsidRPr="00AB6C2B">
        <w:rPr>
          <w:rFonts w:ascii="Times" w:hAnsi="Times" w:cs="Times"/>
          <w:color w:val="000000"/>
        </w:rPr>
        <w:t>CAR T-cells were assayed for expression using flow cytometry for F(ab)’ fragment de</w:t>
      </w:r>
      <w:r w:rsidR="0060435A" w:rsidRPr="00AB6C2B">
        <w:rPr>
          <w:rFonts w:ascii="Times" w:hAnsi="Times" w:cs="Times"/>
          <w:color w:val="000000"/>
        </w:rPr>
        <w:t xml:space="preserve">tection as previously described </w:t>
      </w:r>
      <w:r w:rsidRPr="00AB6C2B">
        <w:rPr>
          <w:rFonts w:ascii="Times" w:hAnsi="Times" w:cs="Times"/>
          <w:color w:val="000000"/>
          <w:vertAlign w:val="superscript"/>
        </w:rPr>
        <w:t>2,3</w:t>
      </w:r>
      <w:r w:rsidR="00507816" w:rsidRPr="00AB6C2B">
        <w:rPr>
          <w:rFonts w:ascii="Times" w:hAnsi="Times" w:cs="Times"/>
          <w:color w:val="000000"/>
          <w:vertAlign w:val="superscript"/>
        </w:rPr>
        <w:t>,5</w:t>
      </w:r>
      <w:r w:rsidRPr="00AB6C2B">
        <w:rPr>
          <w:rFonts w:ascii="Times" w:hAnsi="Times" w:cs="Times"/>
          <w:color w:val="000000"/>
        </w:rPr>
        <w:t>. Flow cytometry was performed using a</w:t>
      </w:r>
      <w:bookmarkStart w:id="0" w:name="_GoBack"/>
      <w:bookmarkEnd w:id="0"/>
      <w:r w:rsidRPr="006A7B0E">
        <w:rPr>
          <w:rFonts w:ascii="Times" w:hAnsi="Times" w:cs="Times"/>
          <w:color w:val="000000"/>
        </w:rPr>
        <w:t xml:space="preserve"> FACS Calibur instrument (Becton Dickinson, Franklin Lakes, NJ), and results were analyzed using Kaluza software (Beckman </w:t>
      </w:r>
      <w:r w:rsidRPr="00C44874">
        <w:rPr>
          <w:rFonts w:ascii="Times" w:hAnsi="Times" w:cs="Times"/>
          <w:color w:val="000000"/>
        </w:rPr>
        <w:t xml:space="preserve">Coulter, CA). </w:t>
      </w:r>
    </w:p>
    <w:p w14:paraId="436FD6A6" w14:textId="77777777" w:rsidR="00B34AF0" w:rsidRPr="00C44874" w:rsidRDefault="00B34AF0" w:rsidP="003A212F">
      <w:pPr>
        <w:rPr>
          <w:rFonts w:ascii="Times" w:hAnsi="Times" w:cs="Times"/>
          <w:b/>
          <w:color w:val="000000"/>
        </w:rPr>
      </w:pPr>
    </w:p>
    <w:p w14:paraId="348A8209" w14:textId="77777777" w:rsidR="00B34AF0" w:rsidRPr="00C44874" w:rsidRDefault="00B34AF0" w:rsidP="003A212F">
      <w:pPr>
        <w:rPr>
          <w:rFonts w:ascii="Times" w:hAnsi="Times" w:cs="Times"/>
          <w:b/>
          <w:color w:val="000000"/>
        </w:rPr>
      </w:pPr>
    </w:p>
    <w:p w14:paraId="1448F6FE" w14:textId="5DFD0BAF" w:rsidR="0035586D" w:rsidRPr="0035586D" w:rsidRDefault="006A7B0E" w:rsidP="003A212F">
      <w:pPr>
        <w:outlineLvl w:val="0"/>
        <w:rPr>
          <w:rFonts w:ascii="Times" w:hAnsi="Times" w:cs="Times"/>
          <w:b/>
          <w:color w:val="000000"/>
        </w:rPr>
      </w:pPr>
      <w:r w:rsidRPr="00C44874">
        <w:rPr>
          <w:rFonts w:ascii="Times" w:hAnsi="Times" w:cs="Times"/>
          <w:b/>
          <w:color w:val="000000"/>
        </w:rPr>
        <w:t>Co-culture assays</w:t>
      </w:r>
      <w:r w:rsidRPr="0035586D">
        <w:rPr>
          <w:rFonts w:ascii="Times" w:hAnsi="Times" w:cs="Times"/>
          <w:b/>
          <w:color w:val="000000"/>
        </w:rPr>
        <w:t xml:space="preserve"> and gating schemes </w:t>
      </w:r>
    </w:p>
    <w:p w14:paraId="17AF3132" w14:textId="54CF0F98" w:rsidR="00605C38" w:rsidRDefault="005105A2" w:rsidP="003A212F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  <w:r>
        <w:rPr>
          <w:rFonts w:ascii="Times" w:hAnsi="Times" w:cs="Times"/>
          <w:color w:val="000000"/>
        </w:rPr>
        <w:t>123b-33b</w:t>
      </w:r>
      <w:r w:rsidR="006A7B0E" w:rsidRPr="006A7B0E">
        <w:rPr>
          <w:rFonts w:ascii="Times" w:hAnsi="Times" w:cs="Times"/>
          <w:color w:val="000000"/>
        </w:rPr>
        <w:t xml:space="preserve">cCAR and vector control </w:t>
      </w:r>
      <w:r w:rsidR="00703B55">
        <w:rPr>
          <w:rFonts w:ascii="Times" w:hAnsi="Times" w:cs="Times"/>
          <w:color w:val="000000"/>
        </w:rPr>
        <w:t>T-cells</w:t>
      </w:r>
      <w:r w:rsidR="003139FA">
        <w:rPr>
          <w:rFonts w:ascii="Times" w:hAnsi="Times" w:cs="Times"/>
          <w:color w:val="000000"/>
        </w:rPr>
        <w:t xml:space="preserve"> were incubated with CD123 and/or CD33</w:t>
      </w:r>
      <w:r w:rsidR="006A7B0E" w:rsidRPr="006A7B0E">
        <w:rPr>
          <w:rFonts w:ascii="Times" w:hAnsi="Times" w:cs="Times"/>
          <w:color w:val="000000"/>
        </w:rPr>
        <w:t xml:space="preserve"> </w:t>
      </w:r>
      <w:r w:rsidR="003139FA">
        <w:rPr>
          <w:rFonts w:ascii="Times" w:hAnsi="Times" w:cs="Times"/>
          <w:color w:val="000000"/>
        </w:rPr>
        <w:t>expressing leukemia cell lines: MOLM13 (n=</w:t>
      </w:r>
      <w:r w:rsidR="005B3915">
        <w:rPr>
          <w:rFonts w:ascii="Times" w:hAnsi="Times" w:cs="Times"/>
          <w:color w:val="000000"/>
        </w:rPr>
        <w:t>2</w:t>
      </w:r>
      <w:r w:rsidR="003139FA">
        <w:rPr>
          <w:rFonts w:ascii="Times" w:hAnsi="Times" w:cs="Times"/>
          <w:color w:val="000000"/>
        </w:rPr>
        <w:t>), U937 (n=</w:t>
      </w:r>
      <w:r w:rsidR="005B3915">
        <w:rPr>
          <w:rFonts w:ascii="Times" w:hAnsi="Times" w:cs="Times"/>
          <w:color w:val="000000"/>
        </w:rPr>
        <w:t>2</w:t>
      </w:r>
      <w:r w:rsidR="00B320F2">
        <w:rPr>
          <w:rFonts w:ascii="Times" w:hAnsi="Times" w:cs="Times"/>
          <w:color w:val="000000"/>
        </w:rPr>
        <w:t>), HL60</w:t>
      </w:r>
      <w:r w:rsidR="003139FA">
        <w:rPr>
          <w:rFonts w:ascii="Times" w:hAnsi="Times" w:cs="Times"/>
          <w:color w:val="000000"/>
        </w:rPr>
        <w:t xml:space="preserve"> (n=</w:t>
      </w:r>
      <w:r w:rsidR="0097532B">
        <w:rPr>
          <w:rFonts w:ascii="Times" w:hAnsi="Times" w:cs="Times"/>
          <w:color w:val="000000"/>
        </w:rPr>
        <w:t>2</w:t>
      </w:r>
      <w:r w:rsidR="006A7B0E" w:rsidRPr="006A7B0E">
        <w:rPr>
          <w:rFonts w:ascii="Times" w:hAnsi="Times" w:cs="Times"/>
          <w:color w:val="000000"/>
        </w:rPr>
        <w:t xml:space="preserve">), </w:t>
      </w:r>
      <w:r w:rsidR="003139FA">
        <w:rPr>
          <w:rFonts w:ascii="Times" w:hAnsi="Times" w:cs="Times"/>
          <w:color w:val="000000"/>
        </w:rPr>
        <w:t>KG1a (n=</w:t>
      </w:r>
      <w:r w:rsidR="0097532B">
        <w:rPr>
          <w:rFonts w:ascii="Times" w:hAnsi="Times" w:cs="Times"/>
          <w:color w:val="000000"/>
        </w:rPr>
        <w:t>2</w:t>
      </w:r>
      <w:r w:rsidR="003139FA">
        <w:rPr>
          <w:rFonts w:ascii="Times" w:hAnsi="Times" w:cs="Times"/>
          <w:color w:val="000000"/>
        </w:rPr>
        <w:t xml:space="preserve">) </w:t>
      </w:r>
      <w:r w:rsidR="006A7B0E" w:rsidRPr="006A7B0E">
        <w:rPr>
          <w:rFonts w:ascii="Times" w:hAnsi="Times" w:cs="Times"/>
          <w:color w:val="000000"/>
        </w:rPr>
        <w:t>in addition to primary patient cells</w:t>
      </w:r>
      <w:r w:rsidR="00C114EE" w:rsidRPr="00C114EE">
        <w:rPr>
          <w:rFonts w:ascii="Times" w:eastAsiaTheme="minorHAnsi" w:hAnsi="Times" w:cs="Times"/>
          <w:color w:val="000000"/>
          <w:sz w:val="32"/>
          <w:szCs w:val="32"/>
        </w:rPr>
        <w:t xml:space="preserve"> </w:t>
      </w:r>
      <w:r w:rsidR="00C114EE" w:rsidRPr="00C114EE">
        <w:rPr>
          <w:rFonts w:ascii="Times" w:eastAsiaTheme="minorHAnsi" w:hAnsi="Times" w:cs="Times"/>
          <w:color w:val="000000"/>
        </w:rPr>
        <w:t xml:space="preserve">two </w:t>
      </w:r>
      <w:r w:rsidR="00C114EE" w:rsidRPr="00C44874">
        <w:rPr>
          <w:rFonts w:ascii="Times" w:eastAsiaTheme="minorHAnsi" w:hAnsi="Times" w:cs="Times"/>
          <w:color w:val="000000"/>
        </w:rPr>
        <w:t>CD123+CD33+ AML and two CD123+ B-ALL samples [PT</w:t>
      </w:r>
      <w:proofErr w:type="gramStart"/>
      <w:r w:rsidR="00C114EE" w:rsidRPr="00C44874">
        <w:rPr>
          <w:rFonts w:ascii="Times" w:eastAsiaTheme="minorHAnsi" w:hAnsi="Times" w:cs="Times"/>
          <w:color w:val="000000"/>
        </w:rPr>
        <w:t>1:AML</w:t>
      </w:r>
      <w:proofErr w:type="gramEnd"/>
      <w:r w:rsidR="00C114EE" w:rsidRPr="00C44874">
        <w:rPr>
          <w:rFonts w:ascii="Times" w:eastAsiaTheme="minorHAnsi" w:hAnsi="Times" w:cs="Times"/>
          <w:color w:val="000000"/>
        </w:rPr>
        <w:t xml:space="preserve"> (n=</w:t>
      </w:r>
      <w:r w:rsidR="0097532B" w:rsidRPr="00C44874">
        <w:rPr>
          <w:rFonts w:ascii="Times" w:eastAsiaTheme="minorHAnsi" w:hAnsi="Times" w:cs="Times"/>
          <w:color w:val="000000"/>
        </w:rPr>
        <w:t>2</w:t>
      </w:r>
      <w:r w:rsidR="00C114EE" w:rsidRPr="00C44874">
        <w:rPr>
          <w:rFonts w:ascii="Times" w:eastAsiaTheme="minorHAnsi" w:hAnsi="Times" w:cs="Times"/>
          <w:color w:val="000000"/>
        </w:rPr>
        <w:t>), PT2:B-ALL</w:t>
      </w:r>
      <w:r w:rsidR="0097532B" w:rsidRPr="00C44874">
        <w:rPr>
          <w:rFonts w:ascii="Times" w:eastAsiaTheme="minorHAnsi" w:hAnsi="Times" w:cs="Times"/>
          <w:color w:val="000000"/>
        </w:rPr>
        <w:t xml:space="preserve"> (n=2)</w:t>
      </w:r>
      <w:r w:rsidR="00C114EE" w:rsidRPr="00C44874">
        <w:rPr>
          <w:rFonts w:ascii="Times" w:eastAsiaTheme="minorHAnsi" w:hAnsi="Times" w:cs="Times"/>
          <w:color w:val="000000"/>
        </w:rPr>
        <w:t>, PT3:AML (n=</w:t>
      </w:r>
      <w:r w:rsidR="0097532B" w:rsidRPr="00C44874">
        <w:rPr>
          <w:rFonts w:ascii="Times" w:eastAsiaTheme="minorHAnsi" w:hAnsi="Times" w:cs="Times"/>
          <w:color w:val="000000"/>
        </w:rPr>
        <w:t>2</w:t>
      </w:r>
      <w:r w:rsidR="00C114EE" w:rsidRPr="00C44874">
        <w:rPr>
          <w:rFonts w:ascii="Times" w:eastAsiaTheme="minorHAnsi" w:hAnsi="Times" w:cs="Times"/>
          <w:color w:val="000000"/>
        </w:rPr>
        <w:t>), and PT4:B-ALL (n=</w:t>
      </w:r>
      <w:r w:rsidR="0097532B" w:rsidRPr="00C44874">
        <w:rPr>
          <w:rFonts w:ascii="Times" w:eastAsiaTheme="minorHAnsi" w:hAnsi="Times" w:cs="Times"/>
          <w:color w:val="000000"/>
        </w:rPr>
        <w:t>2</w:t>
      </w:r>
      <w:r w:rsidR="00C114EE" w:rsidRPr="00C44874">
        <w:rPr>
          <w:rFonts w:ascii="Times" w:eastAsiaTheme="minorHAnsi" w:hAnsi="Times" w:cs="Times"/>
          <w:color w:val="000000"/>
        </w:rPr>
        <w:t xml:space="preserve">)]. </w:t>
      </w:r>
      <w:r w:rsidR="006A7B0E" w:rsidRPr="00C44874">
        <w:rPr>
          <w:rFonts w:ascii="Times" w:hAnsi="Times" w:cs="Times"/>
          <w:color w:val="000000"/>
        </w:rPr>
        <w:t xml:space="preserve">For antigen specific assays, we used stably transduced </w:t>
      </w:r>
      <w:r w:rsidR="003139FA" w:rsidRPr="00C44874">
        <w:rPr>
          <w:rFonts w:ascii="Times" w:hAnsi="Times" w:cs="Times"/>
          <w:color w:val="000000"/>
        </w:rPr>
        <w:t>CD123 or CD33</w:t>
      </w:r>
      <w:r w:rsidR="006A7B0E" w:rsidRPr="00C44874">
        <w:rPr>
          <w:rFonts w:ascii="Times" w:hAnsi="Times" w:cs="Times"/>
          <w:color w:val="000000"/>
        </w:rPr>
        <w:t xml:space="preserve"> expressing </w:t>
      </w:r>
      <w:r w:rsidR="003139FA" w:rsidRPr="00C44874">
        <w:rPr>
          <w:rFonts w:ascii="Times" w:hAnsi="Times" w:cs="Times"/>
          <w:color w:val="000000"/>
        </w:rPr>
        <w:t>Jurkat</w:t>
      </w:r>
      <w:r w:rsidR="006A7B0E" w:rsidRPr="00C44874">
        <w:rPr>
          <w:rFonts w:ascii="Times" w:hAnsi="Times" w:cs="Times"/>
          <w:color w:val="000000"/>
        </w:rPr>
        <w:t xml:space="preserve"> cells (under puromycin selection)</w:t>
      </w:r>
      <w:r w:rsidR="003139FA" w:rsidRPr="00C44874">
        <w:rPr>
          <w:rFonts w:ascii="Times" w:hAnsi="Times" w:cs="Times"/>
          <w:color w:val="000000"/>
        </w:rPr>
        <w:t xml:space="preserve"> (n=</w:t>
      </w:r>
      <w:r w:rsidR="006772D8">
        <w:rPr>
          <w:rFonts w:ascii="Times" w:hAnsi="Times" w:cs="Times"/>
          <w:color w:val="000000"/>
        </w:rPr>
        <w:t>2</w:t>
      </w:r>
      <w:r w:rsidR="003139FA" w:rsidRPr="00C44874">
        <w:rPr>
          <w:rFonts w:ascii="Times" w:hAnsi="Times" w:cs="Times"/>
          <w:color w:val="000000"/>
        </w:rPr>
        <w:t>). As a negative control, 123b-33b</w:t>
      </w:r>
      <w:r w:rsidR="006A7B0E" w:rsidRPr="00C44874">
        <w:rPr>
          <w:rFonts w:ascii="Times" w:hAnsi="Times" w:cs="Times"/>
          <w:color w:val="000000"/>
        </w:rPr>
        <w:t>cCAR</w:t>
      </w:r>
      <w:r w:rsidR="006A7B0E" w:rsidRPr="006A7B0E">
        <w:rPr>
          <w:rFonts w:ascii="Times" w:hAnsi="Times" w:cs="Times"/>
          <w:color w:val="000000"/>
        </w:rPr>
        <w:t xml:space="preserve"> and control T-cells were incubated with </w:t>
      </w:r>
      <w:r w:rsidR="003139FA">
        <w:rPr>
          <w:rFonts w:ascii="Times" w:hAnsi="Times" w:cs="Times"/>
          <w:color w:val="000000"/>
        </w:rPr>
        <w:t>CD123 negative and CD33</w:t>
      </w:r>
      <w:r w:rsidR="006A7B0E" w:rsidRPr="006A7B0E">
        <w:rPr>
          <w:rFonts w:ascii="Times" w:hAnsi="Times" w:cs="Times"/>
          <w:color w:val="000000"/>
        </w:rPr>
        <w:t xml:space="preserve"> negative wild-type </w:t>
      </w:r>
      <w:r w:rsidR="003139FA">
        <w:rPr>
          <w:rFonts w:ascii="Times" w:hAnsi="Times" w:cs="Times"/>
          <w:color w:val="000000"/>
        </w:rPr>
        <w:t>Jurkat</w:t>
      </w:r>
      <w:r w:rsidR="006A7B0E" w:rsidRPr="006A7B0E">
        <w:rPr>
          <w:rFonts w:ascii="Times" w:hAnsi="Times" w:cs="Times"/>
          <w:color w:val="000000"/>
        </w:rPr>
        <w:t xml:space="preserve"> </w:t>
      </w:r>
      <w:r w:rsidR="003139FA" w:rsidRPr="00C44874">
        <w:rPr>
          <w:rFonts w:ascii="Times" w:hAnsi="Times" w:cs="Times"/>
          <w:color w:val="000000"/>
        </w:rPr>
        <w:t>cells (n=</w:t>
      </w:r>
      <w:r w:rsidR="00605C38">
        <w:rPr>
          <w:rFonts w:ascii="Times" w:hAnsi="Times" w:cs="Times"/>
          <w:color w:val="000000"/>
        </w:rPr>
        <w:t>2</w:t>
      </w:r>
      <w:r w:rsidR="006A7B0E" w:rsidRPr="00C44874">
        <w:rPr>
          <w:rFonts w:ascii="Times" w:hAnsi="Times" w:cs="Times"/>
          <w:color w:val="000000"/>
        </w:rPr>
        <w:t xml:space="preserve">). </w:t>
      </w:r>
    </w:p>
    <w:p w14:paraId="6E5F180D" w14:textId="77777777" w:rsidR="00605C38" w:rsidRDefault="00605C38" w:rsidP="003A212F">
      <w:pPr>
        <w:widowControl w:val="0"/>
        <w:autoSpaceDE w:val="0"/>
        <w:autoSpaceDN w:val="0"/>
        <w:adjustRightInd w:val="0"/>
        <w:rPr>
          <w:rFonts w:ascii="Times" w:hAnsi="Times" w:cs="Times"/>
          <w:color w:val="000000"/>
        </w:rPr>
      </w:pPr>
    </w:p>
    <w:p w14:paraId="5C5B07B6" w14:textId="36FEF739" w:rsidR="006A7B0E" w:rsidRPr="00C114EE" w:rsidRDefault="006A7B0E" w:rsidP="003A212F">
      <w:pPr>
        <w:widowControl w:val="0"/>
        <w:autoSpaceDE w:val="0"/>
        <w:autoSpaceDN w:val="0"/>
        <w:adjustRightInd w:val="0"/>
        <w:rPr>
          <w:rFonts w:ascii="Times" w:eastAsiaTheme="minorHAnsi" w:hAnsi="Times" w:cs="Times"/>
          <w:color w:val="000000"/>
        </w:rPr>
      </w:pPr>
      <w:r w:rsidRPr="00C44874">
        <w:rPr>
          <w:rFonts w:ascii="Times" w:hAnsi="Times" w:cs="Times"/>
          <w:color w:val="000000"/>
        </w:rPr>
        <w:t>Co</w:t>
      </w:r>
      <w:r w:rsidRPr="006A7B0E">
        <w:rPr>
          <w:rFonts w:ascii="Times" w:hAnsi="Times" w:cs="Times"/>
          <w:color w:val="000000"/>
        </w:rPr>
        <w:t xml:space="preserve">-cultures were carried out at various </w:t>
      </w:r>
      <w:proofErr w:type="gramStart"/>
      <w:r w:rsidRPr="006A7B0E">
        <w:rPr>
          <w:rFonts w:ascii="Times" w:hAnsi="Times" w:cs="Times"/>
          <w:color w:val="000000"/>
        </w:rPr>
        <w:t>E:T</w:t>
      </w:r>
      <w:proofErr w:type="gramEnd"/>
      <w:r w:rsidRPr="006A7B0E">
        <w:rPr>
          <w:rFonts w:ascii="Times" w:hAnsi="Times" w:cs="Times"/>
          <w:color w:val="000000"/>
        </w:rPr>
        <w:t xml:space="preserve"> (effector to target cell) ratios where marked. After 24 </w:t>
      </w:r>
      <w:r w:rsidRPr="006A7B0E">
        <w:rPr>
          <w:rFonts w:ascii="Times" w:hAnsi="Times" w:cs="Times"/>
          <w:color w:val="000000"/>
        </w:rPr>
        <w:lastRenderedPageBreak/>
        <w:t>hours, remaining live cells were harvested and stained with a combination of</w:t>
      </w:r>
      <w:r w:rsidR="003139FA">
        <w:rPr>
          <w:rFonts w:ascii="Times" w:hAnsi="Times" w:cs="Times"/>
          <w:color w:val="000000"/>
        </w:rPr>
        <w:t xml:space="preserve"> mous</w:t>
      </w:r>
      <w:r w:rsidR="00F377F6">
        <w:rPr>
          <w:rFonts w:ascii="Times" w:hAnsi="Times" w:cs="Times"/>
          <w:color w:val="000000"/>
        </w:rPr>
        <w:t>e anti-human CD3, anti-CD123,</w:t>
      </w:r>
      <w:r w:rsidR="003139FA">
        <w:rPr>
          <w:rFonts w:ascii="Times" w:hAnsi="Times" w:cs="Times"/>
          <w:color w:val="000000"/>
        </w:rPr>
        <w:t xml:space="preserve"> anti-CD33</w:t>
      </w:r>
      <w:r w:rsidR="00F377F6">
        <w:rPr>
          <w:rFonts w:ascii="Times" w:hAnsi="Times" w:cs="Times"/>
          <w:color w:val="000000"/>
        </w:rPr>
        <w:t>, anti-CD34, or anti-CD38</w:t>
      </w:r>
      <w:r w:rsidRPr="006A7B0E">
        <w:rPr>
          <w:rFonts w:ascii="Times" w:hAnsi="Times" w:cs="Times"/>
          <w:color w:val="000000"/>
        </w:rPr>
        <w:t xml:space="preserve"> antibodies for cytotoxicity assays. Target cells were pre-labeled with cytotracker (CMTMR) when</w:t>
      </w:r>
      <w:r>
        <w:rPr>
          <w:rFonts w:ascii="Times" w:hAnsi="Times" w:cs="Times"/>
          <w:color w:val="000000"/>
        </w:rPr>
        <w:t xml:space="preserve"> </w:t>
      </w:r>
      <w:r w:rsidRPr="006A7B0E">
        <w:rPr>
          <w:rFonts w:ascii="Times" w:hAnsi="Times" w:cs="Times"/>
          <w:color w:val="000000"/>
        </w:rPr>
        <w:t>necessary for clear target and effector cell populati</w:t>
      </w:r>
      <w:r>
        <w:rPr>
          <w:rFonts w:ascii="Times" w:hAnsi="Times" w:cs="Times"/>
          <w:color w:val="000000"/>
        </w:rPr>
        <w:t xml:space="preserve">on separation. For </w:t>
      </w:r>
      <w:r w:rsidR="003139FA">
        <w:rPr>
          <w:rFonts w:ascii="Times" w:hAnsi="Times" w:cs="Times"/>
          <w:color w:val="000000"/>
        </w:rPr>
        <w:t xml:space="preserve">cell line and </w:t>
      </w:r>
      <w:r>
        <w:rPr>
          <w:rFonts w:ascii="Times" w:hAnsi="Times" w:cs="Times"/>
          <w:color w:val="000000"/>
        </w:rPr>
        <w:t xml:space="preserve">primary cell </w:t>
      </w:r>
      <w:r w:rsidRPr="006A7B0E">
        <w:rPr>
          <w:rFonts w:ascii="Times" w:hAnsi="Times" w:cs="Times"/>
          <w:color w:val="000000"/>
        </w:rPr>
        <w:t>phenotypes refer to Supplementary Figure</w:t>
      </w:r>
      <w:r w:rsidR="003139FA">
        <w:rPr>
          <w:rFonts w:ascii="Times" w:hAnsi="Times" w:cs="Times"/>
          <w:color w:val="000000"/>
        </w:rPr>
        <w:t>s</w:t>
      </w:r>
      <w:r w:rsidRPr="006A7B0E">
        <w:rPr>
          <w:rFonts w:ascii="Times" w:hAnsi="Times" w:cs="Times"/>
          <w:color w:val="000000"/>
        </w:rPr>
        <w:t xml:space="preserve"> 1</w:t>
      </w:r>
      <w:r w:rsidR="003139FA">
        <w:rPr>
          <w:rFonts w:ascii="Times" w:hAnsi="Times" w:cs="Times"/>
          <w:color w:val="000000"/>
        </w:rPr>
        <w:t xml:space="preserve"> and 2</w:t>
      </w:r>
      <w:r w:rsidRPr="006A7B0E">
        <w:rPr>
          <w:rFonts w:ascii="Times" w:hAnsi="Times" w:cs="Times"/>
          <w:color w:val="000000"/>
        </w:rPr>
        <w:t xml:space="preserve">. All cells were washed with FACS buffer, re-suspended in 2% formalin, and analyzed by flow </w:t>
      </w:r>
      <w:r>
        <w:rPr>
          <w:rFonts w:ascii="Times" w:hAnsi="Times" w:cs="Times"/>
          <w:color w:val="000000"/>
        </w:rPr>
        <w:t>cytometry and analysis of anti-</w:t>
      </w:r>
      <w:r w:rsidRPr="006A7B0E">
        <w:rPr>
          <w:rFonts w:ascii="Times" w:hAnsi="Times" w:cs="Times"/>
          <w:color w:val="000000"/>
        </w:rPr>
        <w:t>leukemic activity was d</w:t>
      </w:r>
      <w:r w:rsidR="0035586D">
        <w:rPr>
          <w:rFonts w:ascii="Times" w:hAnsi="Times" w:cs="Times"/>
          <w:color w:val="000000"/>
        </w:rPr>
        <w:t xml:space="preserve">one as previously described </w:t>
      </w:r>
      <w:r w:rsidR="0035586D" w:rsidRPr="0035586D">
        <w:rPr>
          <w:rFonts w:ascii="Times" w:hAnsi="Times" w:cs="Times"/>
          <w:color w:val="000000"/>
          <w:vertAlign w:val="superscript"/>
        </w:rPr>
        <w:t>2–</w:t>
      </w:r>
      <w:r w:rsidR="00507816">
        <w:rPr>
          <w:rFonts w:ascii="Times" w:hAnsi="Times" w:cs="Times"/>
          <w:color w:val="000000"/>
          <w:vertAlign w:val="superscript"/>
        </w:rPr>
        <w:t>5</w:t>
      </w:r>
      <w:r w:rsidRPr="006A7B0E">
        <w:rPr>
          <w:rFonts w:ascii="Times" w:hAnsi="Times" w:cs="Times"/>
          <w:color w:val="000000"/>
        </w:rPr>
        <w:t xml:space="preserve">. </w:t>
      </w:r>
    </w:p>
    <w:p w14:paraId="1FDF1843" w14:textId="77777777" w:rsidR="009A07D8" w:rsidRDefault="009A07D8" w:rsidP="003A212F">
      <w:pPr>
        <w:rPr>
          <w:rFonts w:ascii="Times" w:hAnsi="Times" w:cs="Times"/>
          <w:color w:val="000000"/>
        </w:rPr>
      </w:pPr>
    </w:p>
    <w:p w14:paraId="7482753F" w14:textId="04EE2AF3" w:rsidR="005105A2" w:rsidRDefault="005105A2" w:rsidP="003A212F">
      <w:pPr>
        <w:widowControl w:val="0"/>
        <w:autoSpaceDE w:val="0"/>
        <w:autoSpaceDN w:val="0"/>
        <w:adjustRightInd w:val="0"/>
        <w:outlineLvl w:val="0"/>
        <w:rPr>
          <w:rFonts w:ascii="Times" w:hAnsi="Times" w:cs="Times"/>
          <w:b/>
          <w:color w:val="000000"/>
        </w:rPr>
      </w:pPr>
      <w:r w:rsidRPr="00B34AF0">
        <w:rPr>
          <w:rFonts w:ascii="Times" w:hAnsi="Times" w:cs="Times"/>
          <w:b/>
          <w:color w:val="000000"/>
        </w:rPr>
        <w:t>Safety</w:t>
      </w:r>
      <w:r>
        <w:rPr>
          <w:rFonts w:ascii="Times" w:hAnsi="Times" w:cs="Times"/>
          <w:b/>
          <w:color w:val="000000"/>
        </w:rPr>
        <w:t xml:space="preserve"> Switch</w:t>
      </w:r>
    </w:p>
    <w:p w14:paraId="46E185BF" w14:textId="37A833A8" w:rsidR="009A07D8" w:rsidRPr="005105A2" w:rsidRDefault="009A07D8" w:rsidP="003A212F">
      <w:pPr>
        <w:widowControl w:val="0"/>
        <w:autoSpaceDE w:val="0"/>
        <w:autoSpaceDN w:val="0"/>
        <w:adjustRightInd w:val="0"/>
        <w:rPr>
          <w:rFonts w:ascii="Times" w:eastAsia="MS Mincho" w:hAnsi="Times" w:cs="MS Mincho"/>
          <w:b/>
          <w:bCs/>
          <w:color w:val="000000"/>
        </w:rPr>
      </w:pPr>
      <w:r w:rsidRPr="00DD0653">
        <w:rPr>
          <w:rFonts w:ascii="Times" w:hAnsi="Times" w:cs="Times"/>
          <w:color w:val="000000"/>
        </w:rPr>
        <w:t xml:space="preserve">In order to evaluate the safety switch to eliminate </w:t>
      </w:r>
      <w:r w:rsidR="005105A2">
        <w:rPr>
          <w:rFonts w:ascii="Times" w:hAnsi="Times" w:cs="Times"/>
          <w:color w:val="000000"/>
        </w:rPr>
        <w:t>c</w:t>
      </w:r>
      <w:r w:rsidRPr="00DD0653">
        <w:rPr>
          <w:rFonts w:ascii="Times" w:hAnsi="Times" w:cs="Times"/>
          <w:color w:val="000000"/>
        </w:rPr>
        <w:t xml:space="preserve">CAR </w:t>
      </w:r>
      <w:r w:rsidR="00703B55">
        <w:rPr>
          <w:rFonts w:ascii="Times" w:hAnsi="Times" w:cs="Times"/>
          <w:color w:val="000000"/>
        </w:rPr>
        <w:t>T-cells</w:t>
      </w:r>
      <w:r w:rsidRPr="00DD0653">
        <w:rPr>
          <w:rFonts w:ascii="Times" w:hAnsi="Times" w:cs="Times"/>
          <w:color w:val="000000"/>
        </w:rPr>
        <w:t xml:space="preserve"> </w:t>
      </w:r>
      <w:r w:rsidRPr="00DD0653">
        <w:rPr>
          <w:rFonts w:ascii="Times" w:hAnsi="Times" w:cs="Times"/>
          <w:i/>
          <w:iCs/>
          <w:color w:val="000000"/>
        </w:rPr>
        <w:t>in vivo</w:t>
      </w:r>
      <w:r w:rsidRPr="00DD0653">
        <w:rPr>
          <w:rFonts w:ascii="Times" w:hAnsi="Times" w:cs="Times"/>
          <w:color w:val="000000"/>
        </w:rPr>
        <w:t xml:space="preserve">, a </w:t>
      </w:r>
      <w:r w:rsidR="005105A2">
        <w:rPr>
          <w:rFonts w:ascii="Times" w:hAnsi="Times" w:cs="Times"/>
          <w:color w:val="000000"/>
        </w:rPr>
        <w:t>total of 6</w:t>
      </w:r>
      <w:r w:rsidRPr="00DD0653">
        <w:rPr>
          <w:rFonts w:ascii="Times" w:hAnsi="Times" w:cs="Times"/>
          <w:color w:val="000000"/>
        </w:rPr>
        <w:t xml:space="preserve"> NSG mice were intravenously injected with 10 x 10</w:t>
      </w:r>
      <w:r>
        <w:rPr>
          <w:rFonts w:ascii="Times" w:hAnsi="Times" w:cs="Times"/>
          <w:color w:val="000000"/>
          <w:vertAlign w:val="superscript"/>
        </w:rPr>
        <w:t>6</w:t>
      </w:r>
      <w:r>
        <w:rPr>
          <w:rFonts w:ascii="Times" w:hAnsi="Times" w:cs="Times"/>
          <w:color w:val="000000"/>
          <w:position w:val="13"/>
        </w:rPr>
        <w:t xml:space="preserve"> </w:t>
      </w:r>
      <w:r w:rsidR="005105A2">
        <w:rPr>
          <w:rFonts w:ascii="Times" w:hAnsi="Times" w:cs="Times"/>
          <w:color w:val="000000"/>
        </w:rPr>
        <w:t>123b-33bc</w:t>
      </w:r>
      <w:r w:rsidRPr="00DD0653">
        <w:rPr>
          <w:rFonts w:ascii="Times" w:hAnsi="Times" w:cs="Times"/>
          <w:color w:val="000000"/>
        </w:rPr>
        <w:t xml:space="preserve">CAR </w:t>
      </w:r>
      <w:r w:rsidR="00703B55">
        <w:rPr>
          <w:rFonts w:ascii="Times" w:hAnsi="Times" w:cs="Times"/>
          <w:color w:val="000000"/>
        </w:rPr>
        <w:t>T-cells</w:t>
      </w:r>
      <w:r w:rsidRPr="00DD0653">
        <w:rPr>
          <w:rFonts w:ascii="Times" w:hAnsi="Times" w:cs="Times"/>
          <w:color w:val="000000"/>
        </w:rPr>
        <w:t xml:space="preserve"> after sublethal (2.0 Gy) irradiation. On the following day, 0.1mg/kg of alemtuzumab (n=3) or PBS (n=3) was administrated via IP injection to each group. After 6h and 24h of alemtuzumab administration, peripheral blood was collected from the mo</w:t>
      </w:r>
      <w:r w:rsidR="00B34AF0">
        <w:rPr>
          <w:rFonts w:ascii="Times" w:hAnsi="Times" w:cs="Times"/>
          <w:color w:val="000000"/>
        </w:rPr>
        <w:t>use tail and the presence of 123b-33bc</w:t>
      </w:r>
      <w:r w:rsidRPr="00DD0653">
        <w:rPr>
          <w:rFonts w:ascii="Times" w:hAnsi="Times" w:cs="Times"/>
          <w:color w:val="000000"/>
        </w:rPr>
        <w:t xml:space="preserve">CAR </w:t>
      </w:r>
      <w:r w:rsidR="00703B55">
        <w:rPr>
          <w:rFonts w:ascii="Times" w:hAnsi="Times" w:cs="Times"/>
          <w:color w:val="000000"/>
        </w:rPr>
        <w:t>T-cells</w:t>
      </w:r>
      <w:r w:rsidRPr="00DD0653">
        <w:rPr>
          <w:rFonts w:ascii="Times" w:hAnsi="Times" w:cs="Times"/>
          <w:color w:val="000000"/>
        </w:rPr>
        <w:t xml:space="preserve"> was determined by flow cytometry using anti-human CD3-PE (Tonbo) and CD45-PerCp (Tonbo) labeled antibodies. After 5 days of alemtuzumab administration, mice were sacrificed and the whole blood, spleen, liver, and bone marrow cells were harvested and analyzed </w:t>
      </w:r>
      <w:r w:rsidR="00B34AF0">
        <w:rPr>
          <w:rFonts w:ascii="Times" w:hAnsi="Times" w:cs="Times"/>
          <w:color w:val="000000"/>
        </w:rPr>
        <w:t>by flow cytometry to confirm 123b-33bc</w:t>
      </w:r>
      <w:r w:rsidRPr="00DD0653">
        <w:rPr>
          <w:rFonts w:ascii="Times" w:hAnsi="Times" w:cs="Times"/>
          <w:color w:val="000000"/>
        </w:rPr>
        <w:t xml:space="preserve">CAR T cell depletion in the circulation and in the different tissues. </w:t>
      </w:r>
    </w:p>
    <w:p w14:paraId="058A0AFF" w14:textId="77777777" w:rsidR="009A07D8" w:rsidRDefault="009A07D8" w:rsidP="003A212F">
      <w:pPr>
        <w:rPr>
          <w:rFonts w:ascii="Times" w:hAnsi="Times" w:cs="Times"/>
          <w:color w:val="000000"/>
        </w:rPr>
      </w:pPr>
    </w:p>
    <w:p w14:paraId="280FABA5" w14:textId="4FB6182F" w:rsidR="006A7B0E" w:rsidRPr="0035586D" w:rsidRDefault="006A7B0E" w:rsidP="003A212F">
      <w:pPr>
        <w:outlineLvl w:val="0"/>
        <w:rPr>
          <w:rFonts w:ascii="Times" w:hAnsi="Times" w:cs="Times"/>
          <w:b/>
          <w:color w:val="000000"/>
        </w:rPr>
      </w:pPr>
      <w:r w:rsidRPr="00B34AF0">
        <w:rPr>
          <w:rFonts w:ascii="Times" w:hAnsi="Times" w:cs="Times"/>
          <w:b/>
          <w:color w:val="000000"/>
        </w:rPr>
        <w:t>Mouse model</w:t>
      </w:r>
      <w:r w:rsidRPr="0035586D">
        <w:rPr>
          <w:rFonts w:ascii="Times" w:hAnsi="Times" w:cs="Times"/>
          <w:b/>
          <w:color w:val="000000"/>
        </w:rPr>
        <w:t xml:space="preserve"> analysis </w:t>
      </w:r>
    </w:p>
    <w:p w14:paraId="761C06F1" w14:textId="1491B87E" w:rsidR="006A7B0E" w:rsidRPr="006A7B0E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"/>
          <w:color w:val="000000"/>
        </w:rPr>
        <w:t xml:space="preserve">Xenogeneic model sample sizes were estimated using 2-sample, 2-sided equality power analysis (90% power and &lt;5% significance) without blinding. Unpaired student t-tests were used to determine significance of tumor size area and light intensity. Survival curves were constructed using the Kaplan-Meier method and statistical analyses of survival was performed using a log-rank (Mantel-Cox) test with P &lt;0.05 considered significant. Statistical analyses were performed using GraphPad Prism 6 software. Variance was determined to be similar between the treatment and control group prior to unpaired student t-tests. </w:t>
      </w:r>
    </w:p>
    <w:p w14:paraId="2C4338CC" w14:textId="77777777" w:rsidR="006A7B0E" w:rsidRPr="006A7B0E" w:rsidRDefault="006A7B0E" w:rsidP="003A212F">
      <w:pPr>
        <w:rPr>
          <w:rFonts w:ascii="Times" w:hAnsi="Times" w:cs="Times"/>
          <w:color w:val="000000"/>
        </w:rPr>
      </w:pPr>
    </w:p>
    <w:p w14:paraId="10AB2821" w14:textId="77777777" w:rsidR="00590BD2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"/>
          <w:color w:val="000000"/>
        </w:rPr>
        <w:t xml:space="preserve">1. Kim, J. H. et al. High Cleavage Efficiency of a 2A Peptide Derived from Porcine Teschovirus-1 in Human Cell Lines, Zebrafish and Mice. PLOS ONE 6, e18556 (2011). </w:t>
      </w:r>
    </w:p>
    <w:p w14:paraId="58BF4D9C" w14:textId="77777777" w:rsidR="00590BD2" w:rsidRDefault="00590BD2" w:rsidP="003A212F">
      <w:pPr>
        <w:rPr>
          <w:rFonts w:ascii="Times" w:hAnsi="Times" w:cs="Times"/>
          <w:color w:val="000000"/>
        </w:rPr>
      </w:pPr>
    </w:p>
    <w:p w14:paraId="51018E00" w14:textId="112F2586" w:rsidR="006A7B0E" w:rsidRPr="006A7B0E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"/>
          <w:color w:val="000000"/>
        </w:rPr>
        <w:t xml:space="preserve">2. Chen, K. H. et al. Preclinical targeting of aggressive T-cell malignancies using anti-CD5 chimeric antigen receptor. Leukemia (2017). doi:10.1038/leu.2017.8 </w:t>
      </w:r>
    </w:p>
    <w:p w14:paraId="43B17FCD" w14:textId="77777777" w:rsidR="006A7B0E" w:rsidRPr="006A7B0E" w:rsidRDefault="006A7B0E" w:rsidP="003A212F">
      <w:pPr>
        <w:rPr>
          <w:rFonts w:ascii="Times" w:hAnsi="Times" w:cs="Times"/>
          <w:color w:val="000000"/>
        </w:rPr>
      </w:pPr>
    </w:p>
    <w:p w14:paraId="48B81DFD" w14:textId="090CC789" w:rsidR="006A7B0E" w:rsidRPr="006A7B0E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"/>
          <w:color w:val="000000"/>
        </w:rPr>
        <w:t xml:space="preserve">3. Pinz, K. et al. Preclinical targeting of human T-cell malignancies using CD4-specific chimeric antigen receptor (CAR)-engineered </w:t>
      </w:r>
      <w:r w:rsidR="00703B55">
        <w:rPr>
          <w:rFonts w:ascii="Times" w:hAnsi="Times" w:cs="Times"/>
          <w:color w:val="000000"/>
        </w:rPr>
        <w:t>T-cells</w:t>
      </w:r>
      <w:r w:rsidRPr="006A7B0E">
        <w:rPr>
          <w:rFonts w:ascii="Times" w:hAnsi="Times" w:cs="Times"/>
          <w:color w:val="000000"/>
        </w:rPr>
        <w:t xml:space="preserve">. Leukemia 30, 701–707 (2016). </w:t>
      </w:r>
    </w:p>
    <w:p w14:paraId="5A634FD2" w14:textId="77777777" w:rsidR="006A7B0E" w:rsidRPr="006A7B0E" w:rsidRDefault="006A7B0E" w:rsidP="003A212F">
      <w:pPr>
        <w:rPr>
          <w:rFonts w:ascii="Times" w:hAnsi="Times" w:cs="Times"/>
          <w:color w:val="000000"/>
        </w:rPr>
      </w:pPr>
    </w:p>
    <w:p w14:paraId="27A83863" w14:textId="14C0739D" w:rsidR="00156C9B" w:rsidRDefault="006A7B0E" w:rsidP="003A212F">
      <w:pPr>
        <w:rPr>
          <w:rFonts w:ascii="Times" w:hAnsi="Times" w:cs="Times"/>
          <w:color w:val="000000"/>
        </w:rPr>
      </w:pPr>
      <w:r w:rsidRPr="006A7B0E">
        <w:rPr>
          <w:rFonts w:ascii="Times" w:hAnsi="Times" w:cs="Times"/>
          <w:color w:val="000000"/>
        </w:rPr>
        <w:t xml:space="preserve">4. Chen, K. H. et al. Novel anti-CD3 chimeric antigen receptor targeting of </w:t>
      </w:r>
      <w:r w:rsidR="0035586D">
        <w:rPr>
          <w:rFonts w:ascii="Times" w:hAnsi="Times" w:cs="Times"/>
          <w:color w:val="000000"/>
        </w:rPr>
        <w:t>aggressive T cell malignancies.</w:t>
      </w:r>
      <w:r w:rsidRPr="006A7B0E">
        <w:rPr>
          <w:rFonts w:ascii="Times" w:hAnsi="Times" w:cs="Times"/>
          <w:color w:val="000000"/>
        </w:rPr>
        <w:t xml:space="preserve"> Oncotarget 7, 56219–56232 (2016).</w:t>
      </w:r>
    </w:p>
    <w:p w14:paraId="1843B5C3" w14:textId="77777777" w:rsidR="00507816" w:rsidRDefault="00507816" w:rsidP="003A212F">
      <w:pPr>
        <w:rPr>
          <w:rFonts w:ascii="Times" w:hAnsi="Times" w:cs="Times"/>
          <w:color w:val="000000"/>
        </w:rPr>
      </w:pPr>
    </w:p>
    <w:p w14:paraId="3AC75F67" w14:textId="77777777" w:rsidR="00507816" w:rsidRPr="00507816" w:rsidRDefault="00507816" w:rsidP="003A212F">
      <w:pPr>
        <w:rPr>
          <w:rFonts w:ascii="Times New Roman" w:eastAsia="Times New Roman" w:hAnsi="Times New Roman" w:cs="Times New Roman"/>
        </w:rPr>
      </w:pPr>
      <w:r>
        <w:rPr>
          <w:rFonts w:ascii="Times" w:hAnsi="Times" w:cs="Times"/>
          <w:color w:val="000000"/>
        </w:rPr>
        <w:t>5</w:t>
      </w:r>
      <w:r w:rsidRPr="006A7B0E">
        <w:rPr>
          <w:rFonts w:ascii="Times" w:hAnsi="Times" w:cs="Times"/>
          <w:color w:val="000000"/>
        </w:rPr>
        <w:t xml:space="preserve">. Chen, K. H. et al. </w:t>
      </w:r>
      <w:r>
        <w:rPr>
          <w:rFonts w:ascii="Times" w:hAnsi="Times" w:cs="Times"/>
          <w:color w:val="000000"/>
        </w:rPr>
        <w:t>A compound chimeric antigen receptor strategy for targeting multiple myeloma. Leukemia. Epub ahead of print (2017</w:t>
      </w:r>
      <w:r w:rsidRPr="006A7B0E">
        <w:rPr>
          <w:rFonts w:ascii="Times" w:hAnsi="Times" w:cs="Times"/>
          <w:color w:val="000000"/>
        </w:rPr>
        <w:t>).</w:t>
      </w:r>
      <w:r>
        <w:rPr>
          <w:rFonts w:ascii="Times" w:hAnsi="Times" w:cs="Times"/>
          <w:color w:val="000000"/>
        </w:rPr>
        <w:t xml:space="preserve"> </w:t>
      </w:r>
      <w:r w:rsidRPr="00507816">
        <w:rPr>
          <w:rFonts w:ascii="Times" w:hAnsi="Times" w:cs="Times"/>
          <w:color w:val="000000"/>
        </w:rPr>
        <w:t>doi: 10.1038/leu.2017.302.</w:t>
      </w:r>
    </w:p>
    <w:p w14:paraId="49AC9100" w14:textId="6020F4DA" w:rsidR="00507816" w:rsidRPr="00B34AF0" w:rsidRDefault="00507816" w:rsidP="003A212F">
      <w:pPr>
        <w:rPr>
          <w:rFonts w:ascii="Times" w:hAnsi="Times" w:cs="Times"/>
          <w:color w:val="000000"/>
        </w:rPr>
      </w:pPr>
    </w:p>
    <w:p w14:paraId="78A0BE2C" w14:textId="77777777" w:rsidR="00507816" w:rsidRPr="00B34AF0" w:rsidRDefault="00507816" w:rsidP="003A212F">
      <w:pPr>
        <w:rPr>
          <w:rFonts w:ascii="Times" w:hAnsi="Times" w:cs="Times"/>
          <w:color w:val="000000"/>
        </w:rPr>
      </w:pPr>
    </w:p>
    <w:sectPr w:rsidR="00507816" w:rsidRPr="00B34AF0" w:rsidSect="00F266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BEF"/>
    <w:rsid w:val="0001133E"/>
    <w:rsid w:val="000D301A"/>
    <w:rsid w:val="000E15FB"/>
    <w:rsid w:val="00142942"/>
    <w:rsid w:val="00156C9B"/>
    <w:rsid w:val="00161421"/>
    <w:rsid w:val="00207BEF"/>
    <w:rsid w:val="0021270F"/>
    <w:rsid w:val="0021342A"/>
    <w:rsid w:val="003139FA"/>
    <w:rsid w:val="0035586D"/>
    <w:rsid w:val="00365F16"/>
    <w:rsid w:val="003A212F"/>
    <w:rsid w:val="004417B9"/>
    <w:rsid w:val="00475407"/>
    <w:rsid w:val="00486DF4"/>
    <w:rsid w:val="004B53E6"/>
    <w:rsid w:val="004F4828"/>
    <w:rsid w:val="00507816"/>
    <w:rsid w:val="005105A2"/>
    <w:rsid w:val="00544F88"/>
    <w:rsid w:val="0055236E"/>
    <w:rsid w:val="0056033D"/>
    <w:rsid w:val="00590BD2"/>
    <w:rsid w:val="005B3915"/>
    <w:rsid w:val="0060435A"/>
    <w:rsid w:val="00605C38"/>
    <w:rsid w:val="006772D8"/>
    <w:rsid w:val="006A7B0E"/>
    <w:rsid w:val="006D79C8"/>
    <w:rsid w:val="00703B55"/>
    <w:rsid w:val="00890840"/>
    <w:rsid w:val="008C3212"/>
    <w:rsid w:val="0097532B"/>
    <w:rsid w:val="009A07D8"/>
    <w:rsid w:val="009B5FF8"/>
    <w:rsid w:val="00AB6C2B"/>
    <w:rsid w:val="00AD0E1C"/>
    <w:rsid w:val="00B320F2"/>
    <w:rsid w:val="00B34AF0"/>
    <w:rsid w:val="00C05C16"/>
    <w:rsid w:val="00C114EE"/>
    <w:rsid w:val="00C2458D"/>
    <w:rsid w:val="00C303C2"/>
    <w:rsid w:val="00C44874"/>
    <w:rsid w:val="00CB1957"/>
    <w:rsid w:val="00D44E08"/>
    <w:rsid w:val="00DD0653"/>
    <w:rsid w:val="00E03221"/>
    <w:rsid w:val="00E26B6D"/>
    <w:rsid w:val="00F108E7"/>
    <w:rsid w:val="00F266C8"/>
    <w:rsid w:val="00F377F6"/>
    <w:rsid w:val="00FB6DE4"/>
    <w:rsid w:val="00FC5A7B"/>
    <w:rsid w:val="00FE22FF"/>
    <w:rsid w:val="00FE7EB9"/>
    <w:rsid w:val="00FF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7D3E2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07BE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62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28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45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73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15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84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64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6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0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55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1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88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6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7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872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36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45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84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20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78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25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41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2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4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53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83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77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97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79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43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8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7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5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91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58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82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0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78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6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1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0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3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7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7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70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8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9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44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9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9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0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62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0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33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0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2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2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56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41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77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6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2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1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1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16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8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0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53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3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920</Words>
  <Characters>5248</Characters>
  <Application>Microsoft Macintosh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6</vt:i4>
      </vt:variant>
    </vt:vector>
  </HeadingPairs>
  <TitlesOfParts>
    <vt:vector size="7" baseType="lpstr">
      <vt:lpstr/>
      <vt:lpstr>ADDITIONAL METHODS AND MATERIALS </vt:lpstr>
      <vt:lpstr>Primary tumor cells and cell lines </vt:lpstr>
      <vt:lpstr>CAR construct design, lentiviral transduction, and detection </vt:lpstr>
      <vt:lpstr>Co-culture assays and gating schemes </vt:lpstr>
      <vt:lpstr>Safety Switch</vt:lpstr>
      <vt:lpstr>Mouse model analysis </vt:lpstr>
    </vt:vector>
  </TitlesOfParts>
  <LinksUpToDate>false</LinksUpToDate>
  <CharactersWithSpaces>6156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Petrov</dc:creator>
  <cp:keywords/>
  <dc:description/>
  <cp:lastModifiedBy>Jessica Petrov</cp:lastModifiedBy>
  <cp:revision>2</cp:revision>
  <dcterms:created xsi:type="dcterms:W3CDTF">2017-12-22T23:06:00Z</dcterms:created>
  <dcterms:modified xsi:type="dcterms:W3CDTF">2017-12-22T23:06:00Z</dcterms:modified>
</cp:coreProperties>
</file>