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5E7" w:rsidRPr="006935E7" w:rsidRDefault="006935E7" w:rsidP="006935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jc w:val="both"/>
        <w:rPr>
          <w:rFonts w:ascii="Calibri" w:eastAsia="Calibri" w:hAnsi="Calibri" w:cs="Calibri"/>
          <w:b/>
          <w:color w:val="000000"/>
          <w:sz w:val="21"/>
          <w:szCs w:val="21"/>
          <w:lang w:val="en-GB"/>
        </w:rPr>
      </w:pPr>
      <w:r w:rsidRPr="006935E7">
        <w:rPr>
          <w:rFonts w:ascii="Calibri" w:eastAsia="Calibri" w:hAnsi="Calibri" w:cs="Calibri"/>
          <w:b/>
          <w:color w:val="000000"/>
          <w:sz w:val="21"/>
          <w:szCs w:val="21"/>
          <w:lang w:val="en-GB"/>
        </w:rPr>
        <w:t xml:space="preserve">Supplementary Figure Legends </w:t>
      </w:r>
    </w:p>
    <w:p w:rsidR="006935E7" w:rsidRPr="006935E7" w:rsidRDefault="006935E7" w:rsidP="006935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jc w:val="both"/>
        <w:rPr>
          <w:rFonts w:ascii="Calibri" w:eastAsia="Calibri" w:hAnsi="Calibri" w:cs="Calibri"/>
          <w:color w:val="000000"/>
          <w:sz w:val="21"/>
          <w:szCs w:val="21"/>
          <w:lang w:val="en-GB"/>
        </w:rPr>
      </w:pPr>
      <w:r w:rsidRPr="006935E7">
        <w:rPr>
          <w:rFonts w:ascii="Calibri" w:eastAsia="Calibri" w:hAnsi="Calibri" w:cs="Calibri"/>
          <w:b/>
          <w:color w:val="000000"/>
          <w:sz w:val="21"/>
          <w:szCs w:val="21"/>
          <w:lang w:val="en-GB"/>
        </w:rPr>
        <w:t xml:space="preserve">Supplementary Figure S1. </w:t>
      </w:r>
      <w:r w:rsidRPr="006935E7">
        <w:rPr>
          <w:rFonts w:ascii="Calibri" w:eastAsia="Calibri" w:hAnsi="Calibri" w:cs="Calibri"/>
          <w:color w:val="000000"/>
          <w:sz w:val="21"/>
          <w:szCs w:val="21"/>
          <w:lang w:val="en-GB"/>
        </w:rPr>
        <w:t>(A)</w:t>
      </w:r>
      <w:r w:rsidRPr="006935E7">
        <w:rPr>
          <w:rFonts w:ascii="Calibri" w:eastAsia="Calibri" w:hAnsi="Calibri" w:cs="Calibri"/>
          <w:b/>
          <w:color w:val="000000"/>
          <w:sz w:val="21"/>
          <w:szCs w:val="21"/>
          <w:lang w:val="en-GB"/>
        </w:rPr>
        <w:t xml:space="preserve"> </w:t>
      </w:r>
      <w:r w:rsidRPr="006935E7">
        <w:rPr>
          <w:rFonts w:ascii="Calibri" w:eastAsia="Calibri" w:hAnsi="Calibri" w:cs="Calibri"/>
          <w:color w:val="000000"/>
          <w:sz w:val="21"/>
          <w:szCs w:val="21"/>
          <w:lang w:val="en-GB"/>
        </w:rPr>
        <w:t xml:space="preserve">Blood of irradiated male and female mice (n=70 and n=50, respectively) was analyzed monthly for mCherry and GFP expression. (B) Clonal expansion as a function of time observed in the fourteen female mice which presented with lymphoid clonal expansion at 15 months following irradiation (one line = one mouse). </w:t>
      </w:r>
    </w:p>
    <w:p w:rsidR="006935E7" w:rsidRPr="006935E7" w:rsidRDefault="006935E7" w:rsidP="006935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jc w:val="both"/>
        <w:rPr>
          <w:rFonts w:ascii="Calibri" w:eastAsia="Calibri" w:hAnsi="Calibri" w:cs="Calibri"/>
          <w:color w:val="000000"/>
          <w:sz w:val="21"/>
          <w:szCs w:val="21"/>
          <w:lang w:val="en-GB"/>
        </w:rPr>
      </w:pPr>
      <w:r w:rsidRPr="006935E7">
        <w:rPr>
          <w:rFonts w:ascii="Calibri" w:eastAsia="Calibri" w:hAnsi="Calibri" w:cs="Calibri"/>
          <w:b/>
          <w:color w:val="000000"/>
          <w:sz w:val="21"/>
          <w:szCs w:val="21"/>
          <w:lang w:val="en-GB"/>
        </w:rPr>
        <w:t>Supplementary Figure S2. Clonal expansion of mCherry- hematopoietic cells in bone marrow of irradiated male mice.</w:t>
      </w:r>
      <w:r w:rsidRPr="006935E7">
        <w:rPr>
          <w:rFonts w:ascii="Calibri" w:eastAsia="Calibri" w:hAnsi="Calibri" w:cs="Calibri"/>
          <w:color w:val="000000"/>
          <w:sz w:val="21"/>
          <w:szCs w:val="21"/>
          <w:lang w:val="en-GB"/>
        </w:rPr>
        <w:t xml:space="preserve"> </w:t>
      </w:r>
    </w:p>
    <w:p w:rsidR="006935E7" w:rsidRPr="006935E7" w:rsidRDefault="006935E7" w:rsidP="006935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jc w:val="both"/>
        <w:rPr>
          <w:rFonts w:ascii="Calibri" w:eastAsia="Calibri" w:hAnsi="Calibri" w:cs="Calibri"/>
          <w:color w:val="000000"/>
          <w:sz w:val="21"/>
          <w:szCs w:val="21"/>
          <w:lang w:val="en-GB"/>
        </w:rPr>
      </w:pPr>
      <w:r w:rsidRPr="006935E7">
        <w:rPr>
          <w:rFonts w:ascii="Calibri" w:eastAsia="Calibri" w:hAnsi="Calibri" w:cs="Calibri"/>
          <w:color w:val="000000"/>
          <w:sz w:val="21"/>
          <w:szCs w:val="21"/>
          <w:lang w:val="en-GB"/>
        </w:rPr>
        <w:t xml:space="preserve">Three male mice were sacrificed upon detection of clonal expansion. (A) Within the mCherry- LSK fraction, 54.7% of cells were CD48-CD150+. (B) CD127 expression in mCherry- and mCherry+ Lin- cells. (C) One </w:t>
      </w:r>
      <w:bookmarkStart w:id="0" w:name="_GoBack"/>
      <w:bookmarkEnd w:id="0"/>
      <w:r w:rsidRPr="006935E7">
        <w:rPr>
          <w:rFonts w:ascii="Calibri" w:eastAsia="Calibri" w:hAnsi="Calibri" w:cs="Calibri"/>
          <w:color w:val="000000"/>
          <w:sz w:val="21"/>
          <w:szCs w:val="21"/>
          <w:lang w:val="en-GB"/>
        </w:rPr>
        <w:t>mouse had no CD127 expression in mCherry-Lin- cells, consistent with the myeloid-biased phenotype observed in its peripheral blood.</w:t>
      </w:r>
    </w:p>
    <w:p w:rsidR="006935E7" w:rsidRPr="006935E7" w:rsidRDefault="006935E7" w:rsidP="006935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jc w:val="both"/>
        <w:rPr>
          <w:rFonts w:ascii="Calibri" w:eastAsia="Calibri" w:hAnsi="Calibri" w:cs="Calibri"/>
          <w:b/>
          <w:color w:val="000000"/>
          <w:sz w:val="21"/>
          <w:szCs w:val="21"/>
          <w:lang w:val="en-GB"/>
        </w:rPr>
      </w:pPr>
      <w:r w:rsidRPr="006935E7">
        <w:rPr>
          <w:rFonts w:ascii="Calibri" w:eastAsia="Calibri" w:hAnsi="Calibri" w:cs="Calibri"/>
          <w:b/>
          <w:color w:val="000000"/>
          <w:sz w:val="21"/>
          <w:szCs w:val="21"/>
          <w:lang w:val="en-GB"/>
        </w:rPr>
        <w:t>Supplementary Figure S3.</w:t>
      </w:r>
      <w:r w:rsidRPr="006935E7">
        <w:rPr>
          <w:rFonts w:ascii="Calibri" w:eastAsia="Calibri" w:hAnsi="Calibri" w:cs="Calibri"/>
          <w:color w:val="000000"/>
          <w:sz w:val="21"/>
          <w:szCs w:val="21"/>
          <w:lang w:val="en-GB"/>
        </w:rPr>
        <w:t xml:space="preserve"> </w:t>
      </w:r>
      <w:r w:rsidRPr="006935E7">
        <w:rPr>
          <w:rFonts w:ascii="Calibri" w:eastAsia="Calibri" w:hAnsi="Calibri" w:cs="Calibri"/>
          <w:b/>
          <w:color w:val="000000"/>
          <w:sz w:val="21"/>
          <w:szCs w:val="21"/>
          <w:lang w:val="en-GB"/>
        </w:rPr>
        <w:t xml:space="preserve">Clonal expansion of mCherry- hematopoietic cells in bone marrow of irradiated female mice. </w:t>
      </w:r>
    </w:p>
    <w:p w:rsidR="006935E7" w:rsidRPr="006935E7" w:rsidRDefault="006935E7" w:rsidP="006935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jc w:val="both"/>
        <w:rPr>
          <w:rFonts w:ascii="Calibri" w:eastAsia="Calibri" w:hAnsi="Calibri" w:cs="Calibri"/>
          <w:color w:val="000000"/>
          <w:sz w:val="21"/>
          <w:szCs w:val="21"/>
          <w:lang w:val="en-GB"/>
        </w:rPr>
      </w:pPr>
      <w:r w:rsidRPr="006935E7">
        <w:rPr>
          <w:rFonts w:ascii="Calibri" w:eastAsia="Calibri" w:hAnsi="Calibri" w:cs="Calibri"/>
          <w:color w:val="000000"/>
          <w:sz w:val="21"/>
          <w:szCs w:val="21"/>
          <w:lang w:val="en-GB"/>
        </w:rPr>
        <w:t>Two female mice were sacrificed upon detection of lymphoid clonal expansion. (A) Within the mCherry- LSK fraction, most cells were Sca1-cKit- (95.7%). (B) CD127 expression in mCherry- and mCherry+ Lin- cells (left and right panel, respectively). Only mCherry- lymphocytes were observed in the peripheral blood.</w:t>
      </w:r>
    </w:p>
    <w:p w:rsidR="006935E7" w:rsidRPr="006935E7" w:rsidRDefault="006935E7" w:rsidP="006935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jc w:val="both"/>
        <w:rPr>
          <w:rFonts w:ascii="Calibri" w:eastAsia="Calibri" w:hAnsi="Calibri" w:cs="Calibri"/>
          <w:color w:val="000000"/>
          <w:sz w:val="21"/>
          <w:szCs w:val="21"/>
          <w:lang w:val="en-GB"/>
        </w:rPr>
      </w:pPr>
      <w:r w:rsidRPr="006935E7">
        <w:rPr>
          <w:rFonts w:ascii="Calibri" w:eastAsia="Calibri" w:hAnsi="Calibri" w:cs="Calibri"/>
          <w:noProof/>
          <w:color w:val="000000"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35D4D8" wp14:editId="4D331A7A">
                <wp:simplePos x="0" y="0"/>
                <wp:positionH relativeFrom="column">
                  <wp:posOffset>4244454</wp:posOffset>
                </wp:positionH>
                <wp:positionV relativeFrom="paragraph">
                  <wp:posOffset>-8931569</wp:posOffset>
                </wp:positionV>
                <wp:extent cx="600501" cy="204717"/>
                <wp:effectExtent l="0" t="0" r="28575" b="2413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501" cy="2047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7ED484" id="Rectangle 15" o:spid="_x0000_s1026" style="position:absolute;margin-left:334.2pt;margin-top:-703.25pt;width:47.3pt;height:16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" fillcolor="window" strokecolor="window" strokeweight="2pt"/>
            </w:pict>
          </mc:Fallback>
        </mc:AlternateContent>
      </w:r>
      <w:r w:rsidRPr="006935E7">
        <w:rPr>
          <w:rFonts w:ascii="Calibri" w:eastAsia="Calibri" w:hAnsi="Calibri" w:cs="Calibri"/>
          <w:b/>
          <w:color w:val="000000"/>
          <w:sz w:val="21"/>
          <w:szCs w:val="21"/>
          <w:lang w:val="en-GB"/>
        </w:rPr>
        <w:t xml:space="preserve">Supplementary Figure S4. Leukemic progression in a female irradiated CBA </w:t>
      </w:r>
      <w:r w:rsidRPr="006935E7">
        <w:rPr>
          <w:rFonts w:ascii="Calibri" w:eastAsia="Calibri" w:hAnsi="Calibri" w:cs="Calibri"/>
          <w:b/>
          <w:i/>
          <w:color w:val="000000"/>
          <w:sz w:val="21"/>
          <w:szCs w:val="21"/>
          <w:lang w:val="en-GB"/>
        </w:rPr>
        <w:t>Sfpi1</w:t>
      </w:r>
      <w:r w:rsidRPr="006935E7">
        <w:rPr>
          <w:rFonts w:ascii="Calibri" w:eastAsia="Calibri" w:hAnsi="Calibri" w:cs="Calibri"/>
          <w:b/>
          <w:color w:val="000000"/>
          <w:sz w:val="21"/>
          <w:szCs w:val="21"/>
          <w:vertAlign w:val="superscript"/>
          <w:lang w:val="en-GB"/>
        </w:rPr>
        <w:t>mCh/GFP</w:t>
      </w:r>
      <w:r w:rsidRPr="006935E7">
        <w:rPr>
          <w:rFonts w:ascii="Calibri" w:eastAsia="Calibri" w:hAnsi="Calibri" w:cs="Calibri"/>
          <w:b/>
          <w:color w:val="000000"/>
          <w:sz w:val="21"/>
          <w:szCs w:val="21"/>
          <w:lang w:val="en-GB"/>
        </w:rPr>
        <w:t xml:space="preserve"> mouse.</w:t>
      </w:r>
      <w:r w:rsidRPr="006935E7">
        <w:rPr>
          <w:rFonts w:ascii="Calibri" w:eastAsia="Calibri" w:hAnsi="Calibri" w:cs="Calibri"/>
          <w:color w:val="000000"/>
          <w:sz w:val="21"/>
          <w:szCs w:val="21"/>
          <w:lang w:val="en-GB"/>
        </w:rPr>
        <w:t xml:space="preserve"> (A) Cell surface marker expression of spleen cells. (B) Blood smear showed nucleated cells two-fold larger than RBCs with a homogeneous appearance. (C) PCRs were performed amplifying the region containing the mCherry or GFP construct [left and right panel, respectively]. GFP allele (512 bp) and wild-type allele (680 bp).</w:t>
      </w:r>
    </w:p>
    <w:p w:rsidR="00163531" w:rsidRPr="006935E7" w:rsidRDefault="006935E7" w:rsidP="006935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jc w:val="both"/>
        <w:rPr>
          <w:rFonts w:ascii="Calibri" w:eastAsia="Calibri" w:hAnsi="Calibri" w:cs="Calibri"/>
          <w:b/>
          <w:color w:val="000000"/>
          <w:sz w:val="21"/>
          <w:szCs w:val="21"/>
          <w:lang w:val="en-GB"/>
        </w:rPr>
      </w:pPr>
      <w:r w:rsidRPr="006935E7">
        <w:rPr>
          <w:rFonts w:ascii="Calibri" w:eastAsia="Calibri" w:hAnsi="Calibri" w:cs="Calibri"/>
          <w:b/>
          <w:color w:val="000000"/>
          <w:sz w:val="21"/>
          <w:szCs w:val="21"/>
          <w:lang w:val="en-GB"/>
        </w:rPr>
        <w:t xml:space="preserve">Supplementary Figure S5. Model of the different leukemic pathways observed in CBA </w:t>
      </w:r>
      <w:r w:rsidRPr="006935E7">
        <w:rPr>
          <w:rFonts w:ascii="Calibri" w:eastAsia="Calibri" w:hAnsi="Calibri" w:cs="Calibri"/>
          <w:b/>
          <w:i/>
          <w:color w:val="000000"/>
          <w:sz w:val="21"/>
          <w:szCs w:val="21"/>
          <w:lang w:val="en-GB"/>
        </w:rPr>
        <w:t>Sfpi1</w:t>
      </w:r>
      <w:r w:rsidRPr="006935E7">
        <w:rPr>
          <w:rFonts w:ascii="Calibri" w:eastAsia="Calibri" w:hAnsi="Calibri" w:cs="Calibri"/>
          <w:b/>
          <w:color w:val="000000"/>
          <w:sz w:val="21"/>
          <w:szCs w:val="21"/>
          <w:vertAlign w:val="superscript"/>
          <w:lang w:val="en-GB"/>
        </w:rPr>
        <w:t>mCh/GFP</w:t>
      </w:r>
      <w:r w:rsidRPr="006935E7">
        <w:rPr>
          <w:rFonts w:ascii="Calibri" w:eastAsia="Calibri" w:hAnsi="Calibri" w:cs="Calibri"/>
          <w:b/>
          <w:color w:val="000000"/>
          <w:sz w:val="21"/>
          <w:szCs w:val="21"/>
          <w:lang w:val="en-GB"/>
        </w:rPr>
        <w:t xml:space="preserve"> mice. </w:t>
      </w:r>
    </w:p>
    <w:sectPr w:rsidR="00163531" w:rsidRPr="006935E7" w:rsidSect="006935E7">
      <w:pgSz w:w="11906" w:h="16838"/>
      <w:pgMar w:top="1440" w:right="1440" w:bottom="1440" w:left="1440" w:header="0" w:footer="144" w:gutter="0"/>
      <w:lnNumType w:countBy="1" w:restart="continuous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5E7"/>
    <w:rsid w:val="00163531"/>
    <w:rsid w:val="0069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DBB35"/>
  <w15:chartTrackingRefBased/>
  <w15:docId w15:val="{99785C09-79C7-4993-80A2-32353698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693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Verbiest, Tom [JACBE]</dc:creator>
  <cp:keywords/>
  <dc:description/>
  <cp:lastModifiedBy>Verbiest, Tom [JACBE]</cp:lastModifiedBy>
  <cp:revision>1</cp:revision>
  <dcterms:created xsi:type="dcterms:W3CDTF">2018-01-08T12:59:00Z</dcterms:created>
  <dcterms:modified xsi:type="dcterms:W3CDTF">2018-01-08T13:01:00Z</dcterms:modified>
</cp:coreProperties>
</file>